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rPr>
      </w:pPr>
    </w:p>
    <w:p>
      <w:pPr>
        <w:ind w:right="105"/>
        <w:jc w:val="right"/>
        <w:rPr>
          <w:rFonts w:ascii="黑体" w:hAnsi="黑体" w:eastAsia="黑体"/>
          <w:b/>
          <w:color w:val="333399"/>
          <w:spacing w:val="40"/>
          <w:w w:val="66"/>
          <w:sz w:val="60"/>
          <w:szCs w:val="60"/>
        </w:rPr>
      </w:pPr>
      <w:r>
        <w:rPr>
          <w:rFonts w:ascii="黑体" w:hAnsi="黑体" w:eastAsia="黑体"/>
          <w:b/>
          <w:color w:val="333399"/>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271780</wp:posOffset>
                </wp:positionV>
                <wp:extent cx="426085" cy="5715"/>
                <wp:effectExtent l="1270" t="95250" r="10795" b="10858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26085" cy="5715"/>
                        </a:xfrm>
                        <a:prstGeom prst="line">
                          <a:avLst/>
                        </a:prstGeom>
                        <a:noFill/>
                        <a:ln w="190500">
                          <a:solidFill>
                            <a:srgbClr val="4B69B5"/>
                          </a:solidFill>
                          <a:round/>
                        </a:ln>
                        <a:effectLst/>
                      </wps:spPr>
                      <wps:bodyPr/>
                    </wps:wsp>
                  </a:graphicData>
                </a:graphic>
              </wp:anchor>
            </w:drawing>
          </mc:Choice>
          <mc:Fallback>
            <w:pict>
              <v:line id="_x0000_s1026" o:spid="_x0000_s1026" o:spt="20" style="position:absolute;left:0pt;margin-left:4.6pt;margin-top:21.4pt;height:0.45pt;width:33.55pt;z-index:251659264;mso-width-relative:page;mso-height-relative:page;" filled="f" stroked="t" coordsize="21600,21600" o:gfxdata="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qY8b1QAAAAYBAAAPAAAAAAAAAAEAIAAAACIAAABkcnMvZG93bnJldi54bWxQSwECFAAUAAAA&#10;CACHTuJAyMwOwvEBAAC8AwAADgAAAAAAAAABACAAAAAkAQAAZHJzL2Uyb0RvYy54bWxQSwUGAAAA&#10;AAYABgBZAQAAhwUAAAAA&#10;">
                <v:fill on="f" focussize="0,0"/>
                <v:stroke weight="15pt" color="#4B69B5" joinstyle="round"/>
                <v:imagedata o:title=""/>
                <o:lock v:ext="edit" aspectratio="f"/>
              </v:line>
            </w:pict>
          </mc:Fallback>
        </mc:AlternateContent>
      </w:r>
      <w:r>
        <w:rPr>
          <w:rFonts w:hint="eastAsia" w:ascii="黑体" w:hAnsi="黑体" w:eastAsia="黑体"/>
          <w:b/>
          <w:color w:val="333399"/>
          <w:spacing w:val="40"/>
          <w:w w:val="66"/>
          <w:sz w:val="60"/>
          <w:szCs w:val="60"/>
        </w:rPr>
        <w:t>天津市滨海新区新河街社区卫生服务</w:t>
      </w:r>
    </w:p>
    <w:p>
      <w:pPr>
        <w:ind w:right="105"/>
        <w:jc w:val="right"/>
        <w:rPr>
          <w:rFonts w:ascii="黑体" w:hAnsi="黑体" w:eastAsia="黑体"/>
          <w:b/>
          <w:color w:val="333399"/>
          <w:spacing w:val="40"/>
          <w:w w:val="66"/>
          <w:sz w:val="60"/>
          <w:szCs w:val="60"/>
        </w:rPr>
      </w:pPr>
      <w:r>
        <w:rPr>
          <w:rFonts w:hint="eastAsia" w:ascii="黑体" w:hAnsi="黑体" w:eastAsia="黑体"/>
          <w:b/>
          <w:color w:val="333399"/>
          <w:spacing w:val="40"/>
          <w:w w:val="66"/>
          <w:sz w:val="60"/>
          <w:szCs w:val="60"/>
        </w:rPr>
        <w:t>中心物业管理服务</w:t>
      </w:r>
      <w:r>
        <w:rPr>
          <w:rFonts w:ascii="黑体" w:hAnsi="黑体" w:eastAsia="黑体"/>
          <w:b/>
          <w:color w:val="333399"/>
          <w:spacing w:val="40"/>
          <w:w w:val="66"/>
          <w:sz w:val="60"/>
          <w:szCs w:val="60"/>
        </w:rPr>
        <w:t>项目</w:t>
      </w:r>
    </w:p>
    <w:p>
      <w:pPr>
        <w:ind w:right="105"/>
        <w:jc w:val="right"/>
        <w:rPr>
          <w:rFonts w:ascii="黑体" w:hAnsi="黑体" w:eastAsia="黑体"/>
          <w:b/>
          <w:color w:val="333399"/>
          <w:spacing w:val="40"/>
          <w:w w:val="66"/>
          <w:sz w:val="60"/>
          <w:szCs w:val="60"/>
        </w:rPr>
      </w:pPr>
      <w:r>
        <w:rPr>
          <w:rFonts w:ascii="黑体" w:hAnsi="黑体" w:eastAsia="黑体"/>
          <w:b/>
          <w:color w:val="333399"/>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266700</wp:posOffset>
                </wp:positionV>
                <wp:extent cx="3426460" cy="10795"/>
                <wp:effectExtent l="0" t="95250" r="2540" b="10350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426460" cy="10795"/>
                        </a:xfrm>
                        <a:prstGeom prst="line">
                          <a:avLst/>
                        </a:prstGeom>
                        <a:noFill/>
                        <a:ln w="190500">
                          <a:solidFill>
                            <a:srgbClr val="4B69B5"/>
                          </a:solidFill>
                          <a:round/>
                        </a:ln>
                        <a:effectLst/>
                      </wps:spPr>
                      <wps:bodyPr/>
                    </wps:wsp>
                  </a:graphicData>
                </a:graphic>
              </wp:anchor>
            </w:drawing>
          </mc:Choice>
          <mc:Fallback>
            <w:pict>
              <v:line id="_x0000_s1026" o:spid="_x0000_s1026" o:spt="20" style="position:absolute;left:0pt;margin-left:6.1pt;margin-top:21pt;height:0.85pt;width:269.8pt;z-index:251660288;mso-width-relative:page;mso-height-relative:page;" filled="f" stroked="t" coordsize="21600,21600" o:gfxdata="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CmUhdUAAAAIAQAADwAAAAAAAAABACAAAAAiAAAAZHJzL2Rvd25yZXYueG1sUEsBAhQAFAAA&#10;AAgAh07iQIzCE9vyAQAAvgMAAA4AAAAAAAAAAQAgAAAAJAEAAGRycy9lMm9Eb2MueG1sUEsFBgAA&#10;AAAGAAYAWQEAAIgFAAAAAA==&#10;">
                <v:fill on="f" focussize="0,0"/>
                <v:stroke weight="15pt" color="#4B69B5" joinstyle="round"/>
                <v:imagedata o:title=""/>
                <o:lock v:ext="edit" aspectratio="f"/>
              </v:line>
            </w:pict>
          </mc:Fallback>
        </mc:AlternateContent>
      </w:r>
      <w:r>
        <w:rPr>
          <w:rFonts w:ascii="黑体" w:hAnsi="黑体" w:eastAsia="黑体"/>
          <w:b/>
          <w:color w:val="333399"/>
          <w:spacing w:val="40"/>
          <w:w w:val="66"/>
          <w:sz w:val="60"/>
          <w:szCs w:val="60"/>
        </w:rPr>
        <w:t>招标文件</w:t>
      </w:r>
    </w:p>
    <w:p>
      <w:pPr>
        <w:ind w:right="1025"/>
        <w:jc w:val="center"/>
        <w:rPr>
          <w:rFonts w:ascii="黑体" w:hAnsi="黑体" w:eastAsia="黑体"/>
          <w:b/>
          <w:spacing w:val="40"/>
          <w:w w:val="66"/>
          <w:sz w:val="60"/>
          <w:szCs w:val="60"/>
        </w:rPr>
      </w:pPr>
    </w:p>
    <w:p>
      <w:pPr>
        <w:jc w:val="center"/>
        <w:rPr>
          <w:rFonts w:ascii="黑体" w:hAnsi="黑体" w:eastAsia="黑体"/>
          <w:b/>
          <w:spacing w:val="40"/>
          <w:w w:val="66"/>
          <w:sz w:val="15"/>
          <w:szCs w:val="15"/>
        </w:rPr>
      </w:pPr>
    </w:p>
    <w:p>
      <w:pPr>
        <w:jc w:val="center"/>
        <w:rPr>
          <w:rFonts w:ascii="黑体" w:hAnsi="黑体" w:eastAsia="黑体"/>
          <w:b/>
          <w:color w:val="333399"/>
          <w:spacing w:val="40"/>
          <w:w w:val="66"/>
          <w:sz w:val="32"/>
          <w:szCs w:val="32"/>
        </w:rPr>
      </w:pPr>
      <w:r>
        <w:rPr>
          <w:rFonts w:ascii="黑体" w:hAnsi="黑体" w:eastAsia="黑体"/>
          <w:b/>
          <w:color w:val="333399"/>
          <w:spacing w:val="40"/>
          <w:w w:val="66"/>
          <w:sz w:val="32"/>
          <w:szCs w:val="32"/>
        </w:rPr>
        <w:t>（项目编号</w:t>
      </w:r>
      <w:r>
        <w:rPr>
          <w:rFonts w:hint="eastAsia" w:ascii="黑体" w:hAnsi="黑体" w:eastAsia="黑体"/>
          <w:b/>
          <w:color w:val="333399"/>
          <w:spacing w:val="40"/>
          <w:w w:val="66"/>
          <w:sz w:val="32"/>
          <w:szCs w:val="32"/>
        </w:rPr>
        <w:t>：TJBH-2024-D-0025</w:t>
      </w:r>
      <w:r>
        <w:rPr>
          <w:rFonts w:ascii="黑体" w:hAnsi="黑体" w:eastAsia="黑体"/>
          <w:b/>
          <w:color w:val="333399"/>
          <w:spacing w:val="40"/>
          <w:w w:val="66"/>
          <w:sz w:val="32"/>
          <w:szCs w:val="32"/>
        </w:rPr>
        <w:t>）</w:t>
      </w:r>
    </w:p>
    <w:p>
      <w:pPr>
        <w:rPr>
          <w:rFonts w:ascii="黑体" w:hAnsi="黑体" w:eastAsia="黑体"/>
          <w:b/>
          <w:sz w:val="40"/>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rPr>
          <w:rFonts w:ascii="黑体" w:hAnsi="黑体" w:eastAsia="黑体"/>
          <w:b/>
          <w:sz w:val="36"/>
        </w:rPr>
      </w:pPr>
    </w:p>
    <w:p>
      <w:pPr>
        <w:jc w:val="center"/>
        <w:rPr>
          <w:rFonts w:ascii="黑体" w:hAnsi="黑体" w:eastAsia="黑体"/>
          <w:b/>
          <w:color w:val="333399"/>
          <w:spacing w:val="20"/>
          <w:w w:val="66"/>
          <w:sz w:val="44"/>
          <w:szCs w:val="44"/>
        </w:rPr>
      </w:pPr>
      <w:r>
        <w:rPr>
          <w:rFonts w:ascii="黑体" w:hAnsi="黑体" w:eastAsia="黑体"/>
          <w:b/>
          <w:color w:val="333399"/>
          <w:spacing w:val="20"/>
          <w:w w:val="66"/>
          <w:sz w:val="44"/>
          <w:szCs w:val="44"/>
        </w:rPr>
        <w:t>天津市</w:t>
      </w:r>
      <w:r>
        <w:rPr>
          <w:rFonts w:hint="eastAsia" w:ascii="黑体" w:hAnsi="黑体" w:eastAsia="黑体"/>
          <w:b/>
          <w:color w:val="333399"/>
          <w:spacing w:val="20"/>
          <w:w w:val="66"/>
          <w:sz w:val="44"/>
          <w:szCs w:val="44"/>
        </w:rPr>
        <w:t>滨海新区</w:t>
      </w:r>
      <w:r>
        <w:rPr>
          <w:rFonts w:ascii="黑体" w:hAnsi="黑体" w:eastAsia="黑体"/>
          <w:b/>
          <w:color w:val="333399"/>
          <w:spacing w:val="20"/>
          <w:w w:val="66"/>
          <w:sz w:val="44"/>
          <w:szCs w:val="44"/>
        </w:rPr>
        <w:t>政府采购中心</w:t>
      </w:r>
    </w:p>
    <w:p>
      <w:pPr>
        <w:tabs>
          <w:tab w:val="left" w:pos="3281"/>
          <w:tab w:val="center" w:pos="4711"/>
        </w:tabs>
        <w:jc w:val="center"/>
        <w:rPr>
          <w:rFonts w:ascii="黑体" w:hAnsi="黑体" w:eastAsia="黑体"/>
          <w:b/>
          <w:bCs/>
          <w:color w:val="333399"/>
          <w:kern w:val="0"/>
          <w:sz w:val="44"/>
          <w:szCs w:val="44"/>
        </w:rPr>
      </w:pPr>
      <w:r>
        <w:rPr>
          <w:rFonts w:ascii="黑体" w:hAnsi="黑体" w:eastAsia="黑体"/>
          <w:b/>
          <w:bCs/>
          <w:color w:val="333399"/>
          <w:kern w:val="0"/>
          <w:sz w:val="44"/>
          <w:szCs w:val="44"/>
        </w:rPr>
        <w:t>202</w:t>
      </w:r>
      <w:r>
        <w:rPr>
          <w:rFonts w:hint="eastAsia" w:ascii="黑体" w:hAnsi="黑体" w:eastAsia="黑体"/>
          <w:b/>
          <w:bCs/>
          <w:color w:val="333399"/>
          <w:kern w:val="0"/>
          <w:sz w:val="44"/>
          <w:szCs w:val="44"/>
        </w:rPr>
        <w:t>4</w:t>
      </w:r>
      <w:r>
        <w:rPr>
          <w:rFonts w:ascii="黑体" w:hAnsi="黑体" w:eastAsia="黑体"/>
          <w:b/>
          <w:bCs/>
          <w:color w:val="333399"/>
          <w:kern w:val="0"/>
          <w:sz w:val="44"/>
          <w:szCs w:val="44"/>
        </w:rPr>
        <w:t>.</w:t>
      </w:r>
      <w:r>
        <w:rPr>
          <w:rFonts w:hint="eastAsia" w:ascii="黑体" w:hAnsi="黑体" w:eastAsia="黑体"/>
          <w:b/>
          <w:bCs/>
          <w:color w:val="333399"/>
          <w:kern w:val="0"/>
          <w:sz w:val="44"/>
          <w:szCs w:val="44"/>
        </w:rPr>
        <w:t>3</w:t>
      </w:r>
    </w:p>
    <w:p>
      <w:pPr>
        <w:widowControl/>
        <w:jc w:val="left"/>
        <w:rPr>
          <w:rFonts w:ascii="黑体" w:hAnsi="黑体" w:eastAsia="黑体"/>
          <w:b/>
          <w:bCs/>
          <w:kern w:val="0"/>
          <w:sz w:val="44"/>
          <w:szCs w:val="44"/>
        </w:rPr>
      </w:pPr>
    </w:p>
    <w:p>
      <w:pPr>
        <w:ind w:firstLine="408" w:firstLineChars="100"/>
        <w:jc w:val="center"/>
        <w:rPr>
          <w:b/>
          <w:spacing w:val="20"/>
          <w:w w:val="80"/>
          <w:sz w:val="48"/>
          <w:szCs w:val="48"/>
        </w:rPr>
        <w:sectPr>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rFonts w:hAnsiTheme="minorEastAsia"/>
          <w:b/>
          <w:spacing w:val="20"/>
          <w:w w:val="80"/>
          <w:sz w:val="48"/>
          <w:szCs w:val="48"/>
        </w:rPr>
        <w:t>目录</w:t>
      </w:r>
    </w:p>
    <w:p>
      <w:pPr>
        <w:spacing w:line="560" w:lineRule="exact"/>
        <w:ind w:right="-141" w:rightChars="-73"/>
        <w:rPr>
          <w:b/>
          <w:sz w:val="24"/>
        </w:rPr>
      </w:pPr>
      <w:r>
        <w:rPr>
          <w:rFonts w:hAnsiTheme="minorEastAsia"/>
          <w:b/>
          <w:sz w:val="24"/>
        </w:rPr>
        <w:t>第一部分投标邀请函</w:t>
      </w:r>
    </w:p>
    <w:p>
      <w:pPr>
        <w:spacing w:line="560" w:lineRule="exact"/>
        <w:ind w:right="-141" w:rightChars="-73"/>
        <w:rPr>
          <w:b/>
          <w:sz w:val="24"/>
        </w:rPr>
      </w:pPr>
    </w:p>
    <w:p>
      <w:pPr>
        <w:spacing w:line="560" w:lineRule="exact"/>
        <w:ind w:right="-141" w:rightChars="-73"/>
        <w:rPr>
          <w:b/>
          <w:sz w:val="24"/>
        </w:rPr>
      </w:pPr>
      <w:r>
        <w:rPr>
          <w:rFonts w:hAnsiTheme="minorEastAsia"/>
          <w:b/>
          <w:sz w:val="24"/>
        </w:rPr>
        <w:t>第二部分招标项目要求</w:t>
      </w:r>
    </w:p>
    <w:p>
      <w:pPr>
        <w:spacing w:line="560" w:lineRule="exact"/>
        <w:ind w:right="-141" w:rightChars="-73"/>
        <w:rPr>
          <w:b/>
          <w:sz w:val="24"/>
        </w:rPr>
      </w:pPr>
    </w:p>
    <w:p>
      <w:pPr>
        <w:spacing w:line="560" w:lineRule="exact"/>
        <w:ind w:right="-141" w:rightChars="-73"/>
        <w:rPr>
          <w:b/>
          <w:sz w:val="24"/>
        </w:rPr>
      </w:pPr>
      <w:r>
        <w:rPr>
          <w:rFonts w:hAnsiTheme="minorEastAsia"/>
          <w:b/>
          <w:sz w:val="24"/>
        </w:rPr>
        <w:t>第三部分投标须知</w:t>
      </w:r>
    </w:p>
    <w:p>
      <w:pPr>
        <w:spacing w:line="560" w:lineRule="exact"/>
        <w:ind w:right="-141" w:rightChars="-73"/>
        <w:rPr>
          <w:sz w:val="24"/>
        </w:rPr>
      </w:pPr>
    </w:p>
    <w:p>
      <w:pPr>
        <w:spacing w:line="560" w:lineRule="exact"/>
        <w:rPr>
          <w:b/>
          <w:sz w:val="24"/>
        </w:rPr>
      </w:pPr>
      <w:r>
        <w:rPr>
          <w:rFonts w:hAnsiTheme="minorEastAsia"/>
          <w:b/>
          <w:sz w:val="24"/>
        </w:rPr>
        <w:t>第四部分合同条款</w:t>
      </w:r>
    </w:p>
    <w:p>
      <w:pPr>
        <w:spacing w:line="560" w:lineRule="exact"/>
        <w:rPr>
          <w:sz w:val="24"/>
        </w:rPr>
      </w:pPr>
    </w:p>
    <w:p>
      <w:pPr>
        <w:spacing w:line="560" w:lineRule="exact"/>
        <w:rPr>
          <w:sz w:val="24"/>
        </w:rPr>
      </w:pPr>
      <w:r>
        <w:rPr>
          <w:rFonts w:hAnsiTheme="minorEastAsia"/>
          <w:b/>
          <w:sz w:val="24"/>
        </w:rPr>
        <w:t>第五部分投标文件格式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5"/>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5"/>
        <w:rPr>
          <w:rFonts w:ascii="Times New Roman" w:hAnsi="Times New Roman"/>
        </w:rPr>
      </w:pPr>
      <w:r>
        <w:rPr>
          <w:rFonts w:ascii="Times New Roman" w:hAnsiTheme="minorEastAsia"/>
        </w:rPr>
        <w:t>第一部分投标邀请函</w:t>
      </w:r>
      <w:bookmarkEnd w:id="0"/>
    </w:p>
    <w:p>
      <w:pPr>
        <w:pStyle w:val="31"/>
        <w:spacing w:line="360" w:lineRule="auto"/>
        <w:ind w:firstLine="448" w:firstLineChars="200"/>
        <w:jc w:val="both"/>
        <w:rPr>
          <w:rFonts w:ascii="Times New Roman" w:hAnsi="Times New Roman" w:eastAsia="宋体" w:cs="Times New Roman"/>
          <w:color w:val="auto"/>
          <w:szCs w:val="32"/>
        </w:rPr>
      </w:pPr>
      <w:r>
        <w:rPr>
          <w:rFonts w:ascii="Times New Roman" w:eastAsia="宋体" w:cs="Times New Roman" w:hAnsiTheme="minorEastAsia"/>
          <w:color w:val="auto"/>
          <w:szCs w:val="32"/>
        </w:rPr>
        <w:t>受</w:t>
      </w:r>
      <w:r>
        <w:rPr>
          <w:rFonts w:hint="eastAsia" w:ascii="Times New Roman" w:eastAsia="宋体" w:cs="Times New Roman" w:hAnsiTheme="minorEastAsia"/>
          <w:color w:val="auto"/>
          <w:szCs w:val="32"/>
        </w:rPr>
        <w:t>天津市滨海新区新河街社区卫生服务中心</w:t>
      </w:r>
      <w:r>
        <w:rPr>
          <w:rFonts w:ascii="Times New Roman" w:eastAsia="宋体" w:cs="Times New Roman" w:hAnsiTheme="minorEastAsia"/>
          <w:color w:val="auto"/>
          <w:szCs w:val="32"/>
        </w:rPr>
        <w:t>委托，天津市滨海新区政府采购中心将以公开招标方式，对</w:t>
      </w:r>
      <w:r>
        <w:rPr>
          <w:rFonts w:hint="eastAsia" w:ascii="Times New Roman" w:eastAsia="宋体" w:cs="Times New Roman" w:hAnsiTheme="minorEastAsia"/>
          <w:color w:val="auto"/>
          <w:szCs w:val="32"/>
        </w:rPr>
        <w:t>天津市滨海新区新河街社区卫生服务中心物业管理服务项目</w:t>
      </w:r>
      <w:r>
        <w:rPr>
          <w:rFonts w:ascii="Times New Roman" w:eastAsia="宋体" w:cs="Times New Roman" w:hAnsiTheme="minorEastAsia"/>
          <w:color w:val="auto"/>
          <w:szCs w:val="32"/>
        </w:rPr>
        <w:t>实施政府采购。现欢迎合格的供应商参加投标。</w:t>
      </w:r>
    </w:p>
    <w:p>
      <w:pPr>
        <w:pStyle w:val="31"/>
        <w:spacing w:line="360" w:lineRule="auto"/>
        <w:ind w:firstLine="448" w:firstLineChars="200"/>
        <w:jc w:val="both"/>
        <w:rPr>
          <w:rFonts w:ascii="Times New Roman" w:hAnsi="Times New Roman" w:eastAsia="宋体" w:cs="Times New Roman"/>
          <w:color w:val="auto"/>
          <w:szCs w:val="32"/>
        </w:rPr>
      </w:pPr>
      <w:r>
        <w:rPr>
          <w:rFonts w:hint="eastAsia" w:ascii="Times New Roman" w:eastAsia="宋体" w:cs="Times New Roman" w:hAnsiTheme="minorEastAsia"/>
          <w:color w:val="auto"/>
          <w:szCs w:val="32"/>
        </w:rPr>
        <w:t>本项目为远程招投标，一律不接受纸质投标文件，只接受加盖投标人电子签章的</w:t>
      </w:r>
      <w:r>
        <w:rPr>
          <w:rFonts w:hint="eastAsia" w:ascii="Times New Roman" w:hAnsi="Times New Roman" w:eastAsia="宋体" w:cs="Times New Roman"/>
          <w:color w:val="auto"/>
          <w:szCs w:val="32"/>
        </w:rPr>
        <w:t>PDF</w:t>
      </w:r>
      <w:r>
        <w:rPr>
          <w:rFonts w:hint="eastAsia" w:ascii="Times New Roman" w:eastAsia="宋体" w:cs="Times New Roman" w:hAnsiTheme="minorEastAsia"/>
          <w:color w:val="auto"/>
          <w:szCs w:val="32"/>
        </w:rPr>
        <w:t>格式电子投标文件（以通过天津公共资源电子签章客户端正确读取签章信息为准）。供应商参加投标前须办理</w:t>
      </w:r>
      <w:r>
        <w:rPr>
          <w:rFonts w:hint="eastAsia" w:ascii="Times New Roman" w:hAnsi="Times New Roman" w:eastAsia="宋体" w:cs="Times New Roman"/>
          <w:color w:val="auto"/>
          <w:szCs w:val="32"/>
        </w:rPr>
        <w:t>CA</w:t>
      </w:r>
      <w:r>
        <w:rPr>
          <w:rFonts w:hint="eastAsia" w:ascii="Times New Roman" w:eastAsia="宋体" w:cs="Times New Roman" w:hAnsiTheme="minorEastAsia"/>
          <w:color w:val="auto"/>
          <w:szCs w:val="32"/>
        </w:rPr>
        <w:t>数字证书（</w:t>
      </w:r>
      <w:r>
        <w:rPr>
          <w:rFonts w:hint="eastAsia" w:ascii="Times New Roman" w:hAnsi="Times New Roman" w:eastAsia="宋体" w:cs="Times New Roman"/>
          <w:color w:val="auto"/>
          <w:szCs w:val="32"/>
        </w:rPr>
        <w:t>USBKey</w:t>
      </w:r>
      <w:r>
        <w:rPr>
          <w:rFonts w:hint="eastAsia" w:ascii="Times New Roman" w:eastAsia="宋体" w:cs="Times New Roman" w:hAnsiTheme="minorEastAsia"/>
          <w:color w:val="auto"/>
          <w:szCs w:val="32"/>
        </w:rPr>
        <w:t>）和电子签章。投标人须按招标文件的规定在天津市政府采购中心招投标系统中提交网上应答并上传加盖投标人电子签章的</w:t>
      </w:r>
      <w:r>
        <w:rPr>
          <w:rFonts w:hint="eastAsia" w:ascii="Times New Roman" w:hAnsi="Times New Roman" w:eastAsia="宋体" w:cs="Times New Roman"/>
          <w:color w:val="auto"/>
          <w:szCs w:val="32"/>
        </w:rPr>
        <w:t>PDF</w:t>
      </w:r>
      <w:r>
        <w:rPr>
          <w:rFonts w:hint="eastAsia" w:ascii="Times New Roman" w:eastAsia="宋体" w:cs="Times New Roman" w:hAnsiTheme="minorEastAsia"/>
          <w:color w:val="auto"/>
          <w:szCs w:val="32"/>
        </w:rPr>
        <w:t>格式电子投标文件（以通过天津公共资源电子签章客户端正确读取签章信息为准）。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一、项目名称和编号</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（一）项目名称：</w:t>
      </w:r>
      <w:r>
        <w:rPr>
          <w:rFonts w:hint="eastAsia" w:ascii="Times New Roman" w:eastAsia="宋体" w:cs="Times New Roman" w:hAnsiTheme="minorEastAsia"/>
          <w:color w:val="auto"/>
        </w:rPr>
        <w:t>天津市滨海新区新河街社区卫生服务中心物业管理服务项目</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（二）项目编号：</w:t>
      </w:r>
      <w:r>
        <w:rPr>
          <w:rFonts w:hint="eastAsia" w:ascii="Times New Roman" w:eastAsia="宋体" w:cs="Times New Roman" w:hAnsiTheme="minorEastAsia"/>
          <w:color w:val="auto"/>
        </w:rPr>
        <w:t>TJBH-2024-D-0025</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二、项目内容</w:t>
      </w:r>
    </w:p>
    <w:p>
      <w:pPr>
        <w:pStyle w:val="31"/>
        <w:ind w:firstLine="439" w:firstLineChars="196"/>
        <w:rPr>
          <w:rFonts w:ascii="Times New Roman" w:hAnsi="Times New Roman" w:eastAsia="宋体"/>
          <w:color w:val="auto"/>
        </w:rPr>
      </w:pPr>
      <w:r>
        <w:rPr>
          <w:rFonts w:hint="eastAsia" w:ascii="Times New Roman" w:eastAsia="宋体" w:hAnsiTheme="minorEastAsia"/>
          <w:color w:val="auto"/>
        </w:rPr>
        <w:t>第一包：物业管理服务</w:t>
      </w:r>
      <w:r>
        <w:rPr>
          <w:rFonts w:hint="eastAsia" w:ascii="Times New Roman" w:hAnsi="Times New Roman" w:eastAsia="宋体"/>
          <w:color w:val="auto"/>
        </w:rPr>
        <w:t>1</w:t>
      </w:r>
      <w:r>
        <w:rPr>
          <w:rFonts w:hint="eastAsia" w:ascii="Times New Roman" w:eastAsia="宋体" w:hAnsiTheme="minorEastAsia"/>
          <w:color w:val="auto"/>
        </w:rPr>
        <w:t>项，合同履行期限12个月（特殊情况以合同为准）。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三、项目预算</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第一包：690000元。</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四</w:t>
      </w:r>
      <w:r>
        <w:rPr>
          <w:rFonts w:ascii="Times New Roman" w:eastAsia="宋体" w:cs="Times New Roman" w:hAnsiTheme="minorEastAsia"/>
          <w:color w:val="auto"/>
        </w:rPr>
        <w:t>、供应商资格要求（实质性要求）</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（一）</w:t>
      </w:r>
      <w:r>
        <w:rPr>
          <w:rFonts w:hint="eastAsia" w:ascii="Times New Roman" w:eastAsia="宋体" w:cs="Times New Roman" w:hAnsiTheme="minorEastAsia"/>
          <w:color w:val="auto"/>
        </w:rPr>
        <w:t>供应商应具备独立法人资格。</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（二）投标人须具备《中华人民共和国政府采购法》第二十二条第一款规定的条件，提供以下材料：</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1. </w:t>
      </w:r>
      <w:r>
        <w:rPr>
          <w:rFonts w:hint="eastAsia" w:ascii="Times New Roman" w:eastAsia="宋体" w:cs="Times New Roman" w:hAnsiTheme="minorEastAsia"/>
          <w:color w:val="auto"/>
        </w:rPr>
        <w:t>营业执照副本或事业单位法人证书或民办非企业单位登记证书或社会团体法人登记证书或基金会法人登记证书扫描件。</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 经第三方会计师事务所审计的2022年度或2023年度财务报告扫描件。</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4. </w:t>
      </w:r>
      <w:r>
        <w:rPr>
          <w:rFonts w:hint="eastAsia" w:ascii="Times New Roman" w:eastAsia="宋体" w:cs="Times New Roman" w:hAnsiTheme="minorEastAsia"/>
          <w:color w:val="auto"/>
        </w:rPr>
        <w:t>投标截止日前</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年在经营活动中没有重大违法记录的书面声明（截至开标日成立不足</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年的供应商可提供自成立以来无重大违法记录的书面声明）。</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（三）本项目不接受联合体投标。</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（四）本项目专门面向中小企业采购，提供《中小企业声明函》。</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五</w:t>
      </w:r>
      <w:r>
        <w:rPr>
          <w:rFonts w:ascii="Times New Roman" w:eastAsia="宋体" w:cs="Times New Roman" w:hAnsiTheme="minorEastAsia"/>
          <w:color w:val="auto"/>
        </w:rPr>
        <w:t>、项目需要落实的政府采购政策</w:t>
      </w:r>
    </w:p>
    <w:p>
      <w:pPr>
        <w:pStyle w:val="31"/>
        <w:spacing w:line="360" w:lineRule="auto"/>
        <w:ind w:firstLine="448" w:firstLineChars="200"/>
        <w:rPr>
          <w:rFonts w:ascii="Times New Roman" w:hAnsi="Times New Roman" w:eastAsia="宋体" w:cs="Times New Roman"/>
          <w:color w:val="auto"/>
        </w:rPr>
      </w:pPr>
      <w:bookmarkStart w:id="1" w:name="OLE_LINK3"/>
      <w:bookmarkStart w:id="2" w:name="OLE_LINK4"/>
      <w:r>
        <w:rPr>
          <w:rFonts w:ascii="Times New Roman" w:eastAsia="宋体" w:cs="Times New Roman" w:hAnsiTheme="minorEastAsia"/>
          <w:color w:val="auto"/>
        </w:rPr>
        <w:t>（一）</w:t>
      </w:r>
      <w:r>
        <w:rPr>
          <w:rFonts w:hint="eastAsia" w:ascii="Times New Roman" w:eastAsia="宋体" w:cs="Times New Roman" w:hAnsiTheme="minorEastAsia"/>
          <w:color w:val="auto"/>
        </w:rPr>
        <w:t>本项目专门面向中小企业采购。</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（二）根据财政部发布的《关于政府采购支持监狱企业发展有关问题的通知》规定，监狱企业视同小微企业。</w:t>
      </w:r>
    </w:p>
    <w:bookmarkEnd w:id="1"/>
    <w:bookmarkEnd w:id="2"/>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（三）</w:t>
      </w:r>
      <w:r>
        <w:rPr>
          <w:rFonts w:ascii="Times New Roman" w:eastAsia="宋体" w:cs="Times New Roman" w:hAnsiTheme="minorEastAsia"/>
          <w:color w:val="auto"/>
        </w:rPr>
        <w:t>根据财政部、民政部、中国残疾人联合会发布的《关于促进残疾人就业政府采购政策的通知》规定，残疾人福利性单位视同小微企业。</w:t>
      </w:r>
    </w:p>
    <w:p>
      <w:pPr>
        <w:pStyle w:val="31"/>
        <w:spacing w:line="360" w:lineRule="auto"/>
        <w:ind w:firstLine="448" w:firstLineChars="200"/>
        <w:jc w:val="both"/>
        <w:rPr>
          <w:rFonts w:ascii="Times New Roman" w:hAnsi="Times New Roman" w:eastAsia="宋体"/>
          <w:color w:val="auto"/>
        </w:rPr>
      </w:pPr>
      <w:r>
        <w:rPr>
          <w:rFonts w:hint="eastAsia" w:ascii="Times New Roman" w:eastAsia="宋体" w:hAnsiTheme="minor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31"/>
        <w:spacing w:line="360" w:lineRule="auto"/>
        <w:ind w:firstLine="448" w:firstLineChars="200"/>
        <w:jc w:val="both"/>
        <w:rPr>
          <w:rFonts w:ascii="Times New Roman" w:hAnsi="Times New Roman" w:eastAsia="宋体"/>
          <w:color w:val="auto"/>
        </w:rPr>
      </w:pPr>
      <w:r>
        <w:rPr>
          <w:rFonts w:hint="eastAsia" w:ascii="Times New Roman" w:eastAsia="宋体" w:hAnsiTheme="minorEastAsia"/>
          <w:color w:val="auto"/>
        </w:rPr>
        <w:t>（四）涉及商品包装或快递包装的，按照《财政部办公厅、生态环境部办公厅、国家邮政局办公室关于印发</w:t>
      </w:r>
      <w:r>
        <w:rPr>
          <w:rFonts w:hint="eastAsia" w:ascii="Times New Roman" w:hAnsi="Times New Roman" w:eastAsia="宋体"/>
          <w:color w:val="auto"/>
        </w:rPr>
        <w:t>&lt;</w:t>
      </w:r>
      <w:r>
        <w:rPr>
          <w:rFonts w:hint="eastAsia" w:ascii="Times New Roman" w:eastAsia="宋体" w:hAnsiTheme="minorEastAsia"/>
          <w:color w:val="auto"/>
        </w:rPr>
        <w:t>商品包装政府采购需求标准（试行）</w:t>
      </w:r>
      <w:r>
        <w:rPr>
          <w:rFonts w:hint="eastAsia" w:ascii="Times New Roman" w:hAnsi="Times New Roman" w:eastAsia="宋体"/>
          <w:color w:val="auto"/>
        </w:rPr>
        <w:t>&gt;</w:t>
      </w:r>
      <w:r>
        <w:rPr>
          <w:rFonts w:hint="eastAsia" w:ascii="Times New Roman" w:eastAsia="宋体" w:hAnsiTheme="minorEastAsia"/>
          <w:color w:val="auto"/>
        </w:rPr>
        <w:t>、</w:t>
      </w:r>
      <w:r>
        <w:rPr>
          <w:rFonts w:hint="eastAsia" w:ascii="Times New Roman" w:hAnsi="Times New Roman" w:eastAsia="宋体"/>
          <w:color w:val="auto"/>
        </w:rPr>
        <w:t>&lt;</w:t>
      </w:r>
      <w:r>
        <w:rPr>
          <w:rFonts w:hint="eastAsia" w:ascii="Times New Roman" w:eastAsia="宋体" w:hAnsiTheme="minorEastAsia"/>
          <w:color w:val="auto"/>
        </w:rPr>
        <w:t>快递包装政府采购需求标准（试行）</w:t>
      </w:r>
      <w:r>
        <w:rPr>
          <w:rFonts w:hint="eastAsia" w:ascii="Times New Roman" w:hAnsi="Times New Roman" w:eastAsia="宋体"/>
          <w:color w:val="auto"/>
        </w:rPr>
        <w:t>&gt;</w:t>
      </w:r>
      <w:r>
        <w:rPr>
          <w:rFonts w:hint="eastAsia" w:ascii="Times New Roman" w:eastAsia="宋体" w:hAnsiTheme="minorEastAsia"/>
          <w:color w:val="auto"/>
        </w:rPr>
        <w:t>的通知》（财办库〔</w:t>
      </w:r>
      <w:r>
        <w:rPr>
          <w:rFonts w:hint="eastAsia" w:ascii="Times New Roman" w:hAnsi="Times New Roman" w:eastAsia="宋体"/>
          <w:color w:val="auto"/>
        </w:rPr>
        <w:t>2020</w:t>
      </w:r>
      <w:r>
        <w:rPr>
          <w:rFonts w:hint="eastAsia" w:ascii="Times New Roman" w:eastAsia="宋体" w:hAnsiTheme="minorEastAsia"/>
          <w:color w:val="auto"/>
        </w:rPr>
        <w:t>〕</w:t>
      </w:r>
      <w:r>
        <w:rPr>
          <w:rFonts w:hint="eastAsia" w:ascii="Times New Roman" w:hAnsi="Times New Roman" w:eastAsia="宋体"/>
          <w:color w:val="auto"/>
        </w:rPr>
        <w:t>123</w:t>
      </w:r>
      <w:r>
        <w:rPr>
          <w:rFonts w:hint="eastAsia" w:ascii="Times New Roman" w:eastAsia="宋体" w:hAnsiTheme="minorEastAsia"/>
          <w:color w:val="auto"/>
        </w:rPr>
        <w:t>号）要求执行。</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（五）按照《财政部关于在政府采购活动中查询及使用信用记录有关问题的通知》（财库〔</w:t>
      </w:r>
      <w:r>
        <w:rPr>
          <w:rFonts w:hint="eastAsia" w:ascii="Times New Roman" w:hAnsi="Times New Roman" w:eastAsia="宋体" w:cs="Times New Roman"/>
          <w:color w:val="auto"/>
        </w:rPr>
        <w:t>2016</w:t>
      </w:r>
      <w:r>
        <w:rPr>
          <w:rFonts w:hint="eastAsia" w:ascii="Times New Roman" w:eastAsia="宋体" w:cs="Times New Roman" w:hAnsiTheme="minorEastAsia"/>
          <w:color w:val="auto"/>
        </w:rPr>
        <w:t>〕</w:t>
      </w:r>
      <w:r>
        <w:rPr>
          <w:rFonts w:hint="eastAsia" w:ascii="Times New Roman" w:hAnsi="Times New Roman" w:eastAsia="宋体" w:cs="Times New Roman"/>
          <w:color w:val="auto"/>
        </w:rPr>
        <w:t>125</w:t>
      </w:r>
      <w:r>
        <w:rPr>
          <w:rFonts w:hint="eastAsia" w:ascii="Times New Roman" w:eastAsia="宋体" w:cs="Times New Roman" w:hAnsiTheme="minorEastAsia"/>
          <w:color w:val="auto"/>
        </w:rPr>
        <w:t>号）的要求，根据开标当日解密截止时间</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信用中国</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网站（</w:t>
      </w:r>
      <w:r>
        <w:fldChar w:fldCharType="begin"/>
      </w:r>
      <w:r>
        <w:instrText xml:space="preserve"> HYPERLINK "http://www.creditchina.gov.cn" </w:instrText>
      </w:r>
      <w:r>
        <w:fldChar w:fldCharType="separate"/>
      </w:r>
      <w:r>
        <w:rPr>
          <w:rStyle w:val="25"/>
          <w:rFonts w:hint="eastAsia" w:ascii="Times New Roman" w:hAnsi="Times New Roman" w:eastAsia="宋体"/>
        </w:rPr>
        <w:t>http://www.creditchina.gov.cn</w:t>
      </w:r>
      <w:r>
        <w:rPr>
          <w:rStyle w:val="25"/>
          <w:rFonts w:hint="eastAsia" w:ascii="Times New Roman" w:hAnsi="Times New Roman" w:eastAsia="宋体"/>
        </w:rPr>
        <w:fldChar w:fldCharType="end"/>
      </w:r>
      <w:r>
        <w:rPr>
          <w:rFonts w:hint="eastAsia" w:ascii="Times New Roman" w:eastAsia="宋体" w:cs="Times New Roman" w:hAnsiTheme="minorEastAsia"/>
          <w:color w:val="auto"/>
        </w:rPr>
        <w:t>）、中国政府采购网（</w:t>
      </w:r>
      <w:r>
        <w:fldChar w:fldCharType="begin"/>
      </w:r>
      <w:r>
        <w:instrText xml:space="preserve"> HYPERLINK "http://www.ccgp.gov.cn/" </w:instrText>
      </w:r>
      <w:r>
        <w:fldChar w:fldCharType="separate"/>
      </w:r>
      <w:r>
        <w:rPr>
          <w:rStyle w:val="25"/>
          <w:rFonts w:ascii="Times New Roman" w:hAnsi="Times New Roman" w:eastAsia="宋体" w:cs="Times New Roman"/>
        </w:rPr>
        <w:t>http://www.ccgp.gov.cn/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六）参与政府采购活动的中小微企业，在获取政府采购中标（成交）通知书后，可向本市相关金融机构申请“政采贷”融资支持。有融资需求的企业，请于正式签订政府采购合同之前，向相关金融机构联系咨询。注：金融机构相关信息请登录天津市政府采购网政采贷板块（网址：http://tjgp.cz.tj.gov.cn/zcd/zcdList.jsp）了解。</w:t>
      </w:r>
    </w:p>
    <w:p>
      <w:pPr>
        <w:pStyle w:val="31"/>
        <w:spacing w:line="360" w:lineRule="auto"/>
        <w:ind w:firstLine="448" w:firstLineChars="200"/>
        <w:jc w:val="both"/>
        <w:rPr>
          <w:rFonts w:ascii="Times New Roman" w:hAnsi="Times New Roman" w:eastAsia="宋体" w:cs="Times New Roman"/>
          <w:color w:val="auto"/>
        </w:rPr>
      </w:pPr>
      <w:bookmarkStart w:id="3" w:name="_Toc412903615"/>
      <w:r>
        <w:rPr>
          <w:rFonts w:ascii="Times New Roman" w:hAnsi="Times New Roman" w:eastAsia="宋体" w:cs="Times New Roman"/>
          <w:color w:val="auto"/>
        </w:rPr>
        <w:t>六、获取招标文件时间、方式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w:t>
      </w:r>
      <w:r>
        <w:rPr>
          <w:rFonts w:ascii="Times New Roman" w:hAnsi="Times New Roman" w:eastAsia="宋体" w:cs="Times New Roman"/>
          <w:color w:val="auto"/>
        </w:rPr>
        <w:t>时间：</w:t>
      </w:r>
      <w:r>
        <w:rPr>
          <w:rFonts w:hint="eastAsia" w:ascii="Times New Roman" w:hAnsi="Times New Roman" w:eastAsia="宋体" w:cs="Times New Roman"/>
          <w:color w:val="auto"/>
        </w:rPr>
        <w:t>2024年</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hint="eastAsia" w:ascii="Times New Roman" w:hAnsi="Times New Roman" w:eastAsia="宋体" w:cs="Times New Roman"/>
          <w:color w:val="auto"/>
        </w:rPr>
        <w:t>日，每</w:t>
      </w:r>
      <w:r>
        <w:rPr>
          <w:rFonts w:hint="eastAsia" w:ascii="Times New Roman" w:hAnsi="Times New Roman" w:eastAsia="宋体" w:cs="Times New Roman"/>
          <w:color w:val="auto"/>
        </w:rPr>
        <w:t>日</w:t>
      </w:r>
      <w:r>
        <w:rPr>
          <w:rFonts w:ascii="Times New Roman" w:hAnsi="Times New Roman" w:eastAsia="宋体" w:cs="Times New Roman"/>
          <w:color w:val="auto"/>
        </w:rPr>
        <w:t>9:00</w:t>
      </w:r>
      <w:r>
        <w:rPr>
          <w:rFonts w:hint="eastAsia" w:ascii="Times New Roman" w:hAnsi="Times New Roman" w:eastAsia="宋体" w:cs="Times New Roman"/>
          <w:color w:val="auto"/>
        </w:rPr>
        <w:t>至</w:t>
      </w:r>
      <w:r>
        <w:rPr>
          <w:rFonts w:ascii="Times New Roman" w:hAnsi="Times New Roman" w:eastAsia="宋体"/>
        </w:rPr>
        <w:t>17:00</w:t>
      </w:r>
      <w:r>
        <w:rPr>
          <w:rFonts w:hint="eastAsia" w:ascii="Times New Roman" w:hAnsi="Times New Roman" w:eastAsia="宋体"/>
        </w:rPr>
        <w:t>（北京时间，法定节假日除外）。</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1.获取招标文件网址：使用天津市中环认证服务有限公司发出的CA数字证书（原天津市电子认证中心发出尚在有效期内的CA数字证书仍可使用）登录天津市政府采购中心网（网址：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）-“网上招投标”-“供应商登录”-“区级集采机构入口”</w:t>
      </w:r>
      <w:r>
        <w:rPr>
          <w:rFonts w:ascii="Times New Roman" w:hAnsi="Times New Roman" w:eastAsia="宋体" w:cs="Times New Roman"/>
          <w:color w:val="auto"/>
        </w:rPr>
        <w:t>下载招标文件。</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供应商注册、CA数字证书（USBKey）领取、电子签章办理办法：</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）首页点击“供应商注册”，填写相关内容。天津市政府采购中心注册窗口联系电话：022-24538316。</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（2）CA数字证书（USBKey）领取及电子签章办理：参见天津市政府采购中心网（</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）--服务指南--供应商注册、领取CA数字证书（USBKey）及电子签章制章的流程。</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电子签章办理联系电话：022-24538316。</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ascii="Times New Roman" w:hAnsi="Times New Roman" w:eastAsia="宋体" w:cs="Times New Roman"/>
          <w:color w:val="auto"/>
        </w:rPr>
        <w:t>日9:00至</w:t>
      </w:r>
      <w:r>
        <w:rPr>
          <w:rFonts w:hint="eastAsia" w:ascii="Times New Roman" w:hAnsi="Times New Roman" w:eastAsia="宋体" w:cs="Times New Roman"/>
          <w:color w:val="auto"/>
        </w:rPr>
        <w:t>2024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日8:30，使用天津市中环认证服务有限公司发出的CA数字证书（原天津市电子认证中心发出尚在有效期内的CA数字</w:t>
      </w:r>
      <w:r>
        <w:rPr>
          <w:rFonts w:ascii="Times New Roman" w:hAnsi="Times New Roman" w:eastAsia="宋体" w:cs="Times New Roman"/>
          <w:color w:val="auto"/>
        </w:rPr>
        <w:t>证书仍可使用）</w:t>
      </w:r>
      <w:r>
        <w:rPr>
          <w:rFonts w:hint="eastAsia" w:ascii="Times New Roman" w:hAnsi="Times New Roman" w:eastAsia="宋体" w:cs="Times New Roman"/>
          <w:color w:val="auto"/>
        </w:rPr>
        <w:t>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）-“网上招投标”-“供应商登录”-“区级集采机构入口”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w:t>
      </w:r>
      <w:r>
        <w:rPr>
          <w:rFonts w:ascii="Times New Roman" w:hAnsi="Times New Roman" w:eastAsia="宋体" w:cs="Times New Roman"/>
          <w:color w:val="auto"/>
        </w:rPr>
        <w:t>间：</w:t>
      </w:r>
      <w:r>
        <w:rPr>
          <w:rFonts w:hint="eastAsia" w:ascii="Times New Roman" w:hAnsi="Times New Roman" w:eastAsia="宋体" w:cs="Times New Roman"/>
          <w:color w:val="auto"/>
        </w:rPr>
        <w:t>2024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n）-“网上招投标”-“供应商登录”-“区级集采机构入口”提交网上应答并上传加盖投标人电子签章的PDF格式电子投标文件（以通过天津公共资源电子签章客户端正确读取签章信息为准）。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w:t>
      </w:r>
      <w:r>
        <w:rPr>
          <w:rFonts w:ascii="Times New Roman" w:hAnsi="Times New Roman" w:eastAsia="宋体" w:cs="Times New Roman"/>
          <w:color w:val="auto"/>
        </w:rPr>
        <w:t>时间：</w:t>
      </w:r>
      <w:r>
        <w:rPr>
          <w:rFonts w:hint="eastAsia" w:ascii="Times New Roman" w:hAnsi="Times New Roman" w:eastAsia="宋体" w:cs="Times New Roman"/>
          <w:color w:val="auto"/>
        </w:rPr>
        <w:t>2024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w:t>
      </w:r>
      <w:r>
        <w:rPr>
          <w:rFonts w:ascii="Times New Roman" w:hAnsi="Times New Roman" w:eastAsia="宋体" w:cs="Times New Roman"/>
          <w:color w:val="auto"/>
        </w:rPr>
        <w:t>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）-“网上招投标”-“供应商登录”-“区级集采机构入口”</w:t>
      </w:r>
      <w:r>
        <w:rPr>
          <w:rFonts w:ascii="Times New Roman" w:hAnsi="Times New Roman" w:eastAsia="宋体" w:cs="Times New Roman"/>
          <w:color w:val="auto"/>
        </w:rPr>
        <w:t>完成开标解密。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w:t>
      </w:r>
      <w:r>
        <w:rPr>
          <w:rFonts w:ascii="Times New Roman" w:hAnsi="Times New Roman" w:eastAsia="宋体" w:cs="Times New Roman"/>
          <w:color w:val="auto"/>
        </w:rPr>
        <w:t>公示时间：</w:t>
      </w:r>
      <w:r>
        <w:rPr>
          <w:rFonts w:hint="eastAsia" w:ascii="Times New Roman" w:hAnsi="Times New Roman" w:eastAsia="宋体" w:cs="Times New Roman"/>
          <w:color w:val="auto"/>
        </w:rPr>
        <w:t>2024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w:t>
      </w:r>
      <w:r>
        <w:rPr>
          <w:rFonts w:hint="eastAsia" w:ascii="Times New Roman" w:hAnsi="Times New Roman" w:eastAsia="宋体" w:cs="Times New Roman"/>
          <w:color w:val="auto"/>
        </w:rPr>
        <w:t>在规定时间内使用天津市中环认证服务有限公司发出的CA数字证书（原天津市电子认证中心发出尚在有效期内的CA数字证书仍可使用）登陆天津市政府采购中心网（网址：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hAnsi="Times New Roman" w:eastAsia="宋体" w:cs="Times New Roman"/>
          <w:color w:val="auto"/>
        </w:rPr>
        <w:t>）-“网上招投标”-“供应商登录”-“区级集采机构入口”自行查看开标信息。</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w:t>
      </w:r>
      <w:r>
        <w:rPr>
          <w:rFonts w:hint="eastAsia" w:ascii="Times New Roman" w:hAnsi="Times New Roman" w:eastAsia="宋体" w:cs="Times New Roman"/>
          <w:color w:val="auto"/>
        </w:rPr>
        <w:t>采购代理机构名称、地址、联系人及联系方式</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（一）采购代理机构名称：天津市滨海新区政府采购中心</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（二）采购代理机构地址：天津市滨海新区塘沽营口道468号</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rPr>
        <w:t>夏冰</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供应商注册、电子签章办理咨询：022-24538316</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采购文件咨询：</w:t>
      </w:r>
      <w:r>
        <w:rPr>
          <w:rFonts w:ascii="Times New Roman" w:hAnsi="Times New Roman" w:eastAsia="宋体" w:cs="Times New Roman"/>
          <w:color w:val="auto"/>
        </w:rPr>
        <w:t>022-</w:t>
      </w:r>
      <w:r>
        <w:rPr>
          <w:rFonts w:hint="eastAsia" w:ascii="Times New Roman" w:hAnsi="Times New Roman" w:eastAsia="宋体" w:cs="Times New Roman"/>
          <w:color w:val="auto"/>
        </w:rPr>
        <w:t>25866107</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 </w:t>
      </w:r>
      <w:r>
        <w:rPr>
          <w:rFonts w:hint="eastAsia" w:ascii="Times New Roman" w:hAnsi="Times New Roman" w:eastAsia="宋体" w:cs="Times New Roman"/>
          <w:color w:val="auto"/>
        </w:rPr>
        <w:t>网上应答操作咨询：</w:t>
      </w:r>
      <w:r>
        <w:rPr>
          <w:rFonts w:ascii="Times New Roman" w:hAnsi="Times New Roman" w:eastAsia="宋体" w:cs="Times New Roman"/>
          <w:color w:val="auto"/>
        </w:rPr>
        <w:t>022-2453</w:t>
      </w:r>
      <w:r>
        <w:rPr>
          <w:rFonts w:hint="eastAsia" w:ascii="Times New Roman" w:hAnsi="Times New Roman" w:eastAsia="宋体" w:cs="Times New Roman"/>
          <w:color w:val="auto"/>
        </w:rPr>
        <w:t>8309</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 </w:t>
      </w:r>
      <w:r>
        <w:rPr>
          <w:rFonts w:hint="eastAsia" w:ascii="Times New Roman" w:hAnsi="Times New Roman" w:eastAsia="宋体" w:cs="Times New Roman"/>
          <w:color w:val="auto"/>
        </w:rPr>
        <w:t>解密操作咨询：</w:t>
      </w:r>
      <w:r>
        <w:rPr>
          <w:rFonts w:ascii="Times New Roman" w:hAnsi="Times New Roman" w:eastAsia="宋体" w:cs="Times New Roman"/>
          <w:color w:val="auto"/>
        </w:rPr>
        <w:t>022-24538309</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（七）邮箱：bhzfzcb@tj.gov.cn</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天津市滨海新区新河街社区卫生服务中心 </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天津市滨海新区河南路8号 </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冉斌 </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022-66680208 </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采购人针对采购文件质疑受理：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1.联系部门：总务科</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2.联系人：孙宝爽 </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3.联系方式：022-66680208 </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4.联系地址：天津市滨海新区河南路8号</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（二）供应商对质疑答复不满意的，或者采购人、天津市滨海新区政府采购中心未在规定期限内作出答复的，供应商可以在质疑答复期满后15个工作日内，向</w:t>
      </w:r>
      <w:r>
        <w:rPr>
          <w:rFonts w:ascii="Times New Roman" w:hAnsi="Times New Roman" w:eastAsia="宋体" w:cs="Times New Roman"/>
          <w:color w:val="auto"/>
        </w:rPr>
        <w:t>天津市</w:t>
      </w:r>
      <w:r>
        <w:rPr>
          <w:rFonts w:hint="eastAsia" w:ascii="Times New Roman" w:hAnsi="Times New Roman" w:eastAsia="宋体" w:cs="Times New Roman"/>
          <w:color w:val="auto"/>
        </w:rPr>
        <w:t>滨海新区</w:t>
      </w:r>
      <w:r>
        <w:rPr>
          <w:rFonts w:ascii="Times New Roman" w:hAnsi="Times New Roman" w:eastAsia="宋体" w:cs="Times New Roman"/>
          <w:color w:val="auto"/>
        </w:rPr>
        <w:t>财政局</w:t>
      </w:r>
      <w:r>
        <w:rPr>
          <w:rFonts w:hint="eastAsia" w:ascii="Times New Roman" w:hAnsi="Times New Roman" w:eastAsia="宋体" w:cs="Times New Roman"/>
          <w:color w:val="auto"/>
        </w:rPr>
        <w:t>政府采购办公室提出投诉，逾期不予受理。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w:t>
      </w:r>
      <w:r>
        <w:rPr>
          <w:rFonts w:ascii="Times New Roman" w:hAnsi="Times New Roman" w:eastAsia="宋体" w:cs="Times New Roman"/>
          <w:color w:val="auto"/>
        </w:rPr>
        <w:t>5个工作日。</w:t>
      </w:r>
    </w:p>
    <w:p>
      <w:pPr>
        <w:pStyle w:val="31"/>
        <w:spacing w:line="360" w:lineRule="auto"/>
        <w:ind w:firstLine="6720" w:firstLineChars="3000"/>
        <w:jc w:val="both"/>
        <w:rPr>
          <w:rFonts w:ascii="Times New Roman" w:hAnsi="Times New Roman" w:eastAsia="宋体"/>
          <w:b/>
          <w:bCs/>
          <w:color w:val="FF0000"/>
          <w:kern w:val="28"/>
          <w:sz w:val="32"/>
          <w:szCs w:val="32"/>
        </w:rPr>
      </w:pPr>
      <w:r>
        <w:rPr>
          <w:rFonts w:hint="eastAsia" w:ascii="Times New Roman" w:hAnsi="Times New Roman" w:eastAsia="宋体" w:cs="Times New Roman"/>
          <w:color w:val="auto"/>
        </w:rPr>
        <w:t>2024</w:t>
      </w:r>
      <w:r>
        <w:rPr>
          <w:rFonts w:ascii="Times New Roman" w:hAnsi="Times New Roman" w:eastAsia="宋体" w:cs="Times New Roman"/>
          <w:color w:val="auto"/>
        </w:rPr>
        <w:t>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15</w:t>
      </w:r>
      <w:r>
        <w:rPr>
          <w:rFonts w:ascii="Times New Roman" w:hAnsi="Times New Roman" w:eastAsia="宋体" w:cs="Times New Roman"/>
          <w:color w:val="auto"/>
        </w:rPr>
        <w:t>日</w:t>
      </w:r>
      <w:r>
        <w:rPr>
          <w:rFonts w:ascii="Times New Roman" w:hAnsi="Times New Roman" w:eastAsia="宋体"/>
          <w:color w:val="FF0000"/>
        </w:rPr>
        <w:br w:type="page"/>
      </w:r>
    </w:p>
    <w:p>
      <w:pPr>
        <w:pStyle w:val="15"/>
        <w:rPr>
          <w:rFonts w:ascii="Times New Roman" w:hAnsi="Times New Roman"/>
        </w:rPr>
      </w:pPr>
      <w:r>
        <w:rPr>
          <w:rFonts w:ascii="Times New Roman" w:hAnsiTheme="minorEastAsia"/>
        </w:rPr>
        <w:t>第二部分招标项目要求</w:t>
      </w:r>
      <w:bookmarkEnd w:id="3"/>
    </w:p>
    <w:p>
      <w:pPr>
        <w:tabs>
          <w:tab w:val="left" w:pos="210"/>
        </w:tabs>
        <w:autoSpaceDE w:val="0"/>
        <w:autoSpaceDN w:val="0"/>
        <w:adjustRightInd w:val="0"/>
        <w:spacing w:line="360" w:lineRule="auto"/>
        <w:ind w:firstLine="448" w:firstLineChars="200"/>
        <w:outlineLvl w:val="0"/>
        <w:rPr>
          <w:sz w:val="24"/>
          <w:szCs w:val="24"/>
        </w:rPr>
      </w:pPr>
      <w:r>
        <w:rPr>
          <w:rFonts w:hAnsiTheme="minorEastAsia"/>
          <w:sz w:val="24"/>
          <w:szCs w:val="24"/>
        </w:rPr>
        <w:t>一、商务要求</w:t>
      </w:r>
    </w:p>
    <w:p>
      <w:pPr>
        <w:autoSpaceDE w:val="0"/>
        <w:autoSpaceDN w:val="0"/>
        <w:adjustRightInd w:val="0"/>
        <w:spacing w:line="360" w:lineRule="auto"/>
        <w:ind w:firstLine="448" w:firstLineChars="200"/>
        <w:rPr>
          <w:sz w:val="24"/>
        </w:rPr>
      </w:pPr>
      <w:r>
        <w:rPr>
          <w:rFonts w:hAnsiTheme="minorEastAsia"/>
          <w:kern w:val="0"/>
          <w:sz w:val="24"/>
          <w:szCs w:val="24"/>
        </w:rPr>
        <w:t>（一）</w:t>
      </w:r>
      <w:r>
        <w:rPr>
          <w:rFonts w:hAnsiTheme="minorEastAsia"/>
          <w:sz w:val="24"/>
        </w:rPr>
        <w:t>报价要求</w:t>
      </w:r>
    </w:p>
    <w:p>
      <w:pPr>
        <w:autoSpaceDE w:val="0"/>
        <w:autoSpaceDN w:val="0"/>
        <w:adjustRightInd w:val="0"/>
        <w:spacing w:line="360" w:lineRule="auto"/>
        <w:ind w:firstLine="448" w:firstLineChars="200"/>
        <w:rPr>
          <w:sz w:val="24"/>
        </w:rPr>
      </w:pPr>
      <w:r>
        <w:rPr>
          <w:sz w:val="24"/>
        </w:rPr>
        <w:t xml:space="preserve">1. </w:t>
      </w:r>
      <w:r>
        <w:rPr>
          <w:rFonts w:hAnsiTheme="minorEastAsia"/>
          <w:sz w:val="24"/>
        </w:rPr>
        <w:t>投标报价以人民币填列。</w:t>
      </w:r>
    </w:p>
    <w:p>
      <w:pPr>
        <w:autoSpaceDE w:val="0"/>
        <w:autoSpaceDN w:val="0"/>
        <w:adjustRightInd w:val="0"/>
        <w:spacing w:line="360" w:lineRule="auto"/>
        <w:ind w:firstLine="448" w:firstLineChars="200"/>
        <w:rPr>
          <w:sz w:val="24"/>
        </w:rPr>
      </w:pPr>
      <w:r>
        <w:rPr>
          <w:sz w:val="24"/>
        </w:rPr>
        <w:t xml:space="preserve">2. </w:t>
      </w:r>
      <w:r>
        <w:rPr>
          <w:rFonts w:hAnsiTheme="minorEastAsia"/>
          <w:sz w:val="24"/>
        </w:rPr>
        <w:t>投标人的报价应包括：人员工资、福利、社险</w:t>
      </w:r>
      <w:r>
        <w:rPr>
          <w:rFonts w:hint="eastAsia" w:hAnsiTheme="minorEastAsia"/>
          <w:sz w:val="24"/>
        </w:rPr>
        <w:t>、住房公积金</w:t>
      </w:r>
      <w:r>
        <w:rPr>
          <w:rFonts w:hAnsiTheme="minorEastAsia"/>
          <w:sz w:val="24"/>
        </w:rPr>
        <w:t>等人工费用、服装费、办公费、企业利润及税金等为完成招标文件规定的一切工作所需的全部费用。投标人所报价格应为最终优惠价格。</w:t>
      </w:r>
    </w:p>
    <w:p>
      <w:pPr>
        <w:spacing w:line="360" w:lineRule="auto"/>
        <w:ind w:firstLine="448" w:firstLineChars="200"/>
        <w:rPr>
          <w:kern w:val="0"/>
          <w:sz w:val="24"/>
          <w:szCs w:val="24"/>
        </w:rPr>
      </w:pPr>
      <w:r>
        <w:rPr>
          <w:rFonts w:hint="eastAsia"/>
          <w:kern w:val="0"/>
          <w:sz w:val="24"/>
          <w:szCs w:val="24"/>
        </w:rPr>
        <w:t>3.</w:t>
      </w:r>
      <w:r>
        <w:rPr>
          <w:rFonts w:hAnsiTheme="minorEastAsia"/>
          <w:sz w:val="24"/>
        </w:rPr>
        <w:t>验收相关费用由投标人负责。</w:t>
      </w:r>
    </w:p>
    <w:p>
      <w:pPr>
        <w:autoSpaceDE w:val="0"/>
        <w:autoSpaceDN w:val="0"/>
        <w:adjustRightInd w:val="0"/>
        <w:spacing w:line="360" w:lineRule="auto"/>
        <w:ind w:firstLine="448" w:firstLineChars="200"/>
        <w:rPr>
          <w:sz w:val="24"/>
        </w:rPr>
      </w:pPr>
      <w:r>
        <w:rPr>
          <w:rFonts w:hAnsiTheme="minorEastAsia"/>
          <w:sz w:val="24"/>
        </w:rPr>
        <w:t>（</w:t>
      </w:r>
      <w:r>
        <w:rPr>
          <w:rFonts w:hint="eastAsia" w:hAnsiTheme="minorEastAsia"/>
          <w:sz w:val="24"/>
        </w:rPr>
        <w:t>二</w:t>
      </w:r>
      <w:r>
        <w:rPr>
          <w:rFonts w:hAnsiTheme="minorEastAsia"/>
          <w:sz w:val="24"/>
        </w:rPr>
        <w:t>）时间、地点要求</w:t>
      </w:r>
    </w:p>
    <w:p>
      <w:pPr>
        <w:autoSpaceDE w:val="0"/>
        <w:autoSpaceDN w:val="0"/>
        <w:adjustRightInd w:val="0"/>
        <w:spacing w:line="360" w:lineRule="auto"/>
        <w:ind w:firstLine="448" w:firstLineChars="200"/>
        <w:rPr>
          <w:sz w:val="24"/>
        </w:rPr>
      </w:pPr>
      <w:r>
        <w:rPr>
          <w:sz w:val="24"/>
        </w:rPr>
        <w:t xml:space="preserve">1. </w:t>
      </w:r>
      <w:r>
        <w:rPr>
          <w:rFonts w:hAnsiTheme="minorEastAsia"/>
          <w:sz w:val="24"/>
        </w:rPr>
        <w:t>时间要求</w:t>
      </w:r>
      <w:r>
        <w:rPr>
          <w:rFonts w:hint="eastAsia" w:hAnsiTheme="minorEastAsia"/>
          <w:sz w:val="24"/>
        </w:rPr>
        <w:t>：合同规定的服务起始之日起12个月的服务期</w:t>
      </w:r>
      <w:r>
        <w:rPr>
          <w:rFonts w:hAnsiTheme="minorEastAsia"/>
          <w:sz w:val="24"/>
        </w:rPr>
        <w:t>（特殊情况以合同为准）。</w:t>
      </w:r>
    </w:p>
    <w:p>
      <w:pPr>
        <w:autoSpaceDE w:val="0"/>
        <w:autoSpaceDN w:val="0"/>
        <w:adjustRightInd w:val="0"/>
        <w:spacing w:line="360" w:lineRule="auto"/>
        <w:ind w:firstLine="448" w:firstLineChars="200"/>
        <w:rPr>
          <w:sz w:val="24"/>
        </w:rPr>
      </w:pPr>
      <w:r>
        <w:rPr>
          <w:sz w:val="24"/>
        </w:rPr>
        <w:t xml:space="preserve">2. </w:t>
      </w:r>
      <w:r>
        <w:rPr>
          <w:rFonts w:hAnsiTheme="minorEastAsia"/>
          <w:sz w:val="24"/>
        </w:rPr>
        <w:t>服务地点</w:t>
      </w:r>
      <w:r>
        <w:rPr>
          <w:rFonts w:hint="eastAsia" w:hAnsiTheme="minorEastAsia"/>
          <w:sz w:val="24"/>
        </w:rPr>
        <w:t>：天津市滨海新区塘沽河南路8号</w:t>
      </w:r>
      <w:r>
        <w:rPr>
          <w:rFonts w:hAnsiTheme="minorEastAsia"/>
          <w:sz w:val="24"/>
        </w:rPr>
        <w:t>（特殊情况以合同为准）。</w:t>
      </w:r>
    </w:p>
    <w:p>
      <w:pPr>
        <w:autoSpaceDE w:val="0"/>
        <w:autoSpaceDN w:val="0"/>
        <w:adjustRightInd w:val="0"/>
        <w:spacing w:line="360" w:lineRule="auto"/>
        <w:ind w:firstLine="448" w:firstLineChars="200"/>
        <w:rPr>
          <w:sz w:val="24"/>
        </w:rPr>
      </w:pPr>
      <w:r>
        <w:rPr>
          <w:rFonts w:hAnsiTheme="minorEastAsia"/>
          <w:sz w:val="24"/>
        </w:rPr>
        <w:t>（</w:t>
      </w:r>
      <w:r>
        <w:rPr>
          <w:rFonts w:hint="eastAsia" w:hAnsiTheme="minorEastAsia"/>
          <w:sz w:val="24"/>
        </w:rPr>
        <w:t>三</w:t>
      </w:r>
      <w:r>
        <w:rPr>
          <w:rFonts w:hAnsiTheme="minorEastAsia"/>
          <w:sz w:val="24"/>
        </w:rPr>
        <w:t>）付款方式</w:t>
      </w:r>
    </w:p>
    <w:p>
      <w:pPr>
        <w:autoSpaceDE w:val="0"/>
        <w:autoSpaceDN w:val="0"/>
        <w:adjustRightInd w:val="0"/>
        <w:spacing w:line="360" w:lineRule="auto"/>
        <w:ind w:firstLine="448" w:firstLineChars="200"/>
        <w:rPr>
          <w:sz w:val="24"/>
        </w:rPr>
      </w:pPr>
      <w:r>
        <w:rPr>
          <w:rFonts w:hint="eastAsia" w:hAnsiTheme="minorEastAsia"/>
          <w:sz w:val="24"/>
        </w:rPr>
        <w:t>按季度付款，每季度完毕下月15日前支付上一季度服务费（特殊情况以合同为准）。</w:t>
      </w:r>
    </w:p>
    <w:p>
      <w:pPr>
        <w:autoSpaceDE w:val="0"/>
        <w:autoSpaceDN w:val="0"/>
        <w:adjustRightInd w:val="0"/>
        <w:spacing w:line="360" w:lineRule="auto"/>
        <w:ind w:firstLine="448" w:firstLineChars="200"/>
        <w:rPr>
          <w:sz w:val="24"/>
        </w:rPr>
      </w:pPr>
      <w:r>
        <w:rPr>
          <w:rFonts w:hAnsiTheme="minorEastAsia"/>
          <w:sz w:val="24"/>
        </w:rPr>
        <w:t>（</w:t>
      </w:r>
      <w:r>
        <w:rPr>
          <w:rFonts w:hint="eastAsia" w:hAnsiTheme="minorEastAsia"/>
          <w:sz w:val="24"/>
        </w:rPr>
        <w:t>四</w:t>
      </w:r>
      <w:r>
        <w:rPr>
          <w:rFonts w:hAnsiTheme="minorEastAsia"/>
          <w:sz w:val="24"/>
        </w:rPr>
        <w:t>）投标保证金和履约保证金</w:t>
      </w:r>
    </w:p>
    <w:p>
      <w:pPr>
        <w:autoSpaceDE w:val="0"/>
        <w:autoSpaceDN w:val="0"/>
        <w:adjustRightInd w:val="0"/>
        <w:spacing w:line="360" w:lineRule="auto"/>
        <w:ind w:firstLine="448" w:firstLineChars="200"/>
        <w:rPr>
          <w:sz w:val="24"/>
        </w:rPr>
      </w:pPr>
      <w:r>
        <w:rPr>
          <w:rFonts w:hAnsiTheme="minorEastAsia"/>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rFonts w:hAnsiTheme="minorEastAsia"/>
          <w:sz w:val="24"/>
        </w:rPr>
        <w:t>二</w:t>
      </w:r>
      <w:r>
        <w:rPr>
          <w:rFonts w:hAnsiTheme="minorEastAsia"/>
          <w:bCs/>
          <w:sz w:val="24"/>
        </w:rPr>
        <w:t>、技术要求</w:t>
      </w:r>
    </w:p>
    <w:p>
      <w:pPr>
        <w:spacing w:line="360" w:lineRule="auto"/>
        <w:ind w:firstLine="448" w:firstLineChars="200"/>
        <w:outlineLvl w:val="0"/>
        <w:rPr>
          <w:sz w:val="24"/>
        </w:rPr>
      </w:pPr>
      <w:r>
        <w:rPr>
          <w:rFonts w:hint="eastAsia" w:hAnsiTheme="minorEastAsia"/>
          <w:sz w:val="24"/>
        </w:rPr>
        <w:t>★</w:t>
      </w:r>
      <w:r>
        <w:rPr>
          <w:rFonts w:hAnsiTheme="minorEastAsia"/>
          <w:sz w:val="24"/>
        </w:rPr>
        <w:t>（一）投标人须承诺所提供的服务、人员</w:t>
      </w:r>
      <w:r>
        <w:rPr>
          <w:rFonts w:hint="eastAsia" w:hAnsiTheme="minorEastAsia"/>
          <w:sz w:val="24"/>
        </w:rPr>
        <w:t>、</w:t>
      </w:r>
      <w:r>
        <w:rPr>
          <w:rFonts w:hAnsiTheme="minorEastAsia"/>
          <w:sz w:val="24"/>
        </w:rPr>
        <w:t>设备</w:t>
      </w:r>
      <w:r>
        <w:rPr>
          <w:rFonts w:hint="eastAsia" w:hAnsiTheme="minorEastAsia"/>
          <w:sz w:val="24"/>
        </w:rPr>
        <w:t>及耗材等均</w:t>
      </w:r>
      <w:r>
        <w:rPr>
          <w:rFonts w:hAnsiTheme="minorEastAsia"/>
          <w:sz w:val="24"/>
        </w:rPr>
        <w:t>符合相关强制性规定。</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w:t>
      </w:r>
      <w:r>
        <w:rPr>
          <w:rFonts w:hAnsiTheme="minorEastAsia"/>
          <w:color w:val="000000"/>
          <w:sz w:val="24"/>
        </w:rPr>
        <w:t>（二）</w:t>
      </w:r>
      <w:r>
        <w:rPr>
          <w:rFonts w:hAnsiTheme="minorEastAsia"/>
          <w:sz w:val="24"/>
        </w:rPr>
        <w:t>投标人须承诺</w:t>
      </w:r>
      <w:r>
        <w:rPr>
          <w:rFonts w:hint="eastAsia" w:hAnsiTheme="minorEastAsia"/>
          <w:sz w:val="24"/>
        </w:rPr>
        <w:t>一旦中标，</w:t>
      </w:r>
      <w:r>
        <w:rPr>
          <w:rFonts w:hAnsiTheme="minorEastAsia"/>
          <w:color w:val="000000"/>
          <w:sz w:val="24"/>
        </w:rPr>
        <w:t>根据《中华人民共和国劳动合同法》及其他法律法规的要求与服务人员签订</w:t>
      </w:r>
      <w:r>
        <w:rPr>
          <w:rFonts w:hint="eastAsia" w:hAnsiTheme="minorEastAsia"/>
          <w:color w:val="000000"/>
          <w:sz w:val="24"/>
        </w:rPr>
        <w:t>劳动</w:t>
      </w:r>
      <w:r>
        <w:rPr>
          <w:rFonts w:hAnsiTheme="minorEastAsia"/>
          <w:color w:val="000000"/>
          <w:sz w:val="24"/>
        </w:rPr>
        <w:t>合同</w:t>
      </w:r>
      <w:r>
        <w:rPr>
          <w:rFonts w:hint="eastAsia" w:hAnsiTheme="minorEastAsia"/>
          <w:color w:val="000000"/>
          <w:sz w:val="24"/>
        </w:rPr>
        <w:t>，按国家及天津市相关政策规定，支付工资、加班费和福利费、</w:t>
      </w:r>
      <w:r>
        <w:rPr>
          <w:rFonts w:hAnsiTheme="minorEastAsia"/>
          <w:color w:val="000000"/>
          <w:sz w:val="24"/>
        </w:rPr>
        <w:t>缴纳社会保险</w:t>
      </w:r>
      <w:r>
        <w:rPr>
          <w:rFonts w:hint="eastAsia" w:hAnsiTheme="minorEastAsia"/>
          <w:color w:val="000000"/>
          <w:sz w:val="24"/>
        </w:rPr>
        <w:t>及住房公积金等</w:t>
      </w:r>
      <w:r>
        <w:rPr>
          <w:rFonts w:hAnsiTheme="minorEastAsia"/>
          <w:color w:val="000000"/>
          <w:sz w:val="24"/>
        </w:rPr>
        <w:t>。</w:t>
      </w:r>
    </w:p>
    <w:p>
      <w:pPr>
        <w:autoSpaceDE w:val="0"/>
        <w:autoSpaceDN w:val="0"/>
        <w:adjustRightInd w:val="0"/>
        <w:spacing w:line="360" w:lineRule="auto"/>
        <w:ind w:firstLine="448" w:firstLineChars="200"/>
        <w:rPr>
          <w:color w:val="000000"/>
          <w:sz w:val="24"/>
        </w:rPr>
      </w:pPr>
      <w:r>
        <w:rPr>
          <w:rFonts w:hint="eastAsia" w:hAnsiTheme="minorEastAsia"/>
          <w:color w:val="000000"/>
          <w:sz w:val="24"/>
        </w:rPr>
        <w:t>★</w:t>
      </w:r>
      <w:r>
        <w:rPr>
          <w:rFonts w:hAnsiTheme="minorEastAsia"/>
          <w:color w:val="000000"/>
          <w:sz w:val="24"/>
        </w:rPr>
        <w:t>（三）</w:t>
      </w:r>
      <w:r>
        <w:rPr>
          <w:rFonts w:hAnsiTheme="minorEastAsia"/>
          <w:sz w:val="24"/>
        </w:rPr>
        <w:t>投标人须承诺</w:t>
      </w:r>
      <w:r>
        <w:rPr>
          <w:rFonts w:hint="eastAsia" w:hAnsiTheme="minorEastAsia"/>
          <w:color w:val="000000"/>
          <w:sz w:val="24"/>
        </w:rPr>
        <w:t>相应专业</w:t>
      </w:r>
      <w:r>
        <w:rPr>
          <w:rFonts w:hAnsiTheme="minorEastAsia"/>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rFonts w:hAnsiTheme="minorEastAsia"/>
          <w:sz w:val="24"/>
        </w:rPr>
        <w:t>（四）具体需求详见本部分项目需求书。</w:t>
      </w:r>
    </w:p>
    <w:p>
      <w:pPr>
        <w:spacing w:line="360" w:lineRule="auto"/>
        <w:ind w:firstLine="448" w:firstLineChars="200"/>
        <w:outlineLvl w:val="0"/>
        <w:rPr>
          <w:sz w:val="24"/>
        </w:rPr>
      </w:pPr>
      <w:r>
        <w:rPr>
          <w:rFonts w:hAnsiTheme="minorEastAsia"/>
          <w:sz w:val="24"/>
        </w:rPr>
        <w:t>三、评分因素及评标标准</w:t>
      </w:r>
    </w:p>
    <w:tbl>
      <w:tblPr>
        <w:tblStyle w:val="19"/>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pPr>
              <w:widowControl/>
              <w:adjustRightInd w:val="0"/>
              <w:snapToGrid w:val="0"/>
              <w:spacing w:line="360" w:lineRule="auto"/>
              <w:jc w:val="center"/>
              <w:rPr>
                <w:kern w:val="0"/>
                <w:sz w:val="24"/>
                <w:szCs w:val="24"/>
              </w:rPr>
            </w:pPr>
            <w:r>
              <w:rPr>
                <w:kern w:val="0"/>
                <w:sz w:val="24"/>
                <w:szCs w:val="24"/>
              </w:rPr>
              <w:t>第一部分 价格（20分）</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1</w:t>
            </w:r>
          </w:p>
        </w:tc>
        <w:tc>
          <w:tcPr>
            <w:tcW w:w="1419" w:type="dxa"/>
            <w:vAlign w:val="center"/>
          </w:tcPr>
          <w:p>
            <w:pPr>
              <w:widowControl/>
              <w:adjustRightInd w:val="0"/>
              <w:snapToGrid w:val="0"/>
              <w:spacing w:line="360" w:lineRule="auto"/>
              <w:jc w:val="center"/>
              <w:rPr>
                <w:kern w:val="0"/>
                <w:sz w:val="24"/>
                <w:szCs w:val="24"/>
              </w:rPr>
            </w:pPr>
            <w:r>
              <w:rPr>
                <w:kern w:val="0"/>
                <w:sz w:val="24"/>
                <w:szCs w:val="24"/>
              </w:rPr>
              <w:t>价格</w:t>
            </w:r>
          </w:p>
        </w:tc>
        <w:tc>
          <w:tcPr>
            <w:tcW w:w="7311" w:type="dxa"/>
            <w:vAlign w:val="center"/>
          </w:tcPr>
          <w:p>
            <w:pPr>
              <w:widowControl/>
              <w:adjustRightInd w:val="0"/>
              <w:snapToGrid w:val="0"/>
              <w:spacing w:line="360" w:lineRule="auto"/>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spacing w:line="360" w:lineRule="auto"/>
              <w:rPr>
                <w:kern w:val="0"/>
                <w:sz w:val="24"/>
                <w:szCs w:val="24"/>
              </w:rPr>
            </w:pPr>
            <w:r>
              <w:rPr>
                <w:kern w:val="0"/>
                <w:sz w:val="24"/>
                <w:szCs w:val="24"/>
              </w:rPr>
              <w:t>（2）投标报价得分=（评标基准价/投标报价）×20</w:t>
            </w:r>
          </w:p>
          <w:p>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noWrap/>
            <w:vAlign w:val="center"/>
          </w:tcPr>
          <w:p>
            <w:pPr>
              <w:widowControl/>
              <w:adjustRightInd w:val="0"/>
              <w:snapToGrid w:val="0"/>
              <w:spacing w:line="360" w:lineRule="auto"/>
              <w:jc w:val="center"/>
              <w:rPr>
                <w:kern w:val="0"/>
                <w:sz w:val="24"/>
                <w:szCs w:val="24"/>
              </w:rPr>
            </w:pPr>
            <w:r>
              <w:rPr>
                <w:kern w:val="0"/>
                <w:sz w:val="24"/>
                <w:szCs w:val="24"/>
              </w:rPr>
              <w:t>第二部分 客观分（</w:t>
            </w:r>
            <w:r>
              <w:rPr>
                <w:rFonts w:hint="eastAsia"/>
                <w:kern w:val="0"/>
                <w:sz w:val="24"/>
                <w:szCs w:val="24"/>
              </w:rPr>
              <w:t>47</w:t>
            </w:r>
            <w:r>
              <w:rPr>
                <w:kern w:val="0"/>
                <w:sz w:val="24"/>
                <w:szCs w:val="24"/>
              </w:rPr>
              <w:t>分）</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1</w:t>
            </w:r>
          </w:p>
        </w:tc>
        <w:tc>
          <w:tcPr>
            <w:tcW w:w="1419" w:type="dxa"/>
            <w:vAlign w:val="center"/>
          </w:tcPr>
          <w:p>
            <w:pPr>
              <w:widowControl/>
              <w:adjustRightInd w:val="0"/>
              <w:snapToGrid w:val="0"/>
              <w:spacing w:line="360" w:lineRule="auto"/>
              <w:jc w:val="center"/>
              <w:rPr>
                <w:kern w:val="0"/>
                <w:sz w:val="24"/>
                <w:szCs w:val="24"/>
              </w:rPr>
            </w:pPr>
            <w:r>
              <w:rPr>
                <w:kern w:val="0"/>
                <w:sz w:val="24"/>
                <w:szCs w:val="24"/>
              </w:rPr>
              <w:t>投标人业绩</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pPr>
              <w:widowControl/>
              <w:adjustRightInd w:val="0"/>
              <w:snapToGrid w:val="0"/>
              <w:spacing w:line="360" w:lineRule="auto"/>
              <w:rPr>
                <w:kern w:val="0"/>
                <w:sz w:val="24"/>
                <w:szCs w:val="24"/>
              </w:rPr>
            </w:pPr>
            <w:r>
              <w:rPr>
                <w:rFonts w:hint="eastAsia"/>
                <w:kern w:val="0"/>
                <w:sz w:val="24"/>
                <w:szCs w:val="24"/>
              </w:rPr>
              <w:t>A. 合同原件扫描件。包括合同金额、买卖双方名称及盖章、物业服务期限（合同服务起始日期为2021年1月1日或以后，且已经履行至少1年的时间）、物业服务内容（须同时包含保洁服务、秩序维护服务、消控服务）。</w:t>
            </w:r>
          </w:p>
          <w:p>
            <w:pPr>
              <w:widowControl/>
              <w:adjustRightInd w:val="0"/>
              <w:snapToGrid w:val="0"/>
              <w:spacing w:line="360" w:lineRule="auto"/>
              <w:rPr>
                <w:kern w:val="0"/>
                <w:sz w:val="24"/>
                <w:szCs w:val="24"/>
              </w:rPr>
            </w:pPr>
            <w:r>
              <w:rPr>
                <w:rFonts w:hint="eastAsia"/>
                <w:kern w:val="0"/>
                <w:sz w:val="24"/>
                <w:szCs w:val="24"/>
              </w:rPr>
              <w:t>B.上述合同履行良好的相关证明材料原件扫描件（加盖上述合同甲方单位公章或上述合同中的甲方印章）。</w:t>
            </w:r>
          </w:p>
          <w:p>
            <w:pPr>
              <w:widowControl/>
              <w:adjustRightInd w:val="0"/>
              <w:snapToGrid w:val="0"/>
              <w:spacing w:line="360" w:lineRule="auto"/>
              <w:rPr>
                <w:kern w:val="0"/>
                <w:sz w:val="24"/>
                <w:szCs w:val="24"/>
              </w:rPr>
            </w:pPr>
            <w:r>
              <w:rPr>
                <w:rFonts w:hint="eastAsia"/>
                <w:kern w:val="0"/>
                <w:sz w:val="24"/>
                <w:szCs w:val="24"/>
              </w:rPr>
              <w:t>每个业绩2分，最多10分</w:t>
            </w:r>
          </w:p>
          <w:p>
            <w:pPr>
              <w:widowControl/>
              <w:adjustRightInd w:val="0"/>
              <w:snapToGrid w:val="0"/>
              <w:spacing w:line="360" w:lineRule="auto"/>
              <w:rPr>
                <w:kern w:val="0"/>
                <w:sz w:val="24"/>
                <w:szCs w:val="24"/>
              </w:rPr>
            </w:pPr>
            <w:r>
              <w:rPr>
                <w:rFonts w:hint="eastAsia"/>
                <w:kern w:val="0"/>
                <w:sz w:val="24"/>
                <w:szCs w:val="24"/>
              </w:rPr>
              <w:t>注：如投标人提供的业绩为同一甲方单位的业绩，则不重复享受得分。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2</w:t>
            </w:r>
          </w:p>
        </w:tc>
        <w:tc>
          <w:tcPr>
            <w:tcW w:w="1419" w:type="dxa"/>
            <w:vAlign w:val="center"/>
          </w:tcPr>
          <w:p>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pPr>
              <w:widowControl/>
              <w:adjustRightInd w:val="0"/>
              <w:snapToGrid w:val="0"/>
              <w:spacing w:line="360" w:lineRule="auto"/>
              <w:rPr>
                <w:kern w:val="0"/>
                <w:sz w:val="24"/>
                <w:szCs w:val="24"/>
              </w:rPr>
            </w:pPr>
            <w:r>
              <w:rPr>
                <w:rFonts w:hint="eastAsia"/>
                <w:kern w:val="0"/>
                <w:sz w:val="24"/>
                <w:szCs w:val="24"/>
              </w:rPr>
              <w:t>具备1个证书得1分，最高3分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3</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（1）承诺全部物业人员均满足项目需求书人员岗位要求且身体健康得12分，否则0分。</w:t>
            </w:r>
          </w:p>
          <w:p>
            <w:pPr>
              <w:widowControl/>
              <w:adjustRightInd w:val="0"/>
              <w:snapToGrid w:val="0"/>
              <w:spacing w:line="360" w:lineRule="auto"/>
              <w:rPr>
                <w:kern w:val="0"/>
                <w:sz w:val="24"/>
                <w:szCs w:val="24"/>
              </w:rPr>
            </w:pPr>
            <w:r>
              <w:rPr>
                <w:rFonts w:hint="eastAsia"/>
                <w:kern w:val="0"/>
                <w:sz w:val="24"/>
                <w:szCs w:val="24"/>
              </w:rPr>
              <w:t>（2）外围保洁、医废收集人员：拟投入本项目的外围保洁、医废收集人员同时具备《天津市医疗废物管理培训合格证》和卫生防疫部门或医疗机构颁发的健康证，且提供上述人员上述双证书扫描件，每个提供合格的双证书扫描件的上述人员得2分，最多6分；</w:t>
            </w:r>
          </w:p>
          <w:p>
            <w:pPr>
              <w:widowControl/>
              <w:adjustRightInd w:val="0"/>
              <w:snapToGrid w:val="0"/>
              <w:spacing w:line="360" w:lineRule="auto"/>
              <w:rPr>
                <w:kern w:val="0"/>
                <w:sz w:val="24"/>
                <w:szCs w:val="24"/>
              </w:rPr>
            </w:pPr>
            <w:r>
              <w:rPr>
                <w:rFonts w:hint="eastAsia"/>
                <w:kern w:val="0"/>
                <w:sz w:val="24"/>
                <w:szCs w:val="24"/>
              </w:rPr>
              <w:t>（3）消控岗秩序员：拟投入本项目的消控岗秩序员具备《职业资格证书（建（构）筑物消防员）或消防设施操作员》，且提供上述人员上述证书扫描件，每个提供合格的证书扫描件的上述人员得2分，最多6分；</w:t>
            </w:r>
          </w:p>
          <w:p>
            <w:pPr>
              <w:widowControl/>
              <w:adjustRightInd w:val="0"/>
              <w:snapToGrid w:val="0"/>
              <w:spacing w:line="360" w:lineRule="auto"/>
              <w:rPr>
                <w:kern w:val="0"/>
                <w:sz w:val="24"/>
                <w:szCs w:val="24"/>
              </w:rPr>
            </w:pPr>
            <w:r>
              <w:rPr>
                <w:rFonts w:hint="eastAsia"/>
                <w:kern w:val="0"/>
                <w:sz w:val="24"/>
                <w:szCs w:val="24"/>
              </w:rPr>
              <w:t>（4）秩序员：拟投入本项目的秩序员具备公安机关盖章的保安员证，且提供上述人员上述证书扫描件，每个提供合格的证书扫描件的上述人员得2分，最多6分。</w:t>
            </w:r>
          </w:p>
        </w:tc>
        <w:tc>
          <w:tcPr>
            <w:tcW w:w="1143" w:type="dxa"/>
            <w:vAlign w:val="center"/>
          </w:tcPr>
          <w:p>
            <w:pPr>
              <w:widowControl/>
              <w:adjustRightInd w:val="0"/>
              <w:snapToGrid w:val="0"/>
              <w:spacing w:line="360" w:lineRule="auto"/>
              <w:jc w:val="center"/>
              <w:rPr>
                <w:color w:val="FF0000"/>
                <w:kern w:val="0"/>
                <w:sz w:val="24"/>
                <w:szCs w:val="24"/>
              </w:rPr>
            </w:pPr>
            <w:r>
              <w:rPr>
                <w:rFonts w:hint="eastAsia"/>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4</w:t>
            </w:r>
          </w:p>
        </w:tc>
        <w:tc>
          <w:tcPr>
            <w:tcW w:w="1419" w:type="dxa"/>
            <w:vAlign w:val="center"/>
          </w:tcPr>
          <w:p>
            <w:pPr>
              <w:widowControl/>
              <w:adjustRightInd w:val="0"/>
              <w:snapToGrid w:val="0"/>
              <w:spacing w:line="360" w:lineRule="auto"/>
              <w:jc w:val="center"/>
              <w:rPr>
                <w:kern w:val="0"/>
                <w:sz w:val="24"/>
                <w:szCs w:val="24"/>
              </w:rPr>
            </w:pPr>
            <w:r>
              <w:rPr>
                <w:sz w:val="24"/>
              </w:rPr>
              <w:t>人员培训方案</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pPr>
              <w:widowControl/>
              <w:adjustRightInd w:val="0"/>
              <w:snapToGrid w:val="0"/>
              <w:spacing w:line="360" w:lineRule="auto"/>
              <w:rPr>
                <w:kern w:val="0"/>
                <w:sz w:val="24"/>
                <w:szCs w:val="24"/>
              </w:rPr>
            </w:pPr>
            <w:r>
              <w:rPr>
                <w:rFonts w:hint="eastAsia"/>
                <w:kern w:val="0"/>
                <w:sz w:val="24"/>
                <w:szCs w:val="24"/>
              </w:rPr>
              <w:t>每提供上述1项内容的得0.5分，最多3分。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5</w:t>
            </w:r>
          </w:p>
        </w:tc>
        <w:tc>
          <w:tcPr>
            <w:tcW w:w="1419" w:type="dxa"/>
            <w:vAlign w:val="center"/>
          </w:tcPr>
          <w:p>
            <w:pPr>
              <w:widowControl/>
              <w:adjustRightInd w:val="0"/>
              <w:snapToGrid w:val="0"/>
              <w:spacing w:line="360" w:lineRule="auto"/>
              <w:jc w:val="center"/>
              <w:rPr>
                <w:sz w:val="24"/>
              </w:rPr>
            </w:pPr>
            <w:r>
              <w:rPr>
                <w:rFonts w:hint="eastAsia"/>
                <w:kern w:val="0"/>
                <w:sz w:val="24"/>
                <w:szCs w:val="24"/>
              </w:rPr>
              <w:t>保洁耗材评价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noWrap/>
            <w:vAlign w:val="center"/>
          </w:tcPr>
          <w:p>
            <w:pPr>
              <w:widowControl/>
              <w:adjustRightInd w:val="0"/>
              <w:snapToGrid w:val="0"/>
              <w:spacing w:line="360" w:lineRule="auto"/>
              <w:jc w:val="center"/>
              <w:rPr>
                <w:kern w:val="0"/>
                <w:sz w:val="24"/>
                <w:szCs w:val="24"/>
              </w:rPr>
            </w:pPr>
            <w:r>
              <w:rPr>
                <w:kern w:val="0"/>
                <w:sz w:val="24"/>
                <w:szCs w:val="24"/>
              </w:rPr>
              <w:t>第三部分 主观分（</w:t>
            </w:r>
            <w:r>
              <w:rPr>
                <w:rFonts w:hint="eastAsia"/>
                <w:kern w:val="0"/>
                <w:sz w:val="24"/>
                <w:szCs w:val="24"/>
              </w:rPr>
              <w:t>33</w:t>
            </w:r>
            <w:r>
              <w:rPr>
                <w:kern w:val="0"/>
                <w:sz w:val="24"/>
                <w:szCs w:val="24"/>
              </w:rPr>
              <w:t>分）</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1</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针对本项目特点的人员、岗位配置方案评价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人员配置方案满足招标文件要求，内容无瑕疵：5分；</w:t>
            </w:r>
          </w:p>
          <w:p>
            <w:pPr>
              <w:widowControl/>
              <w:adjustRightInd w:val="0"/>
              <w:snapToGrid w:val="0"/>
              <w:spacing w:line="360" w:lineRule="auto"/>
              <w:rPr>
                <w:kern w:val="0"/>
                <w:sz w:val="24"/>
                <w:szCs w:val="24"/>
              </w:rPr>
            </w:pPr>
            <w:r>
              <w:rPr>
                <w:rFonts w:hint="eastAsia"/>
                <w:kern w:val="0"/>
                <w:sz w:val="24"/>
                <w:szCs w:val="24"/>
              </w:rPr>
              <w:t>人员配置方案满足招标文件要求，但内容存在1处瑕疵：4分；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人员配置方案满足招标文件要求，但内容存在2处瑕疵：3分；</w:t>
            </w:r>
          </w:p>
          <w:p>
            <w:pPr>
              <w:widowControl/>
              <w:adjustRightInd w:val="0"/>
              <w:snapToGrid w:val="0"/>
              <w:spacing w:line="360" w:lineRule="auto"/>
              <w:rPr>
                <w:color w:val="FF0000"/>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2</w:t>
            </w:r>
          </w:p>
        </w:tc>
        <w:tc>
          <w:tcPr>
            <w:tcW w:w="1419" w:type="dxa"/>
            <w:vAlign w:val="center"/>
          </w:tcPr>
          <w:p>
            <w:pPr>
              <w:widowControl/>
              <w:adjustRightInd w:val="0"/>
              <w:snapToGrid w:val="0"/>
              <w:spacing w:line="360" w:lineRule="auto"/>
              <w:jc w:val="center"/>
              <w:rPr>
                <w:kern w:val="0"/>
                <w:sz w:val="24"/>
                <w:szCs w:val="24"/>
              </w:rPr>
            </w:pPr>
            <w:r>
              <w:rPr>
                <w:rFonts w:hint="eastAsia"/>
                <w:color w:val="000000" w:themeColor="text1"/>
                <w:kern w:val="0"/>
                <w:sz w:val="24"/>
                <w:szCs w:val="24"/>
              </w:rPr>
              <w:t>针对本项目特点的专业化管理方案评价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方案满足招标文件要求，内容无瑕疵：5分；</w:t>
            </w:r>
          </w:p>
          <w:p>
            <w:pPr>
              <w:widowControl/>
              <w:adjustRightInd w:val="0"/>
              <w:snapToGrid w:val="0"/>
              <w:spacing w:line="360" w:lineRule="auto"/>
              <w:rPr>
                <w:kern w:val="0"/>
                <w:sz w:val="24"/>
                <w:szCs w:val="24"/>
              </w:rPr>
            </w:pPr>
            <w:r>
              <w:rPr>
                <w:rFonts w:hint="eastAsia"/>
                <w:kern w:val="0"/>
                <w:sz w:val="24"/>
                <w:szCs w:val="24"/>
              </w:rPr>
              <w:t>方案满足招标文件要求，但内容存在1处瑕疵：4分；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方案满足招标文件要求，但内容存在2处瑕疵：3分；</w:t>
            </w:r>
          </w:p>
          <w:p>
            <w:pPr>
              <w:widowControl/>
              <w:adjustRightInd w:val="0"/>
              <w:snapToGrid w:val="0"/>
              <w:spacing w:line="360" w:lineRule="auto"/>
              <w:rPr>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pPr>
              <w:widowControl/>
              <w:adjustRightInd w:val="0"/>
              <w:snapToGrid w:val="0"/>
              <w:spacing w:line="360" w:lineRule="auto"/>
              <w:jc w:val="center"/>
              <w:rPr>
                <w:kern w:val="0"/>
                <w:sz w:val="24"/>
                <w:szCs w:val="24"/>
              </w:rPr>
            </w:pPr>
            <w:r>
              <w:rPr>
                <w:kern w:val="0"/>
                <w:sz w:val="24"/>
                <w:szCs w:val="24"/>
              </w:rPr>
              <w:t>3</w:t>
            </w:r>
          </w:p>
        </w:tc>
        <w:tc>
          <w:tcPr>
            <w:tcW w:w="1419" w:type="dxa"/>
            <w:vAlign w:val="center"/>
          </w:tcPr>
          <w:p>
            <w:pPr>
              <w:widowControl/>
              <w:adjustRightInd w:val="0"/>
              <w:snapToGrid w:val="0"/>
              <w:spacing w:line="360" w:lineRule="auto"/>
              <w:jc w:val="center"/>
              <w:rPr>
                <w:kern w:val="0"/>
                <w:sz w:val="24"/>
                <w:szCs w:val="24"/>
              </w:rPr>
            </w:pPr>
            <w:r>
              <w:rPr>
                <w:rFonts w:hint="eastAsia"/>
                <w:sz w:val="24"/>
              </w:rPr>
              <w:t>针对本项目特点的重点、难点的理解评价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理解满足招标文件要求，内容无瑕疵：5分；</w:t>
            </w:r>
          </w:p>
          <w:p>
            <w:pPr>
              <w:widowControl/>
              <w:adjustRightInd w:val="0"/>
              <w:snapToGrid w:val="0"/>
              <w:spacing w:line="360" w:lineRule="auto"/>
              <w:rPr>
                <w:kern w:val="0"/>
                <w:sz w:val="24"/>
                <w:szCs w:val="24"/>
              </w:rPr>
            </w:pPr>
            <w:r>
              <w:rPr>
                <w:rFonts w:hint="eastAsia"/>
                <w:kern w:val="0"/>
                <w:sz w:val="24"/>
                <w:szCs w:val="24"/>
              </w:rPr>
              <w:t>理解满足招标文件要求，但内容存在1处瑕疵：4分；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理解满足招标文件要求，但内容存在2处瑕疵：3分；</w:t>
            </w:r>
          </w:p>
          <w:p>
            <w:pPr>
              <w:widowControl/>
              <w:adjustRightInd w:val="0"/>
              <w:snapToGrid w:val="0"/>
              <w:spacing w:line="360" w:lineRule="auto"/>
              <w:rPr>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4</w:t>
            </w:r>
          </w:p>
        </w:tc>
        <w:tc>
          <w:tcPr>
            <w:tcW w:w="1419" w:type="dxa"/>
            <w:vAlign w:val="center"/>
          </w:tcPr>
          <w:p>
            <w:pPr>
              <w:widowControl/>
              <w:adjustRightInd w:val="0"/>
              <w:snapToGrid w:val="0"/>
              <w:spacing w:line="360" w:lineRule="auto"/>
              <w:jc w:val="center"/>
              <w:rPr>
                <w:kern w:val="0"/>
                <w:sz w:val="24"/>
                <w:szCs w:val="24"/>
              </w:rPr>
            </w:pPr>
            <w:r>
              <w:rPr>
                <w:rFonts w:hint="eastAsia"/>
                <w:kern w:val="0"/>
                <w:sz w:val="24"/>
                <w:szCs w:val="24"/>
              </w:rPr>
              <w:t>针对本项目特点的应急预案评价</w:t>
            </w:r>
          </w:p>
        </w:tc>
        <w:tc>
          <w:tcPr>
            <w:tcW w:w="7311" w:type="dxa"/>
            <w:vAlign w:val="center"/>
          </w:tcPr>
          <w:p>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pPr>
              <w:widowControl/>
              <w:adjustRightInd w:val="0"/>
              <w:snapToGrid w:val="0"/>
              <w:spacing w:line="360" w:lineRule="auto"/>
              <w:rPr>
                <w:kern w:val="0"/>
                <w:sz w:val="24"/>
                <w:szCs w:val="24"/>
              </w:rPr>
            </w:pPr>
            <w:r>
              <w:rPr>
                <w:rFonts w:hint="eastAsia"/>
                <w:kern w:val="0"/>
                <w:sz w:val="24"/>
                <w:szCs w:val="24"/>
              </w:rPr>
              <w:t>预案满足招标文件要求，内容无瑕疵：5分；</w:t>
            </w:r>
          </w:p>
          <w:p>
            <w:pPr>
              <w:widowControl/>
              <w:adjustRightInd w:val="0"/>
              <w:snapToGrid w:val="0"/>
              <w:spacing w:line="360" w:lineRule="auto"/>
              <w:rPr>
                <w:kern w:val="0"/>
                <w:sz w:val="24"/>
                <w:szCs w:val="24"/>
              </w:rPr>
            </w:pPr>
            <w:r>
              <w:rPr>
                <w:rFonts w:hint="eastAsia"/>
                <w:kern w:val="0"/>
                <w:sz w:val="24"/>
                <w:szCs w:val="24"/>
              </w:rPr>
              <w:t>预案满足招标文件要求，但内容存在1处瑕疵：4分；</w:t>
            </w:r>
          </w:p>
          <w:p>
            <w:pPr>
              <w:widowControl/>
              <w:adjustRightInd w:val="0"/>
              <w:snapToGrid w:val="0"/>
              <w:spacing w:line="360" w:lineRule="auto"/>
              <w:rPr>
                <w:kern w:val="0"/>
                <w:sz w:val="24"/>
                <w:szCs w:val="24"/>
              </w:rPr>
            </w:pPr>
            <w:r>
              <w:rPr>
                <w:rFonts w:hint="eastAsia"/>
                <w:kern w:val="0"/>
                <w:sz w:val="24"/>
                <w:szCs w:val="24"/>
              </w:rPr>
              <w:t>预案满足招标文件要求，但内容存在2处瑕疵：3分；</w:t>
            </w:r>
          </w:p>
          <w:p>
            <w:pPr>
              <w:widowControl/>
              <w:adjustRightInd w:val="0"/>
              <w:snapToGrid w:val="0"/>
              <w:spacing w:line="360" w:lineRule="auto"/>
              <w:rPr>
                <w:kern w:val="0"/>
                <w:sz w:val="24"/>
                <w:szCs w:val="24"/>
              </w:rPr>
            </w:pPr>
            <w:r>
              <w:rPr>
                <w:rFonts w:hint="eastAsia"/>
                <w:kern w:val="0"/>
                <w:sz w:val="24"/>
                <w:szCs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5</w:t>
            </w:r>
          </w:p>
        </w:tc>
        <w:tc>
          <w:tcPr>
            <w:tcW w:w="1419" w:type="dxa"/>
            <w:vAlign w:val="center"/>
          </w:tcPr>
          <w:p>
            <w:pPr>
              <w:widowControl/>
              <w:adjustRightInd w:val="0"/>
              <w:snapToGrid w:val="0"/>
              <w:spacing w:line="360" w:lineRule="auto"/>
              <w:jc w:val="center"/>
              <w:rPr>
                <w:kern w:val="0"/>
                <w:sz w:val="24"/>
                <w:szCs w:val="24"/>
              </w:rPr>
            </w:pPr>
            <w:r>
              <w:rPr>
                <w:rFonts w:hint="eastAsia"/>
                <w:sz w:val="24"/>
              </w:rPr>
              <w:t>针对本项目特点的人员保密管理方案评价</w:t>
            </w:r>
          </w:p>
        </w:tc>
        <w:tc>
          <w:tcPr>
            <w:tcW w:w="7311" w:type="dxa"/>
            <w:vAlign w:val="center"/>
          </w:tcPr>
          <w:p>
            <w:pPr>
              <w:widowControl/>
              <w:adjustRightInd w:val="0"/>
              <w:snapToGrid w:val="0"/>
              <w:spacing w:line="360" w:lineRule="auto"/>
              <w:rPr>
                <w:sz w:val="24"/>
              </w:rPr>
            </w:pPr>
            <w:r>
              <w:rPr>
                <w:rFonts w:hint="eastAsia"/>
                <w:sz w:val="24"/>
              </w:rPr>
              <w:t>方案满足招标文件要求，内容无瑕疵：5分；</w:t>
            </w:r>
          </w:p>
          <w:p>
            <w:pPr>
              <w:widowControl/>
              <w:adjustRightInd w:val="0"/>
              <w:snapToGrid w:val="0"/>
              <w:spacing w:line="360" w:lineRule="auto"/>
              <w:rPr>
                <w:sz w:val="24"/>
              </w:rPr>
            </w:pPr>
            <w:r>
              <w:rPr>
                <w:rFonts w:hint="eastAsia"/>
                <w:sz w:val="24"/>
              </w:rPr>
              <w:t>方案满足招标文件要求，但内容存在1处瑕疵：4分；</w:t>
            </w:r>
          </w:p>
          <w:p>
            <w:pPr>
              <w:widowControl/>
              <w:adjustRightInd w:val="0"/>
              <w:snapToGrid w:val="0"/>
              <w:spacing w:line="360" w:lineRule="auto"/>
              <w:rPr>
                <w:sz w:val="24"/>
              </w:rPr>
            </w:pPr>
            <w:r>
              <w:rPr>
                <w:rFonts w:hint="eastAsia"/>
                <w:sz w:val="24"/>
              </w:rPr>
              <w:t>方案满足招标文件要求，但内容存在2处瑕疵：3分；</w:t>
            </w:r>
          </w:p>
          <w:p>
            <w:pPr>
              <w:widowControl/>
              <w:adjustRightInd w:val="0"/>
              <w:snapToGrid w:val="0"/>
              <w:spacing w:line="360" w:lineRule="auto"/>
              <w:rPr>
                <w:kern w:val="0"/>
                <w:sz w:val="24"/>
                <w:szCs w:val="24"/>
              </w:rPr>
            </w:pPr>
            <w:r>
              <w:rPr>
                <w:rFonts w:hint="eastAsia"/>
                <w:sz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6</w:t>
            </w:r>
          </w:p>
        </w:tc>
        <w:tc>
          <w:tcPr>
            <w:tcW w:w="1419" w:type="dxa"/>
            <w:vAlign w:val="center"/>
          </w:tcPr>
          <w:p>
            <w:pPr>
              <w:widowControl/>
              <w:adjustRightInd w:val="0"/>
              <w:snapToGrid w:val="0"/>
              <w:spacing w:line="360" w:lineRule="auto"/>
              <w:jc w:val="center"/>
              <w:rPr>
                <w:kern w:val="0"/>
                <w:sz w:val="24"/>
                <w:szCs w:val="24"/>
              </w:rPr>
            </w:pPr>
            <w:r>
              <w:rPr>
                <w:rFonts w:hint="eastAsia"/>
                <w:sz w:val="24"/>
              </w:rPr>
              <w:t>针对本项目特点的人员稳定性方案评价</w:t>
            </w:r>
          </w:p>
        </w:tc>
        <w:tc>
          <w:tcPr>
            <w:tcW w:w="7311" w:type="dxa"/>
            <w:vAlign w:val="center"/>
          </w:tcPr>
          <w:p>
            <w:pPr>
              <w:widowControl/>
              <w:adjustRightInd w:val="0"/>
              <w:snapToGrid w:val="0"/>
              <w:spacing w:line="360" w:lineRule="auto"/>
              <w:rPr>
                <w:sz w:val="24"/>
              </w:rPr>
            </w:pPr>
            <w:r>
              <w:rPr>
                <w:rFonts w:hint="eastAsia"/>
                <w:sz w:val="24"/>
              </w:rPr>
              <w:t>方案满足招标文件要求，内容无瑕疵：5分；</w:t>
            </w:r>
          </w:p>
          <w:p>
            <w:pPr>
              <w:widowControl/>
              <w:adjustRightInd w:val="0"/>
              <w:snapToGrid w:val="0"/>
              <w:spacing w:line="360" w:lineRule="auto"/>
              <w:rPr>
                <w:sz w:val="24"/>
              </w:rPr>
            </w:pPr>
            <w:r>
              <w:rPr>
                <w:rFonts w:hint="eastAsia"/>
                <w:sz w:val="24"/>
              </w:rPr>
              <w:t>方案满足招标文件要求，但内容存在1处瑕疵：4分；</w:t>
            </w:r>
          </w:p>
          <w:p>
            <w:pPr>
              <w:widowControl/>
              <w:adjustRightInd w:val="0"/>
              <w:snapToGrid w:val="0"/>
              <w:spacing w:line="360" w:lineRule="auto"/>
              <w:rPr>
                <w:sz w:val="24"/>
              </w:rPr>
            </w:pPr>
            <w:r>
              <w:rPr>
                <w:rFonts w:hint="eastAsia"/>
                <w:sz w:val="24"/>
              </w:rPr>
              <w:t>方案满足招标文件要求，但内容存在2处瑕疵：3分；</w:t>
            </w:r>
          </w:p>
          <w:p>
            <w:pPr>
              <w:widowControl/>
              <w:adjustRightInd w:val="0"/>
              <w:snapToGrid w:val="0"/>
              <w:spacing w:line="360" w:lineRule="auto"/>
              <w:rPr>
                <w:kern w:val="0"/>
                <w:sz w:val="24"/>
                <w:szCs w:val="24"/>
              </w:rPr>
            </w:pPr>
            <w:r>
              <w:rPr>
                <w:rFonts w:hint="eastAsia"/>
                <w:sz w:val="24"/>
              </w:rPr>
              <w:t>其他：0分；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noWrap/>
            <w:vAlign w:val="center"/>
          </w:tcPr>
          <w:p>
            <w:pPr>
              <w:widowControl/>
              <w:adjustRightInd w:val="0"/>
              <w:snapToGrid w:val="0"/>
              <w:spacing w:line="360" w:lineRule="auto"/>
              <w:jc w:val="center"/>
              <w:rPr>
                <w:kern w:val="0"/>
                <w:sz w:val="24"/>
                <w:szCs w:val="24"/>
              </w:rPr>
            </w:pPr>
            <w:r>
              <w:rPr>
                <w:rFonts w:hint="eastAsia"/>
                <w:kern w:val="0"/>
                <w:sz w:val="24"/>
                <w:szCs w:val="24"/>
              </w:rPr>
              <w:t>7</w:t>
            </w:r>
          </w:p>
        </w:tc>
        <w:tc>
          <w:tcPr>
            <w:tcW w:w="1419" w:type="dxa"/>
            <w:vAlign w:val="center"/>
          </w:tcPr>
          <w:p>
            <w:pPr>
              <w:widowControl/>
              <w:adjustRightInd w:val="0"/>
              <w:snapToGrid w:val="0"/>
              <w:spacing w:line="360" w:lineRule="auto"/>
              <w:jc w:val="center"/>
              <w:rPr>
                <w:sz w:val="24"/>
              </w:rPr>
            </w:pPr>
            <w:r>
              <w:rPr>
                <w:rFonts w:hint="eastAsia"/>
                <w:sz w:val="24"/>
              </w:rPr>
              <w:t>价格测算方案评价</w:t>
            </w:r>
          </w:p>
        </w:tc>
        <w:tc>
          <w:tcPr>
            <w:tcW w:w="7311" w:type="dxa"/>
            <w:vAlign w:val="center"/>
          </w:tcPr>
          <w:p>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spacing w:line="360" w:lineRule="auto"/>
              <w:rPr>
                <w:sz w:val="24"/>
              </w:rPr>
            </w:pPr>
            <w:r>
              <w:rPr>
                <w:rFonts w:hint="eastAsia"/>
                <w:sz w:val="24"/>
              </w:rPr>
              <w:t>投标报价在不超采购预算的前提下，其合理性由评标委员会在评分中予以考虑。</w:t>
            </w:r>
          </w:p>
          <w:p>
            <w:pPr>
              <w:widowControl/>
              <w:adjustRightInd w:val="0"/>
              <w:snapToGrid w:val="0"/>
              <w:spacing w:line="360" w:lineRule="auto"/>
              <w:rPr>
                <w:sz w:val="24"/>
              </w:rPr>
            </w:pPr>
            <w:r>
              <w:rPr>
                <w:rFonts w:hint="eastAsia"/>
                <w:sz w:val="24"/>
              </w:rPr>
              <w:t>价格测算方案科学合理：3分；</w:t>
            </w:r>
          </w:p>
          <w:p>
            <w:pPr>
              <w:widowControl/>
              <w:adjustRightInd w:val="0"/>
              <w:snapToGrid w:val="0"/>
              <w:spacing w:line="360" w:lineRule="auto"/>
              <w:rPr>
                <w:sz w:val="24"/>
              </w:rPr>
            </w:pPr>
            <w:r>
              <w:rPr>
                <w:rFonts w:hint="eastAsia"/>
                <w:sz w:val="24"/>
              </w:rPr>
              <w:t>价格测算方案合理性方面存在1处瑕疵：2分；</w:t>
            </w:r>
          </w:p>
          <w:p>
            <w:pPr>
              <w:widowControl/>
              <w:adjustRightInd w:val="0"/>
              <w:snapToGrid w:val="0"/>
              <w:spacing w:line="360" w:lineRule="auto"/>
              <w:rPr>
                <w:sz w:val="24"/>
              </w:rPr>
            </w:pPr>
            <w:r>
              <w:rPr>
                <w:rFonts w:hint="eastAsia"/>
                <w:sz w:val="24"/>
              </w:rPr>
              <w:t>价格测算方案合理性方面存在2处瑕疵：1分；</w:t>
            </w:r>
          </w:p>
          <w:p>
            <w:pPr>
              <w:widowControl/>
              <w:adjustRightInd w:val="0"/>
              <w:snapToGrid w:val="0"/>
              <w:spacing w:line="360" w:lineRule="auto"/>
              <w:rPr>
                <w:sz w:val="24"/>
              </w:rPr>
            </w:pPr>
            <w:r>
              <w:rPr>
                <w:rFonts w:hint="eastAsia"/>
                <w:sz w:val="24"/>
              </w:rPr>
              <w:t>未提供测算方案或方案存在3处及以上瑕疵或社会保险、住房公积金应缴未缴的：0分。</w:t>
            </w:r>
          </w:p>
        </w:tc>
        <w:tc>
          <w:tcPr>
            <w:tcW w:w="1143" w:type="dxa"/>
            <w:vAlign w:val="center"/>
          </w:tcPr>
          <w:p>
            <w:pPr>
              <w:widowControl/>
              <w:adjustRightInd w:val="0"/>
              <w:snapToGrid w:val="0"/>
              <w:spacing w:line="360" w:lineRule="auto"/>
              <w:jc w:val="center"/>
              <w:rPr>
                <w:kern w:val="0"/>
                <w:sz w:val="24"/>
                <w:szCs w:val="24"/>
              </w:rPr>
            </w:pPr>
            <w:r>
              <w:rPr>
                <w:rFonts w:hint="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noWrap/>
            <w:vAlign w:val="center"/>
          </w:tcPr>
          <w:p>
            <w:pPr>
              <w:widowControl/>
              <w:adjustRightInd w:val="0"/>
              <w:snapToGrid w:val="0"/>
              <w:spacing w:line="360" w:lineRule="auto"/>
              <w:jc w:val="center"/>
              <w:rPr>
                <w:sz w:val="24"/>
              </w:rPr>
            </w:pPr>
            <w:r>
              <w:rPr>
                <w:sz w:val="24"/>
              </w:rPr>
              <w:t>合计</w:t>
            </w:r>
          </w:p>
        </w:tc>
        <w:tc>
          <w:tcPr>
            <w:tcW w:w="1143" w:type="dxa"/>
            <w:vAlign w:val="center"/>
          </w:tcPr>
          <w:p>
            <w:pPr>
              <w:widowControl/>
              <w:adjustRightInd w:val="0"/>
              <w:snapToGrid w:val="0"/>
              <w:spacing w:line="360" w:lineRule="auto"/>
              <w:jc w:val="center"/>
              <w:rPr>
                <w:kern w:val="0"/>
                <w:sz w:val="24"/>
                <w:szCs w:val="24"/>
              </w:rPr>
            </w:pPr>
            <w:r>
              <w:rPr>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536" w:type="dxa"/>
            <w:gridSpan w:val="4"/>
            <w:noWrap/>
            <w:vAlign w:val="center"/>
          </w:tcPr>
          <w:p>
            <w:pPr>
              <w:widowControl/>
              <w:adjustRightInd w:val="0"/>
              <w:snapToGrid w:val="0"/>
              <w:spacing w:line="360" w:lineRule="auto"/>
              <w:jc w:val="left"/>
              <w:rPr>
                <w:kern w:val="0"/>
                <w:sz w:val="24"/>
                <w:szCs w:val="24"/>
              </w:rPr>
            </w:pPr>
            <w:r>
              <w:rPr>
                <w:rFonts w:hint="eastAsia"/>
                <w:b/>
                <w:bCs/>
                <w:color w:val="000000"/>
                <w:kern w:val="0"/>
                <w:sz w:val="24"/>
                <w:szCs w:val="24"/>
              </w:rPr>
              <w:t>注：</w:t>
            </w:r>
            <w:r>
              <w:rPr>
                <w:rFonts w:hint="eastAsia"/>
                <w:b/>
                <w:bCs/>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bl>
    <w:p>
      <w:pPr>
        <w:spacing w:line="360" w:lineRule="auto"/>
        <w:ind w:firstLine="448" w:firstLineChars="200"/>
        <w:outlineLvl w:val="0"/>
        <w:rPr>
          <w:sz w:val="24"/>
        </w:rPr>
      </w:pPr>
      <w:r>
        <w:rPr>
          <w:rFonts w:hAnsiTheme="minorEastAsia"/>
          <w:sz w:val="24"/>
        </w:rPr>
        <w:t>四、投标文件内容要求</w:t>
      </w:r>
    </w:p>
    <w:p>
      <w:pPr>
        <w:spacing w:line="360" w:lineRule="auto"/>
        <w:ind w:firstLine="448" w:firstLineChars="200"/>
        <w:outlineLvl w:val="0"/>
        <w:rPr>
          <w:sz w:val="24"/>
        </w:rPr>
      </w:pPr>
      <w:r>
        <w:rPr>
          <w:rFonts w:hint="eastAsia" w:hAnsiTheme="minorEastAsia"/>
          <w:sz w:val="24"/>
        </w:rPr>
        <w:t>（一）</w:t>
      </w:r>
      <w:r>
        <w:rPr>
          <w:rFonts w:hAnsiTheme="minorEastAsia"/>
          <w:sz w:val="24"/>
        </w:rPr>
        <w:t>投标人须按照《投标须知》</w:t>
      </w:r>
      <w:r>
        <w:rPr>
          <w:sz w:val="24"/>
        </w:rPr>
        <w:t xml:space="preserve">“C </w:t>
      </w:r>
      <w:r>
        <w:rPr>
          <w:rFonts w:hAnsiTheme="minorEastAsia"/>
          <w:sz w:val="24"/>
        </w:rPr>
        <w:t>投标文件的编制</w:t>
      </w:r>
      <w:r>
        <w:rPr>
          <w:sz w:val="24"/>
        </w:rPr>
        <w:t>”</w:t>
      </w:r>
      <w:r>
        <w:rPr>
          <w:rFonts w:hAnsiTheme="minorEastAsia"/>
          <w:sz w:val="24"/>
        </w:rPr>
        <w:t>中的相关要求编制投标文件</w:t>
      </w:r>
      <w:r>
        <w:rPr>
          <w:rFonts w:hint="eastAsia" w:hAnsiTheme="minorEastAsia"/>
          <w:sz w:val="24"/>
        </w:rPr>
        <w:t>。</w:t>
      </w:r>
    </w:p>
    <w:p>
      <w:pPr>
        <w:spacing w:line="360" w:lineRule="auto"/>
        <w:ind w:firstLine="448" w:firstLineChars="200"/>
        <w:outlineLvl w:val="0"/>
        <w:rPr>
          <w:sz w:val="24"/>
        </w:rPr>
      </w:pPr>
      <w:r>
        <w:rPr>
          <w:rFonts w:hint="eastAsia" w:hAnsiTheme="minorEastAsia"/>
          <w:sz w:val="24"/>
        </w:rPr>
        <w:t>（二）</w:t>
      </w:r>
      <w:r>
        <w:rPr>
          <w:rFonts w:hAnsiTheme="minorEastAsia"/>
          <w:sz w:val="24"/>
        </w:rPr>
        <w:t>投标文件</w:t>
      </w:r>
      <w:r>
        <w:rPr>
          <w:rFonts w:hint="eastAsia" w:hAnsiTheme="minorEastAsia"/>
          <w:sz w:val="24"/>
        </w:rPr>
        <w:t>格式参照第五部分</w:t>
      </w:r>
      <w:r>
        <w:rPr>
          <w:rFonts w:hint="eastAsia"/>
          <w:sz w:val="24"/>
        </w:rPr>
        <w:t>“</w:t>
      </w:r>
      <w:r>
        <w:rPr>
          <w:rFonts w:hint="eastAsia" w:hAnsiTheme="minorEastAsia"/>
          <w:sz w:val="24"/>
        </w:rPr>
        <w:t>投标文件格式</w:t>
      </w:r>
      <w:r>
        <w:rPr>
          <w:rFonts w:hint="eastAsia"/>
          <w:sz w:val="24"/>
        </w:rPr>
        <w:t>”</w:t>
      </w:r>
      <w:r>
        <w:rPr>
          <w:rFonts w:hint="eastAsia" w:hAnsiTheme="minorEastAsia"/>
          <w:sz w:val="24"/>
        </w:rPr>
        <w:t>。</w:t>
      </w:r>
    </w:p>
    <w:p>
      <w:pPr>
        <w:spacing w:line="360" w:lineRule="auto"/>
        <w:jc w:val="center"/>
        <w:rPr>
          <w:sz w:val="24"/>
        </w:rPr>
      </w:pPr>
      <w:r>
        <w:rPr>
          <w:sz w:val="24"/>
          <w:u w:val="single"/>
        </w:rPr>
        <w:br w:type="page"/>
      </w:r>
    </w:p>
    <w:p>
      <w:pPr>
        <w:spacing w:line="360" w:lineRule="auto"/>
        <w:jc w:val="center"/>
        <w:rPr>
          <w:b/>
          <w:bCs/>
          <w:sz w:val="32"/>
          <w:szCs w:val="32"/>
        </w:rPr>
      </w:pPr>
      <w:r>
        <w:rPr>
          <w:b/>
          <w:bCs/>
          <w:sz w:val="32"/>
          <w:szCs w:val="32"/>
        </w:rPr>
        <w:t>项目需求书</w:t>
      </w:r>
    </w:p>
    <w:p>
      <w:pPr>
        <w:spacing w:line="360" w:lineRule="auto"/>
        <w:rPr>
          <w:b/>
          <w:sz w:val="24"/>
          <w:szCs w:val="24"/>
        </w:rPr>
      </w:pPr>
      <w:r>
        <w:rPr>
          <w:rFonts w:hint="eastAsia"/>
          <w:b/>
          <w:sz w:val="24"/>
          <w:szCs w:val="24"/>
        </w:rPr>
        <w:t>一、项目背景</w:t>
      </w:r>
    </w:p>
    <w:p>
      <w:pPr>
        <w:spacing w:line="360" w:lineRule="auto"/>
        <w:ind w:firstLine="448" w:firstLineChars="200"/>
        <w:rPr>
          <w:rFonts w:eastAsiaTheme="minorEastAsia"/>
          <w:sz w:val="24"/>
          <w:szCs w:val="24"/>
        </w:rPr>
      </w:pPr>
      <w:r>
        <w:rPr>
          <w:rFonts w:hint="eastAsia" w:eastAsiaTheme="minorEastAsia"/>
          <w:sz w:val="24"/>
          <w:szCs w:val="24"/>
        </w:rPr>
        <w:t>天津市滨海新区新河街社区卫生服务中心为</w:t>
      </w:r>
      <w:r>
        <w:rPr>
          <w:rFonts w:eastAsiaTheme="minorEastAsia"/>
          <w:sz w:val="24"/>
          <w:szCs w:val="24"/>
        </w:rPr>
        <w:t>解决社区</w:t>
      </w:r>
      <w:r>
        <w:rPr>
          <w:rFonts w:hint="eastAsia" w:eastAsiaTheme="minorEastAsia"/>
          <w:sz w:val="24"/>
          <w:szCs w:val="24"/>
        </w:rPr>
        <w:t>室内外环境</w:t>
      </w:r>
      <w:r>
        <w:rPr>
          <w:rFonts w:eastAsiaTheme="minorEastAsia"/>
          <w:sz w:val="24"/>
          <w:szCs w:val="24"/>
        </w:rPr>
        <w:t>卫生问题、满足基本</w:t>
      </w:r>
      <w:r>
        <w:fldChar w:fldCharType="begin"/>
      </w:r>
      <w:r>
        <w:instrText xml:space="preserve"> HYPERLINK "https://baike.baidu.com/item/%E5%8D%AB%E7%94%9F%E6%9C%8D%E5%8A%A1%E9%9C%80%E6%B1%82/4164716?fromModule=lemma_inlink" \t "https://baike.baidu.com/item/%E7%A4%BE%E5%8C%BA%E5%8D%AB%E7%94%9F%E6%9C%8D%E5%8A%A1%E4%B8%AD%E5%BF%83/_blank" </w:instrText>
      </w:r>
      <w:r>
        <w:fldChar w:fldCharType="separate"/>
      </w:r>
      <w:r>
        <w:rPr>
          <w:rFonts w:eastAsiaTheme="minorEastAsia"/>
          <w:sz w:val="24"/>
          <w:szCs w:val="24"/>
        </w:rPr>
        <w:t>卫生服务需求</w:t>
      </w:r>
      <w:r>
        <w:rPr>
          <w:rFonts w:eastAsiaTheme="minorEastAsia"/>
          <w:sz w:val="24"/>
          <w:szCs w:val="24"/>
        </w:rPr>
        <w:fldChar w:fldCharType="end"/>
      </w:r>
      <w:r>
        <w:rPr>
          <w:rFonts w:eastAsiaTheme="minorEastAsia"/>
          <w:sz w:val="24"/>
          <w:szCs w:val="24"/>
        </w:rPr>
        <w:t>为目的，</w:t>
      </w:r>
      <w:r>
        <w:rPr>
          <w:rFonts w:hint="eastAsia" w:eastAsiaTheme="minorEastAsia"/>
          <w:sz w:val="24"/>
          <w:szCs w:val="24"/>
        </w:rPr>
        <w:t>现有门诊楼、急诊楼，住院部楼，美沙酮楼、临时接种门诊楼及预防保健、行政办公用房等附属配套用房。提供相关安全保卫、保洁、医疗废物收集暂存管理及绿植养护、公厕清掏、日常零星维修、消防秩序维护、保卫秩序维护等其他物业管理服务,根据天津市滨海新区新河街社区卫生服务中心工作实际需要，进行政府采购。本项目属于物业管理行业。</w:t>
      </w:r>
    </w:p>
    <w:p>
      <w:pPr>
        <w:spacing w:line="360" w:lineRule="auto"/>
        <w:ind w:firstLine="448" w:firstLineChars="200"/>
        <w:rPr>
          <w:rFonts w:eastAsiaTheme="minorEastAsia"/>
          <w:sz w:val="24"/>
          <w:szCs w:val="24"/>
        </w:rPr>
      </w:pPr>
      <w:r>
        <w:rPr>
          <w:rFonts w:hint="eastAsia" w:eastAsiaTheme="minorEastAsia"/>
          <w:sz w:val="24"/>
          <w:szCs w:val="24"/>
        </w:rPr>
        <w:t>本项目具体地址：天津市滨海新区塘沽河南路8号</w:t>
      </w:r>
    </w:p>
    <w:p>
      <w:pPr>
        <w:spacing w:line="360" w:lineRule="auto"/>
        <w:ind w:firstLine="448" w:firstLineChars="200"/>
        <w:rPr>
          <w:rFonts w:eastAsiaTheme="minorEastAsia"/>
          <w:sz w:val="24"/>
          <w:szCs w:val="24"/>
        </w:rPr>
      </w:pPr>
      <w:r>
        <w:rPr>
          <w:rFonts w:hint="eastAsia" w:eastAsiaTheme="minorEastAsia"/>
          <w:sz w:val="24"/>
          <w:szCs w:val="24"/>
        </w:rPr>
        <w:t>物业服务大致面积：占地面积19842.05平米，建筑面积8228.52平米。</w:t>
      </w:r>
    </w:p>
    <w:p>
      <w:pPr>
        <w:spacing w:line="360" w:lineRule="auto"/>
        <w:rPr>
          <w:b/>
          <w:kern w:val="0"/>
          <w:sz w:val="24"/>
          <w:szCs w:val="24"/>
        </w:rPr>
      </w:pPr>
      <w:r>
        <w:rPr>
          <w:rFonts w:hint="eastAsia"/>
          <w:b/>
          <w:kern w:val="0"/>
          <w:sz w:val="24"/>
          <w:szCs w:val="24"/>
        </w:rPr>
        <w:t>二、</w:t>
      </w:r>
      <w:r>
        <w:rPr>
          <w:b/>
          <w:kern w:val="0"/>
          <w:sz w:val="24"/>
          <w:szCs w:val="24"/>
        </w:rPr>
        <w:t>人员及岗位要求</w:t>
      </w:r>
    </w:p>
    <w:tbl>
      <w:tblPr>
        <w:tblStyle w:val="19"/>
        <w:tblW w:w="7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08"/>
        <w:gridCol w:w="3620"/>
        <w:gridCol w:w="113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4" w:type="dxa"/>
            <w:vAlign w:val="center"/>
          </w:tcPr>
          <w:p>
            <w:pPr>
              <w:widowControl/>
              <w:adjustRightInd w:val="0"/>
              <w:snapToGrid w:val="0"/>
              <w:jc w:val="center"/>
              <w:rPr>
                <w:b/>
                <w:kern w:val="0"/>
                <w:sz w:val="22"/>
                <w:szCs w:val="22"/>
              </w:rPr>
            </w:pPr>
            <w:bookmarkStart w:id="6" w:name="_GoBack" w:colFirst="4" w:colLast="4"/>
            <w:r>
              <w:rPr>
                <w:b/>
                <w:kern w:val="0"/>
                <w:sz w:val="22"/>
                <w:szCs w:val="22"/>
              </w:rPr>
              <w:t>岗位名称</w:t>
            </w:r>
          </w:p>
        </w:tc>
        <w:tc>
          <w:tcPr>
            <w:tcW w:w="708" w:type="dxa"/>
            <w:vAlign w:val="center"/>
          </w:tcPr>
          <w:p>
            <w:pPr>
              <w:widowControl/>
              <w:adjustRightInd w:val="0"/>
              <w:snapToGrid w:val="0"/>
              <w:jc w:val="center"/>
              <w:rPr>
                <w:b/>
                <w:kern w:val="0"/>
                <w:sz w:val="22"/>
                <w:szCs w:val="22"/>
              </w:rPr>
            </w:pPr>
            <w:r>
              <w:rPr>
                <w:b/>
                <w:kern w:val="0"/>
                <w:sz w:val="22"/>
                <w:szCs w:val="22"/>
              </w:rPr>
              <w:t>人数</w:t>
            </w:r>
          </w:p>
        </w:tc>
        <w:tc>
          <w:tcPr>
            <w:tcW w:w="3620" w:type="dxa"/>
            <w:vAlign w:val="center"/>
          </w:tcPr>
          <w:p>
            <w:pPr>
              <w:widowControl/>
              <w:adjustRightInd w:val="0"/>
              <w:snapToGrid w:val="0"/>
              <w:jc w:val="center"/>
              <w:rPr>
                <w:b/>
                <w:kern w:val="0"/>
                <w:sz w:val="22"/>
                <w:szCs w:val="22"/>
              </w:rPr>
            </w:pPr>
            <w:r>
              <w:rPr>
                <w:b/>
                <w:kern w:val="0"/>
                <w:sz w:val="22"/>
                <w:szCs w:val="22"/>
              </w:rPr>
              <w:t>人员要求</w:t>
            </w:r>
          </w:p>
        </w:tc>
        <w:tc>
          <w:tcPr>
            <w:tcW w:w="1134" w:type="dxa"/>
            <w:vAlign w:val="center"/>
          </w:tcPr>
          <w:p>
            <w:pPr>
              <w:widowControl/>
              <w:adjustRightInd w:val="0"/>
              <w:snapToGrid w:val="0"/>
              <w:jc w:val="center"/>
              <w:rPr>
                <w:b/>
                <w:kern w:val="0"/>
                <w:sz w:val="22"/>
                <w:szCs w:val="22"/>
              </w:rPr>
            </w:pPr>
            <w:r>
              <w:rPr>
                <w:b/>
                <w:kern w:val="0"/>
                <w:sz w:val="22"/>
                <w:szCs w:val="22"/>
              </w:rPr>
              <w:t>是否接受退休人员</w:t>
            </w:r>
          </w:p>
        </w:tc>
        <w:tc>
          <w:tcPr>
            <w:tcW w:w="1318" w:type="dxa"/>
            <w:vAlign w:val="center"/>
          </w:tcPr>
          <w:p>
            <w:pPr>
              <w:widowControl/>
              <w:adjustRightInd w:val="0"/>
              <w:snapToGrid w:val="0"/>
              <w:jc w:val="center"/>
              <w:rPr>
                <w:b/>
                <w:kern w:val="0"/>
                <w:sz w:val="22"/>
                <w:szCs w:val="22"/>
                <w:highlight w:val="none"/>
              </w:rPr>
            </w:pPr>
            <w:r>
              <w:rPr>
                <w:b/>
                <w:kern w:val="0"/>
                <w:sz w:val="22"/>
                <w:szCs w:val="22"/>
                <w:highlight w:val="none"/>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adjustRightInd w:val="0"/>
              <w:snapToGrid w:val="0"/>
              <w:jc w:val="center"/>
              <w:rPr>
                <w:kern w:val="0"/>
                <w:sz w:val="22"/>
                <w:szCs w:val="22"/>
              </w:rPr>
            </w:pPr>
            <w:r>
              <w:rPr>
                <w:rFonts w:hint="eastAsia" w:ascii="仿宋" w:hAnsi="仿宋" w:eastAsia="仿宋" w:cs="Tahoma"/>
                <w:color w:val="000000"/>
                <w:kern w:val="0"/>
                <w:sz w:val="22"/>
                <w:szCs w:val="22"/>
              </w:rPr>
              <w:t>外围保洁、医废收集</w:t>
            </w:r>
          </w:p>
        </w:tc>
        <w:tc>
          <w:tcPr>
            <w:tcW w:w="708" w:type="dxa"/>
            <w:vAlign w:val="center"/>
          </w:tcPr>
          <w:p>
            <w:pPr>
              <w:widowControl/>
              <w:adjustRightInd w:val="0"/>
              <w:snapToGrid w:val="0"/>
              <w:jc w:val="center"/>
              <w:rPr>
                <w:kern w:val="0"/>
                <w:sz w:val="22"/>
                <w:szCs w:val="22"/>
              </w:rPr>
            </w:pPr>
            <w:r>
              <w:rPr>
                <w:rFonts w:hint="eastAsia"/>
                <w:kern w:val="0"/>
                <w:sz w:val="22"/>
                <w:szCs w:val="22"/>
              </w:rPr>
              <w:t>3</w:t>
            </w:r>
          </w:p>
        </w:tc>
        <w:tc>
          <w:tcPr>
            <w:tcW w:w="3620" w:type="dxa"/>
            <w:vAlign w:val="center"/>
          </w:tcPr>
          <w:p>
            <w:pPr>
              <w:widowControl/>
              <w:adjustRightInd w:val="0"/>
              <w:snapToGrid w:val="0"/>
              <w:jc w:val="left"/>
              <w:rPr>
                <w:rFonts w:hint="eastAsia" w:eastAsia="宋体"/>
                <w:color w:val="auto"/>
                <w:kern w:val="0"/>
                <w:sz w:val="22"/>
                <w:szCs w:val="22"/>
                <w:highlight w:val="none"/>
                <w:lang w:eastAsia="zh-CN"/>
              </w:rPr>
            </w:pPr>
            <w:r>
              <w:rPr>
                <w:rFonts w:hint="eastAsia"/>
                <w:color w:val="auto"/>
                <w:kern w:val="0"/>
                <w:sz w:val="22"/>
                <w:szCs w:val="22"/>
                <w:highlight w:val="none"/>
              </w:rPr>
              <w:t>身体健康，同时具备《天津市医疗废物管理培训合格证》和卫生防疫部门或医疗机构颁发的健康证</w:t>
            </w:r>
            <w:r>
              <w:rPr>
                <w:rFonts w:hint="eastAsia"/>
                <w:color w:val="auto"/>
                <w:kern w:val="0"/>
                <w:sz w:val="22"/>
                <w:szCs w:val="22"/>
                <w:highlight w:val="none"/>
                <w:lang w:eastAsia="zh-CN"/>
              </w:rPr>
              <w:t>。</w:t>
            </w:r>
          </w:p>
        </w:tc>
        <w:tc>
          <w:tcPr>
            <w:tcW w:w="1134" w:type="dxa"/>
            <w:vAlign w:val="center"/>
          </w:tcPr>
          <w:p>
            <w:pPr>
              <w:widowControl/>
              <w:adjustRightInd w:val="0"/>
              <w:snapToGrid w:val="0"/>
              <w:jc w:val="center"/>
              <w:rPr>
                <w:kern w:val="0"/>
                <w:sz w:val="22"/>
                <w:szCs w:val="22"/>
              </w:rPr>
            </w:pPr>
            <w:r>
              <w:rPr>
                <w:rFonts w:hint="eastAsia"/>
                <w:kern w:val="0"/>
                <w:sz w:val="22"/>
                <w:szCs w:val="22"/>
              </w:rPr>
              <w:t>是</w:t>
            </w:r>
          </w:p>
        </w:tc>
        <w:tc>
          <w:tcPr>
            <w:tcW w:w="1318" w:type="dxa"/>
            <w:vAlign w:val="center"/>
          </w:tcPr>
          <w:p>
            <w:pPr>
              <w:widowControl/>
              <w:adjustRightInd w:val="0"/>
              <w:snapToGrid w:val="0"/>
              <w:jc w:val="center"/>
              <w:rPr>
                <w:kern w:val="0"/>
                <w:sz w:val="22"/>
                <w:szCs w:val="22"/>
                <w:highlight w:val="none"/>
              </w:rPr>
            </w:pPr>
            <w:r>
              <w:rPr>
                <w:rFonts w:hint="eastAsia"/>
                <w:kern w:val="0"/>
                <w:sz w:val="22"/>
                <w:szCs w:val="22"/>
                <w:highlight w:val="none"/>
              </w:rPr>
              <w:t>倒班制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adjustRightInd w:val="0"/>
              <w:snapToGrid w:val="0"/>
              <w:jc w:val="center"/>
              <w:rPr>
                <w:kern w:val="0"/>
                <w:sz w:val="22"/>
                <w:szCs w:val="22"/>
              </w:rPr>
            </w:pPr>
            <w:r>
              <w:rPr>
                <w:rFonts w:hint="eastAsia" w:ascii="仿宋" w:hAnsi="仿宋" w:eastAsia="仿宋" w:cs="Tahoma"/>
                <w:color w:val="000000"/>
                <w:kern w:val="0"/>
                <w:sz w:val="22"/>
                <w:szCs w:val="22"/>
              </w:rPr>
              <w:t>消控岗秩序员</w:t>
            </w:r>
          </w:p>
        </w:tc>
        <w:tc>
          <w:tcPr>
            <w:tcW w:w="708" w:type="dxa"/>
            <w:vAlign w:val="center"/>
          </w:tcPr>
          <w:p>
            <w:pPr>
              <w:widowControl/>
              <w:adjustRightInd w:val="0"/>
              <w:snapToGrid w:val="0"/>
              <w:jc w:val="center"/>
              <w:rPr>
                <w:kern w:val="0"/>
                <w:sz w:val="22"/>
                <w:szCs w:val="22"/>
              </w:rPr>
            </w:pPr>
            <w:r>
              <w:rPr>
                <w:kern w:val="0"/>
                <w:sz w:val="22"/>
                <w:szCs w:val="22"/>
              </w:rPr>
              <w:t>3</w:t>
            </w:r>
          </w:p>
        </w:tc>
        <w:tc>
          <w:tcPr>
            <w:tcW w:w="3620" w:type="dxa"/>
            <w:vAlign w:val="center"/>
          </w:tcPr>
          <w:p>
            <w:pPr>
              <w:widowControl/>
              <w:adjustRightInd w:val="0"/>
              <w:snapToGrid w:val="0"/>
              <w:jc w:val="left"/>
              <w:rPr>
                <w:color w:val="auto"/>
                <w:sz w:val="22"/>
                <w:szCs w:val="22"/>
              </w:rPr>
            </w:pPr>
            <w:r>
              <w:rPr>
                <w:color w:val="auto"/>
                <w:sz w:val="22"/>
                <w:szCs w:val="22"/>
              </w:rPr>
              <w:t>具备《职业资格证书（建（构）筑物消防员或消防设施操作员）》</w:t>
            </w:r>
            <w:r>
              <w:rPr>
                <w:rFonts w:hint="eastAsia"/>
                <w:color w:val="auto"/>
                <w:sz w:val="22"/>
                <w:szCs w:val="22"/>
              </w:rPr>
              <w:t>证书</w:t>
            </w:r>
          </w:p>
        </w:tc>
        <w:tc>
          <w:tcPr>
            <w:tcW w:w="1134" w:type="dxa"/>
            <w:vAlign w:val="center"/>
          </w:tcPr>
          <w:p>
            <w:pPr>
              <w:widowControl/>
              <w:adjustRightInd w:val="0"/>
              <w:snapToGrid w:val="0"/>
              <w:jc w:val="center"/>
              <w:rPr>
                <w:kern w:val="0"/>
                <w:sz w:val="22"/>
                <w:szCs w:val="22"/>
              </w:rPr>
            </w:pPr>
            <w:r>
              <w:rPr>
                <w:rFonts w:hint="eastAsia"/>
                <w:kern w:val="0"/>
                <w:sz w:val="22"/>
                <w:szCs w:val="22"/>
              </w:rPr>
              <w:t>是</w:t>
            </w:r>
          </w:p>
        </w:tc>
        <w:tc>
          <w:tcPr>
            <w:tcW w:w="1318" w:type="dxa"/>
            <w:vAlign w:val="center"/>
          </w:tcPr>
          <w:p>
            <w:pPr>
              <w:widowControl/>
              <w:adjustRightInd w:val="0"/>
              <w:snapToGrid w:val="0"/>
              <w:jc w:val="center"/>
              <w:rPr>
                <w:kern w:val="0"/>
                <w:sz w:val="22"/>
                <w:szCs w:val="22"/>
                <w:highlight w:val="none"/>
              </w:rPr>
            </w:pPr>
            <w:r>
              <w:rPr>
                <w:rFonts w:hint="eastAsia"/>
                <w:kern w:val="0"/>
                <w:sz w:val="22"/>
                <w:szCs w:val="22"/>
                <w:highlight w:val="none"/>
              </w:rPr>
              <w:t>倒班制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adjustRightInd w:val="0"/>
              <w:snapToGrid w:val="0"/>
              <w:jc w:val="center"/>
              <w:rPr>
                <w:sz w:val="22"/>
                <w:szCs w:val="22"/>
              </w:rPr>
            </w:pPr>
            <w:r>
              <w:rPr>
                <w:rFonts w:hint="eastAsia" w:ascii="仿宋" w:hAnsi="仿宋" w:eastAsia="仿宋" w:cs="Tahoma"/>
                <w:color w:val="000000"/>
                <w:kern w:val="0"/>
                <w:sz w:val="22"/>
                <w:szCs w:val="22"/>
              </w:rPr>
              <w:t>秩序员</w:t>
            </w:r>
          </w:p>
        </w:tc>
        <w:tc>
          <w:tcPr>
            <w:tcW w:w="708" w:type="dxa"/>
            <w:vAlign w:val="center"/>
          </w:tcPr>
          <w:p>
            <w:pPr>
              <w:widowControl/>
              <w:adjustRightInd w:val="0"/>
              <w:snapToGrid w:val="0"/>
              <w:jc w:val="center"/>
              <w:rPr>
                <w:kern w:val="0"/>
                <w:sz w:val="22"/>
                <w:szCs w:val="22"/>
              </w:rPr>
            </w:pPr>
            <w:r>
              <w:rPr>
                <w:rFonts w:hint="eastAsia"/>
                <w:kern w:val="0"/>
                <w:sz w:val="22"/>
                <w:szCs w:val="22"/>
              </w:rPr>
              <w:t>3</w:t>
            </w:r>
          </w:p>
        </w:tc>
        <w:tc>
          <w:tcPr>
            <w:tcW w:w="3620" w:type="dxa"/>
            <w:vAlign w:val="center"/>
          </w:tcPr>
          <w:p>
            <w:pPr>
              <w:widowControl/>
              <w:adjustRightInd w:val="0"/>
              <w:snapToGrid w:val="0"/>
              <w:jc w:val="left"/>
              <w:rPr>
                <w:rFonts w:hint="eastAsia" w:eastAsia="宋体"/>
                <w:color w:val="auto"/>
                <w:sz w:val="22"/>
                <w:szCs w:val="22"/>
                <w:highlight w:val="none"/>
                <w:lang w:eastAsia="zh-CN"/>
              </w:rPr>
            </w:pPr>
            <w:r>
              <w:rPr>
                <w:color w:val="auto"/>
                <w:sz w:val="22"/>
                <w:szCs w:val="22"/>
                <w:highlight w:val="none"/>
              </w:rPr>
              <w:t>具备非住宅项目秩序维护管理经验，</w:t>
            </w:r>
            <w:r>
              <w:rPr>
                <w:rFonts w:hint="eastAsia"/>
                <w:color w:val="auto"/>
                <w:sz w:val="22"/>
                <w:szCs w:val="22"/>
                <w:highlight w:val="none"/>
                <w:lang w:eastAsia="zh-CN"/>
              </w:rPr>
              <w:t>具备</w:t>
            </w:r>
            <w:r>
              <w:rPr>
                <w:rFonts w:hint="eastAsia"/>
                <w:color w:val="auto"/>
                <w:sz w:val="22"/>
                <w:szCs w:val="22"/>
                <w:highlight w:val="none"/>
              </w:rPr>
              <w:t>公安机关盖章的保安员证</w:t>
            </w:r>
            <w:r>
              <w:rPr>
                <w:rFonts w:hint="eastAsia"/>
                <w:color w:val="auto"/>
                <w:sz w:val="22"/>
                <w:szCs w:val="22"/>
                <w:highlight w:val="none"/>
                <w:lang w:eastAsia="zh-CN"/>
              </w:rPr>
              <w:t>。</w:t>
            </w:r>
          </w:p>
        </w:tc>
        <w:tc>
          <w:tcPr>
            <w:tcW w:w="1134" w:type="dxa"/>
            <w:vAlign w:val="center"/>
          </w:tcPr>
          <w:p>
            <w:pPr>
              <w:widowControl/>
              <w:adjustRightInd w:val="0"/>
              <w:snapToGrid w:val="0"/>
              <w:jc w:val="center"/>
              <w:rPr>
                <w:kern w:val="0"/>
                <w:sz w:val="22"/>
                <w:szCs w:val="22"/>
              </w:rPr>
            </w:pPr>
            <w:r>
              <w:rPr>
                <w:rFonts w:hint="eastAsia"/>
                <w:kern w:val="0"/>
                <w:sz w:val="22"/>
                <w:szCs w:val="22"/>
              </w:rPr>
              <w:t>是</w:t>
            </w:r>
          </w:p>
        </w:tc>
        <w:tc>
          <w:tcPr>
            <w:tcW w:w="1318" w:type="dxa"/>
            <w:vAlign w:val="center"/>
          </w:tcPr>
          <w:p>
            <w:pPr>
              <w:widowControl/>
              <w:adjustRightInd w:val="0"/>
              <w:snapToGrid w:val="0"/>
              <w:jc w:val="center"/>
              <w:rPr>
                <w:sz w:val="22"/>
                <w:szCs w:val="22"/>
                <w:highlight w:val="none"/>
              </w:rPr>
            </w:pPr>
            <w:r>
              <w:rPr>
                <w:rFonts w:hint="eastAsia"/>
                <w:kern w:val="0"/>
                <w:sz w:val="22"/>
                <w:szCs w:val="22"/>
                <w:highlight w:val="none"/>
              </w:rPr>
              <w:t>倒班制</w:t>
            </w:r>
          </w:p>
        </w:tc>
      </w:tr>
      <w:bookmarkEnd w:id="6"/>
    </w:tbl>
    <w:p>
      <w:pPr>
        <w:spacing w:line="360" w:lineRule="auto"/>
        <w:ind w:firstLine="448" w:firstLineChars="200"/>
        <w:rPr>
          <w:rFonts w:hint="eastAsia" w:eastAsiaTheme="minorEastAsia"/>
          <w:sz w:val="24"/>
          <w:szCs w:val="24"/>
        </w:rPr>
      </w:pPr>
    </w:p>
    <w:p>
      <w:pPr>
        <w:spacing w:line="360" w:lineRule="auto"/>
        <w:ind w:firstLine="448" w:firstLineChars="200"/>
        <w:rPr>
          <w:rFonts w:hint="eastAsia" w:eastAsiaTheme="minorEastAsia"/>
          <w:sz w:val="24"/>
          <w:szCs w:val="24"/>
        </w:rPr>
      </w:pPr>
      <w:r>
        <w:rPr>
          <w:rFonts w:hint="eastAsia" w:eastAsiaTheme="minorEastAsia"/>
          <w:sz w:val="24"/>
          <w:szCs w:val="24"/>
        </w:rPr>
        <w:t>按劳动法和国务院关于职工工作时间的规定，正常情况下，上述人员每日工作不超过8小时，每周工作不超过40小时。</w:t>
      </w:r>
      <w:r>
        <w:rPr>
          <w:sz w:val="24"/>
          <w:szCs w:val="24"/>
        </w:rPr>
        <w:t>劳动者每周至少休息一日。</w:t>
      </w:r>
      <w:r>
        <w:rPr>
          <w:rFonts w:hint="eastAsia" w:eastAsiaTheme="minorEastAsia"/>
          <w:sz w:val="24"/>
          <w:szCs w:val="24"/>
        </w:rPr>
        <w:t>需安排加班的，中标供应商应配合并向劳动者支付加班费。</w:t>
      </w:r>
    </w:p>
    <w:p>
      <w:pPr>
        <w:spacing w:line="360" w:lineRule="auto"/>
        <w:ind w:firstLine="448" w:firstLineChars="200"/>
        <w:rPr>
          <w:rFonts w:eastAsiaTheme="minorEastAsia"/>
          <w:sz w:val="24"/>
          <w:szCs w:val="24"/>
        </w:rPr>
      </w:pPr>
      <w:r>
        <w:rPr>
          <w:rFonts w:hint="eastAsia" w:eastAsiaTheme="minorEastAsia"/>
          <w:sz w:val="24"/>
          <w:szCs w:val="24"/>
        </w:rPr>
        <w:t>一旦获得中标资格，上述人员按要求投入本项目服务，非经采购方同意，不随意更换人员。</w:t>
      </w:r>
    </w:p>
    <w:p>
      <w:pPr>
        <w:spacing w:line="360" w:lineRule="auto"/>
        <w:ind w:firstLine="448" w:firstLineChars="200"/>
        <w:rPr>
          <w:rFonts w:eastAsiaTheme="minorEastAsia"/>
          <w:sz w:val="24"/>
          <w:szCs w:val="24"/>
        </w:rPr>
      </w:pPr>
      <w:r>
        <w:rPr>
          <w:rFonts w:hint="eastAsia" w:eastAsiaTheme="minorEastAsia"/>
          <w:sz w:val="24"/>
          <w:szCs w:val="24"/>
        </w:rPr>
        <w:t>采购合同履行过程中，如遇国家和我市相关政策调整等法定情形的，采购方可以与中标方签订补充合同，补充合同应当按照政府采购法律法规的相关要求报同级财政部门备案，并在天津市政府采购网上公告。</w:t>
      </w:r>
    </w:p>
    <w:p>
      <w:pPr>
        <w:widowControl/>
        <w:ind w:firstLine="448" w:firstLineChars="200"/>
        <w:jc w:val="left"/>
        <w:rPr>
          <w:b/>
          <w:kern w:val="0"/>
          <w:sz w:val="24"/>
          <w:szCs w:val="24"/>
        </w:rPr>
      </w:pPr>
      <w:r>
        <w:rPr>
          <w:rFonts w:hint="eastAsia"/>
          <w:b/>
          <w:kern w:val="0"/>
          <w:sz w:val="24"/>
          <w:szCs w:val="24"/>
        </w:rPr>
        <w:t>三、各岗位人员具体工作内容、职责及服务标准</w:t>
      </w:r>
    </w:p>
    <w:p>
      <w:pPr>
        <w:spacing w:line="360" w:lineRule="auto"/>
        <w:ind w:firstLine="448" w:firstLineChars="200"/>
        <w:rPr>
          <w:rFonts w:eastAsiaTheme="minorEastAsia"/>
          <w:sz w:val="24"/>
          <w:szCs w:val="24"/>
        </w:rPr>
      </w:pPr>
      <w:r>
        <w:rPr>
          <w:rFonts w:hint="eastAsia" w:eastAsiaTheme="minorEastAsia"/>
          <w:sz w:val="24"/>
          <w:szCs w:val="24"/>
        </w:rPr>
        <w:t>天津市滨海新区新河街社区卫生服务中心为无假日医院，作为天津市滨海新区新河街社区卫生服务中心物业服务管理单位也应有相应的管理措施、规范及流程，确保院内环境整洁、无污物、无积灰、无蜘蛛网、无杂物、无卫生死角。对各种突发事件能及时处理控制, 为医院提供安全的工作生活环境。</w:t>
      </w:r>
    </w:p>
    <w:p>
      <w:pPr>
        <w:spacing w:line="360" w:lineRule="auto"/>
        <w:ind w:firstLine="448" w:firstLineChars="200"/>
        <w:rPr>
          <w:rFonts w:eastAsiaTheme="minorEastAsia"/>
          <w:sz w:val="24"/>
          <w:szCs w:val="24"/>
        </w:rPr>
      </w:pPr>
      <w:r>
        <w:rPr>
          <w:rFonts w:hint="eastAsia" w:eastAsiaTheme="minorEastAsia"/>
          <w:sz w:val="24"/>
          <w:szCs w:val="24"/>
        </w:rPr>
        <w:t>服务项目：安全保卫、保洁、医疗废物收集暂存管理及绿植养护、公厕清掏、日常零星维修、消防秩序维护、保卫秩序维护等其他物业管理服务。</w:t>
      </w:r>
    </w:p>
    <w:p>
      <w:pPr>
        <w:spacing w:line="360" w:lineRule="auto"/>
        <w:ind w:firstLine="448" w:firstLineChars="200"/>
        <w:rPr>
          <w:rFonts w:eastAsiaTheme="minorEastAsia"/>
          <w:sz w:val="24"/>
          <w:szCs w:val="24"/>
        </w:rPr>
      </w:pPr>
      <w:r>
        <w:rPr>
          <w:rFonts w:hint="eastAsia" w:eastAsiaTheme="minorEastAsia"/>
          <w:sz w:val="24"/>
          <w:szCs w:val="24"/>
        </w:rPr>
        <w:t>（一）总体要求：</w:t>
      </w:r>
    </w:p>
    <w:p>
      <w:pPr>
        <w:spacing w:line="360" w:lineRule="auto"/>
        <w:ind w:firstLine="448" w:firstLineChars="200"/>
        <w:rPr>
          <w:rFonts w:eastAsiaTheme="minorEastAsia"/>
          <w:sz w:val="24"/>
          <w:szCs w:val="24"/>
        </w:rPr>
      </w:pPr>
      <w:r>
        <w:rPr>
          <w:rFonts w:hint="eastAsia" w:eastAsiaTheme="minorEastAsia"/>
          <w:sz w:val="24"/>
          <w:szCs w:val="24"/>
        </w:rPr>
        <w:t>1.总目标：医院物业管理工作以满足广大患者的医疗需求为基础，确保医院服务支持系统的高效运转，提供优质、经济、细致、周到、高效的服务和智能化管理，创造整洁、文明、安全、方便的工作、就医环境。</w:t>
      </w:r>
    </w:p>
    <w:p>
      <w:pPr>
        <w:spacing w:line="360" w:lineRule="auto"/>
        <w:ind w:firstLine="448" w:firstLineChars="200"/>
        <w:rPr>
          <w:rFonts w:eastAsiaTheme="minorEastAsia"/>
          <w:sz w:val="24"/>
          <w:szCs w:val="24"/>
        </w:rPr>
      </w:pPr>
      <w:r>
        <w:rPr>
          <w:rFonts w:hint="eastAsia" w:eastAsiaTheme="minorEastAsia"/>
          <w:sz w:val="24"/>
          <w:szCs w:val="24"/>
        </w:rPr>
        <w:t>2.总体质量要求：符合天津市物业行业标准。</w:t>
      </w:r>
    </w:p>
    <w:p>
      <w:pPr>
        <w:spacing w:line="360" w:lineRule="auto"/>
        <w:ind w:firstLine="448" w:firstLineChars="200"/>
        <w:rPr>
          <w:rFonts w:eastAsiaTheme="minorEastAsia"/>
          <w:sz w:val="24"/>
          <w:szCs w:val="24"/>
        </w:rPr>
      </w:pPr>
      <w:r>
        <w:rPr>
          <w:rFonts w:hint="eastAsia" w:eastAsiaTheme="minorEastAsia"/>
          <w:sz w:val="24"/>
          <w:szCs w:val="24"/>
        </w:rPr>
        <w:t>3.采取有行之有效的管理机制，根据采购方需求，为采购方提供24小时物业服务。</w:t>
      </w:r>
    </w:p>
    <w:p>
      <w:pPr>
        <w:spacing w:line="360" w:lineRule="auto"/>
        <w:ind w:firstLine="448" w:firstLineChars="200"/>
        <w:rPr>
          <w:rFonts w:eastAsiaTheme="minorEastAsia"/>
          <w:sz w:val="24"/>
          <w:szCs w:val="24"/>
        </w:rPr>
      </w:pPr>
      <w:r>
        <w:rPr>
          <w:rFonts w:hint="eastAsia" w:eastAsiaTheme="minorEastAsia"/>
          <w:sz w:val="24"/>
          <w:szCs w:val="24"/>
        </w:rPr>
        <w:t>（二）保洁服务</w:t>
      </w:r>
    </w:p>
    <w:p>
      <w:pPr>
        <w:spacing w:line="360" w:lineRule="auto"/>
        <w:ind w:firstLine="448" w:firstLineChars="200"/>
        <w:rPr>
          <w:rFonts w:eastAsiaTheme="minorEastAsia"/>
          <w:sz w:val="24"/>
          <w:szCs w:val="24"/>
        </w:rPr>
      </w:pPr>
      <w:r>
        <w:rPr>
          <w:rFonts w:hint="eastAsia" w:eastAsiaTheme="minorEastAsia"/>
          <w:sz w:val="24"/>
          <w:szCs w:val="24"/>
        </w:rPr>
        <w:t>1.服务内容：</w:t>
      </w:r>
    </w:p>
    <w:p>
      <w:pPr>
        <w:spacing w:line="360" w:lineRule="auto"/>
        <w:ind w:firstLine="448" w:firstLineChars="200"/>
        <w:rPr>
          <w:rFonts w:eastAsiaTheme="minorEastAsia"/>
          <w:sz w:val="24"/>
          <w:szCs w:val="24"/>
        </w:rPr>
      </w:pPr>
      <w:r>
        <w:rPr>
          <w:rFonts w:hint="eastAsia" w:eastAsiaTheme="minorEastAsia"/>
          <w:sz w:val="24"/>
          <w:szCs w:val="24"/>
        </w:rPr>
        <w:t>（1）日常清洁保洁：清洁保洁范围覆盖天津市滨海新区新河街社区卫生服务中心院落及所有建筑物的平立面（不包含建筑物2米以上外檐），包括但不限于大厅、电梯、通道及走廊、楼梯、洗手间、浴室、病房、污物间、地下通道、院领导办公室、会议室、护士站及外围等。</w:t>
      </w:r>
    </w:p>
    <w:p>
      <w:pPr>
        <w:spacing w:line="360" w:lineRule="auto"/>
        <w:ind w:firstLine="448" w:firstLineChars="200"/>
        <w:rPr>
          <w:rFonts w:eastAsiaTheme="minorEastAsia"/>
          <w:sz w:val="24"/>
          <w:szCs w:val="24"/>
        </w:rPr>
      </w:pPr>
      <w:r>
        <w:rPr>
          <w:rFonts w:hint="eastAsia" w:eastAsiaTheme="minorEastAsia"/>
          <w:sz w:val="24"/>
          <w:szCs w:val="24"/>
        </w:rPr>
        <w:t>（2）生活垃圾收集、清运及垃圾容器暂存地管理</w:t>
      </w:r>
    </w:p>
    <w:p>
      <w:pPr>
        <w:spacing w:line="360" w:lineRule="auto"/>
        <w:ind w:firstLine="448" w:firstLineChars="200"/>
        <w:rPr>
          <w:rFonts w:eastAsiaTheme="minorEastAsia"/>
          <w:sz w:val="24"/>
          <w:szCs w:val="24"/>
        </w:rPr>
      </w:pPr>
      <w:r>
        <w:rPr>
          <w:rFonts w:hint="eastAsia" w:eastAsiaTheme="minorEastAsia"/>
          <w:sz w:val="24"/>
          <w:szCs w:val="24"/>
        </w:rPr>
        <w:t>按国家、卫生行业规定做好分类收集处理垃圾；垃圾箱（桶）内外保持清洁；及时处理及更换垃圾袋，无散乱垃圾，无积水，无异味，各类垃圾运到指定地点负责对垃圾容器暂存地进行日常管理、清洁等。黑色袋装，做到分类隔离收集，专人定时定点定路线。</w:t>
      </w:r>
    </w:p>
    <w:p>
      <w:pPr>
        <w:spacing w:line="360" w:lineRule="auto"/>
        <w:ind w:firstLine="448" w:firstLineChars="200"/>
        <w:rPr>
          <w:rFonts w:eastAsiaTheme="minorEastAsia"/>
          <w:sz w:val="24"/>
          <w:szCs w:val="24"/>
        </w:rPr>
      </w:pPr>
      <w:r>
        <w:rPr>
          <w:rFonts w:hint="eastAsia" w:eastAsiaTheme="minorEastAsia"/>
          <w:sz w:val="24"/>
          <w:szCs w:val="24"/>
        </w:rPr>
        <w:t>（3）医疗垃圾的收集、清运及垃圾容器暂存地管理</w:t>
      </w:r>
    </w:p>
    <w:p>
      <w:pPr>
        <w:spacing w:line="360" w:lineRule="auto"/>
        <w:ind w:firstLine="448" w:firstLineChars="200"/>
        <w:rPr>
          <w:rFonts w:eastAsiaTheme="minorEastAsia"/>
          <w:sz w:val="24"/>
          <w:szCs w:val="24"/>
        </w:rPr>
      </w:pPr>
      <w:r>
        <w:rPr>
          <w:rFonts w:hint="eastAsia" w:eastAsiaTheme="minorEastAsia"/>
          <w:sz w:val="24"/>
          <w:szCs w:val="24"/>
        </w:rPr>
        <w:t>严格按照《医疗废物管理条例》、《医疗废物管理办法》的规定对医疗垃圾收集与集中存放管理。负责对暂存地进行日常管理、清洁及消毒等，留存清洁消毒记录。严禁丢失、转让、买卖医疗废物，垃圾处理达标率、及时率100%，二次污染0%。</w:t>
      </w:r>
    </w:p>
    <w:p>
      <w:pPr>
        <w:spacing w:line="360" w:lineRule="auto"/>
        <w:ind w:firstLine="448" w:firstLineChars="200"/>
        <w:rPr>
          <w:rFonts w:eastAsiaTheme="minorEastAsia"/>
          <w:sz w:val="24"/>
          <w:szCs w:val="24"/>
        </w:rPr>
      </w:pPr>
      <w:r>
        <w:rPr>
          <w:rFonts w:hint="eastAsia" w:eastAsiaTheme="minorEastAsia"/>
          <w:sz w:val="24"/>
          <w:szCs w:val="24"/>
        </w:rPr>
        <w:t>2.服务要求：</w:t>
      </w:r>
    </w:p>
    <w:p>
      <w:pPr>
        <w:spacing w:line="360" w:lineRule="auto"/>
        <w:ind w:firstLine="448" w:firstLineChars="200"/>
        <w:rPr>
          <w:rFonts w:eastAsiaTheme="minorEastAsia"/>
          <w:sz w:val="24"/>
          <w:szCs w:val="24"/>
        </w:rPr>
      </w:pPr>
      <w:r>
        <w:rPr>
          <w:rFonts w:hint="eastAsia" w:eastAsiaTheme="minorEastAsia"/>
          <w:sz w:val="24"/>
          <w:szCs w:val="24"/>
        </w:rPr>
        <w:t>（1）地面：洁净、光亮、无尘土、烟头、痰迹、碎纸、烟头及垃圾杂物</w:t>
      </w:r>
    </w:p>
    <w:p>
      <w:pPr>
        <w:spacing w:line="360" w:lineRule="auto"/>
        <w:ind w:firstLine="448" w:firstLineChars="200"/>
        <w:rPr>
          <w:rFonts w:eastAsiaTheme="minorEastAsia"/>
          <w:sz w:val="24"/>
          <w:szCs w:val="24"/>
        </w:rPr>
      </w:pPr>
      <w:r>
        <w:rPr>
          <w:rFonts w:hint="eastAsia" w:eastAsiaTheme="minorEastAsia"/>
          <w:sz w:val="24"/>
          <w:szCs w:val="24"/>
        </w:rPr>
        <w:t>（2）墙面，踢脚线：无尘土、污迹</w:t>
      </w:r>
    </w:p>
    <w:p>
      <w:pPr>
        <w:spacing w:line="360" w:lineRule="auto"/>
        <w:ind w:firstLine="448" w:firstLineChars="200"/>
        <w:rPr>
          <w:rFonts w:eastAsiaTheme="minorEastAsia"/>
          <w:sz w:val="24"/>
          <w:szCs w:val="24"/>
        </w:rPr>
      </w:pPr>
      <w:r>
        <w:rPr>
          <w:rFonts w:hint="eastAsia" w:eastAsiaTheme="minorEastAsia"/>
          <w:sz w:val="24"/>
          <w:szCs w:val="24"/>
        </w:rPr>
        <w:t>（3）窗户：明亮、无积灰</w:t>
      </w:r>
    </w:p>
    <w:p>
      <w:pPr>
        <w:spacing w:line="360" w:lineRule="auto"/>
        <w:ind w:firstLine="448" w:firstLineChars="200"/>
        <w:rPr>
          <w:rFonts w:eastAsiaTheme="minorEastAsia"/>
          <w:sz w:val="24"/>
          <w:szCs w:val="24"/>
        </w:rPr>
      </w:pPr>
      <w:r>
        <w:rPr>
          <w:rFonts w:hint="eastAsia" w:eastAsiaTheme="minorEastAsia"/>
          <w:sz w:val="24"/>
          <w:szCs w:val="24"/>
        </w:rPr>
        <w:t>（4）天花板：无蜘蛛网、无积灰</w:t>
      </w:r>
    </w:p>
    <w:p>
      <w:pPr>
        <w:spacing w:line="360" w:lineRule="auto"/>
        <w:ind w:firstLine="448" w:firstLineChars="200"/>
        <w:rPr>
          <w:rFonts w:eastAsiaTheme="minorEastAsia"/>
          <w:sz w:val="24"/>
          <w:szCs w:val="24"/>
        </w:rPr>
      </w:pPr>
      <w:r>
        <w:rPr>
          <w:rFonts w:hint="eastAsia" w:eastAsiaTheme="minorEastAsia"/>
          <w:sz w:val="24"/>
          <w:szCs w:val="24"/>
        </w:rPr>
        <w:t>（5）病床，床头柜，床架：无尘土、积灰、污渍</w:t>
      </w:r>
    </w:p>
    <w:p>
      <w:pPr>
        <w:spacing w:line="360" w:lineRule="auto"/>
        <w:ind w:firstLine="448" w:firstLineChars="200"/>
        <w:rPr>
          <w:rFonts w:eastAsiaTheme="minorEastAsia"/>
          <w:sz w:val="24"/>
          <w:szCs w:val="24"/>
        </w:rPr>
      </w:pPr>
      <w:r>
        <w:rPr>
          <w:rFonts w:hint="eastAsia" w:eastAsiaTheme="minorEastAsia"/>
          <w:sz w:val="24"/>
          <w:szCs w:val="24"/>
        </w:rPr>
        <w:t>（6）壁柜：无积灰、污渍、</w:t>
      </w:r>
    </w:p>
    <w:p>
      <w:pPr>
        <w:spacing w:line="360" w:lineRule="auto"/>
        <w:ind w:firstLine="448" w:firstLineChars="200"/>
        <w:rPr>
          <w:rFonts w:eastAsiaTheme="minorEastAsia"/>
          <w:sz w:val="24"/>
          <w:szCs w:val="24"/>
        </w:rPr>
      </w:pPr>
      <w:r>
        <w:rPr>
          <w:rFonts w:hint="eastAsia" w:eastAsiaTheme="minorEastAsia"/>
          <w:sz w:val="24"/>
          <w:szCs w:val="24"/>
        </w:rPr>
        <w:t>（7）外环境：绿化区域、道路、各建筑出入口周边、院内开阔地带、院内各角落无杂物堆放、无垃圾、无烟头</w:t>
      </w:r>
    </w:p>
    <w:p>
      <w:pPr>
        <w:spacing w:line="360" w:lineRule="auto"/>
        <w:ind w:firstLine="448" w:firstLineChars="200"/>
        <w:rPr>
          <w:rFonts w:eastAsiaTheme="minorEastAsia"/>
          <w:sz w:val="24"/>
          <w:szCs w:val="24"/>
        </w:rPr>
      </w:pPr>
      <w:r>
        <w:rPr>
          <w:rFonts w:hint="eastAsia" w:eastAsiaTheme="minorEastAsia"/>
          <w:sz w:val="24"/>
          <w:szCs w:val="24"/>
        </w:rPr>
        <w:t>（8）禁烟：诊疗区域、楼梯走道、家属等候区域、电梯间、卫生间、外院全部区域等所有承包范围公共区域内，无吸烟人员、无烟具、烟蒂</w:t>
      </w:r>
    </w:p>
    <w:tbl>
      <w:tblPr>
        <w:tblStyle w:val="19"/>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45"/>
        <w:gridCol w:w="3435"/>
        <w:gridCol w:w="2307"/>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5" w:type="dxa"/>
            <w:vAlign w:val="center"/>
          </w:tcPr>
          <w:p>
            <w:pPr>
              <w:widowControl/>
              <w:jc w:val="left"/>
              <w:rPr>
                <w:sz w:val="22"/>
                <w:szCs w:val="28"/>
              </w:rPr>
            </w:pPr>
            <w:r>
              <w:rPr>
                <w:sz w:val="22"/>
                <w:szCs w:val="28"/>
              </w:rPr>
              <w:t>区域</w:t>
            </w:r>
          </w:p>
        </w:tc>
        <w:tc>
          <w:tcPr>
            <w:tcW w:w="1845" w:type="dxa"/>
            <w:vAlign w:val="center"/>
          </w:tcPr>
          <w:p>
            <w:pPr>
              <w:widowControl/>
              <w:jc w:val="left"/>
              <w:rPr>
                <w:sz w:val="22"/>
                <w:szCs w:val="28"/>
              </w:rPr>
            </w:pPr>
            <w:r>
              <w:rPr>
                <w:sz w:val="22"/>
                <w:szCs w:val="28"/>
              </w:rPr>
              <w:t>保洁频率</w:t>
            </w:r>
          </w:p>
        </w:tc>
        <w:tc>
          <w:tcPr>
            <w:tcW w:w="3435" w:type="dxa"/>
            <w:vAlign w:val="center"/>
          </w:tcPr>
          <w:p>
            <w:pPr>
              <w:widowControl/>
              <w:jc w:val="left"/>
              <w:rPr>
                <w:sz w:val="22"/>
                <w:szCs w:val="28"/>
              </w:rPr>
            </w:pPr>
            <w:r>
              <w:rPr>
                <w:sz w:val="22"/>
                <w:szCs w:val="28"/>
              </w:rPr>
              <w:t>保洁内容</w:t>
            </w:r>
          </w:p>
        </w:tc>
        <w:tc>
          <w:tcPr>
            <w:tcW w:w="2307" w:type="dxa"/>
            <w:vAlign w:val="center"/>
          </w:tcPr>
          <w:p>
            <w:pPr>
              <w:widowControl/>
              <w:jc w:val="left"/>
              <w:rPr>
                <w:sz w:val="22"/>
                <w:szCs w:val="28"/>
              </w:rPr>
            </w:pPr>
            <w:r>
              <w:rPr>
                <w:sz w:val="22"/>
                <w:szCs w:val="28"/>
              </w:rPr>
              <w:t>保洁要求</w:t>
            </w:r>
          </w:p>
        </w:tc>
        <w:tc>
          <w:tcPr>
            <w:tcW w:w="1497" w:type="dxa"/>
            <w:vAlign w:val="center"/>
          </w:tcPr>
          <w:p>
            <w:pPr>
              <w:widowControl/>
              <w:jc w:val="left"/>
              <w:rPr>
                <w:sz w:val="22"/>
                <w:szCs w:val="28"/>
              </w:rPr>
            </w:pPr>
            <w:r>
              <w:rPr>
                <w:sz w:val="22"/>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地面</w:t>
            </w:r>
          </w:p>
        </w:tc>
        <w:tc>
          <w:tcPr>
            <w:tcW w:w="1845" w:type="dxa"/>
            <w:vAlign w:val="center"/>
          </w:tcPr>
          <w:p>
            <w:pPr>
              <w:widowControl/>
              <w:jc w:val="left"/>
              <w:rPr>
                <w:sz w:val="22"/>
                <w:szCs w:val="28"/>
              </w:rPr>
            </w:pPr>
            <w:r>
              <w:rPr>
                <w:sz w:val="22"/>
                <w:szCs w:val="28"/>
              </w:rPr>
              <w:t>地面每日清扫三次，每月清洗一次，有垃圾及时清理</w:t>
            </w:r>
          </w:p>
        </w:tc>
        <w:tc>
          <w:tcPr>
            <w:tcW w:w="3435" w:type="dxa"/>
            <w:vAlign w:val="center"/>
          </w:tcPr>
          <w:p>
            <w:pPr>
              <w:widowControl/>
              <w:jc w:val="left"/>
              <w:rPr>
                <w:sz w:val="22"/>
                <w:szCs w:val="28"/>
              </w:rPr>
            </w:pPr>
            <w:r>
              <w:rPr>
                <w:sz w:val="22"/>
                <w:szCs w:val="28"/>
              </w:rPr>
              <w:t>每日用全能清洁剂1:128稀释溶液拖地每日不少于三次,其中一次消毒液拖地</w:t>
            </w:r>
          </w:p>
        </w:tc>
        <w:tc>
          <w:tcPr>
            <w:tcW w:w="2307" w:type="dxa"/>
            <w:vAlign w:val="center"/>
          </w:tcPr>
          <w:p>
            <w:pPr>
              <w:widowControl/>
              <w:jc w:val="left"/>
              <w:rPr>
                <w:sz w:val="22"/>
                <w:szCs w:val="28"/>
              </w:rPr>
            </w:pPr>
            <w:r>
              <w:rPr>
                <w:sz w:val="22"/>
                <w:szCs w:val="28"/>
              </w:rPr>
              <w:t>地面无污渍、无痰迹、无烟蒂、无垃圾、无积灰、无脚印，干净明亮</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墙面</w:t>
            </w:r>
          </w:p>
        </w:tc>
        <w:tc>
          <w:tcPr>
            <w:tcW w:w="1845" w:type="dxa"/>
            <w:vAlign w:val="center"/>
          </w:tcPr>
          <w:p>
            <w:pPr>
              <w:widowControl/>
              <w:jc w:val="left"/>
              <w:rPr>
                <w:sz w:val="22"/>
                <w:szCs w:val="28"/>
              </w:rPr>
            </w:pPr>
            <w:r>
              <w:rPr>
                <w:sz w:val="22"/>
                <w:szCs w:val="28"/>
              </w:rPr>
              <w:t>每周保洁</w:t>
            </w:r>
          </w:p>
        </w:tc>
        <w:tc>
          <w:tcPr>
            <w:tcW w:w="3435" w:type="dxa"/>
            <w:vAlign w:val="center"/>
          </w:tcPr>
          <w:p>
            <w:pPr>
              <w:widowControl/>
              <w:jc w:val="left"/>
              <w:rPr>
                <w:sz w:val="22"/>
                <w:szCs w:val="28"/>
              </w:rPr>
            </w:pPr>
            <w:r>
              <w:rPr>
                <w:sz w:val="22"/>
                <w:szCs w:val="28"/>
              </w:rPr>
              <w:t>2米以下每周清洁</w:t>
            </w:r>
          </w:p>
        </w:tc>
        <w:tc>
          <w:tcPr>
            <w:tcW w:w="2307" w:type="dxa"/>
            <w:vAlign w:val="center"/>
          </w:tcPr>
          <w:p>
            <w:pPr>
              <w:widowControl/>
              <w:jc w:val="left"/>
              <w:rPr>
                <w:sz w:val="22"/>
                <w:szCs w:val="28"/>
              </w:rPr>
            </w:pPr>
            <w:r>
              <w:rPr>
                <w:sz w:val="22"/>
                <w:szCs w:val="28"/>
              </w:rPr>
              <w:t>无污渍、无水迹、无浮灰、无蜘蛛网</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走廊扶手</w:t>
            </w:r>
          </w:p>
        </w:tc>
        <w:tc>
          <w:tcPr>
            <w:tcW w:w="1845" w:type="dxa"/>
            <w:vAlign w:val="center"/>
          </w:tcPr>
          <w:p>
            <w:pPr>
              <w:widowControl/>
              <w:jc w:val="left"/>
              <w:rPr>
                <w:sz w:val="22"/>
                <w:szCs w:val="28"/>
              </w:rPr>
            </w:pPr>
            <w:r>
              <w:rPr>
                <w:sz w:val="22"/>
                <w:szCs w:val="28"/>
              </w:rPr>
              <w:t>每日保洁</w:t>
            </w:r>
          </w:p>
        </w:tc>
        <w:tc>
          <w:tcPr>
            <w:tcW w:w="3435" w:type="dxa"/>
            <w:vAlign w:val="center"/>
          </w:tcPr>
          <w:p>
            <w:pPr>
              <w:widowControl/>
              <w:jc w:val="left"/>
              <w:rPr>
                <w:sz w:val="22"/>
                <w:szCs w:val="28"/>
              </w:rPr>
            </w:pPr>
            <w:r>
              <w:rPr>
                <w:sz w:val="22"/>
                <w:szCs w:val="28"/>
              </w:rPr>
              <w:t>每日用全能清洁剂1:64稀释溶液清洁，每日用消毒液1:50擦洗一次</w:t>
            </w:r>
          </w:p>
        </w:tc>
        <w:tc>
          <w:tcPr>
            <w:tcW w:w="2307" w:type="dxa"/>
            <w:vAlign w:val="center"/>
          </w:tcPr>
          <w:p>
            <w:pPr>
              <w:widowControl/>
              <w:jc w:val="left"/>
              <w:rPr>
                <w:sz w:val="22"/>
                <w:szCs w:val="28"/>
              </w:rPr>
            </w:pPr>
            <w:r>
              <w:rPr>
                <w:sz w:val="22"/>
                <w:szCs w:val="28"/>
              </w:rPr>
              <w:t>无污渍、无浮灰、无水迹、无烟蒂</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玻璃</w:t>
            </w:r>
          </w:p>
        </w:tc>
        <w:tc>
          <w:tcPr>
            <w:tcW w:w="1845" w:type="dxa"/>
            <w:vAlign w:val="center"/>
          </w:tcPr>
          <w:p>
            <w:pPr>
              <w:widowControl/>
              <w:jc w:val="left"/>
              <w:rPr>
                <w:sz w:val="22"/>
                <w:szCs w:val="28"/>
              </w:rPr>
            </w:pPr>
            <w:r>
              <w:rPr>
                <w:sz w:val="22"/>
                <w:szCs w:val="28"/>
              </w:rPr>
              <w:t>循环保洁</w:t>
            </w:r>
          </w:p>
        </w:tc>
        <w:tc>
          <w:tcPr>
            <w:tcW w:w="3435" w:type="dxa"/>
            <w:vAlign w:val="center"/>
          </w:tcPr>
          <w:p>
            <w:pPr>
              <w:widowControl/>
              <w:jc w:val="left"/>
              <w:rPr>
                <w:sz w:val="22"/>
                <w:szCs w:val="28"/>
              </w:rPr>
            </w:pPr>
            <w:r>
              <w:rPr>
                <w:sz w:val="22"/>
                <w:szCs w:val="28"/>
              </w:rPr>
              <w:t>用玻璃清洁剂1:65稀释溶液清洁玻璃，室内玻璃循环清洁，每季度完成一次</w:t>
            </w:r>
          </w:p>
        </w:tc>
        <w:tc>
          <w:tcPr>
            <w:tcW w:w="2307" w:type="dxa"/>
            <w:vAlign w:val="center"/>
          </w:tcPr>
          <w:p>
            <w:pPr>
              <w:widowControl/>
              <w:jc w:val="left"/>
              <w:rPr>
                <w:sz w:val="22"/>
                <w:szCs w:val="28"/>
              </w:rPr>
            </w:pPr>
            <w:r>
              <w:rPr>
                <w:sz w:val="22"/>
                <w:szCs w:val="28"/>
              </w:rPr>
              <w:t>玻璃明亮光洁，无污渍、无水迹</w:t>
            </w:r>
          </w:p>
        </w:tc>
        <w:tc>
          <w:tcPr>
            <w:tcW w:w="1497" w:type="dxa"/>
            <w:vAlign w:val="center"/>
          </w:tcPr>
          <w:p>
            <w:pPr>
              <w:widowControl/>
              <w:jc w:val="left"/>
              <w:rPr>
                <w:sz w:val="22"/>
                <w:szCs w:val="28"/>
              </w:rPr>
            </w:pPr>
            <w:r>
              <w:rPr>
                <w:sz w:val="22"/>
                <w:szCs w:val="28"/>
              </w:rPr>
              <w:t>根据实际情况安排各房间循环清洁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卫生间</w:t>
            </w:r>
          </w:p>
        </w:tc>
        <w:tc>
          <w:tcPr>
            <w:tcW w:w="1845" w:type="dxa"/>
            <w:vAlign w:val="center"/>
          </w:tcPr>
          <w:p>
            <w:pPr>
              <w:widowControl/>
              <w:jc w:val="left"/>
              <w:rPr>
                <w:sz w:val="22"/>
                <w:szCs w:val="28"/>
              </w:rPr>
            </w:pPr>
            <w:r>
              <w:rPr>
                <w:sz w:val="22"/>
                <w:szCs w:val="28"/>
              </w:rPr>
              <w:t>坐便器随时保洁</w:t>
            </w:r>
          </w:p>
        </w:tc>
        <w:tc>
          <w:tcPr>
            <w:tcW w:w="3435" w:type="dxa"/>
            <w:vAlign w:val="center"/>
          </w:tcPr>
          <w:p>
            <w:pPr>
              <w:widowControl/>
              <w:jc w:val="left"/>
              <w:rPr>
                <w:sz w:val="22"/>
                <w:szCs w:val="28"/>
              </w:rPr>
            </w:pPr>
            <w:r>
              <w:rPr>
                <w:sz w:val="22"/>
                <w:szCs w:val="28"/>
              </w:rPr>
              <w:t>打开换气扇或窗户进行通风，台盆、便器等放水冲洗，收集垃圾、清洁垃圾桶、换新垃圾袋</w:t>
            </w:r>
          </w:p>
          <w:p>
            <w:pPr>
              <w:widowControl/>
              <w:jc w:val="left"/>
              <w:rPr>
                <w:sz w:val="22"/>
                <w:szCs w:val="28"/>
              </w:rPr>
            </w:pPr>
            <w:r>
              <w:rPr>
                <w:sz w:val="22"/>
                <w:szCs w:val="28"/>
              </w:rPr>
              <w:t>清洗台盆及水龙头，用洁厕消毒液清洗便器并冲洗，擦拭台面和墙面四周、门等，擦拭地面</w:t>
            </w:r>
          </w:p>
        </w:tc>
        <w:tc>
          <w:tcPr>
            <w:tcW w:w="2307" w:type="dxa"/>
            <w:vAlign w:val="center"/>
          </w:tcPr>
          <w:p>
            <w:pPr>
              <w:widowControl/>
              <w:jc w:val="left"/>
              <w:rPr>
                <w:sz w:val="22"/>
                <w:szCs w:val="28"/>
              </w:rPr>
            </w:pPr>
            <w:r>
              <w:rPr>
                <w:sz w:val="22"/>
                <w:szCs w:val="28"/>
              </w:rPr>
              <w:t>随时保持畅通，无漏水，无异味、无污垢，垃圾袋定时更换</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Merge w:val="restart"/>
            <w:vAlign w:val="center"/>
          </w:tcPr>
          <w:p>
            <w:pPr>
              <w:widowControl/>
              <w:jc w:val="left"/>
              <w:rPr>
                <w:sz w:val="22"/>
                <w:szCs w:val="28"/>
              </w:rPr>
            </w:pPr>
            <w:r>
              <w:rPr>
                <w:sz w:val="22"/>
                <w:szCs w:val="28"/>
              </w:rPr>
              <w:t>电梯</w:t>
            </w:r>
          </w:p>
        </w:tc>
        <w:tc>
          <w:tcPr>
            <w:tcW w:w="1845" w:type="dxa"/>
            <w:vAlign w:val="center"/>
          </w:tcPr>
          <w:p>
            <w:pPr>
              <w:widowControl/>
              <w:jc w:val="left"/>
              <w:rPr>
                <w:sz w:val="22"/>
                <w:szCs w:val="28"/>
              </w:rPr>
            </w:pPr>
            <w:r>
              <w:rPr>
                <w:sz w:val="22"/>
                <w:szCs w:val="28"/>
              </w:rPr>
              <w:t>每日二次</w:t>
            </w:r>
          </w:p>
        </w:tc>
        <w:tc>
          <w:tcPr>
            <w:tcW w:w="3435" w:type="dxa"/>
            <w:vAlign w:val="center"/>
          </w:tcPr>
          <w:p>
            <w:pPr>
              <w:widowControl/>
              <w:jc w:val="left"/>
              <w:rPr>
                <w:sz w:val="22"/>
                <w:szCs w:val="28"/>
              </w:rPr>
            </w:pPr>
            <w:r>
              <w:rPr>
                <w:sz w:val="22"/>
                <w:szCs w:val="28"/>
              </w:rPr>
              <w:t>每日地面保洁，轿厢内消毒一次</w:t>
            </w:r>
          </w:p>
        </w:tc>
        <w:tc>
          <w:tcPr>
            <w:tcW w:w="2307" w:type="dxa"/>
            <w:vAlign w:val="center"/>
          </w:tcPr>
          <w:p>
            <w:pPr>
              <w:widowControl/>
              <w:jc w:val="left"/>
              <w:rPr>
                <w:sz w:val="22"/>
                <w:szCs w:val="28"/>
              </w:rPr>
            </w:pPr>
            <w:r>
              <w:rPr>
                <w:sz w:val="22"/>
                <w:szCs w:val="28"/>
              </w:rPr>
              <w:t>无障碍、无划痕、无脱落；无灰尘、无污渍</w:t>
            </w:r>
          </w:p>
        </w:tc>
        <w:tc>
          <w:tcPr>
            <w:tcW w:w="1497" w:type="dxa"/>
            <w:vMerge w:val="restart"/>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Merge w:val="continue"/>
            <w:vAlign w:val="center"/>
          </w:tcPr>
          <w:p>
            <w:pPr>
              <w:widowControl/>
              <w:jc w:val="left"/>
              <w:rPr>
                <w:sz w:val="22"/>
                <w:szCs w:val="28"/>
              </w:rPr>
            </w:pPr>
          </w:p>
        </w:tc>
        <w:tc>
          <w:tcPr>
            <w:tcW w:w="1845" w:type="dxa"/>
            <w:vAlign w:val="center"/>
          </w:tcPr>
          <w:p>
            <w:pPr>
              <w:widowControl/>
              <w:jc w:val="left"/>
              <w:rPr>
                <w:sz w:val="22"/>
                <w:szCs w:val="28"/>
              </w:rPr>
            </w:pPr>
            <w:r>
              <w:rPr>
                <w:sz w:val="22"/>
                <w:szCs w:val="28"/>
              </w:rPr>
              <w:t>每周一次</w:t>
            </w:r>
          </w:p>
        </w:tc>
        <w:tc>
          <w:tcPr>
            <w:tcW w:w="3435" w:type="dxa"/>
            <w:vAlign w:val="center"/>
          </w:tcPr>
          <w:p>
            <w:pPr>
              <w:widowControl/>
              <w:jc w:val="left"/>
              <w:rPr>
                <w:sz w:val="22"/>
                <w:szCs w:val="28"/>
              </w:rPr>
            </w:pPr>
            <w:r>
              <w:rPr>
                <w:sz w:val="22"/>
                <w:szCs w:val="28"/>
              </w:rPr>
              <w:t>不锈钢光亮剂全面保洁</w:t>
            </w:r>
          </w:p>
        </w:tc>
        <w:tc>
          <w:tcPr>
            <w:tcW w:w="2307" w:type="dxa"/>
            <w:vAlign w:val="center"/>
          </w:tcPr>
          <w:p>
            <w:pPr>
              <w:widowControl/>
              <w:jc w:val="left"/>
              <w:rPr>
                <w:sz w:val="22"/>
                <w:szCs w:val="28"/>
              </w:rPr>
            </w:pPr>
            <w:r>
              <w:rPr>
                <w:sz w:val="22"/>
                <w:szCs w:val="28"/>
              </w:rPr>
              <w:t>均匀有光泽</w:t>
            </w:r>
          </w:p>
        </w:tc>
        <w:tc>
          <w:tcPr>
            <w:tcW w:w="1497" w:type="dxa"/>
            <w:vMerge w:val="continue"/>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公共设施</w:t>
            </w:r>
          </w:p>
        </w:tc>
        <w:tc>
          <w:tcPr>
            <w:tcW w:w="1845" w:type="dxa"/>
            <w:vAlign w:val="center"/>
          </w:tcPr>
          <w:p>
            <w:pPr>
              <w:widowControl/>
              <w:jc w:val="left"/>
              <w:rPr>
                <w:sz w:val="22"/>
                <w:szCs w:val="28"/>
              </w:rPr>
            </w:pPr>
            <w:r>
              <w:rPr>
                <w:sz w:val="22"/>
                <w:szCs w:val="28"/>
              </w:rPr>
              <w:t>每日保洁</w:t>
            </w:r>
          </w:p>
        </w:tc>
        <w:tc>
          <w:tcPr>
            <w:tcW w:w="3435" w:type="dxa"/>
            <w:vAlign w:val="center"/>
          </w:tcPr>
          <w:p>
            <w:pPr>
              <w:widowControl/>
              <w:jc w:val="left"/>
              <w:rPr>
                <w:sz w:val="22"/>
                <w:szCs w:val="28"/>
              </w:rPr>
            </w:pPr>
            <w:r>
              <w:rPr>
                <w:sz w:val="22"/>
                <w:szCs w:val="28"/>
              </w:rPr>
              <w:t>每日用全能清洁剂1：64稀释溶液清洁一次</w:t>
            </w:r>
          </w:p>
        </w:tc>
        <w:tc>
          <w:tcPr>
            <w:tcW w:w="2307" w:type="dxa"/>
            <w:vAlign w:val="center"/>
          </w:tcPr>
          <w:p>
            <w:pPr>
              <w:widowControl/>
              <w:jc w:val="left"/>
              <w:rPr>
                <w:sz w:val="22"/>
                <w:szCs w:val="28"/>
              </w:rPr>
            </w:pPr>
            <w:r>
              <w:rPr>
                <w:sz w:val="22"/>
                <w:szCs w:val="28"/>
              </w:rPr>
              <w:t>无污渍，无积灰、无蜘蛛网</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病人等候区</w:t>
            </w:r>
          </w:p>
        </w:tc>
        <w:tc>
          <w:tcPr>
            <w:tcW w:w="1845" w:type="dxa"/>
            <w:vAlign w:val="center"/>
          </w:tcPr>
          <w:p>
            <w:pPr>
              <w:widowControl/>
              <w:jc w:val="left"/>
              <w:rPr>
                <w:sz w:val="22"/>
                <w:szCs w:val="28"/>
              </w:rPr>
            </w:pPr>
            <w:r>
              <w:rPr>
                <w:sz w:val="22"/>
                <w:szCs w:val="28"/>
              </w:rPr>
              <w:t>每日保洁</w:t>
            </w:r>
          </w:p>
        </w:tc>
        <w:tc>
          <w:tcPr>
            <w:tcW w:w="3435" w:type="dxa"/>
            <w:vAlign w:val="center"/>
          </w:tcPr>
          <w:p>
            <w:pPr>
              <w:widowControl/>
              <w:jc w:val="left"/>
              <w:rPr>
                <w:sz w:val="22"/>
                <w:szCs w:val="28"/>
              </w:rPr>
            </w:pPr>
            <w:r>
              <w:rPr>
                <w:sz w:val="22"/>
                <w:szCs w:val="28"/>
              </w:rPr>
              <w:t>等候椅每日用全能清洁剂1：64稀释溶液清洁，每日用1：50消毒剂消毒一次</w:t>
            </w:r>
          </w:p>
        </w:tc>
        <w:tc>
          <w:tcPr>
            <w:tcW w:w="2307" w:type="dxa"/>
            <w:vAlign w:val="center"/>
          </w:tcPr>
          <w:p>
            <w:pPr>
              <w:widowControl/>
              <w:jc w:val="left"/>
              <w:rPr>
                <w:sz w:val="22"/>
                <w:szCs w:val="28"/>
              </w:rPr>
            </w:pPr>
            <w:r>
              <w:rPr>
                <w:sz w:val="22"/>
                <w:szCs w:val="28"/>
              </w:rPr>
              <w:t>无垃圾、无浮灰、无烟蒂、无水迹</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诊察桌</w:t>
            </w:r>
          </w:p>
        </w:tc>
        <w:tc>
          <w:tcPr>
            <w:tcW w:w="1845" w:type="dxa"/>
            <w:vAlign w:val="center"/>
          </w:tcPr>
          <w:p>
            <w:pPr>
              <w:widowControl/>
              <w:jc w:val="left"/>
              <w:rPr>
                <w:sz w:val="22"/>
                <w:szCs w:val="28"/>
              </w:rPr>
            </w:pPr>
            <w:r>
              <w:rPr>
                <w:sz w:val="22"/>
                <w:szCs w:val="28"/>
              </w:rPr>
              <w:t>每日一次</w:t>
            </w:r>
          </w:p>
        </w:tc>
        <w:tc>
          <w:tcPr>
            <w:tcW w:w="3435" w:type="dxa"/>
            <w:vAlign w:val="center"/>
          </w:tcPr>
          <w:p>
            <w:pPr>
              <w:widowControl/>
              <w:jc w:val="left"/>
              <w:rPr>
                <w:sz w:val="22"/>
                <w:szCs w:val="28"/>
              </w:rPr>
            </w:pPr>
            <w:r>
              <w:rPr>
                <w:sz w:val="22"/>
                <w:szCs w:val="28"/>
              </w:rPr>
              <w:t>每日1:50消毒剂擦拭一次</w:t>
            </w:r>
          </w:p>
        </w:tc>
        <w:tc>
          <w:tcPr>
            <w:tcW w:w="2307" w:type="dxa"/>
            <w:vAlign w:val="center"/>
          </w:tcPr>
          <w:p>
            <w:pPr>
              <w:widowControl/>
              <w:jc w:val="left"/>
              <w:rPr>
                <w:sz w:val="22"/>
                <w:szCs w:val="28"/>
              </w:rPr>
            </w:pPr>
            <w:r>
              <w:rPr>
                <w:sz w:val="22"/>
                <w:szCs w:val="28"/>
              </w:rPr>
              <w:t>无积灰、无污渍</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Merge w:val="restart"/>
            <w:vAlign w:val="center"/>
          </w:tcPr>
          <w:p>
            <w:pPr>
              <w:widowControl/>
              <w:jc w:val="left"/>
              <w:rPr>
                <w:sz w:val="22"/>
                <w:szCs w:val="28"/>
              </w:rPr>
            </w:pPr>
            <w:r>
              <w:rPr>
                <w:sz w:val="22"/>
                <w:szCs w:val="28"/>
              </w:rPr>
              <w:t>床单位</w:t>
            </w:r>
          </w:p>
        </w:tc>
        <w:tc>
          <w:tcPr>
            <w:tcW w:w="1845" w:type="dxa"/>
            <w:vAlign w:val="center"/>
          </w:tcPr>
          <w:p>
            <w:pPr>
              <w:widowControl/>
              <w:jc w:val="left"/>
              <w:rPr>
                <w:sz w:val="22"/>
                <w:szCs w:val="28"/>
              </w:rPr>
            </w:pPr>
            <w:r>
              <w:rPr>
                <w:sz w:val="22"/>
                <w:szCs w:val="28"/>
              </w:rPr>
              <w:t>每日清洁一次</w:t>
            </w:r>
          </w:p>
        </w:tc>
        <w:tc>
          <w:tcPr>
            <w:tcW w:w="3435" w:type="dxa"/>
            <w:vAlign w:val="center"/>
          </w:tcPr>
          <w:p>
            <w:pPr>
              <w:widowControl/>
              <w:jc w:val="left"/>
              <w:rPr>
                <w:sz w:val="22"/>
                <w:szCs w:val="28"/>
              </w:rPr>
            </w:pPr>
            <w:r>
              <w:rPr>
                <w:sz w:val="22"/>
                <w:szCs w:val="28"/>
              </w:rPr>
              <w:t>每日用全能清洁剂1：64稀释溶液清洁一次</w:t>
            </w:r>
          </w:p>
        </w:tc>
        <w:tc>
          <w:tcPr>
            <w:tcW w:w="2307" w:type="dxa"/>
            <w:vMerge w:val="restart"/>
            <w:vAlign w:val="center"/>
          </w:tcPr>
          <w:p>
            <w:pPr>
              <w:widowControl/>
              <w:jc w:val="left"/>
              <w:rPr>
                <w:sz w:val="22"/>
                <w:szCs w:val="28"/>
              </w:rPr>
            </w:pPr>
            <w:r>
              <w:rPr>
                <w:sz w:val="22"/>
                <w:szCs w:val="28"/>
              </w:rPr>
              <w:t>无积灰、无污渍</w:t>
            </w:r>
          </w:p>
        </w:tc>
        <w:tc>
          <w:tcPr>
            <w:tcW w:w="1497" w:type="dxa"/>
            <w:vMerge w:val="restart"/>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Merge w:val="continue"/>
            <w:vAlign w:val="center"/>
          </w:tcPr>
          <w:p>
            <w:pPr>
              <w:widowControl/>
              <w:jc w:val="left"/>
              <w:rPr>
                <w:sz w:val="22"/>
                <w:szCs w:val="28"/>
              </w:rPr>
            </w:pPr>
          </w:p>
        </w:tc>
        <w:tc>
          <w:tcPr>
            <w:tcW w:w="1845" w:type="dxa"/>
            <w:vAlign w:val="center"/>
          </w:tcPr>
          <w:p>
            <w:pPr>
              <w:widowControl/>
              <w:jc w:val="left"/>
              <w:rPr>
                <w:sz w:val="22"/>
                <w:szCs w:val="28"/>
              </w:rPr>
            </w:pPr>
            <w:r>
              <w:rPr>
                <w:sz w:val="22"/>
                <w:szCs w:val="28"/>
              </w:rPr>
              <w:t>出院后终末消毒</w:t>
            </w:r>
          </w:p>
        </w:tc>
        <w:tc>
          <w:tcPr>
            <w:tcW w:w="3435" w:type="dxa"/>
            <w:vAlign w:val="center"/>
          </w:tcPr>
          <w:p>
            <w:pPr>
              <w:widowControl/>
              <w:jc w:val="left"/>
              <w:rPr>
                <w:sz w:val="22"/>
                <w:szCs w:val="28"/>
              </w:rPr>
            </w:pPr>
            <w:r>
              <w:rPr>
                <w:sz w:val="22"/>
                <w:szCs w:val="28"/>
              </w:rPr>
              <w:t>用1：50消毒剂拭床栏、床头柜、床档、凳子</w:t>
            </w:r>
          </w:p>
        </w:tc>
        <w:tc>
          <w:tcPr>
            <w:tcW w:w="2307" w:type="dxa"/>
            <w:vMerge w:val="continue"/>
            <w:vAlign w:val="center"/>
          </w:tcPr>
          <w:p>
            <w:pPr>
              <w:widowControl/>
              <w:jc w:val="left"/>
              <w:rPr>
                <w:sz w:val="22"/>
                <w:szCs w:val="28"/>
              </w:rPr>
            </w:pPr>
          </w:p>
        </w:tc>
        <w:tc>
          <w:tcPr>
            <w:tcW w:w="1497" w:type="dxa"/>
            <w:vMerge w:val="continue"/>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输液架</w:t>
            </w:r>
          </w:p>
        </w:tc>
        <w:tc>
          <w:tcPr>
            <w:tcW w:w="1845" w:type="dxa"/>
            <w:vAlign w:val="center"/>
          </w:tcPr>
          <w:p>
            <w:pPr>
              <w:widowControl/>
              <w:jc w:val="left"/>
              <w:rPr>
                <w:sz w:val="22"/>
                <w:szCs w:val="28"/>
              </w:rPr>
            </w:pPr>
            <w:r>
              <w:rPr>
                <w:sz w:val="22"/>
                <w:szCs w:val="28"/>
              </w:rPr>
              <w:t>每日一次</w:t>
            </w:r>
          </w:p>
        </w:tc>
        <w:tc>
          <w:tcPr>
            <w:tcW w:w="3435" w:type="dxa"/>
            <w:vAlign w:val="center"/>
          </w:tcPr>
          <w:p>
            <w:pPr>
              <w:widowControl/>
              <w:jc w:val="left"/>
              <w:rPr>
                <w:sz w:val="22"/>
                <w:szCs w:val="28"/>
              </w:rPr>
            </w:pPr>
            <w:r>
              <w:rPr>
                <w:sz w:val="22"/>
                <w:szCs w:val="28"/>
              </w:rPr>
              <w:t>每日用全能清洁剂1：64稀释溶液清洁一次</w:t>
            </w:r>
          </w:p>
        </w:tc>
        <w:tc>
          <w:tcPr>
            <w:tcW w:w="2307" w:type="dxa"/>
            <w:vAlign w:val="center"/>
          </w:tcPr>
          <w:p>
            <w:pPr>
              <w:widowControl/>
              <w:jc w:val="left"/>
              <w:rPr>
                <w:sz w:val="22"/>
                <w:szCs w:val="28"/>
              </w:rPr>
            </w:pPr>
            <w:r>
              <w:rPr>
                <w:sz w:val="22"/>
                <w:szCs w:val="28"/>
              </w:rPr>
              <w:t>无积灰、无污渍</w:t>
            </w:r>
          </w:p>
        </w:tc>
        <w:tc>
          <w:tcPr>
            <w:tcW w:w="1497" w:type="dxa"/>
            <w:vAlign w:val="center"/>
          </w:tcPr>
          <w:p>
            <w:pPr>
              <w:widowControl/>
              <w:jc w:val="left"/>
              <w:rPr>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pPr>
              <w:widowControl/>
              <w:jc w:val="left"/>
              <w:rPr>
                <w:sz w:val="22"/>
                <w:szCs w:val="28"/>
              </w:rPr>
            </w:pPr>
            <w:r>
              <w:rPr>
                <w:sz w:val="22"/>
                <w:szCs w:val="28"/>
              </w:rPr>
              <w:t>室内公共区域</w:t>
            </w:r>
          </w:p>
        </w:tc>
        <w:tc>
          <w:tcPr>
            <w:tcW w:w="1845" w:type="dxa"/>
            <w:vAlign w:val="center"/>
          </w:tcPr>
          <w:p>
            <w:pPr>
              <w:widowControl/>
              <w:jc w:val="left"/>
              <w:rPr>
                <w:sz w:val="22"/>
                <w:szCs w:val="28"/>
              </w:rPr>
            </w:pPr>
            <w:r>
              <w:rPr>
                <w:sz w:val="22"/>
                <w:szCs w:val="28"/>
              </w:rPr>
              <w:t>每日一次</w:t>
            </w:r>
          </w:p>
        </w:tc>
        <w:tc>
          <w:tcPr>
            <w:tcW w:w="3435" w:type="dxa"/>
            <w:vAlign w:val="center"/>
          </w:tcPr>
          <w:p>
            <w:pPr>
              <w:widowControl/>
              <w:jc w:val="left"/>
              <w:rPr>
                <w:sz w:val="22"/>
                <w:szCs w:val="28"/>
              </w:rPr>
            </w:pPr>
            <w:r>
              <w:rPr>
                <w:sz w:val="22"/>
                <w:szCs w:val="28"/>
              </w:rPr>
              <w:t>收集垃圾、清洁垃圾桶、换新垃圾袋；清扫地面垃圾。拖大厅、过道、走廊地面；清洁户墙、厅柱、盆景。擦拭窗台、窗框、木门；擦拭楼梯扶手、拖楼梯地面；清洁天花板及灯具</w:t>
            </w:r>
          </w:p>
        </w:tc>
        <w:tc>
          <w:tcPr>
            <w:tcW w:w="2307" w:type="dxa"/>
            <w:vAlign w:val="center"/>
          </w:tcPr>
          <w:p>
            <w:pPr>
              <w:widowControl/>
              <w:jc w:val="left"/>
              <w:rPr>
                <w:sz w:val="22"/>
                <w:szCs w:val="28"/>
              </w:rPr>
            </w:pPr>
            <w:r>
              <w:rPr>
                <w:sz w:val="22"/>
                <w:szCs w:val="28"/>
              </w:rPr>
              <w:t>无垃圾、无浮灰、无烟蒂、无水迹</w:t>
            </w:r>
          </w:p>
        </w:tc>
        <w:tc>
          <w:tcPr>
            <w:tcW w:w="1497" w:type="dxa"/>
            <w:vAlign w:val="center"/>
          </w:tcPr>
          <w:p>
            <w:pPr>
              <w:widowControl/>
              <w:jc w:val="left"/>
              <w:rPr>
                <w:sz w:val="22"/>
                <w:szCs w:val="28"/>
              </w:rPr>
            </w:pPr>
          </w:p>
        </w:tc>
      </w:tr>
    </w:tbl>
    <w:p>
      <w:pPr>
        <w:spacing w:line="360" w:lineRule="auto"/>
        <w:ind w:firstLine="448" w:firstLineChars="200"/>
        <w:rPr>
          <w:rFonts w:eastAsiaTheme="minorEastAsia"/>
          <w:sz w:val="24"/>
          <w:szCs w:val="24"/>
        </w:rPr>
      </w:pPr>
      <w:r>
        <w:rPr>
          <w:rFonts w:hint="eastAsia" w:eastAsiaTheme="minorEastAsia"/>
          <w:sz w:val="24"/>
          <w:szCs w:val="24"/>
        </w:rPr>
        <w:t>3.服务标准：符合医院院感的相关规定。</w:t>
      </w:r>
    </w:p>
    <w:p>
      <w:pPr>
        <w:spacing w:line="360" w:lineRule="auto"/>
        <w:ind w:firstLine="448" w:firstLineChars="200"/>
        <w:rPr>
          <w:rFonts w:eastAsiaTheme="minorEastAsia"/>
          <w:sz w:val="24"/>
          <w:szCs w:val="24"/>
        </w:rPr>
      </w:pPr>
      <w:r>
        <w:rPr>
          <w:rFonts w:hint="eastAsia" w:eastAsiaTheme="minorEastAsia"/>
          <w:sz w:val="24"/>
          <w:szCs w:val="24"/>
        </w:rPr>
        <w:t>（1）门急诊大厅、电梯厅、走廊清洁标准：</w:t>
      </w:r>
    </w:p>
    <w:p>
      <w:pPr>
        <w:spacing w:line="360" w:lineRule="auto"/>
        <w:ind w:firstLine="448" w:firstLineChars="200"/>
        <w:rPr>
          <w:rFonts w:eastAsiaTheme="minorEastAsia"/>
          <w:sz w:val="24"/>
          <w:szCs w:val="24"/>
        </w:rPr>
      </w:pPr>
      <w:r>
        <w:rPr>
          <w:rFonts w:hint="eastAsia" w:eastAsiaTheme="minorEastAsia"/>
          <w:sz w:val="24"/>
          <w:szCs w:val="24"/>
        </w:rPr>
        <w:t>①地面：地面保持干净,表面无尘土，做到无烟头、纸屑及任何垃圾、污物、痰渍等，地面有废弃杂物要及时清理、保洁，地面有血渍、污液时及时清洗并按消毒规范进行消毒处理。</w:t>
      </w:r>
    </w:p>
    <w:p>
      <w:pPr>
        <w:spacing w:line="360" w:lineRule="auto"/>
        <w:ind w:firstLine="448" w:firstLineChars="200"/>
        <w:rPr>
          <w:rFonts w:eastAsiaTheme="minorEastAsia"/>
          <w:sz w:val="24"/>
          <w:szCs w:val="24"/>
        </w:rPr>
      </w:pPr>
      <w:r>
        <w:rPr>
          <w:rFonts w:hint="eastAsia" w:eastAsiaTheme="minorEastAsia"/>
          <w:sz w:val="24"/>
          <w:szCs w:val="24"/>
        </w:rPr>
        <w:t>②墙壁：墙壁保持干净清洁、无尘土、污迹，3米以下手摸无明显灰尘、污迹、无青苔。</w:t>
      </w:r>
    </w:p>
    <w:p>
      <w:pPr>
        <w:spacing w:line="360" w:lineRule="auto"/>
        <w:ind w:firstLine="448" w:firstLineChars="200"/>
        <w:rPr>
          <w:rFonts w:eastAsiaTheme="minorEastAsia"/>
          <w:sz w:val="24"/>
          <w:szCs w:val="24"/>
        </w:rPr>
      </w:pPr>
      <w:r>
        <w:rPr>
          <w:rFonts w:hint="eastAsia" w:eastAsiaTheme="minorEastAsia"/>
          <w:sz w:val="24"/>
          <w:szCs w:val="24"/>
        </w:rPr>
        <w:t>③电梯：无尘土、光亮洁净、无任何印迹。按键面板：无尘土。</w:t>
      </w:r>
    </w:p>
    <w:p>
      <w:pPr>
        <w:spacing w:line="360" w:lineRule="auto"/>
        <w:ind w:firstLine="448" w:firstLineChars="200"/>
        <w:rPr>
          <w:rFonts w:eastAsiaTheme="minorEastAsia"/>
          <w:sz w:val="24"/>
          <w:szCs w:val="24"/>
        </w:rPr>
      </w:pPr>
      <w:r>
        <w:rPr>
          <w:rFonts w:hint="eastAsia" w:eastAsiaTheme="minorEastAsia"/>
          <w:sz w:val="24"/>
          <w:szCs w:val="24"/>
        </w:rPr>
        <w:t>④各房间门、通道门：应无尘土、污 迹。客梯厅顶部：定期清扫，每一月一次。不锈钢面：随时发现有脏、污立即清抹。</w:t>
      </w:r>
    </w:p>
    <w:p>
      <w:pPr>
        <w:spacing w:line="360" w:lineRule="auto"/>
        <w:ind w:firstLine="448" w:firstLineChars="200"/>
        <w:rPr>
          <w:rFonts w:eastAsiaTheme="minorEastAsia"/>
          <w:sz w:val="24"/>
          <w:szCs w:val="24"/>
        </w:rPr>
      </w:pPr>
      <w:r>
        <w:rPr>
          <w:rFonts w:hint="eastAsia" w:eastAsiaTheme="minorEastAsia"/>
          <w:sz w:val="24"/>
          <w:szCs w:val="24"/>
        </w:rPr>
        <w:t>⑤厅、道：无悬挂物，无灰尘，如有不当各类标识、广告及乱贴乱画要及时清理并不留污痕。</w:t>
      </w:r>
    </w:p>
    <w:p>
      <w:pPr>
        <w:spacing w:line="360" w:lineRule="auto"/>
        <w:ind w:firstLine="448" w:firstLineChars="200"/>
        <w:rPr>
          <w:rFonts w:eastAsiaTheme="minorEastAsia"/>
          <w:sz w:val="24"/>
          <w:szCs w:val="24"/>
        </w:rPr>
      </w:pPr>
      <w:r>
        <w:rPr>
          <w:rFonts w:hint="eastAsia" w:eastAsiaTheme="minorEastAsia"/>
          <w:sz w:val="24"/>
          <w:szCs w:val="24"/>
        </w:rPr>
        <w:t>⑥窗户：无尘土、污迹，玻璃洁净，每月擦拭一次。</w:t>
      </w:r>
    </w:p>
    <w:p>
      <w:pPr>
        <w:spacing w:line="360" w:lineRule="auto"/>
        <w:ind w:firstLine="448" w:firstLineChars="200"/>
        <w:rPr>
          <w:rFonts w:eastAsiaTheme="minorEastAsia"/>
          <w:sz w:val="24"/>
          <w:szCs w:val="24"/>
        </w:rPr>
      </w:pPr>
      <w:r>
        <w:rPr>
          <w:rFonts w:hint="eastAsia" w:eastAsiaTheme="minorEastAsia"/>
          <w:sz w:val="24"/>
          <w:szCs w:val="24"/>
        </w:rPr>
        <w:t>⑦垃圾箱内垃圾每天及时清倒,箱内垃圾不得超过垃圾箱三分之二，无异味,符合消毒规范。</w:t>
      </w:r>
    </w:p>
    <w:p>
      <w:pPr>
        <w:spacing w:line="360" w:lineRule="auto"/>
        <w:ind w:firstLine="448" w:firstLineChars="200"/>
        <w:rPr>
          <w:rFonts w:eastAsiaTheme="minorEastAsia"/>
          <w:sz w:val="24"/>
          <w:szCs w:val="24"/>
        </w:rPr>
      </w:pPr>
      <w:r>
        <w:rPr>
          <w:rFonts w:hint="eastAsia" w:eastAsiaTheme="minorEastAsia"/>
          <w:sz w:val="24"/>
          <w:szCs w:val="24"/>
        </w:rPr>
        <w:t>⑧清扫、清洗地面及公共附设物时无扬尘及无超国家规定的人体承受噪声。</w:t>
      </w:r>
    </w:p>
    <w:p>
      <w:pPr>
        <w:spacing w:line="360" w:lineRule="auto"/>
        <w:ind w:firstLine="448" w:firstLineChars="200"/>
        <w:rPr>
          <w:rFonts w:eastAsiaTheme="minorEastAsia"/>
          <w:sz w:val="24"/>
          <w:szCs w:val="24"/>
        </w:rPr>
      </w:pPr>
      <w:r>
        <w:rPr>
          <w:rFonts w:hint="eastAsia" w:eastAsiaTheme="minorEastAsia"/>
          <w:sz w:val="24"/>
          <w:szCs w:val="24"/>
        </w:rPr>
        <w:t>（2）卫生间清洁标准：</w:t>
      </w:r>
    </w:p>
    <w:p>
      <w:pPr>
        <w:spacing w:line="360" w:lineRule="auto"/>
        <w:ind w:firstLine="448" w:firstLineChars="200"/>
        <w:rPr>
          <w:rFonts w:eastAsiaTheme="minorEastAsia"/>
          <w:sz w:val="24"/>
          <w:szCs w:val="24"/>
        </w:rPr>
      </w:pPr>
      <w:r>
        <w:rPr>
          <w:rFonts w:hint="eastAsia" w:eastAsiaTheme="minorEastAsia"/>
          <w:sz w:val="24"/>
          <w:szCs w:val="24"/>
        </w:rPr>
        <w:t>①地面：无尘土、碎纸、垃圾、无积水、无污迹。</w:t>
      </w:r>
    </w:p>
    <w:p>
      <w:pPr>
        <w:spacing w:line="360" w:lineRule="auto"/>
        <w:ind w:firstLine="448" w:firstLineChars="200"/>
        <w:rPr>
          <w:rFonts w:eastAsiaTheme="minorEastAsia"/>
          <w:sz w:val="24"/>
          <w:szCs w:val="24"/>
        </w:rPr>
      </w:pPr>
      <w:r>
        <w:rPr>
          <w:rFonts w:hint="eastAsia" w:eastAsiaTheme="minorEastAsia"/>
          <w:sz w:val="24"/>
          <w:szCs w:val="24"/>
        </w:rPr>
        <w:t>②洗手池：池壁无污垢。无痰迹及头发等不洁物。</w:t>
      </w:r>
    </w:p>
    <w:p>
      <w:pPr>
        <w:spacing w:line="360" w:lineRule="auto"/>
        <w:ind w:firstLine="448" w:firstLineChars="200"/>
        <w:rPr>
          <w:rFonts w:eastAsiaTheme="minorEastAsia"/>
          <w:sz w:val="24"/>
          <w:szCs w:val="24"/>
        </w:rPr>
      </w:pPr>
      <w:r>
        <w:rPr>
          <w:rFonts w:hint="eastAsia" w:eastAsiaTheme="minorEastAsia"/>
          <w:sz w:val="24"/>
          <w:szCs w:val="24"/>
        </w:rPr>
        <w:t>③水龙头：无任何污垢，洁净。</w:t>
      </w:r>
    </w:p>
    <w:p>
      <w:pPr>
        <w:spacing w:line="360" w:lineRule="auto"/>
        <w:ind w:firstLine="448" w:firstLineChars="200"/>
        <w:rPr>
          <w:rFonts w:eastAsiaTheme="minorEastAsia"/>
          <w:sz w:val="24"/>
          <w:szCs w:val="24"/>
        </w:rPr>
      </w:pPr>
      <w:r>
        <w:rPr>
          <w:rFonts w:hint="eastAsia" w:eastAsiaTheme="minorEastAsia"/>
          <w:sz w:val="24"/>
          <w:szCs w:val="24"/>
        </w:rPr>
        <w:t>④洗手池台面：无水迹、无尘土、无污物。</w:t>
      </w:r>
    </w:p>
    <w:p>
      <w:pPr>
        <w:spacing w:line="360" w:lineRule="auto"/>
        <w:ind w:firstLine="448" w:firstLineChars="200"/>
        <w:rPr>
          <w:rFonts w:eastAsiaTheme="minorEastAsia"/>
          <w:sz w:val="24"/>
          <w:szCs w:val="24"/>
        </w:rPr>
      </w:pPr>
      <w:r>
        <w:rPr>
          <w:rFonts w:hint="eastAsia" w:eastAsiaTheme="minorEastAsia"/>
          <w:sz w:val="24"/>
          <w:szCs w:val="24"/>
        </w:rPr>
        <w:t>⑤镜面：无水点、水迹、尘土、污迹</w:t>
      </w:r>
    </w:p>
    <w:p>
      <w:pPr>
        <w:spacing w:line="360" w:lineRule="auto"/>
        <w:ind w:firstLine="448" w:firstLineChars="200"/>
        <w:rPr>
          <w:rFonts w:eastAsiaTheme="minorEastAsia"/>
          <w:sz w:val="24"/>
          <w:szCs w:val="24"/>
        </w:rPr>
      </w:pPr>
      <w:r>
        <w:rPr>
          <w:rFonts w:hint="eastAsia" w:eastAsiaTheme="minorEastAsia"/>
          <w:sz w:val="24"/>
          <w:szCs w:val="24"/>
        </w:rPr>
        <w:t>⑥小便器：无尿碱、水锈印迹（黄迹）无污垢、喷水嘴应洁净。</w:t>
      </w:r>
    </w:p>
    <w:p>
      <w:pPr>
        <w:spacing w:line="360" w:lineRule="auto"/>
        <w:ind w:firstLine="448" w:firstLineChars="200"/>
        <w:rPr>
          <w:rFonts w:eastAsiaTheme="minorEastAsia"/>
          <w:sz w:val="24"/>
          <w:szCs w:val="24"/>
        </w:rPr>
      </w:pPr>
      <w:r>
        <w:rPr>
          <w:rFonts w:hint="eastAsia" w:eastAsiaTheme="minorEastAsia"/>
          <w:sz w:val="24"/>
          <w:szCs w:val="24"/>
        </w:rPr>
        <w:t>⑦大便器：内外洁净，无大便遗迹，无污垢黄迹。</w:t>
      </w:r>
    </w:p>
    <w:p>
      <w:pPr>
        <w:spacing w:line="360" w:lineRule="auto"/>
        <w:ind w:firstLine="448" w:firstLineChars="200"/>
        <w:rPr>
          <w:rFonts w:eastAsiaTheme="minorEastAsia"/>
          <w:sz w:val="24"/>
          <w:szCs w:val="24"/>
        </w:rPr>
      </w:pPr>
      <w:r>
        <w:rPr>
          <w:rFonts w:hint="eastAsia" w:eastAsiaTheme="minorEastAsia"/>
          <w:sz w:val="24"/>
          <w:szCs w:val="24"/>
        </w:rPr>
        <w:t>⑧纸篓：污物量不得超过桶体2/3，且每日倾倒保持外表干净。</w:t>
      </w:r>
    </w:p>
    <w:p>
      <w:pPr>
        <w:spacing w:line="360" w:lineRule="auto"/>
        <w:ind w:firstLine="448" w:firstLineChars="200"/>
        <w:rPr>
          <w:rFonts w:eastAsiaTheme="minorEastAsia"/>
          <w:sz w:val="24"/>
          <w:szCs w:val="24"/>
        </w:rPr>
      </w:pPr>
      <w:r>
        <w:rPr>
          <w:rFonts w:hint="eastAsia" w:eastAsiaTheme="minorEastAsia"/>
          <w:sz w:val="24"/>
          <w:szCs w:val="24"/>
        </w:rPr>
        <w:t>⑨隔板：无尘土、污迹、无手印每天清抹，清洁剂、清扫工具等应按指定位置放置。</w:t>
      </w:r>
    </w:p>
    <w:p>
      <w:pPr>
        <w:spacing w:line="360" w:lineRule="auto"/>
        <w:ind w:firstLine="448" w:firstLineChars="200"/>
        <w:rPr>
          <w:rFonts w:eastAsiaTheme="minorEastAsia"/>
          <w:sz w:val="24"/>
          <w:szCs w:val="24"/>
        </w:rPr>
      </w:pPr>
      <w:r>
        <w:rPr>
          <w:rFonts w:hint="eastAsia" w:eastAsiaTheme="minorEastAsia"/>
          <w:sz w:val="24"/>
          <w:szCs w:val="24"/>
        </w:rPr>
        <w:t>（3）办公室清洁标准：</w:t>
      </w:r>
    </w:p>
    <w:p>
      <w:pPr>
        <w:spacing w:line="360" w:lineRule="auto"/>
        <w:ind w:firstLine="448" w:firstLineChars="200"/>
        <w:rPr>
          <w:rFonts w:eastAsiaTheme="minorEastAsia"/>
          <w:sz w:val="24"/>
          <w:szCs w:val="24"/>
        </w:rPr>
      </w:pPr>
      <w:r>
        <w:rPr>
          <w:rFonts w:hint="eastAsia" w:eastAsiaTheme="minorEastAsia"/>
          <w:sz w:val="24"/>
          <w:szCs w:val="24"/>
        </w:rPr>
        <w:t>①地面：无尘土、污迹、烟头、垃圾。</w:t>
      </w:r>
    </w:p>
    <w:p>
      <w:pPr>
        <w:spacing w:line="360" w:lineRule="auto"/>
        <w:ind w:firstLine="448" w:firstLineChars="200"/>
        <w:rPr>
          <w:rFonts w:eastAsiaTheme="minorEastAsia"/>
          <w:sz w:val="24"/>
          <w:szCs w:val="24"/>
        </w:rPr>
      </w:pPr>
      <w:r>
        <w:rPr>
          <w:rFonts w:hint="eastAsia" w:eastAsiaTheme="minorEastAsia"/>
          <w:sz w:val="24"/>
          <w:szCs w:val="24"/>
        </w:rPr>
        <w:t>②墙壁：无尘土、污迹。</w:t>
      </w:r>
    </w:p>
    <w:p>
      <w:pPr>
        <w:spacing w:line="360" w:lineRule="auto"/>
        <w:ind w:firstLine="448" w:firstLineChars="200"/>
        <w:rPr>
          <w:rFonts w:eastAsiaTheme="minorEastAsia"/>
          <w:sz w:val="24"/>
          <w:szCs w:val="24"/>
        </w:rPr>
      </w:pPr>
      <w:r>
        <w:rPr>
          <w:rFonts w:hint="eastAsia" w:eastAsiaTheme="minorEastAsia"/>
          <w:sz w:val="24"/>
          <w:szCs w:val="24"/>
        </w:rPr>
        <w:t>③门：无尘土、污迹、拉手洁净。</w:t>
      </w:r>
    </w:p>
    <w:p>
      <w:pPr>
        <w:spacing w:line="360" w:lineRule="auto"/>
        <w:ind w:firstLine="448" w:firstLineChars="200"/>
        <w:rPr>
          <w:rFonts w:eastAsiaTheme="minorEastAsia"/>
          <w:sz w:val="24"/>
          <w:szCs w:val="24"/>
        </w:rPr>
      </w:pPr>
      <w:r>
        <w:rPr>
          <w:rFonts w:hint="eastAsia" w:eastAsiaTheme="minorEastAsia"/>
          <w:sz w:val="24"/>
          <w:szCs w:val="24"/>
        </w:rPr>
        <w:t>④窗：无尘土、污迹，玻璃洁净，每月擦拭一次。</w:t>
      </w:r>
    </w:p>
    <w:p>
      <w:pPr>
        <w:spacing w:line="360" w:lineRule="auto"/>
        <w:ind w:firstLine="448" w:firstLineChars="200"/>
        <w:rPr>
          <w:rFonts w:eastAsiaTheme="minorEastAsia"/>
          <w:sz w:val="24"/>
          <w:szCs w:val="24"/>
        </w:rPr>
      </w:pPr>
      <w:r>
        <w:rPr>
          <w:rFonts w:hint="eastAsia" w:eastAsiaTheme="minorEastAsia"/>
          <w:sz w:val="24"/>
          <w:szCs w:val="24"/>
        </w:rPr>
        <w:t>⑤拉手：洁净、随时清洁，保持洁净，每天消毒一次。</w:t>
      </w:r>
    </w:p>
    <w:p>
      <w:pPr>
        <w:spacing w:line="360" w:lineRule="auto"/>
        <w:ind w:firstLine="448" w:firstLineChars="200"/>
        <w:rPr>
          <w:rFonts w:eastAsiaTheme="minorEastAsia"/>
          <w:sz w:val="24"/>
          <w:szCs w:val="24"/>
        </w:rPr>
      </w:pPr>
      <w:r>
        <w:rPr>
          <w:rFonts w:hint="eastAsia" w:eastAsiaTheme="minorEastAsia"/>
          <w:sz w:val="24"/>
          <w:szCs w:val="24"/>
        </w:rPr>
        <w:t>⑥洗手盆：无污迹、龙头无污垢。</w:t>
      </w:r>
    </w:p>
    <w:p>
      <w:pPr>
        <w:spacing w:line="360" w:lineRule="auto"/>
        <w:ind w:firstLine="448" w:firstLineChars="200"/>
        <w:rPr>
          <w:rFonts w:eastAsiaTheme="minorEastAsia"/>
          <w:sz w:val="24"/>
          <w:szCs w:val="24"/>
        </w:rPr>
      </w:pPr>
      <w:r>
        <w:rPr>
          <w:rFonts w:hint="eastAsia" w:eastAsiaTheme="minorEastAsia"/>
          <w:sz w:val="24"/>
          <w:szCs w:val="24"/>
        </w:rPr>
        <w:t>（4）楼梯清洁标准：</w:t>
      </w:r>
    </w:p>
    <w:p>
      <w:pPr>
        <w:spacing w:line="360" w:lineRule="auto"/>
        <w:ind w:firstLine="448" w:firstLineChars="200"/>
        <w:rPr>
          <w:rFonts w:eastAsiaTheme="minorEastAsia"/>
          <w:sz w:val="24"/>
          <w:szCs w:val="24"/>
        </w:rPr>
      </w:pPr>
      <w:r>
        <w:rPr>
          <w:rFonts w:hint="eastAsia" w:eastAsiaTheme="minorEastAsia"/>
          <w:sz w:val="24"/>
          <w:szCs w:val="24"/>
        </w:rPr>
        <w:t>①地面：无尘土、烟头、痰迹及垃圾杂物。</w:t>
      </w:r>
    </w:p>
    <w:p>
      <w:pPr>
        <w:spacing w:line="360" w:lineRule="auto"/>
        <w:ind w:firstLine="448" w:firstLineChars="200"/>
        <w:rPr>
          <w:rFonts w:eastAsiaTheme="minorEastAsia"/>
          <w:sz w:val="24"/>
          <w:szCs w:val="24"/>
        </w:rPr>
      </w:pPr>
      <w:r>
        <w:rPr>
          <w:rFonts w:hint="eastAsia" w:eastAsiaTheme="minorEastAsia"/>
          <w:sz w:val="24"/>
          <w:szCs w:val="24"/>
        </w:rPr>
        <w:t>②扶手：无尘土。</w:t>
      </w:r>
    </w:p>
    <w:p>
      <w:pPr>
        <w:spacing w:line="360" w:lineRule="auto"/>
        <w:ind w:firstLine="448" w:firstLineChars="200"/>
        <w:rPr>
          <w:rFonts w:eastAsiaTheme="minorEastAsia"/>
          <w:sz w:val="24"/>
          <w:szCs w:val="24"/>
        </w:rPr>
      </w:pPr>
      <w:r>
        <w:rPr>
          <w:rFonts w:hint="eastAsia" w:eastAsiaTheme="minorEastAsia"/>
          <w:sz w:val="24"/>
          <w:szCs w:val="24"/>
        </w:rPr>
        <w:t>③消防设备：表面无尘土。</w:t>
      </w:r>
    </w:p>
    <w:p>
      <w:pPr>
        <w:spacing w:line="360" w:lineRule="auto"/>
        <w:ind w:firstLine="448" w:firstLineChars="200"/>
        <w:rPr>
          <w:rFonts w:eastAsiaTheme="minorEastAsia"/>
          <w:sz w:val="24"/>
          <w:szCs w:val="24"/>
        </w:rPr>
      </w:pPr>
      <w:r>
        <w:rPr>
          <w:rFonts w:hint="eastAsia" w:eastAsiaTheme="minorEastAsia"/>
          <w:sz w:val="24"/>
          <w:szCs w:val="24"/>
        </w:rPr>
        <w:t>（5）临床科室清洁标准：</w:t>
      </w:r>
    </w:p>
    <w:p>
      <w:pPr>
        <w:spacing w:line="360" w:lineRule="auto"/>
        <w:ind w:firstLine="448" w:firstLineChars="200"/>
        <w:rPr>
          <w:rFonts w:eastAsiaTheme="minorEastAsia"/>
          <w:sz w:val="24"/>
          <w:szCs w:val="24"/>
        </w:rPr>
      </w:pPr>
      <w:r>
        <w:rPr>
          <w:rFonts w:hint="eastAsia" w:eastAsiaTheme="minorEastAsia"/>
          <w:sz w:val="24"/>
          <w:szCs w:val="24"/>
        </w:rPr>
        <w:t>①各类手术室、注射室、治疗室、候诊区、诊室等污染区域每天按规定全面清洁并做好保洁工作,保持室内设备及用具的整齐清洁,手摸无尘迹。如遇特殊情况；病区内紫外线消毒灯 每周擦拭一次。</w:t>
      </w:r>
    </w:p>
    <w:p>
      <w:pPr>
        <w:spacing w:line="360" w:lineRule="auto"/>
        <w:ind w:firstLine="448" w:firstLineChars="200"/>
        <w:rPr>
          <w:rFonts w:eastAsiaTheme="minorEastAsia"/>
          <w:sz w:val="24"/>
          <w:szCs w:val="24"/>
        </w:rPr>
      </w:pPr>
      <w:r>
        <w:rPr>
          <w:rFonts w:hint="eastAsia" w:eastAsiaTheme="minorEastAsia"/>
          <w:sz w:val="24"/>
          <w:szCs w:val="24"/>
        </w:rPr>
        <w:t>②临床区域的洗手盆、卫生间每天全面清洁、清理,无水渍、污渍，无异味，无卫生死角。其余时间进行巡回保洁,预防产生异味。</w:t>
      </w:r>
    </w:p>
    <w:p>
      <w:pPr>
        <w:spacing w:line="360" w:lineRule="auto"/>
        <w:ind w:firstLine="448" w:firstLineChars="200"/>
        <w:rPr>
          <w:rFonts w:eastAsiaTheme="minorEastAsia"/>
          <w:sz w:val="24"/>
          <w:szCs w:val="24"/>
        </w:rPr>
      </w:pPr>
      <w:r>
        <w:rPr>
          <w:rFonts w:hint="eastAsia" w:eastAsiaTheme="minorEastAsia"/>
          <w:sz w:val="24"/>
          <w:szCs w:val="24"/>
        </w:rPr>
        <w:t>③手术区域：及时倾倒垃圾，室内无污迹，环境清洁整齐。</w:t>
      </w:r>
    </w:p>
    <w:p>
      <w:pPr>
        <w:spacing w:line="360" w:lineRule="auto"/>
        <w:ind w:firstLine="448" w:firstLineChars="200"/>
        <w:rPr>
          <w:rFonts w:eastAsiaTheme="minorEastAsia"/>
          <w:sz w:val="24"/>
          <w:szCs w:val="24"/>
        </w:rPr>
      </w:pPr>
      <w:r>
        <w:rPr>
          <w:rFonts w:hint="eastAsia" w:eastAsiaTheme="minorEastAsia"/>
          <w:sz w:val="24"/>
          <w:szCs w:val="24"/>
        </w:rPr>
        <w:t>4．其他：</w:t>
      </w:r>
    </w:p>
    <w:p>
      <w:pPr>
        <w:spacing w:line="360" w:lineRule="auto"/>
        <w:ind w:firstLine="448" w:firstLineChars="200"/>
        <w:rPr>
          <w:rFonts w:eastAsiaTheme="minorEastAsia"/>
          <w:sz w:val="24"/>
          <w:szCs w:val="24"/>
        </w:rPr>
      </w:pPr>
      <w:r>
        <w:rPr>
          <w:rFonts w:hint="eastAsia" w:eastAsiaTheme="minorEastAsia"/>
          <w:sz w:val="24"/>
          <w:szCs w:val="24"/>
        </w:rPr>
        <w:t>（1）当清运医疗垃圾发生锐器意外刺伤时，能启动相关应急预案进行初步处理，同时报告医院医务科和院感染办并填写登记表。</w:t>
      </w:r>
    </w:p>
    <w:p>
      <w:pPr>
        <w:spacing w:line="360" w:lineRule="auto"/>
        <w:ind w:firstLine="448" w:firstLineChars="200"/>
        <w:rPr>
          <w:rFonts w:eastAsiaTheme="minorEastAsia"/>
          <w:sz w:val="24"/>
          <w:szCs w:val="24"/>
        </w:rPr>
      </w:pPr>
      <w:r>
        <w:rPr>
          <w:rFonts w:hint="eastAsia" w:eastAsiaTheme="minorEastAsia"/>
          <w:sz w:val="24"/>
          <w:szCs w:val="24"/>
        </w:rPr>
        <w:t>（2）当发生重大事件时能及时向医院相关部门报告，并及时协调应对本部门工作有序保障医疗环境。</w:t>
      </w:r>
    </w:p>
    <w:p>
      <w:pPr>
        <w:spacing w:line="360" w:lineRule="auto"/>
        <w:ind w:firstLine="448" w:firstLineChars="200"/>
        <w:rPr>
          <w:rFonts w:eastAsiaTheme="minorEastAsia"/>
          <w:sz w:val="24"/>
          <w:szCs w:val="24"/>
        </w:rPr>
      </w:pPr>
      <w:r>
        <w:rPr>
          <w:rFonts w:hint="eastAsia" w:eastAsiaTheme="minorEastAsia"/>
          <w:sz w:val="24"/>
          <w:szCs w:val="24"/>
        </w:rPr>
        <w:t>（3）在进行湿拖、雨天时要在作业区醒目位置放置告示牌防止病人滑倒或绊倒。</w:t>
      </w:r>
    </w:p>
    <w:p>
      <w:pPr>
        <w:spacing w:line="360" w:lineRule="auto"/>
        <w:ind w:firstLine="448" w:firstLineChars="200"/>
        <w:rPr>
          <w:rFonts w:eastAsiaTheme="minorEastAsia"/>
          <w:sz w:val="24"/>
          <w:szCs w:val="24"/>
        </w:rPr>
      </w:pPr>
      <w:r>
        <w:rPr>
          <w:rFonts w:hint="eastAsia" w:eastAsiaTheme="minorEastAsia"/>
          <w:sz w:val="24"/>
          <w:szCs w:val="24"/>
        </w:rPr>
        <w:t>（4）当发生极端天气时（如降雨、降雪、高低温），能主动启动应急预案，配合相关部门开展应急处置，及时上报相关部门。</w:t>
      </w:r>
    </w:p>
    <w:p>
      <w:pPr>
        <w:spacing w:line="360" w:lineRule="auto"/>
        <w:ind w:firstLine="448" w:firstLineChars="200"/>
        <w:rPr>
          <w:rFonts w:eastAsiaTheme="minorEastAsia"/>
          <w:sz w:val="24"/>
          <w:szCs w:val="24"/>
        </w:rPr>
      </w:pPr>
      <w:r>
        <w:rPr>
          <w:rFonts w:hint="eastAsia" w:eastAsiaTheme="minorEastAsia"/>
          <w:sz w:val="24"/>
          <w:szCs w:val="24"/>
        </w:rPr>
        <w:t>（二）秩序维护</w:t>
      </w:r>
    </w:p>
    <w:p>
      <w:pPr>
        <w:spacing w:line="360" w:lineRule="auto"/>
        <w:ind w:firstLine="448" w:firstLineChars="200"/>
        <w:rPr>
          <w:rFonts w:eastAsiaTheme="minorEastAsia"/>
          <w:sz w:val="24"/>
          <w:szCs w:val="24"/>
        </w:rPr>
      </w:pPr>
      <w:r>
        <w:rPr>
          <w:rFonts w:hint="eastAsia" w:eastAsiaTheme="minorEastAsia"/>
          <w:sz w:val="24"/>
          <w:szCs w:val="24"/>
        </w:rPr>
        <w:t>1.秩序维护管理</w:t>
      </w:r>
    </w:p>
    <w:p>
      <w:pPr>
        <w:spacing w:line="360" w:lineRule="auto"/>
        <w:ind w:firstLine="448" w:firstLineChars="200"/>
        <w:rPr>
          <w:rFonts w:eastAsiaTheme="minorEastAsia"/>
          <w:sz w:val="24"/>
          <w:szCs w:val="24"/>
        </w:rPr>
      </w:pPr>
      <w:r>
        <w:rPr>
          <w:rFonts w:hint="eastAsia" w:eastAsiaTheme="minorEastAsia"/>
          <w:sz w:val="24"/>
          <w:szCs w:val="24"/>
        </w:rPr>
        <w:t>（1）服务内容</w:t>
      </w:r>
    </w:p>
    <w:p>
      <w:pPr>
        <w:spacing w:line="360" w:lineRule="auto"/>
        <w:ind w:firstLine="448" w:firstLineChars="200"/>
        <w:rPr>
          <w:rFonts w:eastAsiaTheme="minorEastAsia"/>
          <w:sz w:val="24"/>
          <w:szCs w:val="24"/>
        </w:rPr>
      </w:pPr>
      <w:r>
        <w:rPr>
          <w:rFonts w:hint="eastAsia" w:eastAsiaTheme="minorEastAsia"/>
          <w:sz w:val="24"/>
          <w:szCs w:val="24"/>
        </w:rPr>
        <w:t>负责院落、楼内、美沙酮门诊、住院部及院周边责任区内巡逻工作。</w:t>
      </w:r>
    </w:p>
    <w:p>
      <w:pPr>
        <w:spacing w:line="360" w:lineRule="auto"/>
        <w:ind w:firstLine="448" w:firstLineChars="200"/>
        <w:rPr>
          <w:rFonts w:eastAsiaTheme="minorEastAsia"/>
          <w:sz w:val="24"/>
          <w:szCs w:val="24"/>
        </w:rPr>
      </w:pPr>
      <w:r>
        <w:rPr>
          <w:rFonts w:hint="eastAsia" w:eastAsiaTheme="minorEastAsia"/>
          <w:sz w:val="24"/>
          <w:szCs w:val="24"/>
        </w:rPr>
        <w:t>（2）服务标准</w:t>
      </w:r>
    </w:p>
    <w:p>
      <w:pPr>
        <w:spacing w:line="360" w:lineRule="auto"/>
        <w:ind w:firstLine="448" w:firstLineChars="200"/>
        <w:rPr>
          <w:rFonts w:eastAsiaTheme="minorEastAsia"/>
          <w:sz w:val="24"/>
          <w:szCs w:val="24"/>
        </w:rPr>
      </w:pPr>
      <w:r>
        <w:rPr>
          <w:rFonts w:hint="eastAsia" w:eastAsiaTheme="minorEastAsia"/>
          <w:sz w:val="24"/>
          <w:szCs w:val="24"/>
        </w:rPr>
        <w:t>①按照公安部门的规定并结合我院实际情况设置秩序维护人员架构。</w:t>
      </w:r>
    </w:p>
    <w:p>
      <w:pPr>
        <w:spacing w:line="360" w:lineRule="auto"/>
        <w:ind w:firstLine="448" w:firstLineChars="200"/>
        <w:rPr>
          <w:rFonts w:eastAsiaTheme="minorEastAsia"/>
          <w:sz w:val="24"/>
          <w:szCs w:val="24"/>
        </w:rPr>
      </w:pPr>
      <w:r>
        <w:rPr>
          <w:rFonts w:hint="eastAsia" w:eastAsiaTheme="minorEastAsia"/>
          <w:sz w:val="24"/>
          <w:szCs w:val="24"/>
        </w:rPr>
        <w:t>②有完善的秩序维护管理制度和工作程序。</w:t>
      </w:r>
    </w:p>
    <w:p>
      <w:pPr>
        <w:spacing w:line="360" w:lineRule="auto"/>
        <w:ind w:firstLine="448" w:firstLineChars="200"/>
        <w:rPr>
          <w:rFonts w:eastAsiaTheme="minorEastAsia"/>
          <w:sz w:val="24"/>
          <w:szCs w:val="24"/>
        </w:rPr>
      </w:pPr>
      <w:r>
        <w:rPr>
          <w:rFonts w:hint="eastAsia" w:eastAsiaTheme="minorEastAsia"/>
          <w:sz w:val="24"/>
          <w:szCs w:val="24"/>
        </w:rPr>
        <w:t>③高效的巡视和值班制度：秩序维护员24小时巡视、值班，两个值班点位：大门24小时值班，美沙酮门诊17点至次日8点夜班。</w:t>
      </w:r>
    </w:p>
    <w:p>
      <w:pPr>
        <w:spacing w:line="360" w:lineRule="auto"/>
        <w:ind w:firstLine="448" w:firstLineChars="200"/>
        <w:rPr>
          <w:rFonts w:eastAsiaTheme="minorEastAsia"/>
          <w:sz w:val="24"/>
          <w:szCs w:val="24"/>
        </w:rPr>
      </w:pPr>
      <w:r>
        <w:rPr>
          <w:rFonts w:hint="eastAsia" w:eastAsiaTheme="minorEastAsia"/>
          <w:sz w:val="24"/>
          <w:szCs w:val="24"/>
        </w:rPr>
        <w:t>④门卫基本要求：友善与威严共存，服务与警卫共举，简单咨询、引导服务、为就诊患者提供必要的帮助。进行车辆疏导，机动车、自行车等车辆有序进入及停放，抬杆门禁系统规范管理。</w:t>
      </w:r>
    </w:p>
    <w:p>
      <w:pPr>
        <w:spacing w:line="360" w:lineRule="auto"/>
        <w:ind w:firstLine="448" w:firstLineChars="200"/>
        <w:rPr>
          <w:rFonts w:eastAsiaTheme="minorEastAsia"/>
          <w:sz w:val="24"/>
          <w:szCs w:val="24"/>
        </w:rPr>
      </w:pPr>
      <w:r>
        <w:rPr>
          <w:rFonts w:hint="eastAsia" w:eastAsiaTheme="minorEastAsia"/>
          <w:sz w:val="24"/>
          <w:szCs w:val="24"/>
        </w:rPr>
        <w:t>⑤巡逻：明确人员巡逻范围，巡逻方式为定时与不定时。</w:t>
      </w:r>
    </w:p>
    <w:p>
      <w:pPr>
        <w:spacing w:line="360" w:lineRule="auto"/>
        <w:ind w:firstLine="448" w:firstLineChars="200"/>
        <w:rPr>
          <w:rFonts w:eastAsiaTheme="minorEastAsia"/>
          <w:sz w:val="24"/>
          <w:szCs w:val="24"/>
        </w:rPr>
      </w:pPr>
      <w:r>
        <w:rPr>
          <w:rFonts w:hint="eastAsia" w:eastAsiaTheme="minorEastAsia"/>
          <w:sz w:val="24"/>
          <w:szCs w:val="24"/>
        </w:rPr>
        <w:t>⑥巡逻方式：定时与不定时、着制服与着便装相结合。</w:t>
      </w:r>
    </w:p>
    <w:p>
      <w:pPr>
        <w:spacing w:line="360" w:lineRule="auto"/>
        <w:ind w:firstLine="448" w:firstLineChars="200"/>
        <w:rPr>
          <w:rFonts w:eastAsiaTheme="minorEastAsia"/>
          <w:sz w:val="24"/>
          <w:szCs w:val="24"/>
        </w:rPr>
      </w:pPr>
      <w:r>
        <w:rPr>
          <w:rFonts w:hint="eastAsia" w:eastAsiaTheme="minorEastAsia"/>
          <w:sz w:val="24"/>
          <w:szCs w:val="24"/>
        </w:rPr>
        <w:t>⑦结合医院情况，制定切实可行的各类突发事件应急处理预案，并定期进行演练，发生突发事件能够做到及时有效处理。</w:t>
      </w:r>
    </w:p>
    <w:p>
      <w:pPr>
        <w:spacing w:line="360" w:lineRule="auto"/>
        <w:ind w:firstLine="448" w:firstLineChars="200"/>
        <w:rPr>
          <w:rFonts w:eastAsiaTheme="minorEastAsia"/>
          <w:sz w:val="24"/>
          <w:szCs w:val="24"/>
        </w:rPr>
      </w:pPr>
      <w:r>
        <w:rPr>
          <w:rFonts w:hint="eastAsia" w:eastAsiaTheme="minorEastAsia"/>
          <w:sz w:val="24"/>
          <w:szCs w:val="24"/>
        </w:rPr>
        <w:t>（3）服务要求</w:t>
      </w:r>
    </w:p>
    <w:p>
      <w:pPr>
        <w:spacing w:line="360" w:lineRule="auto"/>
        <w:ind w:firstLine="448" w:firstLineChars="200"/>
        <w:rPr>
          <w:rFonts w:eastAsiaTheme="minorEastAsia"/>
          <w:sz w:val="24"/>
          <w:szCs w:val="24"/>
        </w:rPr>
      </w:pPr>
      <w:r>
        <w:rPr>
          <w:rFonts w:hint="eastAsia" w:eastAsiaTheme="minorEastAsia"/>
          <w:sz w:val="24"/>
          <w:szCs w:val="24"/>
        </w:rPr>
        <w:t>①严格执行国家保安、消防等部门有关安全保卫工作的法律、法规和方针、政策，确保客户和患者的人身、财产安全，确保医院服务区域内的财产、设施等安全，认真做好防火、防盗、防抢劫、防破坏等预防工作，根据遇到的实际情况，积极采取切实有效的措施，杜绝各类安全事件的发生。</w:t>
      </w:r>
    </w:p>
    <w:p>
      <w:pPr>
        <w:spacing w:line="360" w:lineRule="auto"/>
        <w:ind w:firstLine="448" w:firstLineChars="200"/>
        <w:rPr>
          <w:rFonts w:eastAsiaTheme="minorEastAsia"/>
          <w:sz w:val="24"/>
          <w:szCs w:val="24"/>
        </w:rPr>
      </w:pPr>
      <w:r>
        <w:rPr>
          <w:rFonts w:hint="eastAsia" w:eastAsiaTheme="minorEastAsia"/>
          <w:sz w:val="24"/>
          <w:szCs w:val="24"/>
        </w:rPr>
        <w:t>②岗上执勤工作时刻保持高度警惕，严防坏人破坏；检查、巡视工作要规范，态度要端正，语言要文明，给予耐心的解释，对可疑人员和大件物品出入进行严格把控和问询。</w:t>
      </w:r>
    </w:p>
    <w:p>
      <w:pPr>
        <w:spacing w:line="360" w:lineRule="auto"/>
        <w:ind w:firstLine="448" w:firstLineChars="200"/>
        <w:rPr>
          <w:rFonts w:eastAsiaTheme="minorEastAsia"/>
          <w:sz w:val="24"/>
          <w:szCs w:val="24"/>
        </w:rPr>
      </w:pPr>
      <w:r>
        <w:rPr>
          <w:rFonts w:hint="eastAsia" w:eastAsiaTheme="minorEastAsia"/>
          <w:sz w:val="24"/>
          <w:szCs w:val="24"/>
        </w:rPr>
        <w:t>③巡视执勤时要保持头脑清楚和警觉，并熟悉各类突发事件的应急预案处理程序和手段，遇突发事件要临危不乱，果断敏捷，做适当的处置并尽快向主管负责人报告，同时，做好详细的事件经过记录，备案存档。</w:t>
      </w:r>
    </w:p>
    <w:p>
      <w:pPr>
        <w:spacing w:line="360" w:lineRule="auto"/>
        <w:ind w:firstLine="448" w:firstLineChars="200"/>
        <w:rPr>
          <w:rFonts w:eastAsiaTheme="minorEastAsia"/>
          <w:sz w:val="24"/>
          <w:szCs w:val="24"/>
        </w:rPr>
      </w:pPr>
      <w:r>
        <w:rPr>
          <w:rFonts w:hint="eastAsia" w:eastAsiaTheme="minorEastAsia"/>
          <w:sz w:val="24"/>
          <w:szCs w:val="24"/>
        </w:rPr>
        <w:t>④在岗执勤严格执行岗位规章制度，服从领导，听从指挥，文明执勤，不得与患者及家属发生争执。</w:t>
      </w:r>
    </w:p>
    <w:p>
      <w:pPr>
        <w:spacing w:line="360" w:lineRule="auto"/>
        <w:ind w:firstLine="448" w:firstLineChars="200"/>
        <w:rPr>
          <w:rFonts w:eastAsiaTheme="minorEastAsia"/>
          <w:sz w:val="24"/>
          <w:szCs w:val="24"/>
        </w:rPr>
      </w:pPr>
      <w:r>
        <w:rPr>
          <w:rFonts w:hint="eastAsia" w:eastAsiaTheme="minorEastAsia"/>
          <w:sz w:val="24"/>
          <w:szCs w:val="24"/>
        </w:rPr>
        <w:t>⑤爱护公共财物和公共设施，反恐及微型消防站配备的保安工具、器材等，不得转借或他用。</w:t>
      </w:r>
    </w:p>
    <w:p>
      <w:pPr>
        <w:spacing w:line="360" w:lineRule="auto"/>
        <w:ind w:firstLine="448" w:firstLineChars="200"/>
        <w:rPr>
          <w:rFonts w:eastAsiaTheme="minorEastAsia"/>
          <w:sz w:val="24"/>
          <w:szCs w:val="24"/>
        </w:rPr>
      </w:pPr>
      <w:r>
        <w:rPr>
          <w:rFonts w:hint="eastAsia" w:eastAsiaTheme="minorEastAsia"/>
          <w:sz w:val="24"/>
          <w:szCs w:val="24"/>
        </w:rPr>
        <w:t>⑥控制医患矛盾升级、避免伤医事件的发生，做好现场证据留存，及时向上级部门报告。</w:t>
      </w:r>
    </w:p>
    <w:p>
      <w:pPr>
        <w:spacing w:line="360" w:lineRule="auto"/>
        <w:ind w:firstLine="448" w:firstLineChars="200"/>
        <w:rPr>
          <w:rFonts w:eastAsiaTheme="minorEastAsia"/>
          <w:sz w:val="24"/>
          <w:szCs w:val="24"/>
        </w:rPr>
      </w:pPr>
      <w:r>
        <w:rPr>
          <w:rFonts w:hint="eastAsia" w:eastAsiaTheme="minorEastAsia"/>
          <w:sz w:val="24"/>
          <w:szCs w:val="24"/>
        </w:rPr>
        <w:t>⑦秩序维护员也是控烟宣传员，巡查过程中发现有吸烟者，应极力劝。</w:t>
      </w:r>
    </w:p>
    <w:p>
      <w:pPr>
        <w:spacing w:line="360" w:lineRule="auto"/>
        <w:ind w:firstLine="448" w:firstLineChars="200"/>
        <w:rPr>
          <w:rFonts w:eastAsiaTheme="minorEastAsia"/>
          <w:sz w:val="24"/>
          <w:szCs w:val="24"/>
        </w:rPr>
      </w:pPr>
      <w:r>
        <w:rPr>
          <w:rFonts w:hint="eastAsia" w:eastAsiaTheme="minorEastAsia"/>
          <w:sz w:val="24"/>
          <w:szCs w:val="24"/>
        </w:rPr>
        <w:t>⑧现场处置要求：</w:t>
      </w:r>
    </w:p>
    <w:p>
      <w:pPr>
        <w:spacing w:line="360" w:lineRule="auto"/>
        <w:ind w:firstLine="448" w:firstLineChars="200"/>
        <w:rPr>
          <w:rFonts w:eastAsiaTheme="minorEastAsia"/>
          <w:sz w:val="24"/>
          <w:szCs w:val="24"/>
        </w:rPr>
      </w:pPr>
      <w:r>
        <w:rPr>
          <w:rFonts w:hint="eastAsia" w:eastAsiaTheme="minorEastAsia"/>
          <w:sz w:val="24"/>
          <w:szCs w:val="24"/>
        </w:rPr>
        <w:t>a.接到报警后视现场距离，要求三到五分钟到达现场；</w:t>
      </w:r>
    </w:p>
    <w:p>
      <w:pPr>
        <w:spacing w:line="360" w:lineRule="auto"/>
        <w:ind w:firstLine="448" w:firstLineChars="200"/>
        <w:rPr>
          <w:rFonts w:eastAsiaTheme="minorEastAsia"/>
          <w:sz w:val="24"/>
          <w:szCs w:val="24"/>
        </w:rPr>
      </w:pPr>
      <w:r>
        <w:rPr>
          <w:rFonts w:hint="eastAsia" w:eastAsiaTheme="minorEastAsia"/>
          <w:sz w:val="24"/>
          <w:szCs w:val="24"/>
        </w:rPr>
        <w:t>b.处置人员需两到三名人员，佩戴警用器械；</w:t>
      </w:r>
    </w:p>
    <w:p>
      <w:pPr>
        <w:spacing w:line="360" w:lineRule="auto"/>
        <w:ind w:firstLine="448" w:firstLineChars="200"/>
        <w:rPr>
          <w:rFonts w:eastAsiaTheme="minorEastAsia"/>
          <w:sz w:val="24"/>
          <w:szCs w:val="24"/>
        </w:rPr>
      </w:pPr>
      <w:r>
        <w:rPr>
          <w:rFonts w:hint="eastAsia" w:eastAsiaTheme="minorEastAsia"/>
          <w:sz w:val="24"/>
          <w:szCs w:val="24"/>
        </w:rPr>
        <w:t>c.到达现场后视现场情况进行处置调解，视情况而定是否报警处理；</w:t>
      </w:r>
    </w:p>
    <w:p>
      <w:pPr>
        <w:spacing w:line="360" w:lineRule="auto"/>
        <w:ind w:firstLine="448" w:firstLineChars="200"/>
        <w:rPr>
          <w:rFonts w:eastAsiaTheme="minorEastAsia"/>
          <w:sz w:val="24"/>
          <w:szCs w:val="24"/>
        </w:rPr>
      </w:pPr>
      <w:r>
        <w:rPr>
          <w:rFonts w:hint="eastAsia" w:eastAsiaTheme="minorEastAsia"/>
          <w:sz w:val="24"/>
          <w:szCs w:val="24"/>
        </w:rPr>
        <w:t>d.现场处置后，尽快恢复正常医疗秩序。</w:t>
      </w:r>
    </w:p>
    <w:p>
      <w:pPr>
        <w:spacing w:line="360" w:lineRule="auto"/>
        <w:ind w:firstLine="448" w:firstLineChars="200"/>
        <w:rPr>
          <w:rFonts w:eastAsiaTheme="minorEastAsia"/>
          <w:sz w:val="24"/>
          <w:szCs w:val="24"/>
        </w:rPr>
      </w:pPr>
      <w:r>
        <w:rPr>
          <w:rFonts w:hint="eastAsia" w:eastAsiaTheme="minorEastAsia"/>
          <w:sz w:val="24"/>
          <w:szCs w:val="24"/>
        </w:rPr>
        <w:t>⑨所有上岗工作人员均需全员佩戴警用器械（警棍，辣椒水，对讲机）；巡逻人员需持：防爆警棍，盾牌，钢叉等器械。</w:t>
      </w:r>
    </w:p>
    <w:p>
      <w:pPr>
        <w:spacing w:line="360" w:lineRule="auto"/>
        <w:ind w:firstLine="448" w:firstLineChars="200"/>
        <w:rPr>
          <w:rFonts w:eastAsiaTheme="minorEastAsia"/>
          <w:sz w:val="24"/>
          <w:szCs w:val="24"/>
        </w:rPr>
      </w:pPr>
      <w:r>
        <w:rPr>
          <w:rFonts w:hint="eastAsia" w:eastAsiaTheme="minorEastAsia"/>
          <w:sz w:val="24"/>
          <w:szCs w:val="24"/>
        </w:rPr>
        <w:t>2.视频监控室管理</w:t>
      </w:r>
    </w:p>
    <w:p>
      <w:pPr>
        <w:spacing w:line="360" w:lineRule="auto"/>
        <w:ind w:firstLine="448" w:firstLineChars="200"/>
        <w:rPr>
          <w:rFonts w:eastAsiaTheme="minorEastAsia"/>
          <w:sz w:val="24"/>
          <w:szCs w:val="24"/>
        </w:rPr>
      </w:pPr>
      <w:r>
        <w:rPr>
          <w:rFonts w:hint="eastAsia" w:eastAsiaTheme="minorEastAsia"/>
          <w:sz w:val="24"/>
          <w:szCs w:val="24"/>
        </w:rPr>
        <w:t>①视频监控室实行24小时值班。按时规范交班，做好交班记录，接班人员因故未到，当班人员不得下岗，待来人接替后方能下岗。</w:t>
      </w:r>
    </w:p>
    <w:p>
      <w:pPr>
        <w:spacing w:line="360" w:lineRule="auto"/>
        <w:ind w:firstLine="448" w:firstLineChars="200"/>
        <w:rPr>
          <w:rFonts w:eastAsiaTheme="minorEastAsia"/>
          <w:sz w:val="24"/>
          <w:szCs w:val="24"/>
        </w:rPr>
      </w:pPr>
      <w:r>
        <w:rPr>
          <w:rFonts w:hint="eastAsia" w:eastAsiaTheme="minorEastAsia"/>
          <w:sz w:val="24"/>
          <w:szCs w:val="24"/>
        </w:rPr>
        <w:t>②24小时关注视频监控屏幕，发现可疑人员、可疑车辆及突发事件，应立即派人员到现场核实情况，并按照相关应急处置程序进行处置，事态严重的应立即拨打110报警并报总务科，做好相关记录。</w:t>
      </w:r>
    </w:p>
    <w:p>
      <w:pPr>
        <w:spacing w:line="360" w:lineRule="auto"/>
        <w:ind w:firstLine="448" w:firstLineChars="200"/>
        <w:rPr>
          <w:rFonts w:eastAsiaTheme="minorEastAsia"/>
          <w:sz w:val="24"/>
          <w:szCs w:val="24"/>
        </w:rPr>
      </w:pPr>
      <w:r>
        <w:rPr>
          <w:rFonts w:hint="eastAsia" w:eastAsiaTheme="minorEastAsia"/>
          <w:sz w:val="24"/>
          <w:szCs w:val="24"/>
        </w:rPr>
        <w:t>③医院突发事件应急处理，结合医院情况，制定切实可行的各类突发事件应急处理预案，并定期进行演练，发生突发事件能够做到及时上报有效处理。</w:t>
      </w:r>
    </w:p>
    <w:p>
      <w:pPr>
        <w:spacing w:line="360" w:lineRule="auto"/>
        <w:ind w:firstLine="448" w:firstLineChars="200"/>
        <w:rPr>
          <w:rFonts w:eastAsiaTheme="minorEastAsia"/>
          <w:sz w:val="24"/>
          <w:szCs w:val="24"/>
        </w:rPr>
      </w:pPr>
      <w:r>
        <w:rPr>
          <w:rFonts w:hint="eastAsia" w:eastAsiaTheme="minorEastAsia"/>
          <w:sz w:val="24"/>
          <w:szCs w:val="24"/>
        </w:rPr>
        <w:t>④除上级和中心领导检查工作外，其余人员未经总务科授权一律不准入内。</w:t>
      </w:r>
    </w:p>
    <w:p>
      <w:pPr>
        <w:spacing w:line="360" w:lineRule="auto"/>
        <w:ind w:firstLine="448" w:firstLineChars="200"/>
        <w:rPr>
          <w:rFonts w:eastAsiaTheme="minorEastAsia"/>
          <w:sz w:val="24"/>
          <w:szCs w:val="24"/>
        </w:rPr>
      </w:pPr>
      <w:r>
        <w:rPr>
          <w:rFonts w:hint="eastAsia" w:eastAsiaTheme="minorEastAsia"/>
          <w:sz w:val="24"/>
          <w:szCs w:val="24"/>
        </w:rPr>
        <w:t>⑤监控室人员应严格遵守保密制度，不得私自下载、泄漏监控室相关材料或信息（特别是视频材料）。</w:t>
      </w:r>
    </w:p>
    <w:p>
      <w:pPr>
        <w:spacing w:line="360" w:lineRule="auto"/>
        <w:ind w:firstLine="448" w:firstLineChars="200"/>
        <w:rPr>
          <w:rFonts w:eastAsiaTheme="minorEastAsia"/>
          <w:sz w:val="24"/>
          <w:szCs w:val="24"/>
        </w:rPr>
      </w:pPr>
      <w:r>
        <w:rPr>
          <w:rFonts w:hint="eastAsia" w:eastAsiaTheme="minorEastAsia"/>
          <w:sz w:val="24"/>
          <w:szCs w:val="24"/>
        </w:rPr>
        <w:t>e. 信件报刊收发管理。负责信件及报刊收发管理，收发要求无差错。</w:t>
      </w:r>
    </w:p>
    <w:p>
      <w:pPr>
        <w:spacing w:line="360" w:lineRule="auto"/>
        <w:ind w:firstLine="448" w:firstLineChars="200"/>
        <w:rPr>
          <w:rFonts w:eastAsiaTheme="minorEastAsia"/>
          <w:sz w:val="24"/>
          <w:szCs w:val="24"/>
        </w:rPr>
      </w:pPr>
      <w:r>
        <w:rPr>
          <w:rFonts w:hint="eastAsia" w:eastAsiaTheme="minorEastAsia"/>
          <w:sz w:val="24"/>
          <w:szCs w:val="24"/>
        </w:rPr>
        <w:t>3.消防管理</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（1）消防联动控制系统：消控平台、烟感、手报、消防报警等。</w:t>
      </w:r>
    </w:p>
    <w:p>
      <w:pPr>
        <w:pStyle w:val="85"/>
        <w:snapToGrid w:val="0"/>
        <w:spacing w:line="360" w:lineRule="auto"/>
        <w:ind w:firstLine="448" w:firstLineChars="200"/>
        <w:jc w:val="left"/>
        <w:rPr>
          <w:rFonts w:ascii="宋体" w:hAnsi="宋体" w:eastAsia="宋体" w:cs="宋体"/>
          <w:color w:val="auto"/>
          <w:sz w:val="24"/>
          <w:szCs w:val="24"/>
        </w:rPr>
      </w:pPr>
      <w:r>
        <w:rPr>
          <w:rFonts w:hint="eastAsia" w:eastAsiaTheme="minorEastAsia"/>
          <w:sz w:val="24"/>
          <w:szCs w:val="24"/>
        </w:rPr>
        <w:t>（2）</w:t>
      </w:r>
      <w:r>
        <w:rPr>
          <w:rFonts w:hint="eastAsia" w:ascii="宋体" w:hAnsi="宋体" w:eastAsia="宋体" w:cs="宋体"/>
          <w:color w:val="auto"/>
          <w:sz w:val="24"/>
          <w:szCs w:val="24"/>
        </w:rPr>
        <w:t>消防给水系统：消防水泵、管道、闸门包括消防水箱、消防水池、水泵结合器等。</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（3）消防设施：包括灭火器、消防栓等。</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（4）员工必须穿统一制服，佩戴工牌，使用文明用语，制定符合采购方工作职责。</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5）每日对室内消火栓、灭火器、安全出口、疏散通道、消防电源及配电、火灾自动报警装置、应急照明、防火门等的完好情况进行一次巡查，查看消防安全重点部位人员在岗情况，保存由检查人签字的月度记录。</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（6）每10天检查1次灭火器；消防设备正常、齐全、有效，各种标识清楚、管道无堵塞、泄漏，设备及标志完好；</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（7）项目消防系统各模块的检测，包括并不限于：火灾自动报警系统各报警设备的正常运行、消防广播系统、消防报警控制器、消火栓系统；</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（8）设施设备清洁，仪表指示正常，设备用房干净整洁。</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（9）消防标识系统齐全、无缺失。</w:t>
      </w:r>
    </w:p>
    <w:p>
      <w:pPr>
        <w:spacing w:line="360" w:lineRule="auto"/>
        <w:ind w:firstLine="448" w:firstLineChars="200"/>
        <w:rPr>
          <w:rFonts w:eastAsiaTheme="minorEastAsia"/>
          <w:sz w:val="24"/>
          <w:szCs w:val="24"/>
        </w:rPr>
      </w:pPr>
      <w:r>
        <w:rPr>
          <w:rFonts w:hint="eastAsia" w:eastAsiaTheme="minorEastAsia"/>
          <w:sz w:val="24"/>
          <w:szCs w:val="24"/>
        </w:rPr>
        <w:t>（三）、物业日常增项</w:t>
      </w:r>
    </w:p>
    <w:p>
      <w:pPr>
        <w:spacing w:line="360" w:lineRule="auto"/>
        <w:ind w:firstLine="448" w:firstLineChars="200"/>
        <w:rPr>
          <w:rFonts w:ascii="宋体" w:hAnsi="宋体" w:cs="宋体"/>
          <w:sz w:val="24"/>
          <w:szCs w:val="24"/>
        </w:rPr>
      </w:pPr>
      <w:r>
        <w:rPr>
          <w:rFonts w:hint="eastAsia" w:eastAsiaTheme="minorEastAsia"/>
          <w:sz w:val="24"/>
          <w:szCs w:val="24"/>
        </w:rPr>
        <w:t>（1）负责</w:t>
      </w:r>
      <w:r>
        <w:rPr>
          <w:rFonts w:hint="eastAsia" w:ascii="宋体" w:hAnsi="宋体" w:cs="宋体"/>
          <w:sz w:val="24"/>
          <w:szCs w:val="24"/>
        </w:rPr>
        <w:t>门前三包工作。</w:t>
      </w:r>
    </w:p>
    <w:p>
      <w:pPr>
        <w:spacing w:line="360" w:lineRule="auto"/>
        <w:ind w:firstLine="448" w:firstLineChars="200"/>
        <w:rPr>
          <w:rFonts w:ascii="宋体" w:hAnsi="宋体" w:cs="宋体"/>
          <w:sz w:val="24"/>
          <w:szCs w:val="24"/>
        </w:rPr>
      </w:pPr>
      <w:r>
        <w:rPr>
          <w:rFonts w:hint="eastAsia" w:ascii="宋体" w:hAnsi="宋体" w:cs="宋体"/>
          <w:sz w:val="24"/>
          <w:szCs w:val="24"/>
        </w:rPr>
        <w:t>（2）</w:t>
      </w:r>
      <w:r>
        <w:rPr>
          <w:rFonts w:hint="eastAsia" w:eastAsiaTheme="minorEastAsia"/>
          <w:sz w:val="24"/>
          <w:szCs w:val="24"/>
        </w:rPr>
        <w:t>绿化养护服务，按标准完成修枝、除草、打药、浇水等工作</w:t>
      </w:r>
      <w:r>
        <w:rPr>
          <w:rFonts w:hint="eastAsia" w:ascii="宋体" w:hAnsi="宋体" w:cs="宋体"/>
          <w:sz w:val="24"/>
          <w:szCs w:val="24"/>
        </w:rPr>
        <w:t>。</w:t>
      </w:r>
    </w:p>
    <w:p>
      <w:pPr>
        <w:spacing w:line="360" w:lineRule="auto"/>
        <w:ind w:firstLine="448" w:firstLineChars="200"/>
        <w:rPr>
          <w:rFonts w:ascii="宋体" w:hAnsi="宋体" w:cs="宋体"/>
          <w:sz w:val="24"/>
          <w:szCs w:val="24"/>
        </w:rPr>
      </w:pPr>
      <w:r>
        <w:rPr>
          <w:rFonts w:hint="eastAsia" w:ascii="宋体" w:hAnsi="宋体" w:cs="宋体"/>
          <w:sz w:val="24"/>
          <w:szCs w:val="24"/>
        </w:rPr>
        <w:t>（3）日常零星维修维护，如门窗、玻璃、上下水疏通的等零星维修；</w:t>
      </w:r>
      <w:r>
        <w:rPr>
          <w:rFonts w:hint="eastAsia" w:eastAsiaTheme="minorEastAsia"/>
          <w:sz w:val="24"/>
          <w:szCs w:val="24"/>
        </w:rPr>
        <w:t>工程维修、设备维修中心根据招标程序另行采购。</w:t>
      </w:r>
    </w:p>
    <w:p>
      <w:pPr>
        <w:spacing w:line="360" w:lineRule="auto"/>
        <w:ind w:firstLine="448" w:firstLineChars="200"/>
        <w:rPr>
          <w:rFonts w:ascii="宋体" w:hAnsi="宋体" w:cs="宋体"/>
          <w:sz w:val="24"/>
          <w:szCs w:val="24"/>
        </w:rPr>
      </w:pPr>
      <w:r>
        <w:rPr>
          <w:rFonts w:hint="eastAsia" w:ascii="宋体" w:hAnsi="宋体" w:cs="宋体"/>
          <w:sz w:val="24"/>
          <w:szCs w:val="24"/>
        </w:rPr>
        <w:t>（4）医用氧气房及氧气瓶日常管理。</w:t>
      </w:r>
    </w:p>
    <w:p>
      <w:pPr>
        <w:spacing w:line="360" w:lineRule="auto"/>
        <w:ind w:firstLine="448" w:firstLineChars="200"/>
        <w:rPr>
          <w:rFonts w:ascii="宋体" w:hAnsi="宋体" w:cs="宋体"/>
          <w:sz w:val="24"/>
          <w:szCs w:val="24"/>
        </w:rPr>
      </w:pPr>
      <w:r>
        <w:rPr>
          <w:rFonts w:hint="eastAsia" w:ascii="宋体" w:hAnsi="宋体" w:cs="宋体"/>
          <w:sz w:val="24"/>
          <w:szCs w:val="24"/>
        </w:rPr>
        <w:t>（5）协助开展病媒防治、灭四害相关工作。</w:t>
      </w:r>
    </w:p>
    <w:p>
      <w:pPr>
        <w:spacing w:line="360" w:lineRule="auto"/>
        <w:ind w:firstLine="448" w:firstLineChars="200"/>
        <w:rPr>
          <w:rFonts w:ascii="宋体" w:hAnsi="宋体" w:cs="宋体"/>
          <w:sz w:val="24"/>
          <w:szCs w:val="24"/>
        </w:rPr>
      </w:pPr>
      <w:r>
        <w:rPr>
          <w:rFonts w:hint="eastAsia" w:ascii="宋体" w:hAnsi="宋体" w:cs="宋体"/>
          <w:sz w:val="24"/>
          <w:szCs w:val="24"/>
        </w:rPr>
        <w:t>（6）</w:t>
      </w:r>
      <w:r>
        <w:rPr>
          <w:rFonts w:hint="eastAsia" w:eastAsiaTheme="minorEastAsia"/>
          <w:sz w:val="24"/>
          <w:szCs w:val="24"/>
        </w:rPr>
        <w:t>协助全院控烟管理，物业员工对就医患者及家属进行控烟、劝阻工作；管理人员为控烟监督员，对员工劝烟工作进行监督管理</w:t>
      </w:r>
      <w:r>
        <w:rPr>
          <w:rFonts w:hint="eastAsia" w:ascii="宋体" w:hAnsi="宋体" w:cs="宋体"/>
          <w:sz w:val="24"/>
          <w:szCs w:val="24"/>
        </w:rPr>
        <w:t>。</w:t>
      </w:r>
    </w:p>
    <w:p>
      <w:pPr>
        <w:spacing w:line="360" w:lineRule="auto"/>
        <w:ind w:firstLine="448" w:firstLineChars="200"/>
        <w:rPr>
          <w:rFonts w:ascii="宋体" w:hAnsi="宋体" w:cs="宋体"/>
          <w:sz w:val="24"/>
          <w:szCs w:val="24"/>
        </w:rPr>
      </w:pPr>
      <w:r>
        <w:rPr>
          <w:rFonts w:hint="eastAsia" w:ascii="宋体" w:hAnsi="宋体" w:cs="宋体"/>
          <w:sz w:val="24"/>
          <w:szCs w:val="24"/>
        </w:rPr>
        <w:t>（7）收发报纸。</w:t>
      </w:r>
    </w:p>
    <w:p>
      <w:pPr>
        <w:spacing w:line="360" w:lineRule="auto"/>
        <w:ind w:firstLine="448" w:firstLineChars="200"/>
        <w:rPr>
          <w:rFonts w:ascii="宋体" w:hAnsi="宋体" w:cs="宋体"/>
          <w:sz w:val="24"/>
          <w:szCs w:val="24"/>
        </w:rPr>
      </w:pPr>
      <w:r>
        <w:rPr>
          <w:rFonts w:hint="eastAsia" w:ascii="宋体" w:hAnsi="宋体" w:cs="宋体"/>
          <w:sz w:val="24"/>
          <w:szCs w:val="24"/>
        </w:rPr>
        <w:t>（8）协助中心科室搬运日常文件柜、桌椅、电脑等日常办公用品的腾挪。（不包括大型搬运）</w:t>
      </w:r>
    </w:p>
    <w:p>
      <w:pPr>
        <w:widowControl/>
        <w:ind w:firstLine="448" w:firstLineChars="200"/>
        <w:jc w:val="left"/>
        <w:rPr>
          <w:b/>
          <w:kern w:val="0"/>
          <w:sz w:val="24"/>
          <w:szCs w:val="24"/>
        </w:rPr>
      </w:pPr>
      <w:r>
        <w:rPr>
          <w:rFonts w:hint="eastAsia"/>
          <w:b/>
          <w:kern w:val="0"/>
          <w:sz w:val="24"/>
          <w:szCs w:val="24"/>
        </w:rPr>
        <w:t>四、应急服务要求</w:t>
      </w:r>
    </w:p>
    <w:p>
      <w:pPr>
        <w:spacing w:line="360" w:lineRule="auto"/>
        <w:ind w:firstLine="448" w:firstLineChars="200"/>
        <w:rPr>
          <w:rFonts w:eastAsiaTheme="minorEastAsia"/>
          <w:sz w:val="24"/>
          <w:szCs w:val="24"/>
        </w:rPr>
      </w:pPr>
      <w:r>
        <w:rPr>
          <w:rFonts w:hint="eastAsia" w:eastAsiaTheme="minorEastAsia"/>
          <w:sz w:val="24"/>
          <w:szCs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pPr>
        <w:widowControl/>
        <w:ind w:firstLine="448" w:firstLineChars="200"/>
        <w:jc w:val="left"/>
        <w:rPr>
          <w:b/>
          <w:kern w:val="0"/>
          <w:sz w:val="24"/>
          <w:szCs w:val="24"/>
        </w:rPr>
      </w:pPr>
      <w:r>
        <w:rPr>
          <w:rFonts w:hint="eastAsia"/>
          <w:b/>
          <w:kern w:val="0"/>
          <w:sz w:val="24"/>
          <w:szCs w:val="24"/>
        </w:rPr>
        <w:t>五、人员保密要求</w:t>
      </w:r>
    </w:p>
    <w:p>
      <w:pPr>
        <w:spacing w:line="360" w:lineRule="auto"/>
        <w:ind w:firstLine="448" w:firstLineChars="200"/>
        <w:rPr>
          <w:rFonts w:eastAsiaTheme="minorEastAsia"/>
          <w:sz w:val="24"/>
          <w:szCs w:val="24"/>
        </w:rPr>
      </w:pPr>
      <w:r>
        <w:rPr>
          <w:rFonts w:hint="eastAsia" w:eastAsiaTheme="minorEastAsia"/>
          <w:sz w:val="24"/>
          <w:szCs w:val="24"/>
        </w:rPr>
        <w:t>保证服务过程中有可能获取的保密信息不泄露的措施，包括但不限于制定保密制度、服务人员保密培训、重点岗位双人服务、泄密惩罚办法。</w:t>
      </w:r>
    </w:p>
    <w:p>
      <w:pPr>
        <w:widowControl/>
        <w:ind w:firstLine="448" w:firstLineChars="200"/>
        <w:jc w:val="left"/>
        <w:rPr>
          <w:b/>
          <w:kern w:val="0"/>
          <w:sz w:val="24"/>
          <w:szCs w:val="24"/>
        </w:rPr>
      </w:pPr>
      <w:r>
        <w:rPr>
          <w:rFonts w:hint="eastAsia"/>
          <w:b/>
          <w:kern w:val="0"/>
          <w:sz w:val="24"/>
          <w:szCs w:val="24"/>
        </w:rPr>
        <w:t>六、人员稳定性要求</w:t>
      </w:r>
    </w:p>
    <w:p>
      <w:pPr>
        <w:spacing w:line="360" w:lineRule="auto"/>
        <w:ind w:firstLine="448" w:firstLineChars="200"/>
        <w:rPr>
          <w:rFonts w:eastAsiaTheme="minorEastAsia"/>
          <w:sz w:val="24"/>
          <w:szCs w:val="24"/>
        </w:rPr>
      </w:pPr>
      <w:r>
        <w:rPr>
          <w:rFonts w:hint="eastAsia" w:eastAsiaTheme="minorEastAsia"/>
          <w:sz w:val="24"/>
          <w:szCs w:val="24"/>
        </w:rPr>
        <w:t>在整个服务期内，人员更换率不得超过2人/月，更换人员不得低于采购需求，且应经采购方同意。</w:t>
      </w:r>
    </w:p>
    <w:p>
      <w:pPr>
        <w:widowControl/>
        <w:ind w:firstLine="448" w:firstLineChars="200"/>
        <w:jc w:val="left"/>
        <w:rPr>
          <w:b/>
          <w:kern w:val="0"/>
          <w:sz w:val="24"/>
          <w:szCs w:val="24"/>
        </w:rPr>
      </w:pPr>
      <w:r>
        <w:rPr>
          <w:rFonts w:hint="eastAsia"/>
          <w:b/>
          <w:kern w:val="0"/>
          <w:sz w:val="24"/>
          <w:szCs w:val="24"/>
        </w:rPr>
        <w:t>七、进驻和接管要求</w:t>
      </w:r>
    </w:p>
    <w:p>
      <w:pPr>
        <w:spacing w:line="360" w:lineRule="auto"/>
        <w:ind w:firstLine="448" w:firstLineChars="200"/>
        <w:rPr>
          <w:rFonts w:eastAsiaTheme="minorEastAsia"/>
          <w:sz w:val="24"/>
          <w:szCs w:val="24"/>
        </w:rPr>
      </w:pPr>
      <w:r>
        <w:rPr>
          <w:rFonts w:hint="eastAsia" w:eastAsiaTheme="minorEastAsia"/>
          <w:sz w:val="24"/>
          <w:szCs w:val="24"/>
        </w:rPr>
        <w:t>中标后，及时配齐所需人员、工具、设备等，在规定的时间内保证全体服务人员按时进场服务，如果为新任服务公司，则还需与前任公司进行交接，保留相关记录，做到服务平稳过渡，对采购方工作无不良影响。</w:t>
      </w:r>
    </w:p>
    <w:p>
      <w:pPr>
        <w:widowControl/>
        <w:ind w:firstLine="448" w:firstLineChars="200"/>
        <w:jc w:val="left"/>
        <w:rPr>
          <w:b/>
          <w:kern w:val="0"/>
          <w:sz w:val="24"/>
          <w:szCs w:val="24"/>
        </w:rPr>
      </w:pPr>
      <w:r>
        <w:rPr>
          <w:rFonts w:hint="eastAsia"/>
          <w:b/>
          <w:kern w:val="0"/>
          <w:sz w:val="24"/>
          <w:szCs w:val="24"/>
        </w:rPr>
        <w:t>八、</w:t>
      </w:r>
      <w:r>
        <w:rPr>
          <w:rFonts w:hint="eastAsia" w:ascii="宋体" w:hAnsi="宋体" w:cs="宋体"/>
          <w:b/>
          <w:bCs/>
          <w:sz w:val="24"/>
          <w:szCs w:val="24"/>
        </w:rPr>
        <w:t>项目服务费用内容</w:t>
      </w:r>
    </w:p>
    <w:p>
      <w:pPr>
        <w:widowControl/>
        <w:ind w:firstLine="448" w:firstLineChars="200"/>
        <w:jc w:val="left"/>
        <w:rPr>
          <w:b/>
          <w:kern w:val="0"/>
          <w:sz w:val="24"/>
          <w:szCs w:val="24"/>
        </w:rPr>
      </w:pPr>
      <w:r>
        <w:rPr>
          <w:rFonts w:hint="eastAsia"/>
          <w:kern w:val="0"/>
          <w:sz w:val="24"/>
          <w:szCs w:val="24"/>
        </w:rPr>
        <w:t>1、采购方负担</w:t>
      </w:r>
      <w:r>
        <w:rPr>
          <w:rFonts w:hint="eastAsia"/>
          <w:b/>
          <w:kern w:val="0"/>
          <w:sz w:val="24"/>
          <w:szCs w:val="24"/>
        </w:rPr>
        <w:t>：</w:t>
      </w:r>
    </w:p>
    <w:p>
      <w:pPr>
        <w:spacing w:line="360" w:lineRule="auto"/>
        <w:ind w:firstLine="448" w:firstLineChars="200"/>
        <w:rPr>
          <w:rFonts w:eastAsiaTheme="minorEastAsia"/>
          <w:sz w:val="24"/>
          <w:szCs w:val="24"/>
        </w:rPr>
      </w:pPr>
      <w:r>
        <w:rPr>
          <w:rFonts w:hint="eastAsia" w:eastAsiaTheme="minorEastAsia"/>
          <w:sz w:val="24"/>
          <w:szCs w:val="24"/>
        </w:rPr>
        <w:t>（1）采购方免费提供办公用房、库房、值班室。</w:t>
      </w:r>
    </w:p>
    <w:p>
      <w:pPr>
        <w:spacing w:line="360" w:lineRule="auto"/>
        <w:ind w:firstLine="448" w:firstLineChars="200"/>
        <w:rPr>
          <w:rFonts w:eastAsiaTheme="minorEastAsia"/>
          <w:sz w:val="24"/>
          <w:szCs w:val="24"/>
        </w:rPr>
      </w:pPr>
      <w:r>
        <w:rPr>
          <w:rFonts w:hint="eastAsia" w:eastAsiaTheme="minorEastAsia"/>
          <w:sz w:val="24"/>
          <w:szCs w:val="24"/>
        </w:rPr>
        <w:t>（2）医疗垃圾袋、锐器盒、警示牌等由采购方负责。</w:t>
      </w:r>
    </w:p>
    <w:p>
      <w:pPr>
        <w:spacing w:line="360" w:lineRule="auto"/>
        <w:ind w:firstLine="448" w:firstLineChars="200"/>
        <w:rPr>
          <w:rFonts w:eastAsiaTheme="minorEastAsia"/>
          <w:sz w:val="24"/>
          <w:szCs w:val="24"/>
        </w:rPr>
      </w:pPr>
      <w:r>
        <w:rPr>
          <w:rFonts w:hint="eastAsia" w:eastAsiaTheme="minorEastAsia"/>
          <w:sz w:val="24"/>
          <w:szCs w:val="24"/>
        </w:rPr>
        <w:t>（3）水电等基本运行费用。</w:t>
      </w:r>
    </w:p>
    <w:p>
      <w:pPr>
        <w:spacing w:line="360" w:lineRule="auto"/>
        <w:ind w:firstLine="448" w:firstLineChars="200"/>
        <w:rPr>
          <w:rFonts w:eastAsiaTheme="minorEastAsia"/>
          <w:sz w:val="24"/>
          <w:szCs w:val="24"/>
        </w:rPr>
      </w:pPr>
      <w:r>
        <w:rPr>
          <w:rFonts w:hint="eastAsia" w:eastAsiaTheme="minorEastAsia"/>
          <w:sz w:val="24"/>
          <w:szCs w:val="24"/>
        </w:rPr>
        <w:t>（4）绿化使用的药液、病媒防治使用的药品。</w:t>
      </w:r>
    </w:p>
    <w:p>
      <w:pPr>
        <w:spacing w:line="360" w:lineRule="auto"/>
        <w:ind w:firstLine="448" w:firstLineChars="200"/>
        <w:rPr>
          <w:rFonts w:eastAsiaTheme="minorEastAsia"/>
          <w:sz w:val="24"/>
          <w:szCs w:val="24"/>
        </w:rPr>
      </w:pPr>
      <w:r>
        <w:rPr>
          <w:rFonts w:hint="eastAsia" w:eastAsiaTheme="minorEastAsia"/>
          <w:sz w:val="24"/>
          <w:szCs w:val="24"/>
        </w:rPr>
        <w:t>（5）日常维护所需耗材成本，如灯管、玻璃、门锁等耗材费用。</w:t>
      </w:r>
    </w:p>
    <w:p>
      <w:pPr>
        <w:spacing w:line="360" w:lineRule="auto"/>
        <w:ind w:firstLine="448" w:firstLineChars="200"/>
        <w:rPr>
          <w:rFonts w:eastAsiaTheme="minorEastAsia"/>
          <w:sz w:val="24"/>
          <w:szCs w:val="24"/>
        </w:rPr>
      </w:pPr>
      <w:r>
        <w:rPr>
          <w:rFonts w:hint="eastAsia" w:eastAsiaTheme="minorEastAsia"/>
          <w:sz w:val="24"/>
          <w:szCs w:val="24"/>
        </w:rPr>
        <w:t>2、中标方负责：</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（1）人员费用：包括员工薪金、社会保险、福利待遇、员工制服等。</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（2）办公费：包括工作人员的办公费、通讯费等。</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（3）机械工具费：包括外围绿化所用机械、工具费用。</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（4）保洁所用各种工具、耗材，清洁剂等。</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（5）保安、消防员所用手电、对讲机等巡逻物品。</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（6）管理责任保险费。</w:t>
      </w:r>
    </w:p>
    <w:p>
      <w:pPr>
        <w:pStyle w:val="85"/>
        <w:snapToGrid w:val="0"/>
        <w:spacing w:line="360" w:lineRule="auto"/>
        <w:ind w:firstLine="448" w:firstLineChars="200"/>
        <w:jc w:val="left"/>
        <w:rPr>
          <w:rFonts w:ascii="宋体" w:hAnsi="宋体" w:cs="宋体"/>
          <w:sz w:val="24"/>
          <w:szCs w:val="24"/>
        </w:rPr>
      </w:pPr>
      <w:r>
        <w:rPr>
          <w:rFonts w:hint="eastAsia" w:ascii="宋体" w:hAnsi="宋体" w:eastAsia="宋体" w:cs="宋体"/>
          <w:color w:val="auto"/>
          <w:sz w:val="24"/>
          <w:szCs w:val="24"/>
        </w:rPr>
        <w:t>（7）</w:t>
      </w:r>
      <w:r>
        <w:rPr>
          <w:rFonts w:hint="eastAsia" w:ascii="宋体" w:hAnsi="宋体" w:cs="宋体"/>
          <w:sz w:val="24"/>
          <w:szCs w:val="24"/>
        </w:rPr>
        <w:t>税费。</w:t>
      </w:r>
    </w:p>
    <w:p>
      <w:pPr>
        <w:spacing w:line="360" w:lineRule="auto"/>
        <w:ind w:firstLine="448" w:firstLineChars="200"/>
        <w:rPr>
          <w:rFonts w:ascii="宋体" w:hAnsi="宋体" w:cs="宋体"/>
          <w:sz w:val="24"/>
          <w:szCs w:val="24"/>
        </w:rPr>
      </w:pPr>
      <w:r>
        <w:rPr>
          <w:rFonts w:hint="eastAsia" w:eastAsiaTheme="minorEastAsia"/>
          <w:sz w:val="24"/>
          <w:szCs w:val="24"/>
        </w:rPr>
        <w:t>3、未尽事宜及未约定的费用，经双方协商另行约定。</w:t>
      </w:r>
    </w:p>
    <w:p>
      <w:pPr>
        <w:widowControl/>
        <w:ind w:firstLine="448" w:firstLineChars="200"/>
        <w:jc w:val="left"/>
        <w:rPr>
          <w:b/>
          <w:kern w:val="0"/>
          <w:sz w:val="24"/>
          <w:szCs w:val="24"/>
        </w:rPr>
      </w:pPr>
      <w:r>
        <w:rPr>
          <w:rFonts w:hint="eastAsia"/>
          <w:b/>
          <w:kern w:val="0"/>
          <w:sz w:val="24"/>
          <w:szCs w:val="24"/>
        </w:rPr>
        <w:t>九、服务过程中，对物业公司评价考核验收标准</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1、中标方根据物业服务合同约定，制定月服务计划。</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2、中标方按物业服务标准进行内部检查并留有记录。</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3、每月由采购方对中标方进行满意度调查并对中标方现场物业服务品质进行检查及考核，考核结果由以上两部分构成，其中满意度调查评分占比为40%，现场服务品质考核评分占比60%。</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4、考评结果采购方与中标方相关责任人共同签字确认。</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5、依据月物业服务品质考核结果支付物业服务费。</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6、考核罚则</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（1）满意度调查总分为40分，其中评分在35分及以上的为满意，30分及以上的为基本满意，低于30分的为不满意；</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（2）依据物业服务合同约定服务标准进行月度服务品质考核，品质考核总分为60分，其中评分在50分及以上的划分为符合标准，45分及以上的为基本符合标准，低于45分的为不符合标准。</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（3）考核完毕后对上述两项考核评分进行加和汇总，总分达到90分以上（含90分）的为优秀，80分以上（含80分）的为良好，70分以上（含70分）的为基本合格，低于70分的为不合格。</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4）考核结果为优秀、良好的物业服务费按合同约定支付，考核结果为基本合格的，针对采购方提出的问题应有改进措施并落实，采购方可以根据问题点扣除100-500元不等的物业服务费，考核结果在70分以下不合格的，扣除2000元至5000元月度物业服务费，并限期整改。</w:t>
      </w:r>
    </w:p>
    <w:p>
      <w:pPr>
        <w:pStyle w:val="85"/>
        <w:snapToGrid w:val="0"/>
        <w:spacing w:line="360" w:lineRule="auto"/>
        <w:ind w:firstLine="448" w:firstLineChars="200"/>
        <w:jc w:val="left"/>
        <w:rPr>
          <w:rFonts w:ascii="宋体" w:hAnsi="宋体" w:eastAsia="宋体" w:cs="宋体"/>
          <w:color w:val="auto"/>
          <w:sz w:val="24"/>
          <w:szCs w:val="24"/>
        </w:rPr>
      </w:pPr>
      <w:r>
        <w:rPr>
          <w:rFonts w:hint="eastAsia" w:ascii="宋体" w:hAnsi="宋体" w:eastAsia="宋体" w:cs="宋体"/>
          <w:color w:val="auto"/>
          <w:sz w:val="24"/>
          <w:szCs w:val="24"/>
        </w:rPr>
        <w:t>（5）考核细则标准中包括项目节能降耗效果评定。</w:t>
      </w:r>
    </w:p>
    <w:p>
      <w:pPr>
        <w:widowControl/>
        <w:ind w:firstLine="448" w:firstLineChars="200"/>
        <w:jc w:val="left"/>
        <w:rPr>
          <w:rFonts w:ascii="宋体" w:hAnsi="宋体" w:cs="宋体"/>
          <w:sz w:val="24"/>
          <w:szCs w:val="24"/>
        </w:rPr>
      </w:pPr>
      <w:r>
        <w:rPr>
          <w:rFonts w:hint="eastAsia" w:ascii="宋体" w:hAnsi="宋体" w:cs="宋体"/>
          <w:sz w:val="24"/>
          <w:szCs w:val="24"/>
        </w:rPr>
        <w:t>（6）考核细则标准由采购方和中标方依据采购需求协商确定。</w:t>
      </w:r>
    </w:p>
    <w:p>
      <w:pPr>
        <w:spacing w:line="360" w:lineRule="auto"/>
        <w:ind w:firstLine="448" w:firstLineChars="200"/>
        <w:rPr>
          <w:rFonts w:eastAsiaTheme="minorEastAsia"/>
          <w:sz w:val="24"/>
          <w:szCs w:val="24"/>
        </w:rPr>
      </w:pPr>
      <w:r>
        <w:rPr>
          <w:rFonts w:hint="eastAsia" w:eastAsiaTheme="minorEastAsia"/>
          <w:sz w:val="24"/>
          <w:szCs w:val="24"/>
        </w:rPr>
        <w:t>7、由于中标方重大失职，给采购方带来重大不良影响，采购方有权解除合同并视情节严重情况及损失情况要求中标方赔偿。</w:t>
      </w:r>
    </w:p>
    <w:p>
      <w:pPr>
        <w:rPr>
          <w:sz w:val="22"/>
          <w:szCs w:val="21"/>
        </w:rPr>
      </w:pPr>
    </w:p>
    <w:p>
      <w:pPr>
        <w:rPr>
          <w:sz w:val="22"/>
          <w:szCs w:val="21"/>
        </w:rPr>
      </w:pPr>
    </w:p>
    <w:p>
      <w:pPr>
        <w:rPr>
          <w:sz w:val="22"/>
          <w:szCs w:val="21"/>
        </w:rPr>
      </w:pPr>
    </w:p>
    <w:p>
      <w:pPr>
        <w:rPr>
          <w:rFonts w:eastAsiaTheme="minorEastAsia"/>
          <w:sz w:val="24"/>
          <w:szCs w:val="24"/>
        </w:rPr>
      </w:pPr>
    </w:p>
    <w:p>
      <w:pPr>
        <w:widowControl/>
        <w:ind w:firstLine="448" w:firstLineChars="200"/>
        <w:jc w:val="left"/>
        <w:rPr>
          <w:sz w:val="24"/>
        </w:rPr>
      </w:pPr>
    </w:p>
    <w:p>
      <w:pPr>
        <w:widowControl/>
        <w:jc w:val="left"/>
        <w:rPr>
          <w:rFonts w:hAnsiTheme="minorEastAsia"/>
          <w:b/>
          <w:bCs/>
          <w:kern w:val="28"/>
          <w:sz w:val="32"/>
          <w:szCs w:val="32"/>
        </w:rPr>
      </w:pPr>
      <w:r>
        <w:rPr>
          <w:rFonts w:hAnsiTheme="minorEastAsia"/>
          <w:b/>
          <w:bCs/>
          <w:kern w:val="28"/>
          <w:sz w:val="32"/>
          <w:szCs w:val="32"/>
        </w:rPr>
        <w:br w:type="page"/>
      </w:r>
    </w:p>
    <w:p>
      <w:pPr>
        <w:pStyle w:val="15"/>
        <w:rPr>
          <w:rFonts w:ascii="Times New Roman" w:hAnsi="Times New Roman"/>
        </w:rPr>
      </w:pPr>
      <w:r>
        <w:rPr>
          <w:rFonts w:ascii="Times New Roman" w:hAnsiTheme="minorEastAsia"/>
        </w:rPr>
        <w:t>第三部分投标须知</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A  </w:t>
      </w:r>
      <w:r>
        <w:rPr>
          <w:rFonts w:ascii="Times New Roman" w:eastAsia="宋体" w:cs="Times New Roman" w:hAnsiTheme="minorEastAsia"/>
          <w:color w:val="auto"/>
        </w:rPr>
        <w:t>说明</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 </w:t>
      </w:r>
      <w:r>
        <w:rPr>
          <w:rFonts w:ascii="Times New Roman" w:eastAsia="宋体" w:cs="Times New Roman" w:hAnsiTheme="minorEastAsia"/>
          <w:color w:val="auto"/>
        </w:rPr>
        <w:t>概述</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 </w:t>
      </w:r>
      <w:r>
        <w:rPr>
          <w:rFonts w:ascii="Times New Roman" w:eastAsia="宋体" w:cs="Times New Roman" w:hAnsiTheme="minorEastAsia"/>
          <w:color w:val="auto"/>
        </w:rPr>
        <w:t>根据《中华人民共和国政府采购法》、《中华人民共和国政府采购法实施条例》《中华人民共和国招标投标法》等有关法律、法规和规章的规定，本采购项目已具备招标条件。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eastAsia="宋体" w:cs="Times New Roman" w:hAnsiTheme="minorEastAsia"/>
          <w:color w:val="auto"/>
        </w:rPr>
        <w:t>本招标文件仅适用于投标邀请函中所叙述项目货物和服务的采购。</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 </w:t>
      </w:r>
      <w:r>
        <w:rPr>
          <w:rFonts w:ascii="Times New Roman" w:eastAsia="宋体" w:cs="Times New Roman" w:hAnsiTheme="minorEastAsia"/>
          <w:color w:val="auto"/>
        </w:rPr>
        <w:t>参与招标投标活动的所有各方，对在参与招标投标过程中获悉的国家、商业和技术秘密以及其它依法应当保密的内容，均负有保密义务，违者应对由此造成的后果承担全部法律责任。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ascii="Times New Roman" w:eastAsia="宋体" w:cs="Times New Roman" w:hAnsiTheme="minorEastAsia"/>
          <w:color w:val="auto"/>
        </w:rPr>
        <w:t>定义</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w:t>
      </w:r>
      <w:r>
        <w:rPr>
          <w:rFonts w:ascii="Times New Roman" w:eastAsia="宋体" w:cs="Times New Roman" w:hAnsiTheme="minorEastAsia"/>
          <w:color w:val="auto"/>
        </w:rPr>
        <w:t>采购人</w:t>
      </w:r>
      <w:r>
        <w:rPr>
          <w:rFonts w:ascii="Times New Roman" w:hAnsi="Times New Roman" w:eastAsia="宋体" w:cs="Times New Roman"/>
          <w:color w:val="auto"/>
        </w:rPr>
        <w:t>”</w:t>
      </w:r>
      <w:r>
        <w:rPr>
          <w:rFonts w:ascii="Times New Roman" w:eastAsia="宋体" w:cs="Times New Roman" w:hAnsiTheme="minorEastAsia"/>
          <w:color w:val="auto"/>
        </w:rPr>
        <w:t>和</w:t>
      </w:r>
      <w:r>
        <w:rPr>
          <w:rFonts w:ascii="Times New Roman" w:hAnsi="Times New Roman" w:eastAsia="宋体" w:cs="Times New Roman"/>
          <w:color w:val="auto"/>
        </w:rPr>
        <w:t>“</w:t>
      </w:r>
      <w:r>
        <w:rPr>
          <w:rFonts w:ascii="Times New Roman" w:eastAsia="宋体" w:cs="Times New Roman" w:hAnsiTheme="minorEastAsia"/>
          <w:color w:val="auto"/>
        </w:rPr>
        <w:t>招标人</w:t>
      </w:r>
      <w:r>
        <w:rPr>
          <w:rFonts w:ascii="Times New Roman" w:hAnsi="Times New Roman" w:eastAsia="宋体" w:cs="Times New Roman"/>
          <w:color w:val="auto"/>
        </w:rPr>
        <w:t>”</w:t>
      </w:r>
      <w:r>
        <w:rPr>
          <w:rFonts w:ascii="Times New Roman" w:eastAsia="宋体" w:cs="Times New Roman" w:hAnsiTheme="minorEastAsia"/>
          <w:color w:val="auto"/>
        </w:rPr>
        <w:t>系指本次招标活动的采购单位。</w:t>
      </w:r>
      <w:r>
        <w:rPr>
          <w:rFonts w:ascii="Times New Roman" w:hAnsi="Times New Roman" w:eastAsia="宋体" w:cs="Times New Roman"/>
          <w:color w:val="auto"/>
        </w:rPr>
        <w:t>“</w:t>
      </w:r>
      <w:r>
        <w:rPr>
          <w:rFonts w:ascii="Times New Roman" w:eastAsia="宋体" w:cs="Times New Roman" w:hAnsiTheme="minorEastAsia"/>
          <w:color w:val="auto"/>
        </w:rPr>
        <w:t>采购代理机构</w:t>
      </w:r>
      <w:r>
        <w:rPr>
          <w:rFonts w:ascii="Times New Roman" w:hAnsi="Times New Roman" w:eastAsia="宋体" w:cs="Times New Roman"/>
          <w:color w:val="auto"/>
        </w:rPr>
        <w:t>”</w:t>
      </w:r>
      <w:r>
        <w:rPr>
          <w:rFonts w:ascii="Times New Roman" w:eastAsia="宋体" w:cs="Times New Roman" w:hAnsiTheme="minorEastAsia"/>
          <w:color w:val="auto"/>
        </w:rPr>
        <w:t>系指组织本次招标活动的机构，即</w:t>
      </w:r>
      <w:r>
        <w:rPr>
          <w:rFonts w:ascii="Times New Roman" w:hAnsi="Times New Roman" w:eastAsia="宋体" w:cs="Times New Roman"/>
          <w:color w:val="auto"/>
        </w:rPr>
        <w:t>“</w:t>
      </w:r>
      <w:r>
        <w:rPr>
          <w:rFonts w:ascii="Times New Roman" w:eastAsia="宋体" w:cs="Times New Roman" w:hAnsiTheme="minorEastAsia"/>
          <w:color w:val="auto"/>
        </w:rPr>
        <w:t>天津市滨海新区政府采购中心</w:t>
      </w:r>
      <w:r>
        <w:rPr>
          <w:rFonts w:ascii="Times New Roman" w:hAnsi="Times New Roman" w:eastAsia="宋体" w:cs="Times New Roman"/>
          <w:color w:val="auto"/>
        </w:rPr>
        <w:t>”</w:t>
      </w:r>
      <w:r>
        <w:rPr>
          <w:rFonts w:ascii="Times New Roman" w:eastAsia="宋体" w:cs="Times New Roman" w:hAnsiTheme="minorEastAsia"/>
          <w:color w:val="auto"/>
        </w:rPr>
        <w:t>。</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w:t>
      </w:r>
      <w:r>
        <w:rPr>
          <w:rFonts w:ascii="Times New Roman" w:eastAsia="宋体" w:cs="Times New Roman" w:hAnsiTheme="minorEastAsia"/>
          <w:color w:val="auto"/>
        </w:rPr>
        <w:t>投标人</w:t>
      </w:r>
      <w:r>
        <w:rPr>
          <w:rFonts w:ascii="Times New Roman" w:hAnsi="Times New Roman" w:eastAsia="宋体" w:cs="Times New Roman"/>
          <w:color w:val="auto"/>
        </w:rPr>
        <w:t>”</w:t>
      </w:r>
      <w:r>
        <w:rPr>
          <w:rFonts w:ascii="Times New Roman" w:eastAsia="宋体" w:cs="Times New Roman" w:hAnsiTheme="minorEastAsia"/>
          <w:color w:val="auto"/>
        </w:rPr>
        <w:t>系指</w:t>
      </w:r>
      <w:r>
        <w:rPr>
          <w:rFonts w:hint="eastAsia" w:ascii="Times New Roman" w:eastAsia="宋体" w:cs="Times New Roman" w:hAnsiTheme="minorEastAsia"/>
          <w:color w:val="auto"/>
        </w:rPr>
        <w:t>响应招标、参加投标竞争的法人、其他组织或者自然人。</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w:t>
      </w:r>
      <w:r>
        <w:rPr>
          <w:rFonts w:ascii="Times New Roman" w:eastAsia="宋体" w:cs="Times New Roman" w:hAnsiTheme="minorEastAsia"/>
          <w:color w:val="auto"/>
        </w:rPr>
        <w:t>服务</w:t>
      </w:r>
      <w:r>
        <w:rPr>
          <w:rFonts w:ascii="Times New Roman" w:hAnsi="Times New Roman" w:eastAsia="宋体" w:cs="Times New Roman"/>
          <w:color w:val="auto"/>
        </w:rPr>
        <w:t>”</w:t>
      </w:r>
      <w:r>
        <w:rPr>
          <w:rFonts w:ascii="Times New Roman" w:eastAsia="宋体" w:cs="Times New Roman" w:hAnsiTheme="minorEastAsia"/>
          <w:color w:val="auto"/>
          <w:szCs w:val="21"/>
        </w:rPr>
        <w:t>系指招标文件规定的投标人为完成采购项目所需承担的全部义务。</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 </w:t>
      </w:r>
      <w:r>
        <w:rPr>
          <w:rFonts w:ascii="Times New Roman" w:eastAsia="宋体" w:cs="Times New Roman" w:hAnsiTheme="minorEastAsia"/>
          <w:color w:val="auto"/>
        </w:rPr>
        <w:t>解释权</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 </w:t>
      </w:r>
      <w:r>
        <w:rPr>
          <w:rFonts w:ascii="Times New Roman" w:eastAsia="宋体" w:cs="Times New Roman" w:hAnsiTheme="minorEastAsia"/>
          <w:color w:val="auto"/>
        </w:rPr>
        <w:t>本次招投标的最终解释权归为采购人、采购代理机构。</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 </w:t>
      </w:r>
      <w:r>
        <w:rPr>
          <w:rFonts w:ascii="Times New Roman" w:eastAsia="宋体" w:cs="Times New Roman" w:hAnsiTheme="minorEastAsia"/>
          <w:color w:val="auto"/>
        </w:rPr>
        <w:t>本文件未作须知明示，而又有相关法律、法规规定的，采购人、采购代理机构将对此解释为依据有关法律、法规的规定。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 </w:t>
      </w:r>
      <w:r>
        <w:rPr>
          <w:rFonts w:ascii="Times New Roman" w:eastAsia="宋体" w:cs="Times New Roman" w:hAnsiTheme="minorEastAsia"/>
          <w:color w:val="auto"/>
        </w:rPr>
        <w:t>合格的投标人</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4.1 </w:t>
      </w:r>
      <w:r>
        <w:rPr>
          <w:rFonts w:ascii="Times New Roman" w:eastAsia="宋体" w:cs="Times New Roman" w:hAnsiTheme="minorEastAsia"/>
          <w:color w:val="auto"/>
        </w:rPr>
        <w:t>符合《中华人民共和国政府采购法》第二十二条供应商参加政府采购活动应当具备的条件及其他有关法律、法规关于供应商的有关规定，有能力提供招标采购服务的供应商。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4.2 </w:t>
      </w:r>
      <w:r>
        <w:rPr>
          <w:rFonts w:ascii="Times New Roman" w:eastAsia="宋体" w:cs="Times New Roman" w:hAnsiTheme="minorEastAsia"/>
          <w:color w:val="auto"/>
        </w:rPr>
        <w:t>符合《投标邀请函》中关于供应商资格要求（实质性要求）的规定。</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4.3 </w:t>
      </w:r>
      <w:r>
        <w:rPr>
          <w:rFonts w:ascii="Times New Roman" w:eastAsia="宋体" w:cs="Times New Roman" w:hAnsiTheme="minorEastAsia"/>
          <w:color w:val="auto"/>
        </w:rPr>
        <w:t>关于联合体投标</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若</w:t>
      </w:r>
      <w:r>
        <w:rPr>
          <w:rFonts w:ascii="Times New Roman" w:eastAsia="宋体" w:cs="Times New Roman" w:hAnsiTheme="minorEastAsia"/>
          <w:color w:val="auto"/>
        </w:rPr>
        <w:t>《投标邀请函》接受联合体投标的：</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）两个以上的自然人、法人或者其他组织可以组成一个联合体，以一个供应商的身份共同参加政府采购。</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eastAsia="宋体" w:cs="Times New Roman" w:hAnsiTheme="minorEastAsia"/>
          <w:color w:val="auto"/>
        </w:rPr>
        <w:t>要求</w:t>
      </w:r>
      <w:r>
        <w:rPr>
          <w:rFonts w:ascii="Times New Roman" w:eastAsia="宋体" w:cs="Times New Roman" w:hAnsiTheme="minorEastAsia"/>
          <w:color w:val="auto"/>
        </w:rPr>
        <w:t>）。</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）联合体各方之间应当签订共同投标协议并在投标文件内提交，明确约定联合体主体及联合体各方承担的工作和相应的责任。</w:t>
      </w:r>
      <w:r>
        <w:rPr>
          <w:rFonts w:hint="eastAsia" w:ascii="Times New Roman" w:hAnsi="Times New Roman" w:eastAsia="宋体" w:cs="Times New Roman"/>
          <w:color w:val="auto"/>
        </w:rPr>
        <w:t>联合体各方签订共同投标协议后，</w:t>
      </w:r>
      <w:r>
        <w:rPr>
          <w:rFonts w:ascii="Times New Roman" w:hAnsi="Times New Roman" w:eastAsia="宋体" w:cs="Times New Roman"/>
          <w:color w:val="auto"/>
        </w:rPr>
        <w:t>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4</w:t>
      </w:r>
      <w:r>
        <w:rPr>
          <w:rFonts w:ascii="Times New Roman" w:eastAsia="宋体" w:cs="Times New Roman" w:hAnsiTheme="minorEastAsia"/>
          <w:color w:val="auto"/>
        </w:rPr>
        <w:t>）</w:t>
      </w:r>
      <w:r>
        <w:rPr>
          <w:rFonts w:hint="eastAsia" w:ascii="Times New Roman" w:eastAsia="宋体" w:hAnsiTheme="minorEastAsia"/>
          <w:color w:val="auto"/>
        </w:rPr>
        <w:t>下载招标文件</w:t>
      </w:r>
      <w:r>
        <w:rPr>
          <w:rFonts w:ascii="Times New Roman" w:eastAsia="宋体" w:hAnsiTheme="minorEastAsia"/>
          <w:color w:val="auto"/>
        </w:rPr>
        <w:t>时，应以联合体协议中确定的主体方名义</w:t>
      </w:r>
      <w:r>
        <w:rPr>
          <w:rFonts w:hint="eastAsia" w:ascii="Times New Roman" w:eastAsia="宋体" w:hAnsiTheme="minorEastAsia"/>
          <w:color w:val="auto"/>
        </w:rPr>
        <w:t>下载</w:t>
      </w:r>
      <w:r>
        <w:rPr>
          <w:rFonts w:ascii="Times New Roman" w:eastAsia="宋体" w:hAnsiTheme="minorEastAsia"/>
          <w:color w:val="auto"/>
        </w:rPr>
        <w:t>。</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5</w:t>
      </w:r>
      <w:r>
        <w:rPr>
          <w:rFonts w:ascii="Times New Roman" w:eastAsia="宋体" w:cs="Times New Roman" w:hAnsiTheme="minorEastAsia"/>
          <w:color w:val="auto"/>
        </w:rPr>
        <w:t>）联合体投标的，应以主体方名义提交投标保证金（如有），对联合体各方均具有约束力。</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6</w:t>
      </w:r>
      <w:r>
        <w:rPr>
          <w:rFonts w:ascii="Times New Roman" w:eastAsia="宋体" w:cs="Times New Roman" w:hAnsiTheme="minor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（7）联合体中任意一方为中小企业的，该方应提供《中小企业声明函》。</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8</w:t>
      </w:r>
      <w:r>
        <w:rPr>
          <w:rFonts w:ascii="Times New Roman" w:eastAsia="宋体" w:cs="Times New Roman" w:hAnsiTheme="minorEastAsia"/>
          <w:color w:val="auto"/>
        </w:rPr>
        <w:t>）联合体各方应当共同与采购人签订采购合同，就采购合同约定的事项对采购人承担连带责任。</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4.4 </w:t>
      </w:r>
      <w:r>
        <w:rPr>
          <w:rFonts w:ascii="Times New Roman" w:eastAsia="宋体" w:cs="Times New Roman" w:hAnsiTheme="minorEastAsia"/>
          <w:color w:val="auto"/>
        </w:rPr>
        <w:t>关于关联企业</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除联合体外，法定代表人或单位负责人为同一个人或者存在直接控股、管理关系的不同供应商，不得同时参加同一项目或同一子项目的投标。如同时参加，则评审时将同时被拒绝。</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4.5 </w:t>
      </w:r>
      <w:r>
        <w:rPr>
          <w:rFonts w:hint="eastAsia" w:ascii="Times New Roman" w:eastAsia="宋体" w:cs="Times New Roman" w:hAnsiTheme="minorEastAsia"/>
          <w:color w:val="auto"/>
        </w:rPr>
        <w:t>关于分公司投标</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根据国务院《</w:t>
      </w:r>
      <w:bookmarkStart w:id="4" w:name="OLE_LINK5"/>
      <w:bookmarkStart w:id="5" w:name="OLE_LINK6"/>
      <w:r>
        <w:rPr>
          <w:rFonts w:hint="eastAsia" w:ascii="Times New Roman" w:eastAsia="宋体" w:cs="Times New Roman" w:hAnsiTheme="minorEastAsia"/>
          <w:color w:val="auto"/>
        </w:rPr>
        <w:t>物业管理条例</w:t>
      </w:r>
      <w:bookmarkEnd w:id="4"/>
      <w:bookmarkEnd w:id="5"/>
      <w:r>
        <w:rPr>
          <w:rFonts w:hint="eastAsia" w:ascii="Times New Roman" w:eastAsia="宋体" w:cs="Times New Roman" w:hAnsiTheme="minorEastAsia"/>
          <w:color w:val="auto"/>
        </w:rPr>
        <w:t>》第三十二条的规定</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从事物业管理活动的企业应当具有独立的法人资格</w:t>
      </w:r>
      <w:r>
        <w:rPr>
          <w:rFonts w:hint="eastAsia" w:ascii="Times New Roman" w:hAnsi="Times New Roman" w:eastAsia="宋体" w:cs="Times New Roman"/>
          <w:color w:val="auto"/>
        </w:rPr>
        <w:t>”</w:t>
      </w:r>
      <w:r>
        <w:rPr>
          <w:rFonts w:hint="eastAsia" w:ascii="Times New Roman" w:eastAsia="宋体" w:cs="Times New Roman" w:hAnsiTheme="minorEastAsia"/>
          <w:color w:val="auto"/>
        </w:rPr>
        <w:t>，因此本项目不接受分公司投标。</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4.6 </w:t>
      </w:r>
      <w:r>
        <w:rPr>
          <w:rFonts w:hint="eastAsia" w:ascii="Times New Roman" w:eastAsia="宋体" w:cs="Times New Roman" w:hAnsiTheme="minorEastAsia"/>
          <w:color w:val="auto"/>
        </w:rPr>
        <w:t>关于提供前期服务的供应商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为采购项目提供整体设计、规范编制或者项目管理、监理、检测等服务的供应商，不得再参加该采购项目的其他采购活动。</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7</w:t>
      </w:r>
      <w:r>
        <w:rPr>
          <w:rFonts w:ascii="Times New Roman" w:eastAsia="宋体" w:cs="Times New Roman" w:hAnsiTheme="minorEastAsia"/>
          <w:color w:val="auto"/>
        </w:rPr>
        <w:t>关于中小微企业投标</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w:t>
      </w:r>
      <w:r>
        <w:rPr>
          <w:rFonts w:ascii="Times New Roman" w:hAnsi="Times New Roman" w:eastAsia="宋体" w:cs="Times New Roman"/>
          <w:color w:val="auto"/>
        </w:rPr>
        <w:t>[2020]46</w:t>
      </w:r>
      <w:r>
        <w:rPr>
          <w:rFonts w:hint="eastAsia" w:ascii="Times New Roman" w:hAnsi="Times New Roman" w:eastAsia="宋体" w:cs="Times New Roman"/>
          <w:color w:val="auto"/>
        </w:rPr>
        <w:t>号）规定的供应商。中小微企业参与投标应提供《中小企业声明函》。</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根据财库〔</w:t>
      </w:r>
      <w:r>
        <w:rPr>
          <w:rFonts w:ascii="Times New Roman" w:hAnsi="Times New Roman" w:eastAsia="宋体" w:cs="Times New Roman"/>
          <w:color w:val="auto"/>
        </w:rPr>
        <w:t>2014</w:t>
      </w:r>
      <w:r>
        <w:rPr>
          <w:rFonts w:ascii="Times New Roman" w:eastAsia="宋体" w:cs="Times New Roman" w:hAnsiTheme="minorEastAsia"/>
          <w:color w:val="auto"/>
        </w:rPr>
        <w:t>〕</w:t>
      </w:r>
      <w:r>
        <w:rPr>
          <w:rFonts w:ascii="Times New Roman" w:hAnsi="Times New Roman" w:eastAsia="宋体" w:cs="Times New Roman"/>
          <w:color w:val="auto"/>
        </w:rPr>
        <w:t>68</w:t>
      </w:r>
      <w:r>
        <w:rPr>
          <w:rFonts w:ascii="Times New Roman" w:eastAsia="宋体" w:cs="Times New Roman" w:hAnsiTheme="minor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hAnsi="Times New Roman" w:eastAsia="宋体" w:cs="Times New Roman"/>
          <w:color w:val="auto"/>
        </w:rPr>
        <w:t>(</w:t>
      </w:r>
      <w:r>
        <w:rPr>
          <w:rFonts w:ascii="Times New Roman" w:eastAsia="宋体" w:cs="Times New Roman" w:hAnsiTheme="minorEastAsia"/>
          <w:color w:val="auto"/>
        </w:rPr>
        <w:t>设区的市</w:t>
      </w:r>
      <w:r>
        <w:rPr>
          <w:rFonts w:ascii="Times New Roman" w:hAnsi="Times New Roman" w:eastAsia="宋体" w:cs="Times New Roman"/>
          <w:color w:val="auto"/>
        </w:rPr>
        <w:t>)</w:t>
      </w:r>
      <w:r>
        <w:rPr>
          <w:rFonts w:ascii="Times New Roman" w:eastAsia="宋体" w:cs="Times New Roman" w:hAnsiTheme="minor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szCs w:val="21"/>
        </w:rPr>
        <w:t>根据《财政部民政部中国残疾人联合会关于促进残疾人就业政府采购政策的通知》（财库〔</w:t>
      </w:r>
      <w:r>
        <w:rPr>
          <w:rFonts w:ascii="Times New Roman" w:hAnsi="Times New Roman" w:eastAsia="宋体" w:cs="Times New Roman"/>
          <w:color w:val="auto"/>
          <w:szCs w:val="21"/>
        </w:rPr>
        <w:t>2017</w:t>
      </w:r>
      <w:r>
        <w:rPr>
          <w:rFonts w:ascii="Times New Roman" w:eastAsia="宋体" w:cs="Times New Roman" w:hAnsiTheme="minorEastAsia"/>
          <w:color w:val="auto"/>
          <w:szCs w:val="21"/>
        </w:rPr>
        <w:t>〕</w:t>
      </w:r>
      <w:r>
        <w:rPr>
          <w:rFonts w:ascii="Times New Roman" w:hAnsi="Times New Roman" w:eastAsia="宋体" w:cs="Times New Roman"/>
          <w:color w:val="auto"/>
          <w:szCs w:val="21"/>
        </w:rPr>
        <w:t>141</w:t>
      </w:r>
      <w:r>
        <w:rPr>
          <w:rFonts w:ascii="Times New Roman" w:eastAsia="宋体" w:cs="Times New Roman" w:hAnsiTheme="minorEastAsia"/>
          <w:color w:val="auto"/>
          <w:szCs w:val="21"/>
        </w:rPr>
        <w:t>号）的规定，残疾人福利性单位视同为小型、微型企业。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5. </w:t>
      </w:r>
      <w:r>
        <w:rPr>
          <w:rFonts w:ascii="Times New Roman" w:eastAsia="宋体" w:cs="Times New Roman" w:hAnsiTheme="minorEastAsia"/>
          <w:color w:val="auto"/>
        </w:rPr>
        <w:t>合格的服务</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5.1 </w:t>
      </w:r>
      <w:r>
        <w:rPr>
          <w:rFonts w:ascii="Times New Roman" w:eastAsia="宋体" w:cs="Times New Roman" w:hAnsiTheme="minorEastAsia"/>
          <w:color w:val="auto"/>
        </w:rPr>
        <w:t>投标人所提供的服务应当没有侵犯任何第三方的知识产权、技术秘密等合法权利。</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5.2 </w:t>
      </w:r>
      <w:r>
        <w:rPr>
          <w:rFonts w:ascii="Times New Roman" w:eastAsia="宋体" w:cs="Times New Roman" w:hAnsiTheme="minorEastAsia"/>
          <w:color w:val="auto"/>
        </w:rPr>
        <w:t>投标人提供的服务应当符合招标文件的要求，并且其质量完全符合国家标准、行业标准或地方标准。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w:t>
      </w:r>
      <w:r>
        <w:rPr>
          <w:rFonts w:hint="eastAsia" w:ascii="Times New Roman" w:eastAsia="宋体" w:cs="Times New Roman" w:hAnsiTheme="minorEastAsia"/>
          <w:color w:val="auto"/>
        </w:rPr>
        <w:t>系统软件、通用软件必须是具有在中国境内的合法使用权或版权的正版软件，涉及到第三方提出侵权或知识产权的起诉及支付版税等费用由投标人承担所有责任及费用。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6. </w:t>
      </w:r>
      <w:r>
        <w:rPr>
          <w:rFonts w:ascii="Times New Roman" w:eastAsia="宋体" w:cs="Times New Roman" w:hAnsiTheme="minorEastAsia"/>
          <w:color w:val="auto"/>
        </w:rPr>
        <w:t>投标费用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6.1 </w:t>
      </w:r>
      <w:r>
        <w:rPr>
          <w:rFonts w:ascii="Times New Roman" w:eastAsia="宋体" w:cs="Times New Roman" w:hAnsiTheme="minorEastAsia"/>
          <w:color w:val="auto"/>
        </w:rPr>
        <w:t>本项目不收取招标代理服务费。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6.2 </w:t>
      </w:r>
      <w:r>
        <w:rPr>
          <w:rFonts w:ascii="Times New Roman" w:eastAsia="宋体" w:cs="Times New Roman" w:hAnsiTheme="minorEastAsia"/>
          <w:color w:val="auto"/>
        </w:rPr>
        <w:t>无论投标过程中的做法和结果如何，投标人自行承担所有与参加投标有关的费用。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7. </w:t>
      </w:r>
      <w:r>
        <w:rPr>
          <w:rFonts w:ascii="Times New Roman" w:eastAsia="宋体" w:cs="Times New Roman" w:hAnsiTheme="minorEastAsia"/>
          <w:color w:val="auto"/>
        </w:rPr>
        <w:t>信息发布</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本项目需要公开的有关信息，包括招标公告、更正公告、中标公告、终止公告等与招标活动有关的通知，采购人、采购代理机构均将通过</w:t>
      </w:r>
      <w:r>
        <w:rPr>
          <w:rFonts w:ascii="Times New Roman" w:hAnsi="Times New Roman" w:eastAsia="宋体" w:cs="Times New Roman"/>
          <w:color w:val="auto"/>
        </w:rPr>
        <w:t>“天津政府采购网（</w:t>
      </w:r>
      <w:r>
        <w:fldChar w:fldCharType="begin"/>
      </w:r>
      <w:r>
        <w:instrText xml:space="preserve"> HYPERLINK "http://tjgp.cz.tj.gov.cn" </w:instrText>
      </w:r>
      <w:r>
        <w:fldChar w:fldCharType="separate"/>
      </w:r>
      <w:r>
        <w:rPr>
          <w:rStyle w:val="25"/>
          <w:rFonts w:ascii="Times New Roman" w:hAnsi="Times New Roman" w:eastAsia="宋体" w:cs="Times New Roman"/>
        </w:rPr>
        <w:t>http://tjgp.cz.tj.gov.cn</w:t>
      </w:r>
      <w:r>
        <w:rPr>
          <w:rStyle w:val="25"/>
          <w:rFonts w:ascii="Times New Roman" w:hAnsi="Times New Roman" w:eastAsia="宋体" w:cs="Times New Roman"/>
        </w:rPr>
        <w:fldChar w:fldCharType="end"/>
      </w:r>
      <w:r>
        <w:rPr>
          <w:rFonts w:ascii="Times New Roman" w:hAnsi="Times New Roman" w:eastAsia="宋体" w:cs="Times New Roman"/>
          <w:color w:val="auto"/>
        </w:rPr>
        <w:t>）”和“天津政府采购中心网（</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ascii="Times New Roman" w:hAnsi="Times New Roman" w:eastAsia="宋体" w:cs="Times New Roman"/>
          <w:color w:val="auto"/>
        </w:rPr>
        <w:t>）”</w:t>
      </w:r>
      <w:r>
        <w:rPr>
          <w:rFonts w:ascii="Times New Roman" w:eastAsia="宋体" w:cs="Times New Roman" w:hAnsiTheme="minorEastAsia"/>
          <w:color w:val="auto"/>
        </w:rPr>
        <w:t>公开发布。投标人在参与本采购项目招投标活动期间，请及时关注上述媒体和天津市政府采购中心招投标系统</w:t>
      </w:r>
      <w:r>
        <w:rPr>
          <w:rFonts w:ascii="Times New Roman" w:hAnsi="Times New Roman" w:eastAsia="宋体" w:cs="Times New Roman"/>
          <w:color w:val="auto"/>
        </w:rPr>
        <w:t>“</w:t>
      </w:r>
      <w:r>
        <w:rPr>
          <w:rFonts w:ascii="Times New Roman" w:eastAsia="宋体" w:cs="Times New Roman" w:hAnsiTheme="minorEastAsia"/>
          <w:color w:val="auto"/>
        </w:rPr>
        <w:t>查看项目文件</w:t>
      </w:r>
      <w:r>
        <w:rPr>
          <w:rFonts w:ascii="Times New Roman" w:hAnsi="Times New Roman" w:eastAsia="宋体" w:cs="Times New Roman"/>
          <w:color w:val="auto"/>
        </w:rPr>
        <w:t>”</w:t>
      </w:r>
      <w:r>
        <w:rPr>
          <w:rFonts w:ascii="Times New Roman" w:eastAsia="宋体" w:cs="Times New Roman" w:hAnsiTheme="minorEastAsia"/>
          <w:color w:val="auto"/>
        </w:rPr>
        <w:t>的相关信息。因没有及时关注而未能如期获取相关信息，投标人自行承担由此可能产生的风险。</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8. </w:t>
      </w:r>
      <w:r>
        <w:rPr>
          <w:rFonts w:hint="eastAsia" w:ascii="Times New Roman" w:eastAsia="宋体" w:cs="Times New Roman" w:hAnsiTheme="minorEastAsia"/>
          <w:color w:val="auto"/>
        </w:rPr>
        <w:t>询问与质疑</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滨海新区政府采购中心提出。</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8.2 </w:t>
      </w:r>
      <w:r>
        <w:rPr>
          <w:rFonts w:hint="eastAsia" w:ascii="Times New Roman" w:eastAsia="宋体" w:cs="Times New Roman" w:hAnsiTheme="minorEastAsia"/>
          <w:color w:val="auto"/>
        </w:rPr>
        <w:t>询问</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1</w:t>
      </w:r>
      <w:r>
        <w:rPr>
          <w:rFonts w:hint="eastAsia" w:ascii="Times New Roman" w:eastAsia="宋体" w:cs="Times New Roman" w:hAnsiTheme="minorEastAsia"/>
          <w:color w:val="auto"/>
        </w:rPr>
        <w:t>）询问可以采取电话、当面或书面等形式。</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2</w:t>
      </w:r>
      <w:r>
        <w:rPr>
          <w:rFonts w:hint="eastAsia" w:ascii="Times New Roman" w:eastAsia="宋体" w:cs="Times New Roman" w:hAnsiTheme="minorEastAsia"/>
          <w:color w:val="auto"/>
        </w:rPr>
        <w:t>）采购人应当自收到供应商询问之日起</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个工作日内作出答复，但答复的内容不得涉及商业秘密或者依法应当保密的内容。</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8.3 </w:t>
      </w:r>
      <w:r>
        <w:rPr>
          <w:rFonts w:hint="eastAsia" w:ascii="Times New Roman" w:eastAsia="宋体" w:cs="Times New Roman" w:hAnsiTheme="minorEastAsia"/>
          <w:color w:val="auto"/>
        </w:rPr>
        <w:t>质疑</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1</w:t>
      </w:r>
      <w:r>
        <w:rPr>
          <w:rFonts w:hint="eastAsia" w:ascii="Times New Roman" w:eastAsia="宋体" w:cs="Times New Roman" w:hAnsiTheme="minorEastAsia"/>
          <w:color w:val="auto"/>
        </w:rPr>
        <w:t>）提出质疑的供应商应当是参与所质疑项目采购活动的供应商。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w:t>
      </w:r>
      <w:r>
        <w:fldChar w:fldCharType="begin"/>
      </w:r>
      <w:r>
        <w:instrText xml:space="preserve"> HYPERLINK "http://tjgp.cz.tj.gov.cn" </w:instrText>
      </w:r>
      <w:r>
        <w:fldChar w:fldCharType="separate"/>
      </w:r>
      <w:r>
        <w:rPr>
          <w:rStyle w:val="25"/>
          <w:rFonts w:hint="eastAsia" w:ascii="Times New Roman" w:hAnsi="Times New Roman" w:eastAsia="宋体" w:cs="Times New Roman"/>
        </w:rPr>
        <w:t>http://tjgp.cz.tj.gov.cn</w:t>
      </w:r>
      <w:r>
        <w:rPr>
          <w:rStyle w:val="25"/>
          <w:rFonts w:hint="eastAsia" w:ascii="Times New Roman" w:hAnsi="Times New Roman" w:eastAsia="宋体" w:cs="Times New Roman"/>
        </w:rPr>
        <w:fldChar w:fldCharType="end"/>
      </w:r>
      <w:r>
        <w:rPr>
          <w:rFonts w:hint="eastAsia" w:ascii="Times New Roman" w:hAnsi="Times New Roman" w:eastAsia="宋体" w:cs="Times New Roman"/>
          <w:color w:val="auto"/>
        </w:rPr>
        <w:t>）“下载专区”中的“质疑函格式文本”）。质疑函应当明确阐述采购文件、采购过程、采购结果使自己的合法权益受到损害的法律依据、事实依据、相关证明材料及证据来源，以便于有关单位调查、答复和处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4</w:t>
      </w:r>
      <w:r>
        <w:rPr>
          <w:rFonts w:hint="eastAsia" w:ascii="Times New Roman" w:eastAsia="宋体" w:cs="Times New Roman" w:hAnsiTheme="minor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滨海新区政府采购中心有权将质疑函转发质疑事项各关联方，请其作出解释说明。对捏造事实、滥用维权扰乱采购秩序的恶意质疑者，将上报天津市滨海新区财政局政府采购办公室依法处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8.4 </w:t>
      </w:r>
      <w:r>
        <w:rPr>
          <w:rFonts w:hint="eastAsia" w:ascii="Times New Roman" w:eastAsia="宋体" w:cs="Times New Roman" w:hAnsiTheme="minorEastAsia"/>
          <w:color w:val="auto"/>
        </w:rPr>
        <w:t>针对询问或质疑的答复内容需要修改采购文件的，其修改内容应当以天津市政府采购网发布的更正公告为准。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9. </w:t>
      </w:r>
      <w:r>
        <w:rPr>
          <w:rFonts w:ascii="Times New Roman" w:eastAsia="宋体" w:cs="Times New Roman" w:hAnsiTheme="minorEastAsia"/>
          <w:color w:val="auto"/>
        </w:rPr>
        <w:t>其他</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本《投标须知》的条款如与《投标邀请函》、《招标项目需求》就同一内容的表述不一致的，以《投标邀请函》、《招标项目需求》中规定的内容为准。</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B  </w:t>
      </w:r>
      <w:r>
        <w:rPr>
          <w:rFonts w:ascii="Times New Roman" w:eastAsia="宋体" w:cs="Times New Roman" w:hAnsiTheme="minorEastAsia"/>
          <w:color w:val="auto"/>
        </w:rPr>
        <w:t>招标文件说明</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10. </w:t>
      </w:r>
      <w:r>
        <w:rPr>
          <w:rFonts w:ascii="Times New Roman" w:eastAsia="宋体" w:cs="Times New Roman" w:hAnsiTheme="minorEastAsia"/>
          <w:color w:val="auto"/>
        </w:rPr>
        <w:t>招标文件的构成</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w:t>
      </w:r>
      <w:r>
        <w:rPr>
          <w:rFonts w:ascii="Times New Roman" w:eastAsia="宋体" w:cs="Times New Roman" w:hAnsiTheme="minorEastAsia"/>
          <w:color w:val="auto"/>
        </w:rPr>
        <w:t>招标文件由下述部分组成：</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）投标邀请函</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）招标项目需求</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）投标须知</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4</w:t>
      </w:r>
      <w:r>
        <w:rPr>
          <w:rFonts w:ascii="Times New Roman" w:eastAsia="宋体" w:cs="Times New Roman" w:hAnsiTheme="minorEastAsia"/>
          <w:color w:val="auto"/>
        </w:rPr>
        <w:t>）合同条款</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5</w:t>
      </w:r>
      <w:r>
        <w:rPr>
          <w:rFonts w:ascii="Times New Roman" w:eastAsia="宋体" w:cs="Times New Roman" w:hAnsiTheme="minorEastAsia"/>
          <w:color w:val="auto"/>
        </w:rPr>
        <w:t>）投标文件格式</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6</w:t>
      </w:r>
      <w:r>
        <w:rPr>
          <w:rFonts w:ascii="Times New Roman" w:eastAsia="宋体" w:cs="Times New Roman" w:hAnsiTheme="minorEastAsia"/>
          <w:color w:val="auto"/>
        </w:rPr>
        <w:t>）本项目招标文件的更正公告内容（如有）</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10.2 </w:t>
      </w:r>
      <w:r>
        <w:rPr>
          <w:rFonts w:ascii="Times New Roman" w:eastAsia="宋体" w:cs="Times New Roman" w:hAnsiTheme="minorEastAsia"/>
          <w:color w:val="auto"/>
        </w:rPr>
        <w:t>除非有特殊要求，招标文件不单独提供招标项目使用地的自然环境、气候条件、公用设施等情况，投标人被视为熟悉上述与履行合同有关的一切情况。</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w:t>
      </w:r>
      <w:r>
        <w:rPr>
          <w:rFonts w:hint="eastAsia" w:ascii="Times New Roman" w:eastAsia="宋体" w:cs="Times New Roman" w:hAnsiTheme="minorEastAsia"/>
          <w:color w:val="auto"/>
        </w:rPr>
        <w:t>加注</w:t>
      </w:r>
      <w:r>
        <w:rPr>
          <w:rFonts w:hint="eastAsia" w:ascii="Times New Roman" w:hAnsi="Times New Roman" w:eastAsia="宋体" w:cs="Times New Roman"/>
          <w:color w:val="auto"/>
        </w:rPr>
        <w:t>“</w:t>
      </w:r>
      <w:r>
        <w:rPr>
          <w:rFonts w:hint="eastAsia" w:ascii="Times New Roman" w:eastAsia="宋体" w:cs="Times New Roman" w:hAnsiTheme="minorEastAsia"/>
          <w:color w:val="auto"/>
        </w:rPr>
        <w:t>★</w:t>
      </w:r>
      <w:r>
        <w:rPr>
          <w:rFonts w:hint="eastAsia" w:ascii="Times New Roman" w:hAnsi="Times New Roman" w:eastAsia="宋体" w:cs="Times New Roman"/>
          <w:color w:val="auto"/>
        </w:rPr>
        <w:t>”</w:t>
      </w:r>
      <w:r>
        <w:rPr>
          <w:rFonts w:hint="eastAsia" w:ascii="Times New Roman" w:eastAsia="宋体" w:cs="Times New Roman" w:hAnsiTheme="minorEastAsia"/>
          <w:color w:val="auto"/>
        </w:rPr>
        <w:t>号条款为实质性条款，不得出现负偏离，发生负偏离即做无效标处理。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10.4 </w:t>
      </w:r>
      <w:r>
        <w:rPr>
          <w:rFonts w:ascii="Times New Roman" w:eastAsia="宋体" w:cs="Times New Roman" w:hAnsiTheme="minorEastAsia"/>
          <w:color w:val="auto"/>
        </w:rPr>
        <w:t>招标文件中涉及的参照品牌、型号仅起说明作用，并没有任何限制性，投标人在投标中可以选用其他替代品牌或型号，但这些替代要实质上优于或相当于招标要求。</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 </w:t>
      </w:r>
      <w:r>
        <w:rPr>
          <w:rFonts w:ascii="Times New Roman" w:eastAsia="宋体" w:cs="Times New Roman" w:hAnsiTheme="minorEastAsia"/>
          <w:color w:val="auto"/>
        </w:rPr>
        <w:t>招标文件的澄清和修改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11.1 </w:t>
      </w:r>
      <w:r>
        <w:rPr>
          <w:rFonts w:ascii="Times New Roman" w:eastAsia="宋体" w:cs="Times New Roman" w:hAnsiTheme="minorEastAsia"/>
          <w:color w:val="auto"/>
        </w:rPr>
        <w:t>投标截止前，采购人、采购代理机构需要对招标文件进行补充或修改的，采购人、采购代理机构将会通过</w:t>
      </w:r>
      <w:r>
        <w:rPr>
          <w:rFonts w:ascii="Times New Roman" w:hAnsi="Times New Roman" w:eastAsia="宋体" w:cs="Times New Roman"/>
          <w:color w:val="auto"/>
        </w:rPr>
        <w:t>“</w:t>
      </w:r>
      <w:r>
        <w:rPr>
          <w:rFonts w:ascii="Times New Roman" w:eastAsia="宋体" w:cs="Times New Roman" w:hAnsiTheme="minorEastAsia"/>
          <w:color w:val="auto"/>
        </w:rPr>
        <w:t>天津市政府采购网</w:t>
      </w:r>
      <w:r>
        <w:rPr>
          <w:rFonts w:ascii="Times New Roman" w:hAnsi="Times New Roman" w:eastAsia="宋体" w:cs="Times New Roman"/>
          <w:color w:val="auto"/>
        </w:rPr>
        <w:t>”</w:t>
      </w:r>
      <w:r>
        <w:rPr>
          <w:rFonts w:ascii="Times New Roman" w:eastAsia="宋体" w:cs="Times New Roman" w:hAnsiTheme="minorEastAsia"/>
          <w:color w:val="auto"/>
        </w:rPr>
        <w:t>、</w:t>
      </w:r>
      <w:r>
        <w:rPr>
          <w:rFonts w:ascii="Times New Roman" w:hAnsi="Times New Roman" w:eastAsia="宋体" w:cs="Times New Roman"/>
          <w:color w:val="auto"/>
        </w:rPr>
        <w:t>“</w:t>
      </w:r>
      <w:r>
        <w:rPr>
          <w:rFonts w:ascii="Times New Roman" w:eastAsia="宋体" w:cs="Times New Roman" w:hAnsiTheme="minorEastAsia"/>
          <w:color w:val="auto"/>
        </w:rPr>
        <w:t>天津市政府采购中心网</w:t>
      </w:r>
      <w:r>
        <w:rPr>
          <w:rFonts w:ascii="Times New Roman" w:hAnsi="Times New Roman" w:eastAsia="宋体" w:cs="Times New Roman"/>
          <w:color w:val="auto"/>
        </w:rPr>
        <w:t>”</w:t>
      </w:r>
      <w:r>
        <w:rPr>
          <w:rFonts w:ascii="Times New Roman" w:eastAsia="宋体" w:cs="Times New Roman" w:hAnsiTheme="minorEastAsia"/>
          <w:color w:val="auto"/>
        </w:rPr>
        <w:t>以更正公告形式发布。</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11.2 </w:t>
      </w:r>
      <w:r>
        <w:rPr>
          <w:rFonts w:ascii="Times New Roman" w:eastAsia="宋体" w:cs="Times New Roman" w:hAnsiTheme="minorEastAsia"/>
          <w:color w:val="auto"/>
        </w:rPr>
        <w:t>更正公告一经在</w:t>
      </w:r>
      <w:r>
        <w:rPr>
          <w:rFonts w:ascii="Times New Roman" w:hAnsi="Times New Roman" w:eastAsia="宋体" w:cs="Times New Roman"/>
          <w:color w:val="auto"/>
        </w:rPr>
        <w:t>“</w:t>
      </w:r>
      <w:r>
        <w:rPr>
          <w:rFonts w:ascii="Times New Roman" w:eastAsia="宋体" w:cs="Times New Roman" w:hAnsiTheme="minorEastAsia"/>
          <w:color w:val="auto"/>
        </w:rPr>
        <w:t>天津市政府采购网</w:t>
      </w:r>
      <w:r>
        <w:rPr>
          <w:rFonts w:ascii="Times New Roman" w:hAnsi="Times New Roman" w:eastAsia="宋体" w:cs="Times New Roman"/>
          <w:color w:val="auto"/>
        </w:rPr>
        <w:t>”</w:t>
      </w:r>
      <w:r>
        <w:rPr>
          <w:rFonts w:ascii="Times New Roman" w:eastAsia="宋体" w:cs="Times New Roman" w:hAnsiTheme="minorEastAsia"/>
          <w:color w:val="auto"/>
        </w:rPr>
        <w:t>、</w:t>
      </w:r>
      <w:r>
        <w:rPr>
          <w:rFonts w:ascii="Times New Roman" w:hAnsi="Times New Roman" w:eastAsia="宋体" w:cs="Times New Roman"/>
          <w:color w:val="auto"/>
        </w:rPr>
        <w:t>“</w:t>
      </w:r>
      <w:r>
        <w:rPr>
          <w:rFonts w:ascii="Times New Roman" w:eastAsia="宋体" w:cs="Times New Roman" w:hAnsiTheme="minorEastAsia"/>
          <w:color w:val="auto"/>
        </w:rPr>
        <w:t>天津市政府采购中心网</w:t>
      </w:r>
      <w:r>
        <w:rPr>
          <w:rFonts w:ascii="Times New Roman" w:hAnsi="Times New Roman" w:eastAsia="宋体" w:cs="Times New Roman"/>
          <w:color w:val="auto"/>
        </w:rPr>
        <w:t>”</w:t>
      </w:r>
      <w:r>
        <w:rPr>
          <w:rFonts w:ascii="Times New Roman" w:eastAsia="宋体" w:cs="Times New Roman" w:hAnsiTheme="minorEastAsia"/>
          <w:color w:val="auto"/>
        </w:rPr>
        <w:t>发布，天津市政府采购中心招投标系统将自动发送通知至已报名供应商的</w:t>
      </w:r>
      <w:r>
        <w:rPr>
          <w:rFonts w:ascii="Times New Roman" w:hAnsi="Times New Roman" w:eastAsia="宋体" w:cs="Times New Roman"/>
          <w:color w:val="auto"/>
        </w:rPr>
        <w:t>“</w:t>
      </w:r>
      <w:r>
        <w:rPr>
          <w:rFonts w:ascii="Times New Roman" w:eastAsia="宋体" w:cs="Times New Roman" w:hAnsiTheme="minorEastAsia"/>
          <w:color w:val="auto"/>
        </w:rPr>
        <w:t>查看项目文件</w:t>
      </w:r>
      <w:r>
        <w:rPr>
          <w:rFonts w:ascii="Times New Roman" w:hAnsi="Times New Roman" w:eastAsia="宋体" w:cs="Times New Roman"/>
          <w:color w:val="auto"/>
        </w:rPr>
        <w:t>”</w:t>
      </w:r>
      <w:r>
        <w:rPr>
          <w:rFonts w:ascii="Times New Roman" w:eastAsia="宋体" w:cs="Times New Roman" w:hAnsiTheme="minorEastAsia"/>
          <w:color w:val="auto"/>
        </w:rPr>
        <w:t>，视同已书面通知所有招标文件的收受人。请参与项目的供应商及时关注更正公告，由此导致的风险由投标人自行承担，采购人、采购代理机构不承担任何责任。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11.3 </w:t>
      </w:r>
      <w:r>
        <w:rPr>
          <w:rFonts w:ascii="Times New Roman" w:eastAsia="宋体" w:cs="Times New Roman" w:hAnsiTheme="minorEastAsia"/>
          <w:color w:val="auto"/>
        </w:rPr>
        <w:t>更正公告的内容为招标文件的组成部分。当招标文件与更正公告就同一内容的表述不一致时，以最后发出的更正公告内容为准。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11.4 </w:t>
      </w:r>
      <w:r>
        <w:rPr>
          <w:rFonts w:ascii="Times New Roman" w:eastAsia="宋体" w:cs="Times New Roman" w:hAnsiTheme="minor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eastAsia="宋体" w:cs="Times New Roman" w:hAnsiTheme="minorEastAsia"/>
          <w:color w:val="auto"/>
        </w:rPr>
        <w:t>答疑会和踏勘现场</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12.1 </w:t>
      </w:r>
      <w:r>
        <w:rPr>
          <w:rFonts w:ascii="Times New Roman" w:eastAsia="宋体" w:cs="Times New Roman" w:hAnsiTheme="minorEastAsia"/>
          <w:color w:val="auto"/>
        </w:rPr>
        <w:t>采购人、采购代理机构召开答疑会的，所有投标人应按《投标邀请函》规定的时间、地点参加答疑会。投标人如不参加，其风险由投标人自行承担，采购人、采购代理机构不承担任何责任。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12.2 </w:t>
      </w:r>
      <w:r>
        <w:rPr>
          <w:rFonts w:ascii="Times New Roman" w:eastAsia="宋体" w:cs="Times New Roman" w:hAnsiTheme="minorEastAsia"/>
          <w:color w:val="auto"/>
        </w:rPr>
        <w:t>采购人、采购代理机构组织踏勘现场的，所有投标人按《投标邀请函》规定的时间、地点参加踏勘现场活动。投标人如不参加，其风险由投标人自行承担，采购人、采购代理机构不承担任何责任。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12.3 </w:t>
      </w:r>
      <w:r>
        <w:rPr>
          <w:rFonts w:ascii="Times New Roman" w:eastAsia="宋体" w:cs="Times New Roman" w:hAnsiTheme="minorEastAsia"/>
          <w:color w:val="auto"/>
        </w:rPr>
        <w:t>采购人、采购代理机构在答疑会或踏勘现场中口头介绍的情况，除经</w:t>
      </w:r>
      <w:r>
        <w:rPr>
          <w:rFonts w:ascii="Times New Roman" w:hAnsi="Times New Roman" w:eastAsia="宋体" w:cs="Times New Roman"/>
          <w:color w:val="auto"/>
        </w:rPr>
        <w:t>“</w:t>
      </w:r>
      <w:r>
        <w:rPr>
          <w:rFonts w:ascii="Times New Roman" w:eastAsia="宋体" w:cs="Times New Roman" w:hAnsiTheme="minorEastAsia"/>
          <w:color w:val="auto"/>
        </w:rPr>
        <w:t>天津市政府采购网</w:t>
      </w:r>
      <w:r>
        <w:rPr>
          <w:rFonts w:ascii="Times New Roman" w:hAnsi="Times New Roman" w:eastAsia="宋体" w:cs="Times New Roman"/>
          <w:color w:val="auto"/>
        </w:rPr>
        <w:t>”</w:t>
      </w:r>
      <w:r>
        <w:rPr>
          <w:rFonts w:ascii="Times New Roman" w:eastAsia="宋体" w:cs="Times New Roman" w:hAnsiTheme="minorEastAsia"/>
          <w:color w:val="auto"/>
        </w:rPr>
        <w:t>、</w:t>
      </w:r>
      <w:r>
        <w:rPr>
          <w:rFonts w:ascii="Times New Roman" w:hAnsi="Times New Roman" w:eastAsia="宋体" w:cs="Times New Roman"/>
          <w:color w:val="auto"/>
        </w:rPr>
        <w:t>“</w:t>
      </w:r>
      <w:r>
        <w:rPr>
          <w:rFonts w:ascii="Times New Roman" w:eastAsia="宋体" w:cs="Times New Roman" w:hAnsiTheme="minorEastAsia"/>
          <w:color w:val="auto"/>
        </w:rPr>
        <w:t>天津市政府采购中心网</w:t>
      </w:r>
      <w:r>
        <w:rPr>
          <w:rFonts w:ascii="Times New Roman" w:hAnsi="Times New Roman" w:eastAsia="宋体" w:cs="Times New Roman"/>
          <w:color w:val="auto"/>
        </w:rPr>
        <w:t>”</w:t>
      </w:r>
      <w:r>
        <w:rPr>
          <w:rFonts w:ascii="Times New Roman" w:eastAsia="宋体" w:cs="Times New Roman" w:hAnsiTheme="minorEastAsia"/>
          <w:color w:val="auto"/>
        </w:rPr>
        <w:t>以更正公告的形式发布外，不构成对招标文件的修改，不作为投标人编制投标文件的依据。</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C  </w:t>
      </w:r>
      <w:r>
        <w:rPr>
          <w:rFonts w:ascii="Times New Roman" w:eastAsia="宋体" w:cs="Times New Roman" w:hAnsiTheme="minorEastAsia"/>
          <w:color w:val="auto"/>
        </w:rPr>
        <w:t>投标文件的编制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 </w:t>
      </w:r>
      <w:r>
        <w:rPr>
          <w:rFonts w:ascii="Times New Roman" w:eastAsia="宋体" w:cs="Times New Roman" w:hAnsiTheme="minorEastAsia"/>
          <w:color w:val="auto"/>
        </w:rPr>
        <w:t>要求</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13.1 </w:t>
      </w:r>
      <w:r>
        <w:rPr>
          <w:rFonts w:ascii="Times New Roman" w:eastAsia="宋体" w:cs="Times New Roman" w:hAnsiTheme="minorEastAsia"/>
          <w:color w:val="auto"/>
        </w:rPr>
        <w:t>投标人应仔细阅读招标文件的所有内容，按招标文件要求编制投标文件，以使其投标对招标文件做出实质性响应。否则，其投标文件可能被拒绝，投标人须自行承担由此引起的风险和责任。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13.2 </w:t>
      </w:r>
      <w:r>
        <w:rPr>
          <w:rFonts w:ascii="Times New Roman" w:eastAsia="宋体" w:cs="Times New Roman" w:hAnsiTheme="minorEastAsia"/>
          <w:color w:val="auto"/>
        </w:rPr>
        <w:t>投标人应根据招标项目需求和投标文件格式编制投标文件，保证其真实有效，并承担相应的法律责任。</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13.3 </w:t>
      </w:r>
      <w:r>
        <w:rPr>
          <w:rFonts w:ascii="Times New Roman" w:eastAsia="宋体" w:cs="Times New Roman" w:hAnsiTheme="minor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14. </w:t>
      </w:r>
      <w:r>
        <w:rPr>
          <w:rFonts w:ascii="Times New Roman" w:eastAsia="宋体" w:cs="Times New Roman" w:hAnsiTheme="minorEastAsia"/>
          <w:color w:val="auto"/>
        </w:rPr>
        <w:t>投标语言及计量单位</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14.1 </w:t>
      </w:r>
      <w:r>
        <w:rPr>
          <w:rFonts w:ascii="Times New Roman" w:eastAsia="宋体" w:cs="Times New Roman" w:hAnsiTheme="minor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14.2 </w:t>
      </w:r>
      <w:r>
        <w:rPr>
          <w:rFonts w:ascii="Times New Roman" w:eastAsia="宋体" w:cs="Times New Roman" w:hAnsiTheme="minorEastAsia"/>
          <w:color w:val="auto"/>
        </w:rPr>
        <w:t>除在招标文件中另有规定，投标文件所使用的计量单位均应使用中华人民共和国法定计量单位。</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15. </w:t>
      </w:r>
      <w:r>
        <w:rPr>
          <w:rFonts w:ascii="Times New Roman" w:eastAsia="宋体" w:cs="Times New Roman" w:hAnsiTheme="minorEastAsia"/>
          <w:color w:val="auto"/>
        </w:rPr>
        <w:t>投标文件格式</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15.1 </w:t>
      </w:r>
      <w:r>
        <w:rPr>
          <w:rFonts w:ascii="Times New Roman" w:eastAsia="宋体" w:cs="Times New Roman" w:hAnsiTheme="minorEastAsia"/>
          <w:color w:val="auto"/>
        </w:rPr>
        <w:t>投标人应按招标文件中提供的投标文件格式完整填写。因不按要求编制而引起系统无法检索、读取相关信息时，其后果由投标人自行承担。</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15.2 </w:t>
      </w:r>
      <w:r>
        <w:rPr>
          <w:rFonts w:ascii="Times New Roman" w:eastAsia="宋体" w:cs="Times New Roman" w:hAnsiTheme="minorEastAsia"/>
          <w:color w:val="auto"/>
        </w:rPr>
        <w:t>投标人可对本招标文件</w:t>
      </w:r>
      <w:r>
        <w:rPr>
          <w:rFonts w:ascii="Times New Roman" w:hAnsi="Times New Roman" w:eastAsia="宋体" w:cs="Times New Roman"/>
          <w:color w:val="auto"/>
        </w:rPr>
        <w:t>“</w:t>
      </w:r>
      <w:r>
        <w:rPr>
          <w:rFonts w:ascii="Times New Roman" w:eastAsia="宋体" w:cs="Times New Roman" w:hAnsiTheme="minorEastAsia"/>
          <w:color w:val="auto"/>
        </w:rPr>
        <w:t>招标项目要求</w:t>
      </w:r>
      <w:r>
        <w:rPr>
          <w:rFonts w:ascii="Times New Roman" w:hAnsi="Times New Roman" w:eastAsia="宋体" w:cs="Times New Roman"/>
          <w:color w:val="auto"/>
        </w:rPr>
        <w:t>”</w:t>
      </w:r>
      <w:r>
        <w:rPr>
          <w:rFonts w:ascii="Times New Roman" w:eastAsia="宋体" w:cs="Times New Roman" w:hAnsiTheme="minorEastAsia"/>
          <w:color w:val="auto"/>
        </w:rPr>
        <w:t>所列的所有服务进行投标，也可只对其中一包或几包的服务投标；若无特殊说明，每一包的内容不得分项投标，采购人原则上按照整包确定中标供应商。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15.3 </w:t>
      </w:r>
      <w:r>
        <w:rPr>
          <w:rFonts w:hint="eastAsia" w:ascii="Times New Roman" w:eastAsia="宋体" w:cs="Times New Roman" w:hAnsiTheme="minor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eastAsia="宋体" w:cs="Times New Roman" w:hAnsiTheme="minorEastAsia"/>
          <w:color w:val="auto"/>
        </w:rPr>
        <w:t>如投标多个包的，要求按包分别独立制作投标文件。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eastAsia="宋体" w:cs="Times New Roman" w:hAnsiTheme="minorEastAsia"/>
          <w:color w:val="auto"/>
        </w:rPr>
        <w:t>投标文件（包括封面和目录）的每一页，从封面开始按阿拉伯数字</w:t>
      </w:r>
      <w:r>
        <w:rPr>
          <w:rFonts w:ascii="Times New Roman" w:hAnsi="Times New Roman" w:eastAsia="宋体" w:cs="Times New Roman"/>
          <w:color w:val="auto"/>
        </w:rPr>
        <w:t>1</w:t>
      </w: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顺序编制页码。</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16. </w:t>
      </w:r>
      <w:r>
        <w:rPr>
          <w:rFonts w:ascii="Times New Roman" w:eastAsia="宋体" w:cs="Times New Roman" w:hAnsiTheme="minorEastAsia"/>
          <w:color w:val="auto"/>
        </w:rPr>
        <w:t>投标报价</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16.1 </w:t>
      </w:r>
      <w:r>
        <w:rPr>
          <w:rFonts w:ascii="Times New Roman" w:eastAsia="宋体" w:cs="Times New Roman" w:hAnsiTheme="minorEastAsia"/>
          <w:color w:val="auto"/>
        </w:rPr>
        <w:t>投标书、开标一览表等各表中的报价，若无特殊说明应采用人民币填报。</w:t>
      </w:r>
    </w:p>
    <w:p>
      <w:pPr>
        <w:pStyle w:val="31"/>
        <w:ind w:firstLine="446"/>
        <w:rPr>
          <w:rFonts w:ascii="Times New Roman" w:hAnsi="Times New Roman" w:eastAsia="宋体"/>
        </w:rPr>
      </w:pPr>
      <w:r>
        <w:rPr>
          <w:rFonts w:ascii="Times New Roman" w:hAnsi="Times New Roman" w:eastAsia="宋体" w:cs="Times New Roman"/>
          <w:color w:val="auto"/>
        </w:rPr>
        <w:t>16.2</w:t>
      </w:r>
      <w:r>
        <w:rPr>
          <w:rFonts w:ascii="Times New Roman" w:eastAsia="宋体" w:hAnsiTheme="minorEastAsia"/>
        </w:rPr>
        <w:t>投标报价是为完成招标文件规定的一切工作所需的全部费用的最终优惠价格。</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16.3 </w:t>
      </w:r>
      <w:r>
        <w:rPr>
          <w:rFonts w:ascii="Times New Roman" w:eastAsia="宋体" w:cs="Times New Roman" w:hAnsiTheme="minorEastAsia"/>
          <w:color w:val="auto"/>
        </w:rPr>
        <w:t>除《招标项目需求》中说明并允许外，投标的每一个货物、服务的单项报价以及采购项目的投标总价均只允许有一个报价，任何有选择的报价，采购人、采购代理机构均将予以拒绝。</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17. </w:t>
      </w:r>
      <w:r>
        <w:rPr>
          <w:rFonts w:ascii="Times New Roman" w:eastAsia="宋体" w:cs="Times New Roman" w:hAnsiTheme="minorEastAsia"/>
          <w:color w:val="auto"/>
        </w:rPr>
        <w:t>投标人资格证明文件</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投标人必须提交证明其有资格进行投标和有能力履行合同的文件，作为投标文件的一部分。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）《投标邀请函》中规定的供应商资格要求（实质性要求）证明文件；</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）若国家及行业对投标项目有特殊资格要求的，还须提供特殊资格证明文件；</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）涉及本须知中</w:t>
      </w:r>
      <w:r>
        <w:rPr>
          <w:rFonts w:ascii="Times New Roman" w:hAnsi="Times New Roman" w:eastAsia="宋体" w:cs="Times New Roman"/>
          <w:color w:val="auto"/>
        </w:rPr>
        <w:t xml:space="preserve">“4. </w:t>
      </w:r>
      <w:r>
        <w:rPr>
          <w:rFonts w:ascii="Times New Roman" w:eastAsia="宋体" w:cs="Times New Roman" w:hAnsiTheme="minorEastAsia"/>
          <w:color w:val="auto"/>
        </w:rPr>
        <w:t>合格的投标人</w:t>
      </w:r>
      <w:r>
        <w:rPr>
          <w:rFonts w:ascii="Times New Roman" w:hAnsi="Times New Roman" w:eastAsia="宋体" w:cs="Times New Roman"/>
          <w:color w:val="auto"/>
        </w:rPr>
        <w:t>”</w:t>
      </w:r>
      <w:r>
        <w:rPr>
          <w:rFonts w:ascii="Times New Roman" w:eastAsia="宋体" w:cs="Times New Roman" w:hAnsiTheme="minorEastAsia"/>
          <w:color w:val="auto"/>
        </w:rPr>
        <w:t>相关要求的，按其要求执行。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18. </w:t>
      </w:r>
      <w:r>
        <w:rPr>
          <w:rFonts w:ascii="Times New Roman" w:eastAsia="宋体" w:cs="Times New Roman" w:hAnsiTheme="minorEastAsia"/>
          <w:color w:val="auto"/>
        </w:rPr>
        <w:t>技术响应文件</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18.1 </w:t>
      </w:r>
      <w:r>
        <w:rPr>
          <w:rFonts w:ascii="Times New Roman" w:eastAsia="宋体" w:cs="Times New Roman" w:hAnsiTheme="minorEastAsia"/>
          <w:color w:val="auto"/>
        </w:rPr>
        <w:t>投标人须提交证明其拟提供的服务符合招标文件规定的技术响应文件，作为投标文件的一部分。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18.2 </w:t>
      </w:r>
      <w:r>
        <w:rPr>
          <w:rFonts w:ascii="Times New Roman" w:eastAsia="宋体" w:cs="Times New Roman" w:hAnsiTheme="minorEastAsia"/>
          <w:color w:val="auto"/>
        </w:rPr>
        <w:t>上述技术响应文件可以是文字资料、图纸或数据，</w:t>
      </w:r>
      <w:r>
        <w:rPr>
          <w:rFonts w:ascii="Times New Roman" w:eastAsia="宋体" w:cs="Times New Roman" w:hAnsiTheme="minorEastAsia"/>
          <w:color w:val="auto"/>
          <w:szCs w:val="21"/>
        </w:rPr>
        <w:t>其内容应包括但不限于人力、物力等资源的投入以及服务内容、方式、手段、措施、质量保证及建议等。</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19. </w:t>
      </w:r>
      <w:r>
        <w:rPr>
          <w:rFonts w:ascii="Times New Roman" w:eastAsia="宋体" w:cs="Times New Roman" w:hAnsiTheme="minorEastAsia"/>
          <w:color w:val="auto"/>
        </w:rPr>
        <w:t>投标保证金</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19.1 </w:t>
      </w:r>
      <w:r>
        <w:rPr>
          <w:rFonts w:ascii="Times New Roman" w:eastAsia="宋体" w:cs="Times New Roman" w:hAnsiTheme="minorEastAsia"/>
          <w:color w:val="auto"/>
        </w:rPr>
        <w:t>按照《招标项目要求》要求执行。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19.2 </w:t>
      </w:r>
      <w:r>
        <w:rPr>
          <w:rFonts w:ascii="Times New Roman" w:eastAsia="宋体" w:cs="Times New Roman" w:hAnsiTheme="minorEastAsia"/>
          <w:color w:val="auto"/>
        </w:rPr>
        <w:t>符合《政府采购货物和服务招标投标管理办法》和《政府采购法实施条例》相关规定。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20. </w:t>
      </w:r>
      <w:r>
        <w:rPr>
          <w:rFonts w:ascii="Times New Roman" w:eastAsia="宋体" w:cs="Times New Roman" w:hAnsiTheme="minorEastAsia"/>
          <w:color w:val="auto"/>
        </w:rPr>
        <w:t>投标有效期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20.1 </w:t>
      </w:r>
      <w:r>
        <w:rPr>
          <w:rFonts w:ascii="Times New Roman" w:eastAsia="宋体" w:cs="Times New Roman" w:hAnsiTheme="minorEastAsia"/>
          <w:color w:val="auto"/>
        </w:rPr>
        <w:t>投标有效期为</w:t>
      </w:r>
      <w:r>
        <w:rPr>
          <w:rFonts w:hint="eastAsia" w:ascii="Times New Roman" w:eastAsia="宋体" w:cs="Times New Roman" w:hAnsiTheme="minorEastAsia"/>
          <w:color w:val="auto"/>
        </w:rPr>
        <w:t>提交投标文件的截止之日</w:t>
      </w:r>
      <w:r>
        <w:rPr>
          <w:rFonts w:ascii="Times New Roman" w:eastAsia="宋体" w:cs="Times New Roman" w:hAnsiTheme="minorEastAsia"/>
          <w:color w:val="auto"/>
        </w:rPr>
        <w:t>起</w:t>
      </w:r>
      <w:r>
        <w:rPr>
          <w:rFonts w:ascii="Times New Roman" w:hAnsi="Times New Roman" w:eastAsia="宋体" w:cs="Times New Roman"/>
          <w:color w:val="auto"/>
        </w:rPr>
        <w:t>60</w:t>
      </w:r>
      <w:r>
        <w:rPr>
          <w:rFonts w:ascii="Times New Roman" w:eastAsia="宋体" w:cs="Times New Roman" w:hAnsiTheme="minorEastAsia"/>
          <w:color w:val="auto"/>
        </w:rPr>
        <w:t>天。投标书中规定的有效期短于招标文件规定的，其投标将被拒绝。</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20.2 </w:t>
      </w:r>
      <w:r>
        <w:rPr>
          <w:rFonts w:ascii="Times New Roman" w:eastAsia="宋体" w:cs="Times New Roman" w:hAnsiTheme="minor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w:t>
      </w:r>
      <w:r>
        <w:rPr>
          <w:rFonts w:ascii="Times New Roman" w:eastAsia="宋体" w:cs="Times New Roman" w:hAnsiTheme="minorEastAsia"/>
          <w:color w:val="auto"/>
        </w:rPr>
        <w:t>投标文件的签署及规定</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21.1 </w:t>
      </w:r>
      <w:r>
        <w:rPr>
          <w:rFonts w:ascii="Times New Roman" w:eastAsia="宋体" w:cs="Times New Roman" w:hAnsiTheme="minor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21.2 </w:t>
      </w:r>
      <w:r>
        <w:rPr>
          <w:rFonts w:hint="eastAsia" w:ascii="Times New Roman" w:eastAsia="宋体" w:cs="Times New Roman" w:hAnsiTheme="minorEastAsia"/>
          <w:color w:val="auto"/>
        </w:rPr>
        <w:t>投标人按照《投标邀请函》的要求提交网上应答并</w:t>
      </w:r>
      <w:r>
        <w:rPr>
          <w:rFonts w:hint="eastAsia" w:ascii="Times New Roman" w:eastAsia="宋体" w:cs="Times New Roman" w:hAnsiTheme="minorEastAsia"/>
          <w:color w:val="auto"/>
          <w:szCs w:val="32"/>
        </w:rPr>
        <w:t>上传</w:t>
      </w:r>
      <w:r>
        <w:rPr>
          <w:rFonts w:hint="eastAsia" w:ascii="Times New Roman" w:eastAsia="宋体" w:cs="Times New Roman" w:hAnsiTheme="minorEastAsia"/>
          <w:color w:val="auto"/>
        </w:rPr>
        <w:t>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21.3 </w:t>
      </w:r>
      <w:r>
        <w:rPr>
          <w:rFonts w:ascii="Times New Roman" w:eastAsia="宋体" w:cs="Times New Roman" w:hAnsiTheme="minorEastAsia"/>
          <w:color w:val="auto"/>
        </w:rPr>
        <w:t>若有修改须于规定时间内重新提交电子投标文件。投标文件因模糊不清或表达不清所引起的后果由投标人自负。</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D  </w:t>
      </w:r>
      <w:r>
        <w:rPr>
          <w:rFonts w:ascii="Times New Roman" w:eastAsia="宋体" w:cs="Times New Roman" w:hAnsiTheme="minorEastAsia"/>
          <w:color w:val="auto"/>
        </w:rPr>
        <w:t>投标文件的网上应答和提交</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 </w:t>
      </w:r>
      <w:r>
        <w:rPr>
          <w:rFonts w:hint="eastAsia" w:ascii="Times New Roman" w:eastAsia="宋体" w:cs="Times New Roman" w:hAnsiTheme="minorEastAsia"/>
          <w:color w:val="auto"/>
        </w:rPr>
        <w:t>投标人须按《投标邀请函》规定提交网上应答并上传加盖投标人电子签章的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格式电子投标文件（以通过天津公共资源电子签章客户端正确读取签章信息为准）。具体方式：</w:t>
      </w:r>
      <w:r>
        <w:rPr>
          <w:rFonts w:ascii="Times New Roman" w:eastAsia="宋体" w:cs="Times New Roman" w:hAnsiTheme="minorEastAsia"/>
          <w:color w:val="auto"/>
        </w:rPr>
        <w:t>使用天津市中环认证服务有限公司发出的CA数字证书（原天津市电子认证中心发出尚在有效期内的CA数字证书仍可使用）登陆</w:t>
      </w:r>
      <w:r>
        <w:rPr>
          <w:rFonts w:hint="eastAsia" w:ascii="Times New Roman" w:eastAsia="宋体" w:cs="Times New Roman" w:hAnsiTheme="minorEastAsia"/>
          <w:color w:val="auto"/>
        </w:rPr>
        <w:t>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提交网上应答并上传加盖投标人电子签章的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格式电子投标文件（以通过天津公共资源电子签章客户端正确读取签章信息为准）。如有需要，投标人可于工作时间且在招标文件规定的截止时间前到天津市河东区红星路</w:t>
      </w:r>
      <w:r>
        <w:rPr>
          <w:rFonts w:hint="eastAsia" w:ascii="Times New Roman" w:hAnsi="Times New Roman" w:eastAsia="宋体" w:cs="Times New Roman"/>
          <w:color w:val="auto"/>
        </w:rPr>
        <w:t>79</w:t>
      </w:r>
      <w:r>
        <w:rPr>
          <w:rFonts w:hint="eastAsia" w:ascii="Times New Roman" w:eastAsia="宋体" w:cs="Times New Roman" w:hAnsiTheme="minorEastAsia"/>
          <w:color w:val="auto"/>
        </w:rPr>
        <w:t>号天津市政府采购中心窗口完成上述操作。</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23. </w:t>
      </w:r>
      <w:r>
        <w:rPr>
          <w:rFonts w:hint="eastAsia" w:ascii="Times New Roman" w:eastAsia="宋体" w:cs="Times New Roman" w:hAnsiTheme="minorEastAsia"/>
          <w:color w:val="auto"/>
        </w:rPr>
        <w:t>制作和上传电子投标文件要求</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23.1 </w:t>
      </w:r>
      <w:r>
        <w:rPr>
          <w:rFonts w:hint="eastAsia" w:ascii="Times New Roman" w:eastAsia="宋体" w:cs="Times New Roman" w:hAnsiTheme="minorEastAsia"/>
          <w:color w:val="auto"/>
        </w:rPr>
        <w:t>投标人须下载天津市政府采购中心网</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下载中心</w:t>
      </w:r>
      <w:r>
        <w:rPr>
          <w:rFonts w:hint="eastAsia" w:ascii="Times New Roman" w:hAnsi="Times New Roman" w:eastAsia="宋体" w:cs="Times New Roman"/>
          <w:color w:val="auto"/>
        </w:rPr>
        <w:t>-</w:t>
      </w:r>
      <w:r>
        <w:rPr>
          <w:rFonts w:hint="eastAsia" w:ascii="Times New Roman" w:eastAsia="宋体" w:cs="Times New Roman" w:hAnsiTheme="minorEastAsia"/>
          <w:color w:val="auto"/>
        </w:rPr>
        <w:t>《远程招投标电子签章客户端用户使用说明及安装程序》。</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23.2 </w:t>
      </w:r>
      <w:r>
        <w:rPr>
          <w:rFonts w:hint="eastAsia" w:ascii="Times New Roman" w:eastAsia="宋体" w:cs="Times New Roman" w:hAnsiTheme="minor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格式电子投标文件（以通过天津公共资源电子签章客户端正确读取签章信息为准），并于投标截止时间前上传至天津市政府采购中心招投标系统。</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特别提醒：</w:t>
      </w:r>
    </w:p>
    <w:p>
      <w:pPr>
        <w:pStyle w:val="31"/>
        <w:spacing w:line="360" w:lineRule="auto"/>
        <w:ind w:firstLine="448" w:firstLineChars="20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31"/>
        <w:spacing w:line="360" w:lineRule="auto"/>
        <w:ind w:firstLine="448" w:firstLineChars="200"/>
        <w:rPr>
          <w:rFonts w:cs="Times New Roman" w:asciiTheme="minorEastAsia" w:hAnsiTheme="minorEastAsia" w:eastAsiaTheme="minorEastAsia"/>
          <w:color w:val="auto"/>
        </w:rPr>
      </w:pPr>
      <w:r>
        <w:rPr>
          <w:rFonts w:hint="eastAsia" w:cs="Times New Roman" w:asciiTheme="minorEastAsia" w:hAnsiTheme="minorEastAsia" w:eastAsiaTheme="minorEastAsia"/>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3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23.3 </w:t>
      </w:r>
      <w:r>
        <w:rPr>
          <w:rFonts w:hint="eastAsia" w:ascii="Times New Roman" w:eastAsia="宋体" w:cs="Times New Roman" w:hAnsiTheme="minorEastAsia"/>
          <w:color w:val="auto"/>
        </w:rPr>
        <w:t>投标人须保证电子投标文件清晰，便于识别，如因上传、扫描、格式等原因导致评审时受到影响，由投标人自行承担相应责任。</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24. </w:t>
      </w:r>
      <w:r>
        <w:rPr>
          <w:rFonts w:ascii="Times New Roman" w:eastAsia="宋体" w:cs="Times New Roman" w:hAnsiTheme="minorEastAsia"/>
          <w:color w:val="auto"/>
        </w:rPr>
        <w:t>投标人须承诺接受电子投标的方式，并自行承担由此带来的废标、无效投标的风险。</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25. </w:t>
      </w:r>
      <w:r>
        <w:rPr>
          <w:rFonts w:hint="eastAsia" w:ascii="Times New Roman" w:eastAsia="宋体" w:cs="Times New Roman" w:hAnsiTheme="minorEastAsia"/>
          <w:color w:val="auto"/>
        </w:rPr>
        <w:t>未按招标文件的规定提交网上应答和上传加盖投标人电子签章的</w:t>
      </w:r>
      <w:r>
        <w:rPr>
          <w:rFonts w:hint="eastAsia" w:ascii="Times New Roman" w:hAnsi="Times New Roman" w:eastAsia="宋体" w:cs="Times New Roman"/>
          <w:color w:val="auto"/>
        </w:rPr>
        <w:t>PDF</w:t>
      </w:r>
      <w:r>
        <w:rPr>
          <w:rFonts w:hint="eastAsia" w:ascii="Times New Roman" w:eastAsia="宋体" w:cs="Times New Roman" w:hAnsiTheme="minorEastAsia"/>
          <w:color w:val="auto"/>
        </w:rPr>
        <w:t>格式电子投标文件（以通过天津公共资源电子签章客户端正确读取签章信息为准）的投标将被拒绝。</w:t>
      </w:r>
    </w:p>
    <w:p>
      <w:pPr>
        <w:pStyle w:val="31"/>
        <w:spacing w:line="360" w:lineRule="auto"/>
        <w:ind w:firstLine="448" w:firstLineChars="200"/>
        <w:jc w:val="both"/>
        <w:rPr>
          <w:rFonts w:ascii="Times New Roman" w:hAnsi="Times New Roman" w:eastAsia="宋体" w:cs="Times New Roman"/>
          <w:color w:val="auto"/>
        </w:rPr>
      </w:pP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E  </w:t>
      </w:r>
      <w:r>
        <w:rPr>
          <w:rFonts w:ascii="Times New Roman" w:eastAsia="宋体" w:cs="Times New Roman" w:hAnsiTheme="minorEastAsia"/>
          <w:color w:val="auto"/>
        </w:rPr>
        <w:t>开标和评标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 </w:t>
      </w:r>
      <w:r>
        <w:rPr>
          <w:rFonts w:hint="eastAsia" w:ascii="Times New Roman" w:eastAsia="宋体" w:cs="Times New Roman" w:hAnsiTheme="minorEastAsia"/>
          <w:color w:val="auto"/>
        </w:rPr>
        <w:t>开标解密和资格审查</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26.1 </w:t>
      </w:r>
      <w:r>
        <w:rPr>
          <w:rFonts w:hint="eastAsia" w:ascii="Times New Roman" w:eastAsia="宋体" w:cs="Times New Roman" w:hAnsiTheme="minorEastAsia"/>
          <w:color w:val="auto"/>
        </w:rPr>
        <w:t>投标人须于《投标邀请函》中规定的时间内使用天津市中环认证服务有限公司发出的CA数字证书（原天津市电子认证中心发出尚在有效期内的CA数字证书仍可使用）登陆天津市政府采购中心网（网址：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完成开标解密。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26.2 </w:t>
      </w:r>
      <w:r>
        <w:rPr>
          <w:rFonts w:ascii="Times New Roman" w:eastAsia="宋体" w:cs="Times New Roman" w:hAnsiTheme="minorEastAsia"/>
          <w:color w:val="auto"/>
        </w:rPr>
        <w:t>由于投标人原因，没有在规定时间内进行网上开标解密，视为无效投标。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26.3 </w:t>
      </w:r>
      <w:r>
        <w:rPr>
          <w:rFonts w:ascii="Times New Roman" w:eastAsia="宋体" w:cs="Times New Roman" w:hAnsiTheme="minorEastAsia"/>
          <w:color w:val="auto"/>
        </w:rPr>
        <w:t>开标解密后，对开标结果进行网上公示，投标人报价为空、为零的将被视为无效投标。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26.4 </w:t>
      </w:r>
      <w:r>
        <w:rPr>
          <w:rFonts w:ascii="Times New Roman" w:eastAsia="宋体" w:cs="Times New Roman" w:hAnsiTheme="minorEastAsia"/>
          <w:color w:val="auto"/>
        </w:rPr>
        <w:t>开标解密后，投标代表人应保持电话畅通并具备相应的网络环境，随时准备接受评委的网上询标。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26.5 </w:t>
      </w:r>
      <w:r>
        <w:rPr>
          <w:rFonts w:ascii="Times New Roman" w:eastAsia="宋体" w:cs="Times New Roman" w:hAnsiTheme="minorEastAsia"/>
          <w:color w:val="auto"/>
        </w:rPr>
        <w:t>投标人须于规定时间内通过天津市政府采购中心招投标系统</w:t>
      </w:r>
      <w:r>
        <w:rPr>
          <w:rFonts w:ascii="Times New Roman" w:hAnsi="Times New Roman" w:eastAsia="宋体" w:cs="Times New Roman"/>
          <w:color w:val="auto"/>
        </w:rPr>
        <w:t>“</w:t>
      </w:r>
      <w:r>
        <w:rPr>
          <w:rFonts w:ascii="Times New Roman" w:eastAsia="宋体" w:cs="Times New Roman" w:hAnsiTheme="minorEastAsia"/>
          <w:color w:val="auto"/>
        </w:rPr>
        <w:t>询标解答</w:t>
      </w:r>
      <w:r>
        <w:rPr>
          <w:rFonts w:ascii="Times New Roman" w:hAnsi="Times New Roman" w:eastAsia="宋体" w:cs="Times New Roman"/>
          <w:color w:val="auto"/>
        </w:rPr>
        <w:t>”</w:t>
      </w:r>
      <w:r>
        <w:rPr>
          <w:rFonts w:ascii="Times New Roman" w:eastAsia="宋体" w:cs="Times New Roman" w:hAnsiTheme="minorEastAsia"/>
          <w:color w:val="auto"/>
        </w:rPr>
        <w:t>对评委的网上询标予以解答。如投标代表人被要求到评审现场答疑时，须携带身份证等有效证件原件，以备查验。</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26.6 </w:t>
      </w:r>
      <w:r>
        <w:rPr>
          <w:rFonts w:hint="eastAsia" w:ascii="Times New Roman" w:eastAsia="宋体" w:cs="Times New Roman" w:hAnsiTheme="minorEastAsia"/>
          <w:color w:val="auto"/>
        </w:rPr>
        <w:t>投标截止时间后，投标人不足</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家的，不得开标。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26.7 </w:t>
      </w:r>
      <w:r>
        <w:rPr>
          <w:rFonts w:hint="eastAsia" w:ascii="Times New Roman" w:eastAsia="宋体" w:cs="Times New Roman" w:hAnsiTheme="minorEastAsia"/>
          <w:color w:val="auto"/>
        </w:rPr>
        <w:t>开标解密后，采购人或采购代理机构应当依法对投标人的资格进行审查。资格审查合格的投标人不足</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家的，不得评标。</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ascii="Times New Roman" w:eastAsia="宋体" w:cs="Times New Roman" w:hAnsiTheme="minorEastAsia"/>
          <w:color w:val="auto"/>
        </w:rPr>
        <w:t>评标委员会</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27.1 </w:t>
      </w:r>
      <w:r>
        <w:rPr>
          <w:rFonts w:hint="eastAsia" w:ascii="Times New Roman" w:eastAsia="宋体" w:cs="Times New Roman" w:hAnsiTheme="minorEastAsia"/>
          <w:color w:val="auto"/>
        </w:rPr>
        <w:t>评标委员会成员由采购人代表和评审专家组成，成员人数应当为</w:t>
      </w:r>
      <w:r>
        <w:rPr>
          <w:rFonts w:hint="eastAsia" w:ascii="Times New Roman" w:hAnsi="Times New Roman" w:eastAsia="宋体" w:cs="Times New Roman"/>
          <w:color w:val="auto"/>
        </w:rPr>
        <w:t>5</w:t>
      </w:r>
      <w:r>
        <w:rPr>
          <w:rFonts w:hint="eastAsia" w:ascii="Times New Roman" w:eastAsia="宋体" w:cs="Times New Roman" w:hAnsiTheme="minorEastAsia"/>
          <w:color w:val="auto"/>
        </w:rPr>
        <w:t>人以上单数，其中评审专家不得少于成员总数的三分之二。</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27.2 </w:t>
      </w:r>
      <w:r>
        <w:rPr>
          <w:rFonts w:hint="eastAsia" w:ascii="Times New Roman" w:eastAsia="宋体" w:cs="Times New Roman" w:hAnsiTheme="minorEastAsia"/>
          <w:color w:val="auto"/>
        </w:rPr>
        <w:t>评标委员会负责审查投标文件是否符合招标文件的要求，并进行审查、询标、评估和比较。评标委员会认为必要时，可向投标人进行询标。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27.3 </w:t>
      </w:r>
      <w:r>
        <w:rPr>
          <w:rFonts w:hint="eastAsia" w:ascii="Times New Roman" w:eastAsia="宋体" w:cs="Times New Roman" w:hAnsiTheme="minor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27.4 </w:t>
      </w:r>
      <w:r>
        <w:rPr>
          <w:rFonts w:hint="eastAsia" w:ascii="Times New Roman" w:eastAsia="宋体" w:cs="Times New Roman" w:hAnsiTheme="minorEastAsia"/>
          <w:color w:val="auto"/>
        </w:rPr>
        <w:t>评标委员会负责完成全部评标工作，向采购人提出经评标委员会签字的书面评标报告。</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28. </w:t>
      </w:r>
      <w:r>
        <w:rPr>
          <w:rFonts w:ascii="Times New Roman" w:eastAsia="宋体" w:cs="Times New Roman" w:hAnsiTheme="minorEastAsia"/>
          <w:color w:val="auto"/>
        </w:rPr>
        <w:t>对投标文件的审查和响应性的确定</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28.1 </w:t>
      </w:r>
      <w:r>
        <w:rPr>
          <w:rFonts w:hint="eastAsia" w:ascii="Times New Roman" w:eastAsia="宋体" w:cs="Times New Roman" w:hAnsiTheme="minor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28.2 </w:t>
      </w:r>
      <w:r>
        <w:rPr>
          <w:rFonts w:hint="eastAsia" w:ascii="Times New Roman" w:eastAsia="宋体" w:cs="Times New Roman" w:hAnsiTheme="minorEastAsia"/>
          <w:color w:val="auto"/>
        </w:rPr>
        <w:t>投标截止时间后，除评标委员会要求提供外，不接受投标人及与投标人有关的任何一方递交的材料。</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eastAsia="宋体" w:cs="Times New Roman" w:hAnsiTheme="minorEastAsia"/>
          <w:color w:val="auto"/>
        </w:rPr>
        <w:t>实质上没有响应招标文件要求的投标文件，将被拒绝。投标人不得通过修改或撤回不符合要求的重大偏离而使其投标成为响应性的投标。如出现下列情况之一的，其投标将被拒绝或中标无效：</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）投标文件未按招标文件的要求加盖电子签章的；</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2</w:t>
      </w:r>
      <w:r>
        <w:rPr>
          <w:rFonts w:ascii="Times New Roman" w:eastAsia="宋体" w:cs="Times New Roman" w:hAnsiTheme="minorEastAsia"/>
          <w:color w:val="auto"/>
        </w:rPr>
        <w:t>）投标有效期短于招标文件要求的；</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3</w:t>
      </w:r>
      <w:r>
        <w:rPr>
          <w:rFonts w:ascii="Times New Roman" w:eastAsia="宋体" w:cs="Times New Roman" w:hAnsiTheme="minorEastAsia"/>
          <w:color w:val="auto"/>
        </w:rPr>
        <w:t>）投标文件中提供虚假或失实资料的；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（4）不能满足招标文件中任何一条实质性要求或加注“★”号条款出现负偏离或经评标委员会认定未实质性响应招标文件要求的或投标内容不符合相关强制性规定的；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（5）未按时进行网上解密或电子投标文件损坏、无效的；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（6）投标报价超出采购预算或最高限价；</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（7）存在串通情形的；</w:t>
      </w:r>
    </w:p>
    <w:p>
      <w:pPr>
        <w:pStyle w:val="31"/>
        <w:spacing w:line="360" w:lineRule="auto"/>
        <w:ind w:firstLine="448" w:firstLineChars="200"/>
        <w:rPr>
          <w:rFonts w:ascii="Times New Roman" w:eastAsia="宋体" w:cs="Times New Roman" w:hAnsiTheme="minorEastAsia"/>
          <w:color w:val="auto"/>
        </w:rPr>
      </w:pPr>
      <w:r>
        <w:rPr>
          <w:rFonts w:hint="eastAsia" w:ascii="Times New Roman" w:eastAsia="宋体" w:cs="Times New Roman" w:hAnsiTheme="minorEastAsia"/>
          <w:color w:val="auto"/>
        </w:rPr>
        <w:t>（8）单位负责人或法定代表人为同一人，或者存在控股、管理关系的不同供应商，参加同一包或者未划分包的同一项目投标的，相关投标均无效；</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（9）其他法定投标无效的情形。</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28.4 </w:t>
      </w:r>
      <w:r>
        <w:rPr>
          <w:rFonts w:hint="eastAsia" w:ascii="Times New Roman" w:eastAsia="宋体" w:cs="Times New Roman" w:hAnsiTheme="minorEastAsia"/>
          <w:color w:val="auto"/>
        </w:rPr>
        <w:t>评标委员会对确定为实质上响应的投标进行审核，</w:t>
      </w:r>
      <w:r>
        <w:rPr>
          <w:rFonts w:ascii="Times New Roman" w:eastAsia="宋体" w:cs="Times New Roman" w:hAnsiTheme="minorEastAsia"/>
          <w:color w:val="auto"/>
        </w:rPr>
        <w:t>投标文件报价出现前后不一致的</w:t>
      </w:r>
      <w:r>
        <w:rPr>
          <w:rFonts w:hint="eastAsia" w:ascii="Times New Roman" w:eastAsia="宋体" w:cs="Times New Roman" w:hAnsiTheme="minorEastAsia"/>
          <w:color w:val="auto"/>
        </w:rPr>
        <w:t>，修改错误的原则如下：</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1</w:t>
      </w:r>
      <w:r>
        <w:rPr>
          <w:rFonts w:hint="eastAsia" w:ascii="Times New Roman" w:eastAsia="宋体" w:cs="Times New Roman" w:hAnsiTheme="minorEastAsia"/>
          <w:color w:val="auto"/>
        </w:rPr>
        <w:t>）投标文件中开标一览表（报价表）内容与投标文件中相应内容不一致的，以开标一览表（报价表）为准；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2</w:t>
      </w:r>
      <w:r>
        <w:rPr>
          <w:rFonts w:hint="eastAsia" w:ascii="Times New Roman" w:eastAsia="宋体" w:cs="Times New Roman" w:hAnsiTheme="minorEastAsia"/>
          <w:color w:val="auto"/>
        </w:rPr>
        <w:t>）大写金额和小写金额不一致的，以大写金额为准；</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3</w:t>
      </w:r>
      <w:r>
        <w:rPr>
          <w:rFonts w:hint="eastAsia" w:ascii="Times New Roman" w:eastAsia="宋体" w:cs="Times New Roman" w:hAnsiTheme="minorEastAsia"/>
          <w:color w:val="auto"/>
        </w:rPr>
        <w:t>）单价金额小数点或者百分比有明显错位的，以开标一览表的总价为准，并修改单价；</w:t>
      </w:r>
    </w:p>
    <w:p>
      <w:pPr>
        <w:pStyle w:val="31"/>
        <w:spacing w:line="360" w:lineRule="auto"/>
        <w:ind w:firstLine="448" w:firstLineChars="200"/>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4</w:t>
      </w:r>
      <w:r>
        <w:rPr>
          <w:rFonts w:hint="eastAsia" w:ascii="Times New Roman" w:eastAsia="宋体" w:cs="Times New Roman" w:hAnsiTheme="minorEastAsia"/>
          <w:color w:val="auto"/>
        </w:rPr>
        <w:t>）总价金额与按单价汇总金额不一致的，以单价金额计算结果为准。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5</w:t>
      </w:r>
      <w:r>
        <w:rPr>
          <w:rFonts w:hint="eastAsia" w:ascii="Times New Roman" w:eastAsia="宋体" w:cs="Times New Roman" w:hAnsiTheme="minorEastAsia"/>
          <w:color w:val="auto"/>
        </w:rPr>
        <w:t>）同时出现两种以上不一致的，按照前款规定的顺序修正。修正后的报价经投标人确认后产生约束力，投标人不确认的，其投标无效。</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 xml:space="preserve">5 </w:t>
      </w:r>
      <w:r>
        <w:rPr>
          <w:rFonts w:ascii="Times New Roman" w:eastAsia="宋体" w:cs="Times New Roman" w:hAnsiTheme="minorEastAsia"/>
          <w:color w:val="auto"/>
        </w:rPr>
        <w:t>评标委员会将要求投标人按上述修改错误的方法调整投标报价，投标人同意后，调整后的报价对投标人起约束作用。如果投标人不接受修改后的报价，其投标将被拒绝。</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 </w:t>
      </w:r>
      <w:r>
        <w:rPr>
          <w:rFonts w:ascii="Times New Roman" w:eastAsia="宋体" w:cs="Times New Roman" w:hAnsiTheme="minorEastAsia"/>
          <w:color w:val="auto"/>
        </w:rPr>
        <w:t>投标文件的澄清</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29.1 </w:t>
      </w:r>
      <w:r>
        <w:rPr>
          <w:rFonts w:ascii="Times New Roman" w:eastAsia="宋体" w:cs="Times New Roman" w:hAnsiTheme="minor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29.2 </w:t>
      </w:r>
      <w:r>
        <w:rPr>
          <w:rFonts w:ascii="Times New Roman" w:eastAsia="宋体" w:cs="Times New Roman" w:hAnsiTheme="minorEastAsia"/>
          <w:color w:val="auto"/>
        </w:rPr>
        <w:t>投标人澄清、说明、答复或者补充的内容须为</w:t>
      </w:r>
      <w:r>
        <w:rPr>
          <w:rFonts w:ascii="Times New Roman" w:hAnsi="Times New Roman" w:eastAsia="宋体" w:cs="Times New Roman"/>
          <w:color w:val="auto"/>
        </w:rPr>
        <w:t>PDF</w:t>
      </w:r>
      <w:r>
        <w:rPr>
          <w:rFonts w:ascii="Times New Roman" w:eastAsia="宋体" w:cs="Times New Roman" w:hAnsiTheme="minorEastAsia"/>
          <w:color w:val="auto"/>
        </w:rPr>
        <w:t>格式并加盖电子签章后上传至天津市政府采购中心招投标系统。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29.3 </w:t>
      </w:r>
      <w:r>
        <w:rPr>
          <w:rFonts w:ascii="Times New Roman" w:eastAsia="宋体" w:cs="Times New Roman" w:hAnsiTheme="minorEastAsia"/>
          <w:color w:val="auto"/>
        </w:rPr>
        <w:t>投标人的澄清、说明、答复或者补充应在规定的时间内完成，并不得超出投标文件的范围或对投标内容进行实质性的修改。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29.4 </w:t>
      </w:r>
      <w:r>
        <w:rPr>
          <w:rFonts w:ascii="Times New Roman" w:eastAsia="宋体" w:cs="Times New Roman" w:hAnsiTheme="minorEastAsia"/>
          <w:color w:val="auto"/>
        </w:rPr>
        <w:t>澄清文件将作为投标文件的一部分，与投标文件具有同等的法律效力。</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30. </w:t>
      </w:r>
      <w:r>
        <w:rPr>
          <w:rFonts w:ascii="Times New Roman" w:eastAsia="宋体" w:cs="Times New Roman" w:hAnsiTheme="minorEastAsia"/>
          <w:color w:val="auto"/>
        </w:rPr>
        <w:t>投标的评估和比较</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评标委员会将根据招标文件确定的评标原则和评标方法对确定为实质上响应招标文件要求的投标进行评估和比较。</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 </w:t>
      </w:r>
      <w:r>
        <w:rPr>
          <w:rFonts w:ascii="Times New Roman" w:eastAsia="宋体" w:cs="Times New Roman" w:hAnsiTheme="minorEastAsia"/>
          <w:color w:val="auto"/>
        </w:rPr>
        <w:t>评标原则和评标方法</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31.1 </w:t>
      </w:r>
      <w:r>
        <w:rPr>
          <w:rFonts w:ascii="Times New Roman" w:eastAsia="宋体" w:cs="Times New Roman" w:hAnsiTheme="minorEastAsia"/>
          <w:color w:val="auto"/>
        </w:rPr>
        <w:t>评标原则</w:t>
      </w:r>
    </w:p>
    <w:p>
      <w:pPr>
        <w:pStyle w:val="31"/>
        <w:spacing w:line="360" w:lineRule="auto"/>
        <w:ind w:firstLine="448" w:firstLineChars="200"/>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）评标委员会应当按照客观、公正、审慎的原则，根据招标文件规定的评审程序、评审方法和评审标准进行独立评审。</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2</w:t>
      </w:r>
      <w:r>
        <w:rPr>
          <w:rFonts w:hint="eastAsia" w:ascii="Times New Roman" w:eastAsia="宋体" w:cs="Times New Roman" w:hAnsiTheme="minorEastAsia"/>
          <w:color w:val="auto"/>
        </w:rPr>
        <w:t>）</w:t>
      </w:r>
      <w:r>
        <w:rPr>
          <w:rFonts w:ascii="Times New Roman" w:eastAsia="宋体" w:cs="Times New Roman" w:hAnsiTheme="minorEastAsia"/>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）对招标文件中描述有歧义或前后不一致的地方，</w:t>
      </w:r>
      <w:r>
        <w:rPr>
          <w:rFonts w:hint="eastAsia" w:ascii="Times New Roman" w:eastAsia="宋体" w:cs="Times New Roman" w:hAnsiTheme="minorEastAsia"/>
          <w:color w:val="auto"/>
        </w:rPr>
        <w:t>但不影响项目评审的，</w:t>
      </w:r>
      <w:r>
        <w:rPr>
          <w:rFonts w:ascii="Times New Roman" w:eastAsia="宋体" w:cs="Times New Roman" w:hAnsiTheme="minorEastAsia"/>
          <w:color w:val="auto"/>
        </w:rPr>
        <w:t>评标委员会有权进行评判，但对同一条款的评判应适用于每个投标人。</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w:t>
      </w:r>
      <w:r>
        <w:rPr>
          <w:rFonts w:hint="eastAsia" w:ascii="Times New Roman" w:hAnsi="Times New Roman" w:eastAsia="宋体" w:cs="Times New Roman"/>
          <w:color w:val="auto"/>
        </w:rPr>
        <w:t>4</w:t>
      </w:r>
      <w:r>
        <w:rPr>
          <w:rFonts w:hint="eastAsia" w:ascii="Times New Roman" w:eastAsia="宋体" w:cs="Times New Roman" w:hAnsiTheme="minor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31.2 </w:t>
      </w:r>
      <w:r>
        <w:rPr>
          <w:rFonts w:ascii="Times New Roman" w:eastAsia="宋体" w:cs="Times New Roman" w:hAnsiTheme="minorEastAsia"/>
          <w:color w:val="auto"/>
        </w:rPr>
        <w:t>评标方法</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）采用</w:t>
      </w:r>
      <w:r>
        <w:rPr>
          <w:rFonts w:ascii="Times New Roman" w:hAnsi="Times New Roman" w:eastAsia="宋体" w:cs="Times New Roman"/>
          <w:color w:val="auto"/>
        </w:rPr>
        <w:t>“</w:t>
      </w:r>
      <w:r>
        <w:rPr>
          <w:rFonts w:ascii="Times New Roman" w:eastAsia="宋体" w:cs="Times New Roman" w:hAnsiTheme="minorEastAsia"/>
          <w:color w:val="auto"/>
        </w:rPr>
        <w:t>综合评分法</w:t>
      </w:r>
      <w:r>
        <w:rPr>
          <w:rFonts w:ascii="Times New Roman" w:hAnsi="Times New Roman" w:eastAsia="宋体" w:cs="Times New Roman"/>
          <w:color w:val="auto"/>
        </w:rPr>
        <w:t>”</w:t>
      </w:r>
      <w:r>
        <w:rPr>
          <w:rFonts w:ascii="Times New Roman" w:eastAsia="宋体" w:cs="Times New Roman" w:hAnsiTheme="minorEastAsia"/>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2</w:t>
      </w:r>
      <w:r>
        <w:rPr>
          <w:rFonts w:ascii="Times New Roman" w:eastAsia="宋体" w:cs="Times New Roman" w:hAnsiTheme="minorEastAsia"/>
          <w:color w:val="auto"/>
        </w:rPr>
        <w:t>）根据《中华人民共和国政府采购法实施条例》和《关于进一步规范政府采购评审工作有关问题的通知》（财库〔</w:t>
      </w:r>
      <w:r>
        <w:rPr>
          <w:rFonts w:ascii="Times New Roman" w:hAnsi="Times New Roman" w:eastAsia="宋体" w:cs="Times New Roman"/>
          <w:color w:val="auto"/>
        </w:rPr>
        <w:t>2012</w:t>
      </w:r>
      <w:r>
        <w:rPr>
          <w:rFonts w:ascii="Times New Roman" w:eastAsia="宋体" w:cs="Times New Roman" w:hAnsiTheme="minorEastAsia"/>
          <w:color w:val="auto"/>
        </w:rPr>
        <w:t>〕</w:t>
      </w:r>
      <w:r>
        <w:rPr>
          <w:rFonts w:ascii="Times New Roman" w:hAnsi="Times New Roman" w:eastAsia="宋体" w:cs="Times New Roman"/>
          <w:color w:val="auto"/>
        </w:rPr>
        <w:t>69</w:t>
      </w:r>
      <w:r>
        <w:rPr>
          <w:rFonts w:ascii="Times New Roman" w:eastAsia="宋体" w:cs="Times New Roman" w:hAnsiTheme="minor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3</w:t>
      </w:r>
      <w:r>
        <w:rPr>
          <w:rFonts w:ascii="Times New Roman" w:eastAsia="宋体" w:cs="Times New Roman" w:hAnsiTheme="minor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ascii="Times New Roman" w:hAnsi="Times New Roman" w:eastAsia="宋体" w:cs="Times New Roman"/>
          <w:color w:val="auto"/>
        </w:rPr>
        <w:t>4</w:t>
      </w:r>
      <w:r>
        <w:rPr>
          <w:rFonts w:ascii="Times New Roman" w:eastAsia="宋体" w:cs="Times New Roman" w:hAnsiTheme="minor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hint="eastAsia" w:ascii="Times New Roman" w:eastAsia="宋体" w:cs="Times New Roman" w:hAnsiTheme="minorEastAsia"/>
          <w:color w:val="auto"/>
        </w:rPr>
        <w:t>采购人或评标委员会经采购人授权后按中标候选供应商顺序确定中标供应商。</w:t>
      </w:r>
    </w:p>
    <w:p>
      <w:pPr>
        <w:pStyle w:val="31"/>
        <w:spacing w:line="360" w:lineRule="auto"/>
        <w:ind w:firstLine="448" w:firstLineChars="200"/>
        <w:jc w:val="both"/>
        <w:rPr>
          <w:rFonts w:ascii="Times New Roman" w:hAnsi="Times New Roman" w:eastAsia="宋体" w:cs="Times New Roman"/>
          <w:color w:val="auto"/>
        </w:rPr>
      </w:pPr>
      <w:r>
        <w:rPr>
          <w:rFonts w:ascii="Times New Roman" w:eastAsia="宋体" w:cs="Times New Roman" w:hAnsiTheme="minorEastAsia"/>
          <w:color w:val="auto"/>
        </w:rPr>
        <w:t>（</w:t>
      </w:r>
      <w:r>
        <w:rPr>
          <w:rFonts w:ascii="Times New Roman" w:hAnsi="Times New Roman" w:eastAsia="宋体" w:cs="Times New Roman"/>
          <w:color w:val="auto"/>
        </w:rPr>
        <w:t>5</w:t>
      </w:r>
      <w:r>
        <w:rPr>
          <w:rFonts w:ascii="Times New Roman" w:eastAsia="宋体" w:cs="Times New Roman" w:hAnsiTheme="minorEastAsia"/>
          <w:color w:val="auto"/>
        </w:rPr>
        <w:t>）根据《政府采购货物和服务招标投标管理办法》（</w:t>
      </w:r>
      <w:r>
        <w:rPr>
          <w:rFonts w:hint="eastAsia" w:ascii="Times New Roman" w:eastAsia="宋体" w:cs="Times New Roman" w:hAnsiTheme="minorEastAsia"/>
          <w:color w:val="auto"/>
        </w:rPr>
        <w:t>财政部</w:t>
      </w:r>
      <w:r>
        <w:rPr>
          <w:rFonts w:ascii="Times New Roman" w:eastAsia="宋体" w:cs="Times New Roman" w:hAnsiTheme="minorEastAsia"/>
          <w:color w:val="auto"/>
        </w:rPr>
        <w:t>令第</w:t>
      </w:r>
      <w:r>
        <w:rPr>
          <w:rFonts w:hint="eastAsia" w:ascii="Times New Roman" w:hAnsi="Times New Roman" w:eastAsia="宋体" w:cs="Times New Roman"/>
          <w:color w:val="auto"/>
        </w:rPr>
        <w:t>87</w:t>
      </w:r>
      <w:r>
        <w:rPr>
          <w:rFonts w:ascii="Times New Roman" w:eastAsia="宋体" w:cs="Times New Roman" w:hAnsiTheme="minorEastAsia"/>
          <w:color w:val="auto"/>
        </w:rPr>
        <w:t>号）第</w:t>
      </w:r>
      <w:r>
        <w:rPr>
          <w:rFonts w:ascii="Times New Roman" w:hAnsi="Times New Roman" w:eastAsia="宋体" w:cs="Times New Roman"/>
          <w:color w:val="auto"/>
        </w:rPr>
        <w:t>43</w:t>
      </w:r>
      <w:r>
        <w:rPr>
          <w:rFonts w:ascii="Times New Roman" w:eastAsia="宋体" w:cs="Times New Roman" w:hAnsiTheme="minorEastAsia"/>
          <w:color w:val="auto"/>
        </w:rPr>
        <w:t>条规定，如评审现场经财政部门批准本项目转为其他采购方式的，按相应采购方式程序执行。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 </w:t>
      </w:r>
      <w:r>
        <w:rPr>
          <w:rFonts w:ascii="Times New Roman" w:eastAsia="宋体" w:cs="Times New Roman" w:hAnsiTheme="minorEastAsia"/>
          <w:color w:val="auto"/>
        </w:rPr>
        <w:t>其他注意事项</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32.1 </w:t>
      </w:r>
      <w:r>
        <w:rPr>
          <w:rFonts w:ascii="Times New Roman" w:eastAsia="宋体" w:cs="Times New Roman" w:hAnsiTheme="minorEastAsia"/>
          <w:color w:val="auto"/>
        </w:rPr>
        <w:t>在开标、投标期间，投标人不得向评标委员会成员或采购代理机构询问评标情况、施加任何影响，不得进行旨在影响评标结果的活动。</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32.2 </w:t>
      </w:r>
      <w:r>
        <w:rPr>
          <w:rFonts w:ascii="Times New Roman" w:eastAsia="宋体" w:cs="Times New Roman" w:hAnsiTheme="minor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3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 xml:space="preserve">32. 3 </w:t>
      </w:r>
      <w:r>
        <w:rPr>
          <w:rFonts w:ascii="Times New Roman" w:eastAsia="宋体" w:cs="Times New Roman" w:hAnsiTheme="minorEastAsia"/>
          <w:color w:val="auto"/>
        </w:rPr>
        <w:t>本项目不接受赠品、回扣或者与采购无关的其他商品、服务。</w:t>
      </w:r>
    </w:p>
    <w:p>
      <w:pPr>
        <w:pStyle w:val="3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 xml:space="preserve">F  </w:t>
      </w:r>
      <w:r>
        <w:rPr>
          <w:rFonts w:ascii="Times New Roman" w:eastAsia="宋体" w:cs="Times New Roman" w:hAnsiTheme="minorEastAsia"/>
          <w:color w:val="auto"/>
        </w:rPr>
        <w:t>授予合同</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 </w:t>
      </w:r>
      <w:r>
        <w:rPr>
          <w:rFonts w:ascii="Times New Roman" w:eastAsia="宋体" w:cs="Times New Roman" w:hAnsiTheme="minorEastAsia"/>
          <w:color w:val="auto"/>
        </w:rPr>
        <w:t>中标供应商的产生</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33.1 </w:t>
      </w:r>
      <w:r>
        <w:rPr>
          <w:rFonts w:ascii="Times New Roman" w:eastAsia="宋体" w:cs="Times New Roman" w:hAnsiTheme="minorEastAsia"/>
          <w:color w:val="auto"/>
        </w:rPr>
        <w:t>采购人可以事先授权评标委员会直接确定中标供应商。</w:t>
      </w:r>
    </w:p>
    <w:p>
      <w:pPr>
        <w:pStyle w:val="3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33.2 </w:t>
      </w:r>
      <w:r>
        <w:rPr>
          <w:rFonts w:ascii="Times New Roman" w:eastAsia="宋体" w:cs="Times New Roman" w:hAnsiTheme="minorEastAsia"/>
          <w:color w:val="auto"/>
        </w:rPr>
        <w:t>采购人也可以按照《政府采购法》及其实施条例等法律法规的规定和招标文件的要求确认中标供应商。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34. </w:t>
      </w:r>
      <w:r>
        <w:rPr>
          <w:rFonts w:hint="eastAsia" w:ascii="Times New Roman" w:eastAsia="宋体" w:cs="Times New Roman" w:hAnsiTheme="minorEastAsia"/>
          <w:color w:val="auto"/>
        </w:rPr>
        <w:t>中标通知</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34.1 </w:t>
      </w:r>
      <w:r>
        <w:rPr>
          <w:rFonts w:hint="eastAsia" w:ascii="Times New Roman" w:eastAsia="宋体" w:cs="Times New Roman" w:hAnsiTheme="minorEastAsia"/>
          <w:color w:val="auto"/>
        </w:rPr>
        <w:t>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，并从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查看项目文件</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中获取）。《中标通知书》一经发出即发生法律效力。</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35. </w:t>
      </w:r>
      <w:r>
        <w:rPr>
          <w:rFonts w:hint="eastAsia" w:ascii="Times New Roman" w:eastAsia="宋体" w:cs="Times New Roman" w:hAnsiTheme="minorEastAsia"/>
          <w:color w:val="auto"/>
        </w:rPr>
        <w:t>投标人可使用天津市中环认证服务有限公司发出的CA数字证书（原天津市电子认证中心发出尚在有效期内的CA数字证书仍可使用）登陆天津市政府采购中心网（网址：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，并从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查看项目文件</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中获取未通过资格审查的原因或从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查看排序和得分</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中获取未中标人本人的评审得分与排序。</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36. </w:t>
      </w:r>
      <w:r>
        <w:rPr>
          <w:rFonts w:hint="eastAsia" w:ascii="Times New Roman" w:eastAsia="宋体" w:cs="Times New Roman" w:hAnsiTheme="minorEastAsia"/>
          <w:color w:val="auto"/>
        </w:rPr>
        <w:t>签订合同</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36.1 </w:t>
      </w:r>
      <w:r>
        <w:rPr>
          <w:rFonts w:hint="eastAsia" w:ascii="Times New Roman" w:eastAsia="宋体" w:cs="Times New Roman" w:hAnsiTheme="minorEastAsia"/>
          <w:color w:val="auto"/>
        </w:rPr>
        <w:t>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w:t>
      </w:r>
      <w:r>
        <w:fldChar w:fldCharType="begin"/>
      </w:r>
      <w:r>
        <w:instrText xml:space="preserve"> HYPERLINK "http://tjgpc.cz.tj.gov.cn/" </w:instrText>
      </w:r>
      <w:r>
        <w:fldChar w:fldCharType="separate"/>
      </w:r>
      <w:r>
        <w:rPr>
          <w:rStyle w:val="25"/>
          <w:rFonts w:ascii="Times New Roman" w:hAnsi="Times New Roman" w:eastAsia="宋体" w:cs="Times New Roman"/>
        </w:rPr>
        <w:t>http://tjgpc.zwfwb.tj.gov.cn/</w:t>
      </w:r>
      <w:r>
        <w:rPr>
          <w:rStyle w:val="25"/>
          <w:rFonts w:ascii="Times New Roman" w:hAnsi="Times New Roman" w:eastAsia="宋体" w:cs="Times New Roman"/>
        </w:rPr>
        <w:fldChar w:fldCharType="end"/>
      </w:r>
      <w:r>
        <w:rPr>
          <w:rFonts w:hint="eastAsia" w:ascii="Times New Roman" w:eastAsia="宋体" w:cs="Times New Roman" w:hAnsiTheme="minorEastAsia"/>
          <w:color w:val="auto"/>
        </w:rPr>
        <w:t>）</w:t>
      </w:r>
      <w:r>
        <w:rPr>
          <w:rFonts w:hint="eastAsia" w:ascii="Times New Roman" w:hAnsi="Times New Roman" w:eastAsia="宋体" w:cs="Times New Roman"/>
          <w:color w:val="auto"/>
        </w:rPr>
        <w:t>-“网上招投标”-“供应商登录”-“区级集采机构入口”</w:t>
      </w:r>
      <w:r>
        <w:rPr>
          <w:rFonts w:hint="eastAsia" w:ascii="Times New Roman" w:eastAsia="宋体" w:cs="Times New Roman" w:hAnsiTheme="minorEastAsia"/>
          <w:color w:val="auto"/>
        </w:rPr>
        <w:t>，并从</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供应商系统</w:t>
      </w:r>
      <w:r>
        <w:rPr>
          <w:rFonts w:hint="eastAsia" w:ascii="Times New Roman" w:hAnsi="Times New Roman" w:eastAsia="宋体" w:cs="Times New Roman"/>
          <w:color w:val="auto"/>
        </w:rPr>
        <w:t>”</w:t>
      </w:r>
      <w:r>
        <w:rPr>
          <w:rFonts w:hint="eastAsia" w:ascii="Times New Roman" w:eastAsia="宋体" w:cs="Times New Roman" w:hAnsiTheme="minorEastAsia"/>
          <w:color w:val="auto"/>
        </w:rPr>
        <w:t>的</w:t>
      </w:r>
      <w:r>
        <w:rPr>
          <w:rFonts w:hint="eastAsia" w:ascii="Times New Roman" w:hAnsi="Times New Roman" w:eastAsia="宋体" w:cs="Times New Roman"/>
          <w:color w:val="auto"/>
        </w:rPr>
        <w:t>“</w:t>
      </w:r>
      <w:r>
        <w:rPr>
          <w:rFonts w:hint="eastAsia" w:ascii="Times New Roman" w:eastAsia="宋体" w:cs="Times New Roman" w:hAnsiTheme="minorEastAsia"/>
          <w:color w:val="auto"/>
        </w:rPr>
        <w:t>合同</w:t>
      </w:r>
      <w:r>
        <w:rPr>
          <w:rFonts w:hint="eastAsia" w:ascii="Times New Roman" w:hAnsi="Times New Roman" w:eastAsia="宋体" w:cs="Times New Roman"/>
          <w:color w:val="auto"/>
        </w:rPr>
        <w:t>”</w:t>
      </w:r>
      <w:r>
        <w:rPr>
          <w:rFonts w:hint="eastAsia" w:ascii="Times New Roman" w:eastAsia="宋体" w:cs="Times New Roman" w:hAnsiTheme="minorEastAsia"/>
          <w:color w:val="auto"/>
        </w:rPr>
        <w:t>中获取。</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36.2 </w:t>
      </w:r>
      <w:r>
        <w:rPr>
          <w:rFonts w:hint="eastAsia" w:ascii="Times New Roman" w:eastAsia="宋体" w:cs="Times New Roman" w:hAnsiTheme="minorEastAsia"/>
          <w:color w:val="auto"/>
        </w:rPr>
        <w:t>招标文件、中标供应商的投标文件及其澄清文件等，均为签订合同的依据，且为合同的组成部分。</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37. </w:t>
      </w:r>
      <w:r>
        <w:rPr>
          <w:rFonts w:hint="eastAsia" w:ascii="Times New Roman" w:eastAsia="宋体" w:cs="Times New Roman" w:hAnsiTheme="minorEastAsia"/>
          <w:color w:val="auto"/>
        </w:rPr>
        <w:t>履约保证金</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37.1 </w:t>
      </w:r>
      <w:r>
        <w:rPr>
          <w:rFonts w:hint="eastAsia" w:ascii="Times New Roman" w:eastAsia="宋体" w:cs="Times New Roman" w:hAnsiTheme="minorEastAsia"/>
          <w:color w:val="auto"/>
        </w:rPr>
        <w:t>若《招标项目要求》规定须提交履约保证金的，合同签订前，中标供应商须按照规定要求提交履约保证金，履约保证金的有效期至货到并最终验收合格之日。</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37.2 </w:t>
      </w:r>
      <w:r>
        <w:rPr>
          <w:rFonts w:hint="eastAsia" w:ascii="Times New Roman" w:eastAsia="宋体" w:cs="Times New Roman" w:hAnsiTheme="minorEastAsia"/>
          <w:color w:val="auto"/>
        </w:rPr>
        <w:t>中标供应商未能按合同规定履行其义务，采购人有权没收其履约保证金。</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38. </w:t>
      </w:r>
      <w:r>
        <w:rPr>
          <w:rFonts w:hint="eastAsia" w:ascii="Times New Roman" w:eastAsia="宋体" w:cs="Times New Roman" w:hAnsiTheme="minorEastAsia"/>
          <w:color w:val="auto"/>
        </w:rPr>
        <w:t>中标供应商拒绝与采购人签订合同的，采购人可以按照评审报告推荐的中标候选人名单排序，确定下一候选人为中标供应商，也可以重新开展政府采购活动。</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39. </w:t>
      </w:r>
      <w:r>
        <w:rPr>
          <w:rFonts w:hint="eastAsia" w:ascii="Times New Roman" w:eastAsia="宋体" w:cs="Times New Roman" w:hAnsiTheme="minorEastAsia"/>
          <w:color w:val="auto"/>
        </w:rPr>
        <w:t>合同分包</w:t>
      </w: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39.1 </w:t>
      </w:r>
      <w:r>
        <w:rPr>
          <w:rFonts w:hint="eastAsia" w:ascii="Times New Roman" w:eastAsia="宋体" w:cs="Times New Roman" w:hAnsiTheme="minorEastAsia"/>
          <w:color w:val="auto"/>
        </w:rPr>
        <w:t>未经采购人同意，中标供应商不得分包合同。</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hAnsi="Times New Roman" w:eastAsia="宋体" w:cs="Times New Roman"/>
          <w:color w:val="auto"/>
        </w:rPr>
        <w:t xml:space="preserve">39.2 </w:t>
      </w:r>
      <w:r>
        <w:rPr>
          <w:rFonts w:hint="eastAsia" w:ascii="Times New Roman" w:eastAsia="宋体" w:cs="Times New Roman" w:hAnsiTheme="minorEastAsia"/>
          <w:color w:val="auto"/>
        </w:rPr>
        <w:t>政府采购合同分包履行的，中标供应商就采购项目和分包项目向采购人负责，分包供应商就分包项目承担责任。</w:t>
      </w:r>
    </w:p>
    <w:p>
      <w:pPr>
        <w:pStyle w:val="31"/>
        <w:spacing w:line="360" w:lineRule="auto"/>
        <w:ind w:firstLine="448" w:firstLineChars="200"/>
        <w:jc w:val="center"/>
        <w:rPr>
          <w:rFonts w:ascii="Times New Roman" w:eastAsia="宋体" w:cs="Times New Roman" w:hAnsiTheme="minorEastAsia"/>
          <w:color w:val="auto"/>
        </w:rPr>
      </w:pPr>
      <w:r>
        <w:rPr>
          <w:rFonts w:hint="eastAsia" w:ascii="Times New Roman" w:eastAsia="宋体" w:cs="Times New Roman" w:hAnsiTheme="minorEastAsia"/>
          <w:color w:val="auto"/>
        </w:rPr>
        <w:t>G 政府采购“明白纸”</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40.1政府采购支持中小企业政策“明白纸”</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ascii="Times New Roman" w:hAnsi="Times New Roman" w:eastAsia="宋体" w:cs="Times New Roman"/>
          <w:color w:val="auto"/>
        </w:rPr>
        <w:t>1</w:t>
      </w:r>
      <w:r>
        <w:rPr>
          <w:rFonts w:ascii="Times New Roman" w:eastAsia="宋体" w:cs="Times New Roman" w:hAnsiTheme="minorEastAsia"/>
          <w:color w:val="auto"/>
        </w:rPr>
        <w:t>）《区财政局区发展改革委区住房建设委区交通运输局区水务局区政务服务办关于进一步贯彻落实政府采购支持中小企业政策的通知》（津滨财采[2022]8号）（以下简称通知）提出了哪些进一步支持中小企业的措施？</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一是阶段性提高政府采购工程面向中小企业预留份额。400万元以下的工程采购项目适宜由中小企业提供的应专门面向中小企业采购。超过400万元的工程采购项目中适宜由中小企业提供的，2022年下半年面向中小企业的预留份额由30%以上阶段性提高至40%以上。</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二是调整对小微企业的价格评审优惠幅度。货物服务采购项目给予小微企业的价格扣除优惠，由6%-10%提高至10-%20%。大中型企业与小微企业组成联合体或者大中型企业向小微企业分包的，评审优惠幅度由2%-3%提高至4%-6%。货物、服务采购项目适宜由中小企业提供的，以及大中型企业与小微企业组成联合体或者大中型企业向小微企业分包的，对小微企业给予价格扣除优惠时按照上述比例区间上限执行。</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2</w:t>
      </w:r>
      <w:r>
        <w:rPr>
          <w:rFonts w:ascii="Times New Roman" w:eastAsia="宋体" w:cs="Times New Roman" w:hAnsiTheme="minorEastAsia"/>
          <w:color w:val="auto"/>
        </w:rPr>
        <w:t>）《通知》是如何降低中小企业参与政府采购成本的？</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《通知》在保证金收取、资金支付、合同融资等方面对支持中小企业也作出了规定，多措并举降低中小企业参与政府采购成本。</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一是明确政府采购项目不得在法律法规允许的收费项目及收费幅度之外收取任何保证金及其他费用。依法收取的保证金，应当允许以支票、汇票、本票、保函等非现金形式缴纳或提交。二是鼓励采购人、代理机构向供应商免费提供采购文件，政府集中采购机构应当免费提供采购文件。三是要求采购人严格按照合同约定和有关规定及时支付采购资金。四是鼓励建立预付款制度并提高预付款比例。五是要求采购人按照规定及时完整准确公开政府采购合同，积极配合中小企业开展合同融资。</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3</w:t>
      </w:r>
      <w:r>
        <w:rPr>
          <w:rFonts w:ascii="Times New Roman" w:eastAsia="宋体" w:cs="Times New Roman" w:hAnsiTheme="minorEastAsia"/>
          <w:color w:val="auto"/>
        </w:rPr>
        <w:t>）怎样确保政策落实到位？</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一是强化政策宣传。政策印发后，新区财政局制定政府采购支持中小企业政策“明白纸”，细致解读政策内容，通过开展线上腾讯会议营商环境大讲堂对政策进行宣讲解读，提高中小企业政策知晓率。</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二是形成监督合力，新区财政、发展改革、住房城乡建设、交通运输、水务、政务服务等部门根据各自职责分工，积极调整完善执行工程招投标领域有关标准文本、评标制度等规定和做法，广泛开展政策宣贯，确保预留份额、评审优惠等政策措施在全口径政府采购工程项目中得到有效贯彻执行，提高中小企业合同规模。</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4</w:t>
      </w:r>
      <w:r>
        <w:rPr>
          <w:rFonts w:ascii="Times New Roman" w:eastAsia="宋体" w:cs="Times New Roman" w:hAnsiTheme="minorEastAsia"/>
          <w:color w:val="auto"/>
        </w:rPr>
        <w:t>）中小企业怎样知晓采购项目是否面向中小企业？</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《政府采购促进中小企业发展管理办法》明确采购项目涉及中小企业采购的，预留份额、价格扣除比例或价格加分比例等内容应当在采购文件中明确。因此，中小企业可在采购文件中获取相关信息。</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5</w:t>
      </w:r>
      <w:r>
        <w:rPr>
          <w:rFonts w:ascii="Times New Roman" w:eastAsia="宋体" w:cs="Times New Roman" w:hAnsiTheme="minorEastAsia"/>
          <w:color w:val="auto"/>
        </w:rPr>
        <w:t>）中小企业享受扶持政策应提供什么份证明材料？</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中小企业参与政府采购活动、享受扶持政策，只需要出具《中小企业声明函》作为中小企业身份证明文件，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w:t>
      </w:r>
      <w:r>
        <w:rPr>
          <w:rFonts w:hint="eastAsia" w:ascii="Times New Roman" w:hAnsi="Times New Roman" w:eastAsia="宋体" w:cs="Times New Roman"/>
          <w:color w:val="auto"/>
        </w:rPr>
        <w:t>6</w:t>
      </w:r>
      <w:r>
        <w:rPr>
          <w:rFonts w:ascii="Times New Roman" w:eastAsia="宋体" w:cs="Times New Roman" w:hAnsiTheme="minorEastAsia"/>
          <w:color w:val="auto"/>
        </w:rPr>
        <w:t>）企业不清楚自身是否为中小企业，怎么办？</w:t>
      </w:r>
    </w:p>
    <w:p>
      <w:pPr>
        <w:pStyle w:val="31"/>
        <w:spacing w:line="360" w:lineRule="auto"/>
        <w:ind w:firstLine="448" w:firstLineChars="200"/>
        <w:jc w:val="both"/>
        <w:rPr>
          <w:rFonts w:ascii="Times New Roman" w:eastAsia="宋体" w:cs="Times New Roman" w:hAnsiTheme="minorEastAsia"/>
          <w:color w:val="auto"/>
        </w:rPr>
      </w:pPr>
      <w:r>
        <w:rPr>
          <w:rFonts w:ascii="Times New Roman" w:eastAsia="宋体" w:cs="Times New Roman" w:hAnsiTheme="minorEastAsia"/>
          <w:color w:val="auto"/>
        </w:rPr>
        <w:t>关于企业标准的判定，参与政府采购的企业可根据《中小企业划型标准规定》（工信部联企业〔2011〕300号）要求判定是否为中小企业。此外，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40.2 滨海新区财政局</w:t>
      </w:r>
      <w:r>
        <w:rPr>
          <w:rFonts w:hint="eastAsia" w:ascii="Times New Roman" w:hAnsi="Times New Roman" w:eastAsia="宋体" w:cs="Times New Roman"/>
          <w:color w:val="auto"/>
        </w:rPr>
        <w:t>“政采贷”</w:t>
      </w:r>
      <w:r>
        <w:rPr>
          <w:rFonts w:hint="eastAsia" w:ascii="Times New Roman" w:eastAsia="宋体" w:cs="Times New Roman" w:hAnsiTheme="minorEastAsia"/>
          <w:color w:val="auto"/>
        </w:rPr>
        <w:t>明白纸</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中小企业是建设现代化经济体系、实现经济高质量发展的重要基础，财政部、市财政局及新区财政局先后出台多项政府采购政策、办法扶持中小企业。为进一步支持中小企业参与政府采购活动，促进中小企业良性发展，新区财政局印发了《滨海新区财政局关于进一步优化政府采购营商环境的通知》，鼓励中小企业在签署政府采购合同前明确融资需求，在采购合同中细化收款账号等融资信息，切实缓解参与政府采购活动的中小企业资金周转压力。本“政采贷”明白纸遵循“市场主导、银企自愿、风险自担”原则，旨在向政府采购中有融资需求的潜在中标、成交供应商介绍“政采贷”业务。</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一、“政采贷”概念</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政采贷”即政府采购合同融资的简称，是金融机构以中小企业的诚信考量和信用审查为基础，基于其取得并提供的政府采购合同，按优惠贷款利率直接向中小企业发放贷款的一种融资方式。政采贷能有效减轻企业融资成本和负担，助力解决民营企业、中小企业“融资难、融资贵、资金不足”的困难。</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二、“政采贷”基本流程介绍</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“企业申请”-“银行接受申请”-“获取政采业务数据、订单信息、合同信息等”-“线下尽调、审核资质”-“银行风控评估”-“预授信”-“放款、提款”</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三、我市主要金融机构开通“政采贷”情况</w:t>
      </w:r>
    </w:p>
    <w:p>
      <w:pPr>
        <w:pStyle w:val="31"/>
        <w:spacing w:line="360" w:lineRule="auto"/>
        <w:ind w:firstLine="448" w:firstLineChars="200"/>
        <w:jc w:val="both"/>
        <w:rPr>
          <w:rFonts w:ascii="Times New Roman" w:eastAsia="宋体" w:cs="Times New Roman" w:hAnsiTheme="minorEastAsia"/>
          <w:color w:val="auto"/>
        </w:rPr>
      </w:pPr>
      <w:r>
        <w:rPr>
          <w:rFonts w:hint="eastAsia" w:ascii="Times New Roman" w:eastAsia="宋体" w:cs="Times New Roman" w:hAnsiTheme="minorEastAsia"/>
          <w:color w:val="auto"/>
        </w:rPr>
        <w:t>目前“政采贷”业务已经逐步在各大商业金融机构上线，未来我市主要金融机构“政采贷”业务将实现全覆盖，中标供应商可以根据自身情况自行选择。其中部分金融机构及咨询电话见下表(后续将持续更新)：</w:t>
      </w:r>
    </w:p>
    <w:tbl>
      <w:tblPr>
        <w:tblStyle w:val="19"/>
        <w:tblW w:w="8519" w:type="dxa"/>
        <w:tblInd w:w="93" w:type="dxa"/>
        <w:tblLayout w:type="fixed"/>
        <w:tblCellMar>
          <w:top w:w="0" w:type="dxa"/>
          <w:left w:w="108" w:type="dxa"/>
          <w:bottom w:w="0" w:type="dxa"/>
          <w:right w:w="108" w:type="dxa"/>
        </w:tblCellMar>
      </w:tblPr>
      <w:tblGrid>
        <w:gridCol w:w="492"/>
        <w:gridCol w:w="1001"/>
        <w:gridCol w:w="1292"/>
        <w:gridCol w:w="964"/>
        <w:gridCol w:w="3384"/>
        <w:gridCol w:w="1386"/>
      </w:tblGrid>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序号</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金融机构名称</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参考利率及额度</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现阶段面向范围</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申请条件</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咨询电话</w:t>
            </w:r>
          </w:p>
        </w:tc>
      </w:tr>
      <w:tr>
        <w:tblPrEx>
          <w:tblCellMar>
            <w:top w:w="0" w:type="dxa"/>
            <w:left w:w="108" w:type="dxa"/>
            <w:bottom w:w="0" w:type="dxa"/>
            <w:right w:w="108" w:type="dxa"/>
          </w:tblCellMar>
        </w:tblPrEx>
        <w:trPr>
          <w:trHeight w:val="312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1</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中国银行</w:t>
            </w:r>
          </w:p>
        </w:tc>
        <w:tc>
          <w:tcPr>
            <w:tcW w:w="1292" w:type="dxa"/>
            <w:tcBorders>
              <w:top w:val="single" w:color="000000" w:sz="4" w:space="0"/>
              <w:left w:val="single" w:color="000000" w:sz="4" w:space="0"/>
              <w:bottom w:val="single" w:color="000000" w:sz="4" w:space="0"/>
              <w:right w:val="single" w:color="000000" w:sz="4" w:space="0"/>
            </w:tcBorders>
            <w:vAlign w:val="bottom"/>
          </w:tcPr>
          <w:p>
            <w:pPr>
              <w:widowControl/>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textAlignment w:val="center"/>
              <w:rPr>
                <w:rFonts w:ascii="宋体" w:hAnsi="宋体" w:cs="宋体"/>
                <w:color w:val="000000"/>
                <w:kern w:val="0"/>
                <w:sz w:val="19"/>
                <w:szCs w:val="19"/>
              </w:rPr>
            </w:pPr>
            <w:r>
              <w:rPr>
                <w:rFonts w:hint="eastAsia" w:ascii="宋体" w:hAnsi="宋体" w:cs="宋体"/>
                <w:color w:val="000000"/>
                <w:kern w:val="0"/>
                <w:sz w:val="19"/>
                <w:szCs w:val="19"/>
              </w:rPr>
              <w:t>根据当期lpr进行综合核定，原则上不3.85%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textAlignment w:val="center"/>
              <w:rPr>
                <w:rFonts w:ascii="宋体" w:hAnsi="宋体" w:cs="宋体"/>
                <w:color w:val="000000"/>
                <w:sz w:val="19"/>
                <w:szCs w:val="19"/>
              </w:rPr>
            </w:pPr>
            <w:r>
              <w:rPr>
                <w:rFonts w:hint="eastAsia" w:ascii="宋体" w:hAnsi="宋体" w:cs="宋体"/>
                <w:color w:val="000000"/>
                <w:kern w:val="0"/>
                <w:sz w:val="19"/>
                <w:szCs w:val="19"/>
              </w:rPr>
              <w:t>小微企业不超过1000万元,大中型企业具体以政府采购金额为测算依据，无金额限制</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1、在政府采购中无不良履约记录；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2、企业及其实际控制人、法定代表人、受益所有人等关联人员不存在涉及洗钱、恐怖融资、金融诈骗、偷逃税、侵犯知识产权等违法犯罪行为或违反制裁规定的行为；</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3、政府采购的参与主体、内容、程序、实施和管理机制及相关合同应符合国务院、财政部、银保监会等相关部门对于政府债务、融资平台、政府采购、政府预算管理等相关法律法规要求。</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 xml:space="preserve">27106030 </w:t>
            </w:r>
          </w:p>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吴楠</w:t>
            </w:r>
          </w:p>
        </w:tc>
      </w:tr>
      <w:tr>
        <w:tblPrEx>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2</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邮储银行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约4.95%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不超过200万元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企业经营满一年以上，有一年以上政府中标历史记录，当前有生效政府中标订单，企业及法定代表人征信记录良好</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13820988723</w:t>
            </w:r>
            <w:r>
              <w:rPr>
                <w:rFonts w:hint="eastAsia" w:ascii="宋体" w:hAnsi="宋体" w:cs="宋体"/>
                <w:color w:val="000000"/>
                <w:kern w:val="0"/>
                <w:sz w:val="19"/>
                <w:szCs w:val="19"/>
              </w:rPr>
              <w:t>张日超</w:t>
            </w:r>
          </w:p>
        </w:tc>
      </w:tr>
      <w:tr>
        <w:tblPrEx>
          <w:tblCellMar>
            <w:top w:w="0" w:type="dxa"/>
            <w:left w:w="108" w:type="dxa"/>
            <w:bottom w:w="0" w:type="dxa"/>
            <w:right w:w="108" w:type="dxa"/>
          </w:tblCellMar>
        </w:tblPrEx>
        <w:trPr>
          <w:trHeight w:val="9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3</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光大银行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约4%</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不超过1000万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1.具有独立承担民事责任的能力，有固定经营场所，将我行账户作为政府采购合同唯一回款账户。</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2.企业成立1年以上，且实际控制人具有3年以上的实际行业经验，具有良好的纳税记录、工商登记记录；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3.企业具有履行合同所必须的设备和服务能力；</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4.生产经营符合国家法律法规，产业政策和环境保护要求，符合我行信贷政策；</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5.人行征信信息查询系统查询显示借款人、实际控制人无重大不良记录，政府采购履约无不良记录。</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18722110192谢凝 </w:t>
            </w:r>
            <w:r>
              <w:rPr>
                <w:rFonts w:hint="eastAsia" w:ascii="宋体" w:hAnsi="宋体" w:cs="宋体"/>
                <w:color w:val="000000"/>
                <w:kern w:val="0"/>
                <w:sz w:val="19"/>
                <w:szCs w:val="19"/>
              </w:rPr>
              <w:t>18622858578</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马嵘</w:t>
            </w:r>
          </w:p>
        </w:tc>
      </w:tr>
      <w:tr>
        <w:tblPrEx>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4</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浦发银行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约3.8%</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融资额度：不超过500万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1、申请人不得有失信记录；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2、订单对应的政府采购部门在天津市，中标企业注册地在天津。</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13612152218</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刘扬</w:t>
            </w:r>
          </w:p>
        </w:tc>
      </w:tr>
      <w:tr>
        <w:tblPrEx>
          <w:tblCellMar>
            <w:top w:w="0" w:type="dxa"/>
            <w:left w:w="108" w:type="dxa"/>
            <w:bottom w:w="0" w:type="dxa"/>
            <w:right w:w="108" w:type="dxa"/>
          </w:tblCellMar>
        </w:tblPrEx>
        <w:trPr>
          <w:trHeight w:val="192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5</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齐鲁银行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4.50%起</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不超过1000万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1、获得政府采购订单，中标信息可在公开网站查询。如无法查询，可出示国家扶持政策内不公开中标信息文件。</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2、采购合同回款账户为齐鲁银行，并做质押登记。</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3、符合我行客户准入要求（同上一条）。</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022-23271885</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朱怡璇</w:t>
            </w:r>
          </w:p>
        </w:tc>
      </w:tr>
      <w:tr>
        <w:tblPrEx>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6</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天津银行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不低于3.85%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不超过1000万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1、连续从事政府采购活动一年以上，或主要股东从事政府采购活动两年以上，且交易及信用记录良好；</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2、持有政府采购中标通知书、签订政府采购合同等资料。</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28405397</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王小一</w:t>
            </w:r>
          </w:p>
        </w:tc>
      </w:tr>
      <w:tr>
        <w:tblPrEx>
          <w:tblCellMar>
            <w:top w:w="0" w:type="dxa"/>
            <w:left w:w="108" w:type="dxa"/>
            <w:bottom w:w="0" w:type="dxa"/>
            <w:right w:w="108" w:type="dxa"/>
          </w:tblCellMar>
        </w:tblPrEx>
        <w:trPr>
          <w:trHeight w:val="216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7</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天津农商银行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结合借款人经营规模、偿债能力、营运效率等因素合理确定</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不超过5000万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1、中标供应商财务状况良好，记录良好，有资质且具有1年(含)以上与天津市各类政府采购成功经验；</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2、生产经营符合国家政策；</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3、无违法、违约、不良信用记录，未发生过政府采购业务纠纷等；</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4、银行要求的其他条件。</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022-83872249</w:t>
            </w:r>
          </w:p>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林向宇</w:t>
            </w:r>
          </w:p>
        </w:tc>
      </w:tr>
      <w:tr>
        <w:tblPrEx>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8</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天津滨海农商银行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致电咨询</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融资额度：100-5000万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1、具有2年(含)以上连续经营记录；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2、有固定生产经营场所；本行要求的其他条件。</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 xml:space="preserve">13612141823高飞     </w:t>
            </w:r>
          </w:p>
        </w:tc>
      </w:tr>
      <w:tr>
        <w:tblPrEx>
          <w:tblCellMar>
            <w:top w:w="0" w:type="dxa"/>
            <w:left w:w="108" w:type="dxa"/>
            <w:bottom w:w="0" w:type="dxa"/>
            <w:right w:w="108" w:type="dxa"/>
          </w:tblCellMar>
        </w:tblPrEx>
        <w:trPr>
          <w:trHeight w:val="2651"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9</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民生银行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参考利率：</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最低4%</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信用额度最高1000万</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信用+担保额度最高3000万</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1、企业成立满一年，经营良好、征信良好；</w:t>
            </w:r>
          </w:p>
          <w:p>
            <w:pPr>
              <w:widowControl/>
              <w:jc w:val="left"/>
              <w:textAlignment w:val="center"/>
              <w:rPr>
                <w:rFonts w:ascii="宋体" w:hAnsi="宋体" w:cs="宋体"/>
                <w:color w:val="000000"/>
                <w:kern w:val="0"/>
                <w:sz w:val="19"/>
                <w:szCs w:val="19"/>
              </w:rPr>
            </w:pPr>
            <w:r>
              <w:rPr>
                <w:rFonts w:hint="eastAsia" w:ascii="宋体" w:hAnsi="宋体" w:cs="宋体"/>
                <w:color w:val="000000"/>
                <w:kern w:val="0"/>
                <w:sz w:val="19"/>
                <w:szCs w:val="19"/>
              </w:rPr>
              <w:t>2、实控人25-65周岁，征信良好；</w:t>
            </w:r>
          </w:p>
          <w:p>
            <w:pPr>
              <w:widowControl/>
              <w:jc w:val="left"/>
              <w:textAlignment w:val="center"/>
              <w:rPr>
                <w:rFonts w:ascii="宋体" w:hAnsi="宋体" w:cs="宋体"/>
                <w:color w:val="000000"/>
                <w:sz w:val="19"/>
                <w:szCs w:val="19"/>
              </w:rPr>
            </w:pPr>
            <w:r>
              <w:rPr>
                <w:rFonts w:hint="eastAsia" w:ascii="宋体" w:hAnsi="宋体" w:cs="宋体"/>
                <w:color w:val="000000"/>
                <w:kern w:val="0"/>
                <w:sz w:val="19"/>
                <w:szCs w:val="19"/>
              </w:rPr>
              <w:t>3、近12个月有政府采购中标且正常履约、回款</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18102027371</w:t>
            </w:r>
          </w:p>
          <w:p>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陈宗山 </w:t>
            </w:r>
          </w:p>
        </w:tc>
      </w:tr>
      <w:tr>
        <w:tblPrEx>
          <w:tblCellMar>
            <w:top w:w="0" w:type="dxa"/>
            <w:left w:w="108" w:type="dxa"/>
            <w:bottom w:w="0" w:type="dxa"/>
            <w:right w:w="108" w:type="dxa"/>
          </w:tblCellMar>
        </w:tblPrEx>
        <w:trPr>
          <w:trHeight w:val="2938"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9"/>
                <w:szCs w:val="19"/>
              </w:rPr>
            </w:pPr>
            <w:r>
              <w:rPr>
                <w:rFonts w:hint="eastAsia" w:ascii="宋体" w:hAnsi="宋体" w:cs="宋体"/>
                <w:color w:val="000000"/>
                <w:kern w:val="0"/>
                <w:sz w:val="19"/>
                <w:szCs w:val="19"/>
              </w:rPr>
              <w:t>10</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19"/>
                <w:szCs w:val="19"/>
              </w:rPr>
            </w:pPr>
            <w:r>
              <w:rPr>
                <w:rFonts w:hint="eastAsia" w:ascii="宋体" w:hAnsi="宋体" w:cs="宋体"/>
                <w:color w:val="000000"/>
                <w:kern w:val="0"/>
                <w:sz w:val="19"/>
                <w:szCs w:val="19"/>
              </w:rPr>
              <w:t>平安银行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约6.00%</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jc w:val="left"/>
              <w:rPr>
                <w:rFonts w:ascii="宋体" w:hAnsi="宋体" w:cs="宋体"/>
                <w:color w:val="000000"/>
                <w:sz w:val="19"/>
                <w:szCs w:val="19"/>
              </w:rPr>
            </w:pPr>
            <w:r>
              <w:rPr>
                <w:rFonts w:hint="eastAsia" w:ascii="宋体" w:hAnsi="宋体" w:cs="宋体"/>
                <w:color w:val="000000"/>
                <w:kern w:val="0"/>
                <w:sz w:val="19"/>
                <w:szCs w:val="19"/>
              </w:rPr>
              <w:t>最高200万元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2632" w:type="dxa"/>
                  <w:shd w:val="clear" w:color="auto" w:fill="FFFFFF"/>
                  <w:tcMar>
                    <w:top w:w="150" w:type="dxa"/>
                    <w:left w:w="0" w:type="dxa"/>
                    <w:bottom w:w="150" w:type="dxa"/>
                    <w:right w:w="0" w:type="dxa"/>
                  </w:tcMar>
                </w:tcPr>
                <w:p>
                  <w:pPr>
                    <w:widowControl/>
                    <w:numPr>
                      <w:ilvl w:val="0"/>
                      <w:numId w:val="2"/>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申请人为企业法定代表人或第一大自然人股东，通过微信申请； </w:t>
                  </w:r>
                </w:p>
                <w:p>
                  <w:pPr>
                    <w:widowControl/>
                    <w:numPr>
                      <w:ilvl w:val="0"/>
                      <w:numId w:val="2"/>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企业及申请人信用记录良好，无不良、违法行为； </w:t>
                  </w:r>
                </w:p>
                <w:p>
                  <w:pPr>
                    <w:widowControl/>
                    <w:numPr>
                      <w:ilvl w:val="0"/>
                      <w:numId w:val="2"/>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企业为天津市政府部门、事业单位的供应商； </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4、企业有政府采购历史合作记录（近24个月2次，合计50万以上订单记录）且交易记录良好</w:t>
                  </w:r>
                </w:p>
              </w:tc>
            </w:tr>
          </w:tbl>
          <w:p>
            <w:pPr>
              <w:jc w:val="left"/>
              <w:rPr>
                <w:rFonts w:ascii="宋体" w:hAnsi="宋体" w:cs="宋体"/>
                <w:color w:val="00000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r>
              <w:rPr>
                <w:rFonts w:hint="eastAsia" w:ascii="宋体" w:hAnsi="宋体" w:cs="宋体"/>
                <w:color w:val="000000"/>
                <w:kern w:val="0"/>
                <w:sz w:val="19"/>
                <w:szCs w:val="19"/>
              </w:rPr>
              <w:t xml:space="preserve">18698167095张伟 </w:t>
            </w:r>
          </w:p>
        </w:tc>
      </w:tr>
      <w:tr>
        <w:tblPrEx>
          <w:tblCellMar>
            <w:top w:w="0" w:type="dxa"/>
            <w:left w:w="108" w:type="dxa"/>
            <w:bottom w:w="0" w:type="dxa"/>
            <w:right w:w="108" w:type="dxa"/>
          </w:tblCellMar>
        </w:tblPrEx>
        <w:trPr>
          <w:trHeight w:val="273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11</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渤海银行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年化约3.85%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jc w:val="left"/>
              <w:rPr>
                <w:rFonts w:ascii="宋体" w:hAnsi="宋体" w:cs="宋体"/>
                <w:color w:val="000000"/>
                <w:sz w:val="19"/>
                <w:szCs w:val="19"/>
              </w:rPr>
            </w:pPr>
            <w:r>
              <w:rPr>
                <w:rFonts w:hint="eastAsia" w:ascii="宋体" w:hAnsi="宋体" w:cs="宋体"/>
                <w:color w:val="000000"/>
                <w:kern w:val="0"/>
                <w:sz w:val="19"/>
                <w:szCs w:val="19"/>
              </w:rPr>
              <w:t>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2632" w:type="dxa"/>
                  <w:shd w:val="clear" w:color="auto" w:fill="FFFFFF"/>
                  <w:tcMar>
                    <w:top w:w="150" w:type="dxa"/>
                    <w:left w:w="0" w:type="dxa"/>
                    <w:bottom w:w="150" w:type="dxa"/>
                    <w:right w:w="0" w:type="dxa"/>
                  </w:tcMar>
                </w:tcPr>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有固定的经营场所，企业划型符合小微企业； </w:t>
                  </w:r>
                </w:p>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信用记录良好，无不良、违法行为； </w:t>
                  </w:r>
                </w:p>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持续经营2年以上或实际控制人从业3年以上； 具备政府采购投标资格且交易记录良好； </w:t>
                  </w:r>
                </w:p>
                <w:p>
                  <w:pPr>
                    <w:widowControl/>
                    <w:numPr>
                      <w:ilvl w:val="0"/>
                      <w:numId w:val="3"/>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采购项目符合国家产业政策和资源环保政策要求；</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022-58879322</w:t>
            </w:r>
          </w:p>
          <w:p>
            <w:pPr>
              <w:ind w:firstLine="174" w:firstLineChars="100"/>
              <w:jc w:val="left"/>
              <w:rPr>
                <w:rFonts w:ascii="宋体" w:hAnsi="宋体" w:cs="宋体"/>
                <w:color w:val="000000"/>
                <w:kern w:val="0"/>
                <w:sz w:val="19"/>
                <w:szCs w:val="19"/>
              </w:rPr>
            </w:pPr>
            <w:r>
              <w:rPr>
                <w:rFonts w:hint="eastAsia" w:ascii="宋体" w:hAnsi="宋体" w:cs="宋体"/>
                <w:color w:val="000000"/>
                <w:kern w:val="0"/>
                <w:sz w:val="19"/>
                <w:szCs w:val="19"/>
              </w:rPr>
              <w:t xml:space="preserve">  姚斌 </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12</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中国建设银行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参考利率：4.00%-5.00%</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w:t>
            </w:r>
          </w:p>
          <w:p>
            <w:pPr>
              <w:jc w:val="left"/>
              <w:rPr>
                <w:rFonts w:ascii="宋体" w:hAnsi="宋体" w:cs="宋体"/>
                <w:color w:val="000000"/>
                <w:kern w:val="0"/>
                <w:sz w:val="19"/>
                <w:szCs w:val="19"/>
              </w:rPr>
            </w:pPr>
            <w:r>
              <w:rPr>
                <w:rFonts w:hint="eastAsia" w:ascii="宋体" w:hAnsi="宋体" w:cs="宋体"/>
                <w:color w:val="000000"/>
                <w:kern w:val="0"/>
                <w:sz w:val="19"/>
                <w:szCs w:val="19"/>
              </w:rPr>
              <w:t>最高2000万元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2632" w:type="dxa"/>
                  <w:shd w:val="clear" w:color="auto" w:fill="FFFFFF"/>
                  <w:tcMar>
                    <w:top w:w="150" w:type="dxa"/>
                    <w:left w:w="0" w:type="dxa"/>
                    <w:bottom w:w="150" w:type="dxa"/>
                    <w:right w:w="0" w:type="dxa"/>
                  </w:tcMar>
                </w:tcPr>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企业已获得政府采购中标通知，并与集中采购机构、采购代理机构或采购人签订采购合同，企业不得采用分包或转包方式履行政府采购合同。政府采购合同明确了《合同法》规定的基本要素并符合商业惯例和行业规范，政府采购履约期限和付款期限距贷款申请日均在1年（含）以内。 </w:t>
                  </w:r>
                </w:p>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应收账款融资模式下，企业已按政府采购合同的约定履行了交货、工程施工或提供服务等主要义务并且无任何违约行为。 </w:t>
                  </w:r>
                </w:p>
                <w:p>
                  <w:pPr>
                    <w:widowControl/>
                    <w:numPr>
                      <w:ilvl w:val="0"/>
                      <w:numId w:val="4"/>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采购合同融资模式下，企业在政府采购活动中与政府成功合作2年（含）以上，且近2年政府采购供应量、工程量或服务量均不低于100万元（含）。 </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4、（四）企业向政府提供的货物、工程或服务质量稳定，与政府合作历史中未产生纠纷，与上、下游客户未发生重大债权、债务纠纷，近三年未被政府采购部门列入不良记录名单</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kern w:val="0"/>
                <w:sz w:val="19"/>
                <w:szCs w:val="19"/>
              </w:rPr>
            </w:pPr>
            <w:r>
              <w:rPr>
                <w:rFonts w:hint="eastAsia" w:ascii="宋体" w:hAnsi="宋体" w:cs="宋体"/>
                <w:color w:val="000000"/>
                <w:kern w:val="0"/>
                <w:sz w:val="19"/>
                <w:szCs w:val="19"/>
              </w:rPr>
              <w:t xml:space="preserve">58751595 </w:t>
            </w:r>
          </w:p>
          <w:p>
            <w:pPr>
              <w:jc w:val="center"/>
              <w:rPr>
                <w:rFonts w:ascii="宋体" w:hAnsi="宋体" w:cs="宋体"/>
                <w:color w:val="000000"/>
                <w:kern w:val="0"/>
                <w:sz w:val="19"/>
                <w:szCs w:val="19"/>
              </w:rPr>
            </w:pPr>
            <w:r>
              <w:rPr>
                <w:rFonts w:hint="eastAsia" w:ascii="宋体" w:hAnsi="宋体" w:cs="宋体"/>
                <w:color w:val="000000"/>
                <w:kern w:val="0"/>
                <w:sz w:val="19"/>
                <w:szCs w:val="19"/>
              </w:rPr>
              <w:t xml:space="preserve"> 赵望宇 </w:t>
            </w:r>
          </w:p>
          <w:p>
            <w:pPr>
              <w:jc w:val="center"/>
              <w:rPr>
                <w:rFonts w:ascii="宋体" w:hAnsi="宋体" w:cs="宋体"/>
                <w:color w:val="000000"/>
                <w:kern w:val="0"/>
                <w:sz w:val="19"/>
                <w:szCs w:val="19"/>
              </w:rPr>
            </w:pPr>
            <w:r>
              <w:rPr>
                <w:rFonts w:hint="eastAsia" w:ascii="宋体" w:hAnsi="宋体" w:cs="宋体"/>
                <w:color w:val="000000"/>
                <w:kern w:val="0"/>
                <w:sz w:val="19"/>
                <w:szCs w:val="19"/>
              </w:rPr>
              <w:t>58750209</w:t>
            </w:r>
          </w:p>
          <w:p>
            <w:pPr>
              <w:jc w:val="center"/>
              <w:rPr>
                <w:rFonts w:ascii="宋体" w:hAnsi="宋体" w:cs="宋体"/>
                <w:color w:val="000000"/>
                <w:kern w:val="0"/>
                <w:sz w:val="19"/>
                <w:szCs w:val="19"/>
              </w:rPr>
            </w:pPr>
            <w:r>
              <w:rPr>
                <w:rFonts w:hint="eastAsia" w:ascii="宋体" w:hAnsi="宋体" w:cs="宋体"/>
                <w:color w:val="000000"/>
                <w:kern w:val="0"/>
                <w:sz w:val="19"/>
                <w:szCs w:val="19"/>
              </w:rPr>
              <w:t xml:space="preserve">肖毅 </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13</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中国农业银行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约4%</w:t>
            </w:r>
          </w:p>
          <w:p>
            <w:pPr>
              <w:jc w:val="left"/>
              <w:rPr>
                <w:rFonts w:ascii="宋体" w:hAnsi="宋体" w:cs="宋体"/>
                <w:color w:val="000000"/>
                <w:kern w:val="0"/>
                <w:sz w:val="19"/>
                <w:szCs w:val="19"/>
              </w:rPr>
            </w:pP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3007" w:type="dxa"/>
                  <w:shd w:val="clear" w:color="auto" w:fill="FFFFFF"/>
                  <w:tcMar>
                    <w:top w:w="150" w:type="dxa"/>
                    <w:left w:w="0" w:type="dxa"/>
                    <w:bottom w:w="150" w:type="dxa"/>
                    <w:right w:w="0" w:type="dxa"/>
                  </w:tcMa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1、公司成立1年（含）以上，属于政采中标供应商,履约记录良好。 </w:t>
                  </w:r>
                </w:p>
                <w:p>
                  <w:pPr>
                    <w:widowControl/>
                    <w:numPr>
                      <w:ilvl w:val="0"/>
                      <w:numId w:val="5"/>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 xml:space="preserve">在我行开立账户，自愿接受农业银行信用监督和结算监管。 </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3、法定代表人年满18周岁且不超过65周岁，非港、澳、台及外籍人士。 注：具体开办的业务种类及办理程序、办理条件等以中国农业银行当地分行有关规定为准。</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13920727755</w:t>
            </w:r>
          </w:p>
          <w:p>
            <w:pPr>
              <w:jc w:val="center"/>
              <w:rPr>
                <w:rFonts w:ascii="宋体" w:hAnsi="宋体" w:cs="宋体"/>
                <w:color w:val="000000"/>
                <w:kern w:val="0"/>
                <w:sz w:val="19"/>
                <w:szCs w:val="19"/>
              </w:rPr>
            </w:pPr>
            <w:r>
              <w:rPr>
                <w:rFonts w:hint="eastAsia" w:ascii="宋体" w:hAnsi="宋体" w:cs="宋体"/>
                <w:color w:val="000000"/>
                <w:kern w:val="0"/>
                <w:sz w:val="19"/>
                <w:szCs w:val="19"/>
              </w:rPr>
              <w:t>李倩</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14</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招商银行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一般性贷款利率</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融资额度：最高3000万元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大中小微企业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3007" w:type="dxa"/>
                  <w:shd w:val="clear" w:color="auto" w:fill="FFFFFF"/>
                  <w:tcMar>
                    <w:top w:w="150" w:type="dxa"/>
                    <w:left w:w="0" w:type="dxa"/>
                    <w:bottom w:w="150" w:type="dxa"/>
                    <w:right w:w="0" w:type="dxa"/>
                  </w:tcMar>
                </w:tcPr>
                <w:p>
                  <w:pPr>
                    <w:widowControl/>
                    <w:jc w:val="left"/>
                    <w:textAlignment w:val="top"/>
                    <w:rPr>
                      <w:rFonts w:ascii="����" w:hAnsi="����" w:eastAsia="����" w:cs="����"/>
                      <w:color w:val="333333"/>
                      <w:sz w:val="24"/>
                      <w:szCs w:val="24"/>
                    </w:rPr>
                  </w:pPr>
                  <w:r>
                    <w:rPr>
                      <w:rFonts w:hint="eastAsia" w:ascii="宋体" w:hAnsi="宋体" w:cs="宋体"/>
                      <w:color w:val="000000"/>
                      <w:kern w:val="0"/>
                      <w:sz w:val="19"/>
                      <w:szCs w:val="19"/>
                    </w:rPr>
                    <w:t>1、企业及实际控制人征信及各项社会记录较好。</w:t>
                  </w:r>
                </w:p>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2、企业成立两年以上或实际控制人本行业经营两年以上。</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3、财务报表未出现连续两年经营亏损。</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kern w:val="0"/>
                <w:sz w:val="19"/>
                <w:szCs w:val="19"/>
              </w:rPr>
            </w:pPr>
            <w:r>
              <w:rPr>
                <w:rFonts w:hint="eastAsia" w:ascii="宋体" w:hAnsi="宋体" w:cs="宋体"/>
                <w:color w:val="000000"/>
                <w:kern w:val="0"/>
                <w:sz w:val="19"/>
                <w:szCs w:val="19"/>
              </w:rPr>
              <w:t>28301244</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16</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广发银行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贷款利率最低Lpr</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rPr>
                <w:trHeight w:val="2992" w:hRule="atLeast"/>
              </w:trPr>
              <w:tc>
                <w:tcPr>
                  <w:tcW w:w="3168" w:type="dxa"/>
                  <w:shd w:val="clear" w:color="auto" w:fill="FFFFFF"/>
                  <w:tcMar>
                    <w:top w:w="150" w:type="dxa"/>
                    <w:left w:w="0" w:type="dxa"/>
                    <w:bottom w:w="150" w:type="dxa"/>
                    <w:right w:w="0" w:type="dxa"/>
                  </w:tcMa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1、供应商至少有一次政府采购订单履约记录；</w:t>
                  </w:r>
                </w:p>
                <w:p>
                  <w:pPr>
                    <w:widowControl/>
                    <w:numPr>
                      <w:ilvl w:val="0"/>
                      <w:numId w:val="5"/>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在我行内部信用评级不低于BB+；3、近三年至少有一期营业利润或净利润或上年度经营性现金流净额为正（任选其一即可）；</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4、资产负债率不超过85%；企业主含实际控制人/主要股东或其配偶拥有本地户口或房产或在本地有连续一年含以上的社保缴交记录（满足其一即可）</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13820640544</w:t>
            </w:r>
          </w:p>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胡小宁</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17</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浙商银行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tbl>
            <w:tblPr>
              <w:tblStyle w:val="19"/>
              <w:tblW w:w="5000" w:type="pct"/>
              <w:tblInd w:w="0" w:type="dxa"/>
              <w:shd w:val="clear" w:color="auto" w:fill="FFFFFF"/>
              <w:tblLayout w:type="fixed"/>
              <w:tblCellMar>
                <w:top w:w="15" w:type="dxa"/>
                <w:left w:w="15" w:type="dxa"/>
                <w:bottom w:w="15" w:type="dxa"/>
                <w:right w:w="15" w:type="dxa"/>
              </w:tblCellMar>
            </w:tblPr>
            <w:tblGrid>
              <w:gridCol w:w="3168"/>
            </w:tblGrid>
            <w:tr>
              <w:tblPrEx>
                <w:shd w:val="clear" w:color="auto" w:fill="FFFFFF"/>
                <w:tblCellMar>
                  <w:top w:w="15" w:type="dxa"/>
                  <w:left w:w="15" w:type="dxa"/>
                  <w:bottom w:w="15" w:type="dxa"/>
                  <w:right w:w="15" w:type="dxa"/>
                </w:tblCellMar>
              </w:tblPrEx>
              <w:tc>
                <w:tcPr>
                  <w:tcW w:w="3007" w:type="dxa"/>
                  <w:shd w:val="clear" w:color="auto" w:fill="FFFFFF"/>
                  <w:tcMar>
                    <w:top w:w="150" w:type="dxa"/>
                    <w:left w:w="0" w:type="dxa"/>
                    <w:bottom w:w="150" w:type="dxa"/>
                    <w:right w:w="0" w:type="dxa"/>
                  </w:tcMa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1、符合我行小企业授信客户界定标准的小型、微型企业；</w:t>
                  </w:r>
                </w:p>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2、须连续经营2年及以上或实际控制人有3年及以上相关行业从业经验，经营状况良好，信用记录良好；3、与采购人无关联关系，行业相关证照齐全；</w:t>
                  </w:r>
                </w:p>
                <w:p>
                  <w:pPr>
                    <w:widowControl/>
                    <w:jc w:val="left"/>
                    <w:textAlignment w:val="top"/>
                    <w:rPr>
                      <w:rFonts w:ascii="����" w:hAnsi="����" w:eastAsia="����" w:cs="����"/>
                      <w:color w:val="333333"/>
                      <w:sz w:val="24"/>
                      <w:szCs w:val="24"/>
                    </w:rPr>
                  </w:pPr>
                  <w:r>
                    <w:rPr>
                      <w:rFonts w:hint="eastAsia" w:ascii="宋体" w:hAnsi="宋体" w:cs="宋体"/>
                      <w:color w:val="000000"/>
                      <w:kern w:val="0"/>
                      <w:sz w:val="19"/>
                      <w:szCs w:val="19"/>
                    </w:rPr>
                    <w:t>4、借款人须在本行开立单位结算账户或保证金账户，并将该账户指定为采购活动项下应收账款的唯一回款账户。</w:t>
                  </w:r>
                </w:p>
              </w:tc>
            </w:tr>
          </w:tbl>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23271307</w:t>
            </w:r>
          </w:p>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刘粲</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18</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中信银行</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r>
              <w:rPr>
                <w:rFonts w:hint="eastAsia" w:ascii="宋体" w:hAnsi="宋体" w:cs="宋体"/>
                <w:color w:val="000000"/>
                <w:kern w:val="0"/>
                <w:sz w:val="19"/>
                <w:szCs w:val="19"/>
              </w:rPr>
              <w:t>参考利率：</w:t>
            </w:r>
          </w:p>
          <w:p>
            <w:pPr>
              <w:jc w:val="left"/>
              <w:rPr>
                <w:rFonts w:ascii="宋体" w:hAnsi="宋体" w:cs="宋体"/>
                <w:color w:val="000000"/>
                <w:kern w:val="0"/>
                <w:sz w:val="19"/>
                <w:szCs w:val="19"/>
              </w:rPr>
            </w:pPr>
            <w:r>
              <w:rPr>
                <w:rFonts w:hint="eastAsia" w:ascii="宋体" w:hAnsi="宋体" w:cs="宋体"/>
                <w:color w:val="000000"/>
                <w:kern w:val="0"/>
                <w:sz w:val="19"/>
                <w:szCs w:val="19"/>
              </w:rPr>
              <w:t>3.75%-3.95%</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融资额度：最高1000万元</w:t>
            </w: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r>
              <w:rPr>
                <w:rFonts w:hint="eastAsia" w:ascii="宋体" w:hAnsi="宋体" w:cs="宋体"/>
                <w:color w:val="000000"/>
                <w:kern w:val="0"/>
                <w:sz w:val="19"/>
                <w:szCs w:val="19"/>
              </w:rPr>
              <w:t>小微企业</w:t>
            </w: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借款企业持续经营1年（含）以上或在本行业持续经营2年（含）以上；</w:t>
            </w:r>
          </w:p>
          <w:p>
            <w:pPr>
              <w:widowControl/>
              <w:numPr>
                <w:ilvl w:val="0"/>
                <w:numId w:val="6"/>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借款企业实际控制人年龄在18周岁（含）至65周岁（含）之间；</w:t>
            </w:r>
          </w:p>
          <w:p>
            <w:pPr>
              <w:widowControl/>
              <w:numPr>
                <w:ilvl w:val="0"/>
                <w:numId w:val="6"/>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采购品类为货物类或服务类；</w:t>
            </w:r>
          </w:p>
          <w:p>
            <w:pPr>
              <w:widowControl/>
              <w:numPr>
                <w:ilvl w:val="0"/>
                <w:numId w:val="6"/>
              </w:numPr>
              <w:jc w:val="left"/>
              <w:textAlignment w:val="top"/>
              <w:rPr>
                <w:rFonts w:ascii="宋体" w:hAnsi="宋体" w:cs="宋体"/>
                <w:color w:val="000000"/>
                <w:kern w:val="0"/>
                <w:sz w:val="19"/>
                <w:szCs w:val="19"/>
              </w:rPr>
            </w:pPr>
            <w:r>
              <w:rPr>
                <w:rFonts w:hint="eastAsia" w:ascii="宋体" w:hAnsi="宋体" w:cs="宋体"/>
                <w:color w:val="000000"/>
                <w:kern w:val="0"/>
                <w:sz w:val="19"/>
                <w:szCs w:val="19"/>
              </w:rPr>
              <w:t>借款企业政采合作月数不少于6个月；</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13767182800</w:t>
            </w:r>
          </w:p>
          <w:p>
            <w:pPr>
              <w:widowControl/>
              <w:jc w:val="center"/>
              <w:textAlignment w:val="top"/>
              <w:rPr>
                <w:rFonts w:ascii="宋体" w:hAnsi="宋体" w:cs="宋体"/>
                <w:color w:val="000000"/>
                <w:kern w:val="0"/>
                <w:sz w:val="19"/>
                <w:szCs w:val="19"/>
              </w:rPr>
            </w:pPr>
            <w:r>
              <w:rPr>
                <w:rFonts w:hint="eastAsia" w:ascii="宋体" w:hAnsi="宋体" w:cs="宋体"/>
                <w:color w:val="000000"/>
                <w:kern w:val="0"/>
                <w:sz w:val="19"/>
                <w:szCs w:val="19"/>
              </w:rPr>
              <w:t>唐朝</w:t>
            </w:r>
          </w:p>
        </w:tc>
      </w:tr>
      <w:tr>
        <w:tblPrEx>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19</w:t>
            </w:r>
          </w:p>
        </w:tc>
        <w:tc>
          <w:tcPr>
            <w:tcW w:w="10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9"/>
                <w:szCs w:val="19"/>
              </w:rPr>
            </w:pPr>
            <w:r>
              <w:rPr>
                <w:rFonts w:hint="eastAsia" w:ascii="宋体" w:hAnsi="宋体" w:cs="宋体"/>
                <w:color w:val="000000"/>
                <w:kern w:val="0"/>
                <w:sz w:val="19"/>
                <w:szCs w:val="19"/>
              </w:rPr>
              <w:t>后续持续更新</w:t>
            </w:r>
          </w:p>
        </w:tc>
        <w:tc>
          <w:tcPr>
            <w:tcW w:w="12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19"/>
                <w:szCs w:val="19"/>
              </w:rPr>
            </w:pPr>
          </w:p>
        </w:tc>
        <w:tc>
          <w:tcPr>
            <w:tcW w:w="9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p>
        </w:tc>
        <w:tc>
          <w:tcPr>
            <w:tcW w:w="33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ascii="宋体" w:hAnsi="宋体" w:cs="宋体"/>
                <w:color w:val="000000"/>
                <w:kern w:val="0"/>
                <w:sz w:val="19"/>
                <w:szCs w:val="19"/>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top"/>
              <w:rPr>
                <w:rFonts w:ascii="宋体" w:hAnsi="宋体" w:cs="宋体"/>
                <w:color w:val="000000"/>
                <w:kern w:val="0"/>
                <w:sz w:val="19"/>
                <w:szCs w:val="19"/>
              </w:rPr>
            </w:pPr>
          </w:p>
        </w:tc>
      </w:tr>
    </w:tbl>
    <w:p>
      <w:pPr>
        <w:pStyle w:val="31"/>
        <w:spacing w:line="360" w:lineRule="auto"/>
        <w:ind w:firstLine="448" w:firstLineChars="200"/>
        <w:jc w:val="both"/>
        <w:rPr>
          <w:rFonts w:ascii="Times New Roman" w:eastAsia="宋体" w:cs="Times New Roman" w:hAnsiTheme="minorEastAsia"/>
          <w:color w:val="auto"/>
        </w:rPr>
      </w:pPr>
    </w:p>
    <w:p>
      <w:pPr>
        <w:pStyle w:val="31"/>
        <w:spacing w:line="360" w:lineRule="auto"/>
        <w:ind w:firstLine="448" w:firstLineChars="200"/>
        <w:jc w:val="both"/>
        <w:rPr>
          <w:rFonts w:ascii="Times New Roman" w:hAnsi="Times New Roman" w:eastAsia="宋体" w:cs="Times New Roman"/>
          <w:color w:val="auto"/>
        </w:rPr>
      </w:pPr>
      <w:r>
        <w:rPr>
          <w:rFonts w:hint="eastAsia" w:ascii="Times New Roman" w:eastAsia="宋体" w:cs="Times New Roman" w:hAnsiTheme="minorEastAsia"/>
          <w:color w:val="auto"/>
        </w:rPr>
        <w:t>以上内容均为当前政策内容，未来不排除各大金融机构针对政采贷业务的相关政策会有修改和变动，本“政采贷”明白纸仅供参考，详情请自行致电咨询。</w:t>
      </w:r>
    </w:p>
    <w:p>
      <w:pPr>
        <w:widowControl/>
        <w:jc w:val="left"/>
        <w:rPr>
          <w:b/>
          <w:bCs/>
          <w:kern w:val="28"/>
          <w:sz w:val="32"/>
          <w:szCs w:val="32"/>
        </w:rPr>
      </w:pPr>
      <w:r>
        <w:br w:type="page"/>
      </w:r>
    </w:p>
    <w:p>
      <w:pPr>
        <w:pStyle w:val="15"/>
        <w:ind w:left="386"/>
        <w:rPr>
          <w:rFonts w:ascii="Times New Roman" w:hAnsi="Times New Roman"/>
        </w:rPr>
      </w:pPr>
      <w:r>
        <w:rPr>
          <w:rFonts w:ascii="Times New Roman" w:hAnsiTheme="minorEastAsia"/>
        </w:rPr>
        <w:t>第四部分合同条款</w:t>
      </w:r>
    </w:p>
    <w:p>
      <w:pPr>
        <w:snapToGrid w:val="0"/>
        <w:spacing w:line="360" w:lineRule="auto"/>
        <w:ind w:firstLine="448" w:firstLineChars="200"/>
        <w:rPr>
          <w:sz w:val="24"/>
          <w:szCs w:val="24"/>
        </w:rPr>
      </w:pPr>
      <w:r>
        <w:rPr>
          <w:rFonts w:hAnsiTheme="minorEastAsia"/>
          <w:b/>
          <w:bCs/>
          <w:sz w:val="24"/>
          <w:szCs w:val="24"/>
        </w:rPr>
        <w:t>采购人（甲方）：</w:t>
      </w:r>
    </w:p>
    <w:p>
      <w:pPr>
        <w:snapToGrid w:val="0"/>
        <w:spacing w:line="360" w:lineRule="auto"/>
        <w:ind w:firstLine="448" w:firstLineChars="200"/>
        <w:rPr>
          <w:sz w:val="24"/>
          <w:szCs w:val="24"/>
        </w:rPr>
      </w:pPr>
      <w:r>
        <w:rPr>
          <w:rFonts w:hAnsiTheme="minorEastAsia"/>
          <w:b/>
          <w:bCs/>
          <w:sz w:val="24"/>
          <w:szCs w:val="24"/>
        </w:rPr>
        <w:t>供应商（乙方）：</w:t>
      </w:r>
    </w:p>
    <w:p>
      <w:pPr>
        <w:spacing w:line="480" w:lineRule="exact"/>
        <w:ind w:firstLine="448" w:firstLineChars="200"/>
        <w:rPr>
          <w:sz w:val="24"/>
          <w:szCs w:val="24"/>
        </w:rPr>
      </w:pPr>
      <w:r>
        <w:rPr>
          <w:rFonts w:hAnsiTheme="minorEastAsia"/>
          <w:sz w:val="24"/>
          <w:szCs w:val="24"/>
        </w:rPr>
        <w:t>甲、乙双方根据项目（项目编号：）的政府采购结果和招标文件（或采购文件）的要求，并经双方协商一致，达成本合同：</w:t>
      </w:r>
    </w:p>
    <w:p>
      <w:pPr>
        <w:numPr>
          <w:ilvl w:val="0"/>
          <w:numId w:val="7"/>
        </w:numPr>
        <w:tabs>
          <w:tab w:val="left" w:pos="0"/>
          <w:tab w:val="left" w:pos="315"/>
        </w:tabs>
        <w:spacing w:line="520" w:lineRule="exact"/>
        <w:rPr>
          <w:sz w:val="24"/>
          <w:szCs w:val="24"/>
        </w:rPr>
      </w:pPr>
      <w:r>
        <w:rPr>
          <w:rFonts w:hint="eastAsia"/>
          <w:sz w:val="24"/>
          <w:szCs w:val="24"/>
        </w:rPr>
        <w:t>本合同为中小企业预留合同</w:t>
      </w:r>
    </w:p>
    <w:p>
      <w:pPr>
        <w:numPr>
          <w:ilvl w:val="0"/>
          <w:numId w:val="7"/>
        </w:numPr>
        <w:tabs>
          <w:tab w:val="left" w:pos="0"/>
          <w:tab w:val="left" w:pos="315"/>
        </w:tabs>
        <w:spacing w:line="520" w:lineRule="exact"/>
        <w:rPr>
          <w:sz w:val="24"/>
          <w:szCs w:val="24"/>
        </w:rPr>
      </w:pPr>
      <w:r>
        <w:rPr>
          <w:rFonts w:hint="eastAsia"/>
          <w:sz w:val="24"/>
          <w:szCs w:val="24"/>
        </w:rPr>
        <w:t>本合同非中小企业预留合同</w:t>
      </w:r>
    </w:p>
    <w:p>
      <w:pPr>
        <w:spacing w:line="480" w:lineRule="exact"/>
        <w:ind w:firstLine="448" w:firstLineChars="200"/>
        <w:rPr>
          <w:sz w:val="24"/>
          <w:szCs w:val="24"/>
        </w:rPr>
      </w:pPr>
      <w:r>
        <w:rPr>
          <w:rFonts w:hAnsiTheme="minorEastAsia"/>
          <w:sz w:val="24"/>
          <w:szCs w:val="24"/>
        </w:rPr>
        <w:t>第一条委托物业的基本情况</w:t>
      </w:r>
    </w:p>
    <w:p>
      <w:pPr>
        <w:spacing w:line="360" w:lineRule="auto"/>
        <w:ind w:firstLine="452" w:firstLineChars="202"/>
        <w:rPr>
          <w:sz w:val="24"/>
          <w:szCs w:val="24"/>
        </w:rPr>
      </w:pPr>
      <w:r>
        <w:rPr>
          <w:rFonts w:hAnsiTheme="minorEastAsia"/>
          <w:sz w:val="24"/>
          <w:szCs w:val="24"/>
        </w:rPr>
        <w:t>物业名称：</w:t>
      </w:r>
    </w:p>
    <w:p>
      <w:pPr>
        <w:spacing w:line="360" w:lineRule="auto"/>
        <w:ind w:firstLine="452" w:firstLineChars="202"/>
        <w:rPr>
          <w:sz w:val="24"/>
          <w:szCs w:val="24"/>
        </w:rPr>
      </w:pPr>
      <w:r>
        <w:rPr>
          <w:rFonts w:hAnsiTheme="minorEastAsia"/>
          <w:sz w:val="24"/>
          <w:szCs w:val="24"/>
        </w:rPr>
        <w:t>物业类型：</w:t>
      </w:r>
    </w:p>
    <w:p>
      <w:pPr>
        <w:spacing w:line="360" w:lineRule="auto"/>
        <w:ind w:firstLine="452" w:firstLineChars="202"/>
        <w:rPr>
          <w:sz w:val="24"/>
          <w:szCs w:val="24"/>
        </w:rPr>
      </w:pPr>
      <w:r>
        <w:rPr>
          <w:rFonts w:hint="eastAsia" w:hAnsiTheme="minorEastAsia"/>
          <w:sz w:val="24"/>
          <w:szCs w:val="24"/>
        </w:rPr>
        <w:t>坐落</w:t>
      </w:r>
      <w:r>
        <w:rPr>
          <w:rFonts w:hAnsiTheme="minorEastAsia"/>
          <w:sz w:val="24"/>
          <w:szCs w:val="24"/>
        </w:rPr>
        <w:t>位置：</w:t>
      </w:r>
    </w:p>
    <w:p>
      <w:pPr>
        <w:spacing w:line="360" w:lineRule="auto"/>
        <w:ind w:firstLine="452" w:firstLineChars="202"/>
        <w:rPr>
          <w:sz w:val="24"/>
          <w:szCs w:val="24"/>
        </w:rPr>
      </w:pPr>
      <w:r>
        <w:rPr>
          <w:rFonts w:hAnsiTheme="minorEastAsia"/>
          <w:sz w:val="24"/>
          <w:szCs w:val="24"/>
        </w:rPr>
        <w:t>物业管理区域四至：</w:t>
      </w:r>
    </w:p>
    <w:p>
      <w:pPr>
        <w:spacing w:line="360" w:lineRule="auto"/>
        <w:ind w:firstLine="452" w:firstLineChars="202"/>
        <w:rPr>
          <w:sz w:val="24"/>
          <w:szCs w:val="24"/>
        </w:rPr>
      </w:pPr>
      <w:r>
        <w:rPr>
          <w:rFonts w:hAnsiTheme="minorEastAsia"/>
          <w:sz w:val="24"/>
          <w:szCs w:val="24"/>
        </w:rPr>
        <w:t>东至：南至：</w:t>
      </w:r>
    </w:p>
    <w:p>
      <w:pPr>
        <w:spacing w:line="360" w:lineRule="auto"/>
        <w:ind w:firstLine="452" w:firstLineChars="202"/>
        <w:rPr>
          <w:sz w:val="24"/>
          <w:szCs w:val="24"/>
        </w:rPr>
      </w:pPr>
      <w:r>
        <w:rPr>
          <w:rFonts w:hAnsiTheme="minorEastAsia"/>
          <w:sz w:val="24"/>
          <w:szCs w:val="24"/>
        </w:rPr>
        <w:t>西至：北至：</w:t>
      </w:r>
    </w:p>
    <w:p>
      <w:pPr>
        <w:spacing w:line="360" w:lineRule="auto"/>
        <w:ind w:firstLine="452" w:firstLineChars="202"/>
        <w:rPr>
          <w:sz w:val="24"/>
          <w:szCs w:val="24"/>
        </w:rPr>
      </w:pPr>
      <w:r>
        <w:rPr>
          <w:rFonts w:hAnsiTheme="minorEastAsia"/>
          <w:sz w:val="24"/>
          <w:szCs w:val="24"/>
        </w:rPr>
        <w:t>占地面积：大楼总建筑面积：</w:t>
      </w:r>
    </w:p>
    <w:p>
      <w:pPr>
        <w:spacing w:line="360" w:lineRule="auto"/>
        <w:ind w:firstLine="452" w:firstLineChars="202"/>
        <w:rPr>
          <w:sz w:val="24"/>
          <w:szCs w:val="24"/>
        </w:rPr>
      </w:pPr>
      <w:r>
        <w:rPr>
          <w:rFonts w:hAnsiTheme="minorEastAsia"/>
          <w:sz w:val="24"/>
          <w:szCs w:val="24"/>
        </w:rPr>
        <w:t>其中：地上面积：平方米</w:t>
      </w:r>
    </w:p>
    <w:p>
      <w:pPr>
        <w:spacing w:line="360" w:lineRule="auto"/>
        <w:ind w:firstLine="452" w:firstLineChars="202"/>
        <w:rPr>
          <w:sz w:val="24"/>
          <w:szCs w:val="24"/>
        </w:rPr>
      </w:pPr>
      <w:r>
        <w:rPr>
          <w:rFonts w:hAnsiTheme="minorEastAsia"/>
          <w:sz w:val="24"/>
          <w:szCs w:val="24"/>
        </w:rPr>
        <w:t>地下面积：平方米</w:t>
      </w:r>
    </w:p>
    <w:p>
      <w:pPr>
        <w:spacing w:line="360" w:lineRule="auto"/>
        <w:ind w:firstLine="452" w:firstLineChars="202"/>
        <w:rPr>
          <w:sz w:val="24"/>
          <w:szCs w:val="24"/>
        </w:rPr>
      </w:pPr>
      <w:r>
        <w:rPr>
          <w:rFonts w:hAnsiTheme="minorEastAsia"/>
          <w:sz w:val="24"/>
          <w:szCs w:val="24"/>
        </w:rPr>
        <w:t>标准层面积：平方米</w:t>
      </w:r>
    </w:p>
    <w:p>
      <w:pPr>
        <w:spacing w:line="360" w:lineRule="auto"/>
        <w:ind w:firstLine="452" w:firstLineChars="202"/>
        <w:rPr>
          <w:sz w:val="24"/>
          <w:szCs w:val="24"/>
        </w:rPr>
      </w:pPr>
      <w:r>
        <w:rPr>
          <w:rFonts w:hAnsiTheme="minorEastAsia"/>
          <w:sz w:val="24"/>
          <w:szCs w:val="24"/>
        </w:rPr>
        <w:t>人防建筑面积：平方米</w:t>
      </w:r>
    </w:p>
    <w:p>
      <w:pPr>
        <w:spacing w:line="360" w:lineRule="auto"/>
        <w:ind w:firstLine="452" w:firstLineChars="202"/>
        <w:rPr>
          <w:sz w:val="24"/>
          <w:szCs w:val="24"/>
        </w:rPr>
      </w:pPr>
      <w:r>
        <w:rPr>
          <w:rFonts w:hAnsiTheme="minorEastAsia"/>
          <w:sz w:val="24"/>
          <w:szCs w:val="24"/>
        </w:rPr>
        <w:t>建筑层数：地上层，地下层</w:t>
      </w:r>
    </w:p>
    <w:p>
      <w:pPr>
        <w:spacing w:line="360" w:lineRule="auto"/>
        <w:ind w:firstLine="452" w:firstLineChars="202"/>
        <w:rPr>
          <w:sz w:val="24"/>
          <w:szCs w:val="24"/>
        </w:rPr>
      </w:pPr>
      <w:r>
        <w:rPr>
          <w:rFonts w:hAnsiTheme="minorEastAsia"/>
          <w:sz w:val="24"/>
          <w:szCs w:val="24"/>
        </w:rPr>
        <w:t>建筑尺寸：长：米，宽：米，高：米</w:t>
      </w:r>
    </w:p>
    <w:p>
      <w:pPr>
        <w:spacing w:line="360" w:lineRule="auto"/>
        <w:ind w:firstLine="452" w:firstLineChars="202"/>
        <w:rPr>
          <w:sz w:val="24"/>
          <w:szCs w:val="24"/>
        </w:rPr>
      </w:pPr>
      <w:r>
        <w:rPr>
          <w:rFonts w:hAnsiTheme="minorEastAsia"/>
          <w:sz w:val="24"/>
          <w:szCs w:val="24"/>
        </w:rPr>
        <w:t>建筑层高：</w:t>
      </w:r>
    </w:p>
    <w:p>
      <w:pPr>
        <w:spacing w:line="360" w:lineRule="auto"/>
        <w:ind w:firstLine="452" w:firstLineChars="202"/>
        <w:rPr>
          <w:sz w:val="24"/>
          <w:szCs w:val="24"/>
        </w:rPr>
      </w:pPr>
      <w:r>
        <w:rPr>
          <w:rFonts w:hAnsiTheme="minorEastAsia"/>
          <w:sz w:val="24"/>
          <w:szCs w:val="24"/>
        </w:rPr>
        <w:t>建筑结构：</w:t>
      </w:r>
    </w:p>
    <w:p>
      <w:pPr>
        <w:spacing w:line="480" w:lineRule="exact"/>
        <w:ind w:firstLine="448" w:firstLineChars="200"/>
        <w:rPr>
          <w:sz w:val="24"/>
          <w:szCs w:val="24"/>
        </w:rPr>
      </w:pPr>
      <w:r>
        <w:rPr>
          <w:rFonts w:hAnsiTheme="minorEastAsia"/>
          <w:sz w:val="24"/>
          <w:szCs w:val="24"/>
        </w:rPr>
        <w:t>第二条物业服务内容及标准</w:t>
      </w:r>
    </w:p>
    <w:p>
      <w:pPr>
        <w:spacing w:line="480" w:lineRule="exact"/>
        <w:ind w:firstLine="448" w:firstLineChars="200"/>
        <w:rPr>
          <w:spacing w:val="-20"/>
          <w:sz w:val="24"/>
          <w:szCs w:val="24"/>
          <w:bdr w:val="single" w:color="auto" w:sz="4" w:space="0"/>
        </w:rPr>
      </w:pPr>
      <w:r>
        <w:rPr>
          <w:rFonts w:hAnsiTheme="minorEastAsia"/>
          <w:sz w:val="24"/>
          <w:szCs w:val="24"/>
        </w:rPr>
        <w:t>（一）房屋本体和共用部位的维修、养护和管理：</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（二）共用设施设备运行、维修、养护：</w:t>
      </w:r>
    </w:p>
    <w:p>
      <w:pPr>
        <w:spacing w:line="480" w:lineRule="exact"/>
        <w:ind w:firstLine="448" w:firstLineChars="200"/>
        <w:rPr>
          <w:sz w:val="24"/>
          <w:szCs w:val="24"/>
        </w:rPr>
      </w:pPr>
      <w:r>
        <w:rPr>
          <w:sz w:val="24"/>
          <w:szCs w:val="24"/>
        </w:rPr>
        <w:t>1.</w:t>
      </w:r>
      <w:r>
        <w:rPr>
          <w:rFonts w:hAnsiTheme="minorEastAsia"/>
          <w:sz w:val="24"/>
          <w:szCs w:val="24"/>
        </w:rPr>
        <w:t>供、配电设施设备</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2.</w:t>
      </w:r>
      <w:r>
        <w:rPr>
          <w:rFonts w:hAnsiTheme="minorEastAsia"/>
          <w:sz w:val="24"/>
          <w:szCs w:val="24"/>
        </w:rPr>
        <w:t>给、排水设施设备</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3.</w:t>
      </w:r>
      <w:r>
        <w:rPr>
          <w:rFonts w:hAnsiTheme="minorEastAsia"/>
          <w:sz w:val="24"/>
          <w:szCs w:val="24"/>
        </w:rPr>
        <w:t>升降系统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4.</w:t>
      </w:r>
      <w:r>
        <w:rPr>
          <w:rFonts w:hAnsiTheme="minorEastAsia"/>
          <w:sz w:val="24"/>
          <w:szCs w:val="24"/>
        </w:rPr>
        <w:t>消防系统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5.</w:t>
      </w:r>
      <w:r>
        <w:rPr>
          <w:rFonts w:hAnsiTheme="minorEastAsia"/>
          <w:sz w:val="24"/>
          <w:szCs w:val="24"/>
        </w:rPr>
        <w:t>空气调节系统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6.</w:t>
      </w:r>
      <w:r>
        <w:rPr>
          <w:rFonts w:hAnsiTheme="minorEastAsia"/>
          <w:sz w:val="24"/>
          <w:szCs w:val="24"/>
        </w:rPr>
        <w:t>智能化系统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7.</w:t>
      </w:r>
      <w:r>
        <w:rPr>
          <w:rFonts w:hAnsiTheme="minorEastAsia"/>
          <w:sz w:val="24"/>
          <w:szCs w:val="24"/>
        </w:rPr>
        <w:t>楼宇自动化系统（通讯系统等）</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8.</w:t>
      </w:r>
      <w:r>
        <w:rPr>
          <w:rFonts w:hAnsiTheme="minorEastAsia"/>
          <w:sz w:val="24"/>
          <w:szCs w:val="24"/>
        </w:rPr>
        <w:t>停车场管理系统</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sz w:val="24"/>
          <w:szCs w:val="24"/>
        </w:rPr>
        <w:t>9.</w:t>
      </w:r>
      <w:r>
        <w:rPr>
          <w:rFonts w:hAnsiTheme="minorEastAsia"/>
          <w:sz w:val="24"/>
          <w:szCs w:val="24"/>
        </w:rPr>
        <w:t>其他</w:t>
      </w:r>
      <w:r>
        <w:rPr>
          <w:sz w:val="24"/>
          <w:szCs w:val="24"/>
        </w:rPr>
        <w:t>:</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（三）共用部位和共用场地的环境保洁和绿化养护：</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（四）物业装饰装修的管理：</w:t>
      </w:r>
    </w:p>
    <w:p>
      <w:pPr>
        <w:spacing w:line="480" w:lineRule="exact"/>
        <w:ind w:firstLine="368" w:firstLineChars="200"/>
        <w:rPr>
          <w:spacing w:val="-20"/>
          <w:sz w:val="24"/>
          <w:szCs w:val="24"/>
          <w:u w:val="single"/>
        </w:rPr>
      </w:pPr>
    </w:p>
    <w:p>
      <w:pPr>
        <w:spacing w:line="480" w:lineRule="exact"/>
        <w:ind w:firstLine="448" w:firstLineChars="200"/>
        <w:rPr>
          <w:sz w:val="24"/>
          <w:szCs w:val="24"/>
          <w:bdr w:val="single" w:color="auto" w:sz="4" w:space="0"/>
        </w:rPr>
      </w:pPr>
      <w:r>
        <w:rPr>
          <w:rFonts w:hAnsiTheme="minorEastAsia"/>
          <w:sz w:val="24"/>
          <w:szCs w:val="24"/>
        </w:rPr>
        <w:t>（五）车辆行驶和停放秩序的服务、管理：</w:t>
      </w:r>
    </w:p>
    <w:p>
      <w:pPr>
        <w:spacing w:line="480" w:lineRule="exact"/>
        <w:ind w:firstLine="368" w:firstLineChars="200"/>
        <w:rPr>
          <w:spacing w:val="-20"/>
          <w:sz w:val="24"/>
          <w:szCs w:val="24"/>
          <w:u w:val="single"/>
        </w:rPr>
      </w:pPr>
    </w:p>
    <w:p>
      <w:pPr>
        <w:spacing w:line="480" w:lineRule="exact"/>
        <w:ind w:firstLine="448" w:firstLineChars="200"/>
        <w:rPr>
          <w:sz w:val="24"/>
          <w:szCs w:val="24"/>
          <w:bdr w:val="single" w:color="auto" w:sz="4" w:space="0"/>
        </w:rPr>
      </w:pPr>
      <w:r>
        <w:rPr>
          <w:rFonts w:hAnsiTheme="minorEastAsia"/>
          <w:sz w:val="24"/>
          <w:szCs w:val="24"/>
        </w:rPr>
        <w:t>（六）物业管理区域内公共秩序的维护和消防管理：</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（七）物业档案的建立、保管和使用：</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（八）其他委托事项：</w:t>
      </w:r>
    </w:p>
    <w:p>
      <w:pPr>
        <w:spacing w:line="480" w:lineRule="exact"/>
        <w:ind w:firstLine="448" w:firstLineChars="200"/>
        <w:rPr>
          <w:sz w:val="24"/>
          <w:szCs w:val="24"/>
        </w:rPr>
      </w:pPr>
      <w:r>
        <w:rPr>
          <w:sz w:val="24"/>
          <w:szCs w:val="24"/>
        </w:rPr>
        <w:t>1</w:t>
      </w:r>
      <w:r>
        <w:rPr>
          <w:rFonts w:hAnsiTheme="minorEastAsia"/>
          <w:sz w:val="24"/>
          <w:szCs w:val="24"/>
        </w:rPr>
        <w:t>、</w:t>
      </w:r>
    </w:p>
    <w:p>
      <w:pPr>
        <w:spacing w:line="480" w:lineRule="exact"/>
        <w:ind w:firstLine="448" w:firstLineChars="200"/>
        <w:rPr>
          <w:sz w:val="24"/>
          <w:szCs w:val="24"/>
        </w:rPr>
      </w:pPr>
      <w:r>
        <w:rPr>
          <w:sz w:val="24"/>
          <w:szCs w:val="24"/>
        </w:rPr>
        <w:t>2</w:t>
      </w:r>
      <w:r>
        <w:rPr>
          <w:rFonts w:hAnsiTheme="minorEastAsia"/>
          <w:sz w:val="24"/>
          <w:szCs w:val="24"/>
        </w:rPr>
        <w:t>、</w:t>
      </w:r>
    </w:p>
    <w:p>
      <w:pPr>
        <w:spacing w:line="480" w:lineRule="exact"/>
        <w:ind w:firstLine="448" w:firstLineChars="200"/>
        <w:rPr>
          <w:sz w:val="24"/>
          <w:szCs w:val="24"/>
          <w:u w:val="single"/>
        </w:rPr>
      </w:pPr>
      <w:r>
        <w:rPr>
          <w:sz w:val="24"/>
          <w:szCs w:val="24"/>
        </w:rPr>
        <w:t>3</w:t>
      </w:r>
      <w:r>
        <w:rPr>
          <w:rFonts w:hAnsiTheme="minorEastAsia"/>
          <w:sz w:val="24"/>
          <w:szCs w:val="24"/>
        </w:rPr>
        <w:t>、</w:t>
      </w:r>
    </w:p>
    <w:p>
      <w:pPr>
        <w:spacing w:line="480" w:lineRule="exact"/>
        <w:ind w:firstLine="448" w:firstLineChars="200"/>
        <w:rPr>
          <w:sz w:val="24"/>
          <w:szCs w:val="24"/>
        </w:rPr>
      </w:pPr>
      <w:r>
        <w:rPr>
          <w:rFonts w:hAnsiTheme="minorEastAsia"/>
          <w:sz w:val="24"/>
          <w:szCs w:val="24"/>
        </w:rPr>
        <w:t>第三条物业服务合同期限</w:t>
      </w:r>
    </w:p>
    <w:p>
      <w:pPr>
        <w:spacing w:line="480" w:lineRule="exact"/>
        <w:ind w:firstLine="448" w:firstLineChars="200"/>
        <w:rPr>
          <w:color w:val="FF0000"/>
          <w:sz w:val="24"/>
          <w:szCs w:val="24"/>
        </w:rPr>
      </w:pPr>
      <w:r>
        <w:rPr>
          <w:rFonts w:hAnsiTheme="minorEastAsia"/>
          <w:sz w:val="24"/>
          <w:szCs w:val="24"/>
        </w:rPr>
        <w:t>物业服务合同期限为年。</w:t>
      </w:r>
    </w:p>
    <w:p>
      <w:pPr>
        <w:spacing w:line="480" w:lineRule="exact"/>
        <w:ind w:firstLine="448" w:firstLineChars="200"/>
        <w:rPr>
          <w:sz w:val="24"/>
          <w:szCs w:val="24"/>
        </w:rPr>
      </w:pPr>
      <w:r>
        <w:rPr>
          <w:rFonts w:hAnsiTheme="minorEastAsia"/>
          <w:sz w:val="24"/>
          <w:szCs w:val="24"/>
        </w:rPr>
        <w:t>自年月日起至年月日终止。</w:t>
      </w:r>
    </w:p>
    <w:p>
      <w:pPr>
        <w:spacing w:line="480" w:lineRule="exact"/>
        <w:ind w:firstLine="448" w:firstLineChars="200"/>
        <w:rPr>
          <w:sz w:val="24"/>
          <w:szCs w:val="24"/>
        </w:rPr>
      </w:pPr>
      <w:r>
        <w:rPr>
          <w:rFonts w:hAnsiTheme="minorEastAsia"/>
          <w:sz w:val="24"/>
          <w:szCs w:val="24"/>
        </w:rPr>
        <w:t>第四条甲方权利义务</w:t>
      </w:r>
    </w:p>
    <w:p>
      <w:pPr>
        <w:spacing w:line="480" w:lineRule="exact"/>
        <w:ind w:firstLine="448" w:firstLineChars="200"/>
        <w:rPr>
          <w:sz w:val="24"/>
          <w:szCs w:val="24"/>
        </w:rPr>
      </w:pPr>
      <w:r>
        <w:rPr>
          <w:rFonts w:hAnsiTheme="minorEastAsia"/>
          <w:sz w:val="24"/>
          <w:szCs w:val="24"/>
        </w:rPr>
        <w:t>（一）代表和维护采购人所有人员在物业管理服务活动中的合法权益；</w:t>
      </w:r>
    </w:p>
    <w:p>
      <w:pPr>
        <w:spacing w:line="480" w:lineRule="exact"/>
        <w:ind w:firstLine="448" w:firstLineChars="200"/>
        <w:rPr>
          <w:sz w:val="24"/>
          <w:szCs w:val="24"/>
        </w:rPr>
      </w:pPr>
      <w:r>
        <w:rPr>
          <w:rFonts w:hAnsiTheme="minorEastAsia"/>
          <w:sz w:val="24"/>
          <w:szCs w:val="24"/>
        </w:rPr>
        <w:t>（二）制定、修改管理规约，监督采购人所有人员遵守管理规约；</w:t>
      </w:r>
    </w:p>
    <w:p>
      <w:pPr>
        <w:spacing w:line="480" w:lineRule="exact"/>
        <w:ind w:firstLine="448" w:firstLineChars="200"/>
        <w:rPr>
          <w:sz w:val="24"/>
          <w:szCs w:val="24"/>
        </w:rPr>
      </w:pPr>
      <w:r>
        <w:rPr>
          <w:rFonts w:hAnsiTheme="minorEastAsia"/>
          <w:sz w:val="24"/>
          <w:szCs w:val="24"/>
        </w:rPr>
        <w:t>（三）审定物业服务合同内容，选聘、解聘物业服务企业；</w:t>
      </w:r>
    </w:p>
    <w:p>
      <w:pPr>
        <w:spacing w:line="480" w:lineRule="exact"/>
        <w:ind w:firstLine="448" w:firstLineChars="200"/>
        <w:rPr>
          <w:sz w:val="24"/>
          <w:szCs w:val="24"/>
        </w:rPr>
      </w:pPr>
      <w:r>
        <w:rPr>
          <w:rFonts w:hAnsiTheme="minorEastAsia"/>
          <w:sz w:val="24"/>
          <w:szCs w:val="24"/>
        </w:rPr>
        <w:t>（四）审定乙方提出的物业管理服务年度计划及管理制度，监督并配合乙方管理服务工作的实施及制度的执行；</w:t>
      </w:r>
    </w:p>
    <w:p>
      <w:pPr>
        <w:spacing w:line="480" w:lineRule="exact"/>
        <w:ind w:firstLine="448" w:firstLineChars="200"/>
        <w:rPr>
          <w:sz w:val="24"/>
          <w:szCs w:val="24"/>
        </w:rPr>
      </w:pPr>
      <w:r>
        <w:rPr>
          <w:rFonts w:hAnsi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sz w:val="24"/>
          <w:szCs w:val="24"/>
        </w:rPr>
      </w:pPr>
      <w:r>
        <w:rPr>
          <w:rFonts w:hAnsiTheme="minorEastAsia"/>
          <w:sz w:val="24"/>
          <w:szCs w:val="24"/>
        </w:rPr>
        <w:t>（六）负责提供物业管理服务所需相关文件和资料；</w:t>
      </w:r>
    </w:p>
    <w:p>
      <w:pPr>
        <w:spacing w:line="480" w:lineRule="exact"/>
        <w:ind w:firstLine="448" w:firstLineChars="200"/>
        <w:rPr>
          <w:sz w:val="24"/>
          <w:szCs w:val="24"/>
        </w:rPr>
      </w:pPr>
      <w:r>
        <w:rPr>
          <w:rFonts w:hAnsiTheme="minorEastAsia"/>
          <w:sz w:val="24"/>
          <w:szCs w:val="24"/>
        </w:rPr>
        <w:t>（七）其他：</w:t>
      </w:r>
    </w:p>
    <w:p>
      <w:pPr>
        <w:spacing w:line="480" w:lineRule="exact"/>
        <w:ind w:firstLine="448" w:firstLineChars="200"/>
        <w:rPr>
          <w:sz w:val="24"/>
          <w:szCs w:val="24"/>
        </w:rPr>
      </w:pPr>
      <w:r>
        <w:rPr>
          <w:sz w:val="24"/>
          <w:szCs w:val="24"/>
        </w:rPr>
        <w:t>1</w:t>
      </w:r>
      <w:r>
        <w:rPr>
          <w:rFonts w:hAnsiTheme="minorEastAsia"/>
          <w:sz w:val="24"/>
          <w:szCs w:val="24"/>
        </w:rPr>
        <w:t>、</w:t>
      </w:r>
    </w:p>
    <w:p>
      <w:pPr>
        <w:spacing w:line="480" w:lineRule="exact"/>
        <w:ind w:firstLine="448" w:firstLineChars="200"/>
        <w:rPr>
          <w:sz w:val="24"/>
          <w:szCs w:val="24"/>
          <w:u w:val="single"/>
        </w:rPr>
      </w:pPr>
      <w:r>
        <w:rPr>
          <w:sz w:val="24"/>
          <w:szCs w:val="24"/>
        </w:rPr>
        <w:t>2</w:t>
      </w:r>
      <w:r>
        <w:rPr>
          <w:rFonts w:hAnsiTheme="minorEastAsia"/>
          <w:sz w:val="24"/>
          <w:szCs w:val="24"/>
        </w:rPr>
        <w:t>、</w:t>
      </w:r>
    </w:p>
    <w:p>
      <w:pPr>
        <w:spacing w:line="480" w:lineRule="exact"/>
        <w:ind w:firstLine="448" w:firstLineChars="200"/>
        <w:rPr>
          <w:sz w:val="24"/>
          <w:szCs w:val="24"/>
          <w:bdr w:val="single" w:color="auto" w:sz="4" w:space="0"/>
        </w:rPr>
      </w:pPr>
      <w:r>
        <w:rPr>
          <w:sz w:val="24"/>
          <w:szCs w:val="24"/>
        </w:rPr>
        <w:t>3</w:t>
      </w:r>
      <w:r>
        <w:rPr>
          <w:rFonts w:hAnsiTheme="minorEastAsia"/>
          <w:sz w:val="24"/>
          <w:szCs w:val="24"/>
        </w:rPr>
        <w:t>、</w:t>
      </w:r>
    </w:p>
    <w:p>
      <w:pPr>
        <w:spacing w:line="480" w:lineRule="exact"/>
        <w:ind w:firstLine="448" w:firstLineChars="200"/>
        <w:rPr>
          <w:sz w:val="24"/>
          <w:szCs w:val="24"/>
        </w:rPr>
      </w:pPr>
      <w:r>
        <w:rPr>
          <w:rFonts w:hAnsiTheme="minorEastAsia"/>
          <w:sz w:val="24"/>
          <w:szCs w:val="24"/>
        </w:rPr>
        <w:t>第五条乙方权利义务</w:t>
      </w:r>
    </w:p>
    <w:p>
      <w:pPr>
        <w:spacing w:line="480" w:lineRule="exact"/>
        <w:ind w:firstLine="448" w:firstLineChars="200"/>
        <w:rPr>
          <w:sz w:val="24"/>
          <w:szCs w:val="24"/>
        </w:rPr>
      </w:pPr>
      <w:r>
        <w:rPr>
          <w:rFonts w:hAnsi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sz w:val="24"/>
          <w:szCs w:val="24"/>
        </w:rPr>
      </w:pPr>
      <w:r>
        <w:rPr>
          <w:rFonts w:hAnsiTheme="minorEastAsia"/>
          <w:sz w:val="24"/>
          <w:szCs w:val="24"/>
        </w:rPr>
        <w:t>（二）在本物业管理区域内的显著位置，将服务内容、服务标准和收费项目、收费标准等有关情况进行公示；</w:t>
      </w:r>
    </w:p>
    <w:p>
      <w:pPr>
        <w:spacing w:line="480" w:lineRule="exact"/>
        <w:ind w:firstLine="448" w:firstLineChars="200"/>
        <w:rPr>
          <w:sz w:val="24"/>
          <w:szCs w:val="24"/>
        </w:rPr>
      </w:pPr>
      <w:r>
        <w:rPr>
          <w:rFonts w:hAnsiTheme="minorEastAsia"/>
          <w:sz w:val="24"/>
          <w:szCs w:val="24"/>
        </w:rPr>
        <w:t>（三）依照本合同约定向采购人收取物业管理服务费；</w:t>
      </w:r>
    </w:p>
    <w:p>
      <w:pPr>
        <w:spacing w:line="480" w:lineRule="exact"/>
        <w:ind w:firstLine="448" w:firstLineChars="200"/>
        <w:rPr>
          <w:sz w:val="24"/>
          <w:szCs w:val="24"/>
        </w:rPr>
      </w:pPr>
      <w:r>
        <w:rPr>
          <w:rFonts w:hAnsiTheme="minorEastAsia"/>
          <w:sz w:val="24"/>
          <w:szCs w:val="24"/>
        </w:rPr>
        <w:t>（四）建立物业项目的管理档案；</w:t>
      </w:r>
    </w:p>
    <w:p>
      <w:pPr>
        <w:spacing w:line="480" w:lineRule="exact"/>
        <w:ind w:firstLine="448" w:firstLineChars="200"/>
        <w:rPr>
          <w:sz w:val="24"/>
          <w:szCs w:val="24"/>
        </w:rPr>
      </w:pPr>
      <w:r>
        <w:rPr>
          <w:rFonts w:hAnsi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sz w:val="24"/>
          <w:szCs w:val="24"/>
        </w:rPr>
      </w:pPr>
      <w:r>
        <w:rPr>
          <w:rFonts w:hAnsiTheme="minorEastAsia"/>
          <w:sz w:val="24"/>
          <w:szCs w:val="24"/>
        </w:rPr>
        <w:t>（六）对侵害物业共用部位、共用设施设备的行为要求责任人停止侵害、排除妨害、恢复原状；</w:t>
      </w:r>
    </w:p>
    <w:p>
      <w:pPr>
        <w:spacing w:line="480" w:lineRule="exact"/>
        <w:ind w:firstLine="448" w:firstLineChars="200"/>
        <w:rPr>
          <w:sz w:val="24"/>
          <w:szCs w:val="24"/>
        </w:rPr>
      </w:pPr>
      <w:r>
        <w:rPr>
          <w:rFonts w:hAnsiTheme="minorEastAsia"/>
          <w:sz w:val="24"/>
          <w:szCs w:val="24"/>
        </w:rPr>
        <w:t>（七）不得将物业项目全部委托给他人管理，但可以将专项服务委托专业公司承担；</w:t>
      </w:r>
    </w:p>
    <w:p>
      <w:pPr>
        <w:spacing w:line="480" w:lineRule="exact"/>
        <w:ind w:firstLine="448" w:firstLineChars="200"/>
        <w:rPr>
          <w:sz w:val="24"/>
          <w:szCs w:val="24"/>
        </w:rPr>
      </w:pPr>
      <w:r>
        <w:rPr>
          <w:rFonts w:hAnsiTheme="minorEastAsia"/>
          <w:sz w:val="24"/>
          <w:szCs w:val="24"/>
        </w:rPr>
        <w:t>（八）负责编制物业的年度维修养护计划，并组织实施；</w:t>
      </w:r>
    </w:p>
    <w:p>
      <w:pPr>
        <w:spacing w:line="480" w:lineRule="exact"/>
        <w:ind w:firstLine="448" w:firstLineChars="200"/>
        <w:rPr>
          <w:sz w:val="24"/>
          <w:szCs w:val="24"/>
        </w:rPr>
      </w:pPr>
      <w:r>
        <w:rPr>
          <w:rFonts w:hAnsi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sz w:val="24"/>
          <w:szCs w:val="24"/>
        </w:rPr>
      </w:pPr>
      <w:r>
        <w:rPr>
          <w:rFonts w:hAnsiTheme="minorEastAsia"/>
          <w:sz w:val="24"/>
          <w:szCs w:val="24"/>
        </w:rPr>
        <w:t>（十）负责编制物业服务年度计划；</w:t>
      </w:r>
    </w:p>
    <w:p>
      <w:pPr>
        <w:spacing w:line="480" w:lineRule="exact"/>
        <w:ind w:firstLine="448" w:firstLineChars="200"/>
        <w:rPr>
          <w:sz w:val="24"/>
          <w:szCs w:val="24"/>
        </w:rPr>
      </w:pPr>
      <w:r>
        <w:rPr>
          <w:rFonts w:hAnsi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sz w:val="24"/>
          <w:szCs w:val="24"/>
          <w:bdr w:val="single" w:color="auto" w:sz="4" w:space="0"/>
        </w:rPr>
      </w:pPr>
      <w:r>
        <w:rPr>
          <w:rFonts w:hAnsi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sz w:val="24"/>
          <w:szCs w:val="24"/>
        </w:rPr>
      </w:pPr>
      <w:r>
        <w:rPr>
          <w:sz w:val="24"/>
          <w:szCs w:val="24"/>
        </w:rPr>
        <w:t>1</w:t>
      </w:r>
      <w:r>
        <w:rPr>
          <w:rFonts w:hAnsiTheme="minorEastAsia"/>
          <w:sz w:val="24"/>
          <w:szCs w:val="24"/>
        </w:rPr>
        <w:t>、预收的物业管理服务费等收益余额；</w:t>
      </w:r>
    </w:p>
    <w:p>
      <w:pPr>
        <w:spacing w:line="480" w:lineRule="exact"/>
        <w:ind w:firstLine="448" w:firstLineChars="200"/>
        <w:rPr>
          <w:sz w:val="24"/>
          <w:szCs w:val="24"/>
        </w:rPr>
      </w:pPr>
      <w:r>
        <w:rPr>
          <w:sz w:val="24"/>
          <w:szCs w:val="24"/>
        </w:rPr>
        <w:t>2</w:t>
      </w:r>
      <w:r>
        <w:rPr>
          <w:rFonts w:hAnsiTheme="minorEastAsia"/>
          <w:sz w:val="24"/>
          <w:szCs w:val="24"/>
        </w:rPr>
        <w:t>、物业管理项目的档案资料；</w:t>
      </w:r>
    </w:p>
    <w:p>
      <w:pPr>
        <w:spacing w:line="480" w:lineRule="exact"/>
        <w:ind w:firstLine="448" w:firstLineChars="200"/>
        <w:rPr>
          <w:sz w:val="24"/>
          <w:szCs w:val="24"/>
        </w:rPr>
      </w:pPr>
      <w:r>
        <w:rPr>
          <w:sz w:val="24"/>
          <w:szCs w:val="24"/>
        </w:rPr>
        <w:t>3</w:t>
      </w:r>
      <w:r>
        <w:rPr>
          <w:rFonts w:hAnsiTheme="minorEastAsia"/>
          <w:sz w:val="24"/>
          <w:szCs w:val="24"/>
        </w:rPr>
        <w:t>、物业管理用房和属于采购人的场地、设施设备。</w:t>
      </w:r>
    </w:p>
    <w:p>
      <w:pPr>
        <w:spacing w:line="480" w:lineRule="exact"/>
        <w:ind w:firstLine="448" w:firstLineChars="200"/>
        <w:rPr>
          <w:sz w:val="24"/>
          <w:szCs w:val="24"/>
        </w:rPr>
      </w:pPr>
      <w:r>
        <w:rPr>
          <w:rFonts w:hAnsi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sz w:val="24"/>
          <w:szCs w:val="24"/>
        </w:rPr>
      </w:pPr>
      <w:r>
        <w:rPr>
          <w:rFonts w:hAnsiTheme="minorEastAsia"/>
          <w:sz w:val="24"/>
          <w:szCs w:val="24"/>
        </w:rPr>
        <w:t>（十四）接受采购人的监督；</w:t>
      </w:r>
    </w:p>
    <w:p>
      <w:pPr>
        <w:spacing w:line="480" w:lineRule="exact"/>
        <w:ind w:firstLine="448" w:firstLineChars="200"/>
        <w:rPr>
          <w:sz w:val="24"/>
          <w:szCs w:val="24"/>
        </w:rPr>
      </w:pPr>
      <w:r>
        <w:rPr>
          <w:rFonts w:hAnsiTheme="minorEastAsia"/>
          <w:sz w:val="24"/>
          <w:szCs w:val="24"/>
        </w:rPr>
        <w:t>（十五）接受物业管理行政主管部门的监督指导；</w:t>
      </w:r>
    </w:p>
    <w:p>
      <w:pPr>
        <w:spacing w:line="480" w:lineRule="exact"/>
        <w:ind w:firstLine="448" w:firstLineChars="200"/>
        <w:rPr>
          <w:sz w:val="24"/>
          <w:szCs w:val="24"/>
        </w:rPr>
      </w:pPr>
      <w:r>
        <w:rPr>
          <w:rFonts w:hAnsiTheme="minorEastAsia"/>
          <w:sz w:val="24"/>
          <w:szCs w:val="24"/>
        </w:rPr>
        <w:t>（十六）其他：</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第六条物业管理服务费用</w:t>
      </w:r>
    </w:p>
    <w:p>
      <w:pPr>
        <w:spacing w:line="480" w:lineRule="exact"/>
        <w:ind w:firstLine="448" w:firstLineChars="200"/>
        <w:rPr>
          <w:sz w:val="24"/>
          <w:szCs w:val="24"/>
        </w:rPr>
      </w:pPr>
      <w:r>
        <w:rPr>
          <w:rFonts w:hAnsiTheme="minorEastAsia"/>
          <w:sz w:val="24"/>
          <w:szCs w:val="24"/>
        </w:rPr>
        <w:t>本物业管理区域内的物业管理服务费采取包干制的形式，年服务费用为大写：（小写：）。</w:t>
      </w:r>
    </w:p>
    <w:p>
      <w:pPr>
        <w:spacing w:line="480" w:lineRule="exact"/>
        <w:ind w:firstLine="448" w:firstLineChars="200"/>
        <w:rPr>
          <w:sz w:val="24"/>
          <w:szCs w:val="24"/>
        </w:rPr>
      </w:pPr>
      <w:r>
        <w:rPr>
          <w:rFonts w:hAnsi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spacing w:val="-20"/>
          <w:sz w:val="24"/>
          <w:szCs w:val="24"/>
          <w:u w:val="single"/>
        </w:rPr>
      </w:pPr>
      <w:r>
        <w:rPr>
          <w:rFonts w:hAnsiTheme="minorEastAsia"/>
          <w:sz w:val="24"/>
          <w:szCs w:val="24"/>
        </w:rPr>
        <w:t>付款方式如下：</w:t>
      </w:r>
    </w:p>
    <w:p>
      <w:pPr>
        <w:spacing w:line="480" w:lineRule="exact"/>
        <w:ind w:firstLine="368" w:firstLineChars="200"/>
        <w:rPr>
          <w:spacing w:val="-20"/>
          <w:sz w:val="24"/>
          <w:szCs w:val="24"/>
          <w:u w:val="single"/>
        </w:rPr>
      </w:pPr>
    </w:p>
    <w:p>
      <w:pPr>
        <w:spacing w:line="480" w:lineRule="exact"/>
        <w:ind w:firstLine="448" w:firstLineChars="200"/>
        <w:rPr>
          <w:sz w:val="24"/>
          <w:szCs w:val="24"/>
        </w:rPr>
      </w:pPr>
      <w:r>
        <w:rPr>
          <w:rFonts w:hAnsiTheme="minorEastAsia"/>
          <w:sz w:val="24"/>
          <w:szCs w:val="24"/>
        </w:rPr>
        <w:t>第七条物业管理用房</w:t>
      </w:r>
    </w:p>
    <w:p>
      <w:pPr>
        <w:spacing w:line="480" w:lineRule="exact"/>
        <w:ind w:firstLine="448" w:firstLineChars="200"/>
        <w:rPr>
          <w:sz w:val="24"/>
          <w:szCs w:val="24"/>
        </w:rPr>
      </w:pPr>
      <w:r>
        <w:rPr>
          <w:rFonts w:hAnsi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sz w:val="24"/>
          <w:szCs w:val="24"/>
        </w:rPr>
      </w:pPr>
      <w:r>
        <w:rPr>
          <w:rFonts w:hAnsiTheme="minorEastAsia"/>
          <w:sz w:val="24"/>
          <w:szCs w:val="24"/>
        </w:rPr>
        <w:t>第八条物业及物业管理交接</w:t>
      </w:r>
    </w:p>
    <w:p>
      <w:pPr>
        <w:spacing w:line="480" w:lineRule="exact"/>
        <w:ind w:firstLine="448" w:firstLineChars="200"/>
        <w:rPr>
          <w:sz w:val="24"/>
          <w:szCs w:val="24"/>
        </w:rPr>
      </w:pPr>
      <w:r>
        <w:rPr>
          <w:rFonts w:hAnsiTheme="minorEastAsia"/>
          <w:sz w:val="24"/>
          <w:szCs w:val="24"/>
        </w:rPr>
        <w:t>自本合同生效之日起，由甲方向乙方移交下列资金、物品和资料：</w:t>
      </w:r>
    </w:p>
    <w:p>
      <w:pPr>
        <w:spacing w:line="480" w:lineRule="exact"/>
        <w:ind w:firstLine="448" w:firstLineChars="200"/>
        <w:rPr>
          <w:sz w:val="24"/>
          <w:szCs w:val="24"/>
        </w:rPr>
      </w:pPr>
      <w:r>
        <w:rPr>
          <w:rFonts w:hAnsiTheme="minorEastAsia"/>
          <w:sz w:val="24"/>
          <w:szCs w:val="24"/>
        </w:rPr>
        <w:t>（一）竣工总平面图，单体建筑、结构、设备的竣工图，附属配套设施、地下管网工程竣工图等资料；</w:t>
      </w:r>
    </w:p>
    <w:p>
      <w:pPr>
        <w:spacing w:line="480" w:lineRule="exact"/>
        <w:ind w:firstLine="448" w:firstLineChars="200"/>
        <w:rPr>
          <w:sz w:val="24"/>
          <w:szCs w:val="24"/>
        </w:rPr>
      </w:pPr>
      <w:r>
        <w:rPr>
          <w:rFonts w:hAnsiTheme="minorEastAsia"/>
          <w:sz w:val="24"/>
          <w:szCs w:val="24"/>
        </w:rPr>
        <w:t>（二）物业竣工验收资料；</w:t>
      </w:r>
    </w:p>
    <w:p>
      <w:pPr>
        <w:spacing w:line="480" w:lineRule="exact"/>
        <w:ind w:firstLine="448" w:firstLineChars="200"/>
        <w:rPr>
          <w:sz w:val="24"/>
          <w:szCs w:val="24"/>
        </w:rPr>
      </w:pPr>
      <w:r>
        <w:rPr>
          <w:rFonts w:hAnsiTheme="minorEastAsia"/>
          <w:sz w:val="24"/>
          <w:szCs w:val="24"/>
        </w:rPr>
        <w:t>（三）共用设施设备安装、使用、维护和保养技术资料；</w:t>
      </w:r>
    </w:p>
    <w:p>
      <w:pPr>
        <w:spacing w:line="480" w:lineRule="exact"/>
        <w:ind w:firstLine="448" w:firstLineChars="200"/>
        <w:rPr>
          <w:sz w:val="24"/>
          <w:szCs w:val="24"/>
        </w:rPr>
      </w:pPr>
      <w:r>
        <w:rPr>
          <w:rFonts w:hAnsiTheme="minorEastAsia"/>
          <w:sz w:val="24"/>
          <w:szCs w:val="24"/>
        </w:rPr>
        <w:t>（四）物业质量保证书和使用说明书；</w:t>
      </w:r>
    </w:p>
    <w:p>
      <w:pPr>
        <w:spacing w:line="480" w:lineRule="exact"/>
        <w:ind w:firstLine="448" w:firstLineChars="200"/>
        <w:rPr>
          <w:sz w:val="24"/>
          <w:szCs w:val="24"/>
        </w:rPr>
      </w:pPr>
      <w:r>
        <w:rPr>
          <w:rFonts w:hAnsiTheme="minorEastAsia"/>
          <w:sz w:val="24"/>
          <w:szCs w:val="24"/>
        </w:rPr>
        <w:t>（五）物业管理服务费等余额；</w:t>
      </w:r>
    </w:p>
    <w:p>
      <w:pPr>
        <w:spacing w:line="480" w:lineRule="exact"/>
        <w:ind w:firstLine="448" w:firstLineChars="200"/>
        <w:rPr>
          <w:sz w:val="24"/>
          <w:szCs w:val="24"/>
        </w:rPr>
      </w:pPr>
      <w:r>
        <w:rPr>
          <w:rFonts w:hAnsiTheme="minorEastAsia"/>
          <w:sz w:val="24"/>
          <w:szCs w:val="24"/>
        </w:rPr>
        <w:t>（六）物业管理需要的其他资料；</w:t>
      </w:r>
    </w:p>
    <w:p>
      <w:pPr>
        <w:spacing w:line="480" w:lineRule="exact"/>
        <w:ind w:firstLine="448" w:firstLineChars="200"/>
        <w:rPr>
          <w:sz w:val="24"/>
          <w:szCs w:val="24"/>
        </w:rPr>
      </w:pPr>
      <w:r>
        <w:rPr>
          <w:rFonts w:hAnsiTheme="minorEastAsia"/>
          <w:sz w:val="24"/>
          <w:szCs w:val="24"/>
        </w:rPr>
        <w:t>（七）物业管理用房和属于采购人的场地、设施设备。</w:t>
      </w:r>
    </w:p>
    <w:p>
      <w:pPr>
        <w:spacing w:line="480" w:lineRule="exact"/>
        <w:ind w:firstLine="448" w:firstLineChars="200"/>
        <w:rPr>
          <w:sz w:val="24"/>
          <w:szCs w:val="24"/>
        </w:rPr>
      </w:pPr>
      <w:r>
        <w:rPr>
          <w:rFonts w:hAnsiTheme="minorEastAsia"/>
          <w:sz w:val="24"/>
          <w:szCs w:val="24"/>
        </w:rPr>
        <w:t>第九条采购人装饰装修房屋，应当遵守国家和本市有关规定。</w:t>
      </w:r>
    </w:p>
    <w:p>
      <w:pPr>
        <w:spacing w:line="480" w:lineRule="exact"/>
        <w:ind w:firstLine="448" w:firstLineChars="200"/>
        <w:rPr>
          <w:sz w:val="24"/>
          <w:szCs w:val="24"/>
        </w:rPr>
      </w:pPr>
      <w:r>
        <w:rPr>
          <w:rFonts w:hAnsi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sz w:val="24"/>
          <w:szCs w:val="24"/>
        </w:rPr>
      </w:pPr>
      <w:r>
        <w:rPr>
          <w:rFonts w:hAnsiTheme="minorEastAsia"/>
          <w:sz w:val="24"/>
          <w:szCs w:val="24"/>
        </w:rPr>
        <w:t>第十条违约责任</w:t>
      </w:r>
    </w:p>
    <w:p>
      <w:pPr>
        <w:spacing w:line="480" w:lineRule="exact"/>
        <w:ind w:firstLine="448" w:firstLineChars="200"/>
        <w:rPr>
          <w:sz w:val="24"/>
          <w:szCs w:val="24"/>
        </w:rPr>
      </w:pPr>
      <w:r>
        <w:rPr>
          <w:rFonts w:hAnsi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sz w:val="24"/>
          <w:szCs w:val="24"/>
        </w:rPr>
      </w:pPr>
      <w:r>
        <w:rPr>
          <w:rFonts w:hAnsi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sz w:val="24"/>
          <w:szCs w:val="24"/>
        </w:rPr>
      </w:pPr>
      <w:r>
        <w:rPr>
          <w:rFonts w:hAnsi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sz w:val="24"/>
          <w:szCs w:val="24"/>
        </w:rPr>
      </w:pPr>
      <w:r>
        <w:rPr>
          <w:rFonts w:hAnsiTheme="minorEastAsia"/>
          <w:sz w:val="24"/>
          <w:szCs w:val="24"/>
        </w:rPr>
        <w:t>（四）合同期满，乙方未按规定时间向甲方办理移交事项，乙方向甲方支付违约金元。</w:t>
      </w:r>
    </w:p>
    <w:p>
      <w:pPr>
        <w:spacing w:line="480" w:lineRule="exact"/>
        <w:ind w:firstLine="448" w:firstLineChars="200"/>
        <w:rPr>
          <w:sz w:val="24"/>
          <w:szCs w:val="24"/>
        </w:rPr>
      </w:pPr>
      <w:r>
        <w:rPr>
          <w:rFonts w:hAnsi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sz w:val="24"/>
          <w:szCs w:val="24"/>
        </w:rPr>
      </w:pPr>
      <w:r>
        <w:rPr>
          <w:rFonts w:hAnsiTheme="minorEastAsia"/>
          <w:sz w:val="24"/>
          <w:szCs w:val="24"/>
        </w:rPr>
        <w:t>（六）甲、乙任何一方无正当理由提前终止合同的，应当向对方支付元的违约金；违约方还应当承担超过违约金部分的经济损失。</w:t>
      </w:r>
    </w:p>
    <w:p>
      <w:pPr>
        <w:spacing w:line="480" w:lineRule="exact"/>
        <w:ind w:firstLine="448" w:firstLineChars="200"/>
        <w:rPr>
          <w:sz w:val="24"/>
          <w:szCs w:val="24"/>
        </w:rPr>
      </w:pPr>
      <w:r>
        <w:rPr>
          <w:rFonts w:hAnsiTheme="minorEastAsia"/>
          <w:sz w:val="24"/>
          <w:szCs w:val="24"/>
        </w:rPr>
        <w:t>（七）其他：</w:t>
      </w:r>
    </w:p>
    <w:p>
      <w:pPr>
        <w:spacing w:line="480" w:lineRule="exact"/>
        <w:ind w:firstLine="448" w:firstLineChars="200"/>
        <w:rPr>
          <w:sz w:val="24"/>
          <w:szCs w:val="24"/>
        </w:rPr>
      </w:pPr>
    </w:p>
    <w:p>
      <w:pPr>
        <w:spacing w:line="480" w:lineRule="exact"/>
        <w:ind w:firstLine="448" w:firstLineChars="200"/>
        <w:rPr>
          <w:sz w:val="24"/>
          <w:szCs w:val="24"/>
        </w:rPr>
      </w:pPr>
      <w:r>
        <w:rPr>
          <w:rFonts w:hAnsiTheme="minorEastAsia"/>
          <w:sz w:val="24"/>
          <w:szCs w:val="24"/>
        </w:rPr>
        <w:t>第十一条质量纠纷的约定</w:t>
      </w:r>
    </w:p>
    <w:p>
      <w:pPr>
        <w:spacing w:line="480" w:lineRule="exact"/>
        <w:ind w:firstLine="448" w:firstLineChars="200"/>
        <w:rPr>
          <w:sz w:val="24"/>
          <w:szCs w:val="24"/>
        </w:rPr>
      </w:pPr>
      <w:r>
        <w:rPr>
          <w:rFonts w:hAnsi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sz w:val="24"/>
          <w:szCs w:val="24"/>
        </w:rPr>
      </w:pPr>
      <w:r>
        <w:rPr>
          <w:rFonts w:hAnsiTheme="minorEastAsia"/>
          <w:sz w:val="24"/>
          <w:szCs w:val="24"/>
        </w:rPr>
        <w:t>第十二条不可抗力的约定</w:t>
      </w:r>
    </w:p>
    <w:p>
      <w:pPr>
        <w:spacing w:line="480" w:lineRule="exact"/>
        <w:ind w:firstLine="448" w:firstLineChars="200"/>
        <w:rPr>
          <w:sz w:val="24"/>
          <w:szCs w:val="24"/>
        </w:rPr>
      </w:pPr>
      <w:r>
        <w:rPr>
          <w:rFonts w:hAnsiTheme="minorEastAsia"/>
          <w:sz w:val="24"/>
          <w:szCs w:val="24"/>
        </w:rPr>
        <w:t>本合同执行期间，如遇不可抗力，致使合同无法履行时，双方应当按有关法律规定及时协商处理。</w:t>
      </w:r>
    </w:p>
    <w:p>
      <w:pPr>
        <w:spacing w:line="480" w:lineRule="exact"/>
        <w:ind w:firstLine="448" w:firstLineChars="200"/>
        <w:rPr>
          <w:sz w:val="24"/>
          <w:szCs w:val="24"/>
        </w:rPr>
      </w:pPr>
      <w:r>
        <w:rPr>
          <w:rFonts w:hAnsiTheme="minorEastAsia"/>
          <w:sz w:val="24"/>
          <w:szCs w:val="24"/>
        </w:rPr>
        <w:t>第十三条免责条款</w:t>
      </w:r>
    </w:p>
    <w:p>
      <w:pPr>
        <w:spacing w:line="480" w:lineRule="exact"/>
        <w:ind w:firstLine="448" w:firstLineChars="200"/>
        <w:rPr>
          <w:sz w:val="24"/>
          <w:szCs w:val="24"/>
        </w:rPr>
      </w:pPr>
      <w:r>
        <w:rPr>
          <w:rFonts w:hAnsiTheme="minorEastAsia"/>
          <w:sz w:val="24"/>
          <w:szCs w:val="24"/>
        </w:rPr>
        <w:t>以下情况乙方不承担责任：</w:t>
      </w:r>
    </w:p>
    <w:p>
      <w:pPr>
        <w:spacing w:line="480" w:lineRule="exact"/>
        <w:ind w:firstLine="448" w:firstLineChars="200"/>
        <w:rPr>
          <w:sz w:val="24"/>
          <w:szCs w:val="24"/>
        </w:rPr>
      </w:pPr>
      <w:r>
        <w:rPr>
          <w:sz w:val="24"/>
          <w:szCs w:val="24"/>
        </w:rPr>
        <w:t>1</w:t>
      </w:r>
      <w:r>
        <w:rPr>
          <w:rFonts w:hAnsiTheme="minorEastAsia"/>
          <w:sz w:val="24"/>
          <w:szCs w:val="24"/>
        </w:rPr>
        <w:t>、乙方已履行本合同约定义务，但因物业本身固有瑕疵造成损失的；</w:t>
      </w:r>
    </w:p>
    <w:p>
      <w:pPr>
        <w:spacing w:line="480" w:lineRule="exact"/>
        <w:ind w:firstLine="448" w:firstLineChars="200"/>
        <w:rPr>
          <w:sz w:val="24"/>
          <w:szCs w:val="24"/>
        </w:rPr>
      </w:pPr>
      <w:r>
        <w:rPr>
          <w:sz w:val="24"/>
          <w:szCs w:val="24"/>
        </w:rPr>
        <w:t>2</w:t>
      </w:r>
      <w:r>
        <w:rPr>
          <w:rFonts w:hAnsiTheme="minorEastAsia"/>
          <w:sz w:val="24"/>
          <w:szCs w:val="24"/>
        </w:rPr>
        <w:t>、因维修养护物业共用部位、共用设施设备需要且事先已告知采购人，暂时停水、停电、停止共用设施设备使用等造成损失的；</w:t>
      </w:r>
    </w:p>
    <w:p>
      <w:pPr>
        <w:spacing w:line="480" w:lineRule="exact"/>
        <w:ind w:firstLine="448" w:firstLineChars="200"/>
        <w:rPr>
          <w:sz w:val="24"/>
          <w:szCs w:val="24"/>
        </w:rPr>
      </w:pPr>
      <w:r>
        <w:rPr>
          <w:sz w:val="24"/>
          <w:szCs w:val="24"/>
        </w:rPr>
        <w:t>3</w:t>
      </w:r>
      <w:r>
        <w:rPr>
          <w:rFonts w:hAnsiTheme="minorEastAsia"/>
          <w:sz w:val="24"/>
          <w:szCs w:val="24"/>
        </w:rPr>
        <w:t>、因非乙方责任出现供水、供电、供气、供热、通讯、有线电视及其他共用设施设备运行障碍造成损失的。</w:t>
      </w:r>
    </w:p>
    <w:p>
      <w:pPr>
        <w:spacing w:line="480" w:lineRule="exact"/>
        <w:ind w:firstLine="448" w:firstLineChars="200"/>
        <w:rPr>
          <w:sz w:val="24"/>
          <w:szCs w:val="24"/>
        </w:rPr>
      </w:pPr>
      <w:r>
        <w:rPr>
          <w:rFonts w:hAnsiTheme="minorEastAsia"/>
          <w:sz w:val="24"/>
          <w:szCs w:val="24"/>
        </w:rPr>
        <w:t>第十四条合同的解除</w:t>
      </w:r>
    </w:p>
    <w:p>
      <w:pPr>
        <w:spacing w:line="480" w:lineRule="exact"/>
        <w:ind w:firstLine="448" w:firstLineChars="200"/>
        <w:rPr>
          <w:sz w:val="24"/>
          <w:szCs w:val="24"/>
        </w:rPr>
      </w:pPr>
      <w:r>
        <w:rPr>
          <w:rFonts w:hAnsi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sz w:val="24"/>
          <w:szCs w:val="24"/>
        </w:rPr>
      </w:pPr>
      <w:r>
        <w:rPr>
          <w:rFonts w:hAnsiTheme="minorEastAsia"/>
          <w:sz w:val="24"/>
          <w:szCs w:val="24"/>
        </w:rPr>
        <w:t>合同解除后，按照有关规定办理相关交接手续。</w:t>
      </w:r>
    </w:p>
    <w:p>
      <w:pPr>
        <w:spacing w:line="480" w:lineRule="exact"/>
        <w:ind w:firstLine="448" w:firstLineChars="200"/>
        <w:rPr>
          <w:sz w:val="24"/>
          <w:szCs w:val="24"/>
        </w:rPr>
      </w:pPr>
      <w:r>
        <w:rPr>
          <w:rFonts w:hAnsiTheme="minorEastAsia"/>
          <w:sz w:val="24"/>
          <w:szCs w:val="24"/>
        </w:rPr>
        <w:t>第十五条争议处理</w:t>
      </w:r>
    </w:p>
    <w:p>
      <w:pPr>
        <w:spacing w:line="480" w:lineRule="exact"/>
        <w:ind w:firstLine="448" w:firstLineChars="200"/>
        <w:rPr>
          <w:sz w:val="24"/>
          <w:szCs w:val="24"/>
        </w:rPr>
      </w:pPr>
      <w:r>
        <w:rPr>
          <w:rFonts w:hAnsiTheme="minorEastAsia"/>
          <w:sz w:val="24"/>
          <w:szCs w:val="24"/>
        </w:rPr>
        <w:t>由于甲、乙双方在履行本合同过程中出现问题，由甲、乙双方直接交涉解决，包括采用诉诸法律的手段。</w:t>
      </w:r>
    </w:p>
    <w:p>
      <w:pPr>
        <w:spacing w:line="480" w:lineRule="exact"/>
        <w:ind w:firstLine="448" w:firstLineChars="200"/>
        <w:rPr>
          <w:sz w:val="24"/>
          <w:szCs w:val="24"/>
        </w:rPr>
      </w:pPr>
      <w:r>
        <w:rPr>
          <w:rFonts w:hAnsi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sz w:val="24"/>
          <w:szCs w:val="24"/>
        </w:rPr>
      </w:pPr>
      <w:r>
        <w:rPr>
          <w:rFonts w:hAnsiTheme="minorEastAsia"/>
          <w:sz w:val="24"/>
          <w:szCs w:val="24"/>
        </w:rPr>
        <w:t>第十六条合同附件</w:t>
      </w:r>
    </w:p>
    <w:p>
      <w:pPr>
        <w:spacing w:line="480" w:lineRule="exact"/>
        <w:ind w:firstLine="448" w:firstLineChars="200"/>
        <w:rPr>
          <w:sz w:val="24"/>
          <w:szCs w:val="24"/>
        </w:rPr>
      </w:pPr>
      <w:r>
        <w:rPr>
          <w:rFonts w:hAnsiTheme="minorEastAsia"/>
          <w:sz w:val="24"/>
          <w:szCs w:val="24"/>
        </w:rPr>
        <w:t>有关涉及本合同乙方向天津市</w:t>
      </w:r>
      <w:r>
        <w:rPr>
          <w:rFonts w:hint="eastAsia" w:hAnsiTheme="minorEastAsia"/>
          <w:sz w:val="24"/>
          <w:szCs w:val="24"/>
        </w:rPr>
        <w:t>滨海新区</w:t>
      </w:r>
      <w:r>
        <w:rPr>
          <w:rFonts w:hAnsiTheme="minorEastAsia"/>
          <w:sz w:val="24"/>
          <w:szCs w:val="24"/>
        </w:rPr>
        <w:t>政府采购中心所提交的投标文件及有关澄清资料和服务承诺均视为本合同不可分割的部分，对乙方具有约束力。</w:t>
      </w:r>
    </w:p>
    <w:p>
      <w:pPr>
        <w:spacing w:line="480" w:lineRule="exact"/>
        <w:ind w:firstLine="448" w:firstLineChars="200"/>
        <w:rPr>
          <w:sz w:val="24"/>
          <w:szCs w:val="24"/>
        </w:rPr>
      </w:pPr>
      <w:r>
        <w:rPr>
          <w:rFonts w:hAnsiTheme="minorEastAsia"/>
          <w:sz w:val="24"/>
          <w:szCs w:val="24"/>
        </w:rPr>
        <w:t>本合同及其附件和合同特殊条款中未规定的事宜，均遵照国家和本市有关法律、法规和规章执行。</w:t>
      </w:r>
    </w:p>
    <w:p>
      <w:pPr>
        <w:spacing w:line="480" w:lineRule="exact"/>
        <w:ind w:firstLine="448" w:firstLineChars="200"/>
        <w:rPr>
          <w:sz w:val="24"/>
          <w:szCs w:val="24"/>
        </w:rPr>
      </w:pPr>
      <w:r>
        <w:rPr>
          <w:rFonts w:hAnsiTheme="minorEastAsia"/>
          <w:sz w:val="24"/>
          <w:szCs w:val="24"/>
        </w:rPr>
        <w:t>第十七条合同生效</w:t>
      </w:r>
    </w:p>
    <w:p>
      <w:pPr>
        <w:spacing w:line="480" w:lineRule="exact"/>
        <w:ind w:firstLine="448" w:firstLineChars="200"/>
        <w:rPr>
          <w:sz w:val="24"/>
          <w:szCs w:val="24"/>
        </w:rPr>
      </w:pPr>
      <w:r>
        <w:rPr>
          <w:rFonts w:hAnsiTheme="minorEastAsia"/>
          <w:sz w:val="24"/>
          <w:szCs w:val="24"/>
        </w:rPr>
        <w:t>本合同一式份，甲方持份，</w:t>
      </w:r>
      <w:r>
        <w:rPr>
          <w:rFonts w:hint="eastAsia" w:hAnsiTheme="minorEastAsia"/>
          <w:sz w:val="24"/>
          <w:szCs w:val="24"/>
        </w:rPr>
        <w:t>乙</w:t>
      </w:r>
      <w:r>
        <w:rPr>
          <w:rFonts w:hAnsiTheme="minorEastAsia"/>
          <w:sz w:val="24"/>
          <w:szCs w:val="24"/>
        </w:rPr>
        <w:t>方持份，均具同等效力，签字盖章后生效。</w:t>
      </w:r>
    </w:p>
    <w:p>
      <w:pPr>
        <w:spacing w:line="480" w:lineRule="exact"/>
        <w:ind w:firstLine="448" w:firstLineChars="200"/>
        <w:rPr>
          <w:sz w:val="24"/>
          <w:szCs w:val="24"/>
        </w:rPr>
      </w:pPr>
    </w:p>
    <w:p>
      <w:pPr>
        <w:tabs>
          <w:tab w:val="left" w:pos="360"/>
        </w:tabs>
        <w:spacing w:line="516" w:lineRule="exact"/>
        <w:ind w:firstLine="448" w:firstLineChars="200"/>
        <w:rPr>
          <w:color w:val="000000"/>
          <w:sz w:val="24"/>
          <w:szCs w:val="24"/>
        </w:rPr>
      </w:pPr>
      <w:r>
        <w:rPr>
          <w:rFonts w:hAnsiTheme="minorEastAsia"/>
          <w:sz w:val="24"/>
          <w:szCs w:val="24"/>
        </w:rPr>
        <w:t>采购人</w:t>
      </w:r>
      <w:r>
        <w:rPr>
          <w:sz w:val="24"/>
          <w:szCs w:val="24"/>
        </w:rPr>
        <w:t>-</w:t>
      </w:r>
      <w:r>
        <w:rPr>
          <w:rFonts w:hAnsiTheme="minorEastAsia"/>
          <w:sz w:val="24"/>
          <w:szCs w:val="24"/>
        </w:rPr>
        <w:t>甲方（公章）</w:t>
      </w:r>
      <w:r>
        <w:rPr>
          <w:rFonts w:hAnsiTheme="minorEastAsia"/>
          <w:color w:val="000000"/>
          <w:sz w:val="24"/>
          <w:szCs w:val="24"/>
        </w:rPr>
        <w:t>：</w:t>
      </w:r>
      <w:r>
        <w:rPr>
          <w:rFonts w:hAnsiTheme="minorEastAsia"/>
          <w:sz w:val="24"/>
          <w:szCs w:val="24"/>
        </w:rPr>
        <w:t>供应商</w:t>
      </w:r>
      <w:r>
        <w:rPr>
          <w:sz w:val="24"/>
          <w:szCs w:val="24"/>
        </w:rPr>
        <w:t>-</w:t>
      </w:r>
      <w:r>
        <w:rPr>
          <w:rFonts w:hAnsiTheme="minorEastAsia"/>
          <w:sz w:val="24"/>
          <w:szCs w:val="24"/>
        </w:rPr>
        <w:t>乙方（公章）</w:t>
      </w:r>
      <w:r>
        <w:rPr>
          <w:rFonts w:hAnsiTheme="minorEastAsia"/>
          <w:color w:val="000000"/>
          <w:sz w:val="24"/>
          <w:szCs w:val="24"/>
        </w:rPr>
        <w:t>：</w:t>
      </w:r>
    </w:p>
    <w:p>
      <w:pPr>
        <w:tabs>
          <w:tab w:val="left" w:pos="0"/>
          <w:tab w:val="left" w:pos="315"/>
        </w:tabs>
        <w:spacing w:line="516" w:lineRule="exact"/>
        <w:ind w:firstLine="448" w:firstLineChars="200"/>
        <w:rPr>
          <w:color w:val="000000"/>
          <w:sz w:val="24"/>
          <w:szCs w:val="24"/>
        </w:rPr>
      </w:pPr>
      <w:r>
        <w:rPr>
          <w:rFonts w:hAnsiTheme="minorEastAsia"/>
          <w:color w:val="000000"/>
          <w:sz w:val="24"/>
          <w:szCs w:val="24"/>
        </w:rPr>
        <w:t>地址：地址：</w:t>
      </w:r>
    </w:p>
    <w:p>
      <w:pPr>
        <w:tabs>
          <w:tab w:val="left" w:pos="0"/>
          <w:tab w:val="left" w:pos="315"/>
        </w:tabs>
        <w:spacing w:line="516" w:lineRule="exact"/>
        <w:ind w:firstLine="448" w:firstLineChars="200"/>
        <w:rPr>
          <w:color w:val="000000"/>
          <w:sz w:val="24"/>
          <w:szCs w:val="24"/>
        </w:rPr>
      </w:pPr>
      <w:r>
        <w:rPr>
          <w:rFonts w:hAnsiTheme="minorEastAsia"/>
          <w:color w:val="000000"/>
          <w:sz w:val="24"/>
          <w:szCs w:val="24"/>
        </w:rPr>
        <w:t>法定代表人：法定代表人：</w:t>
      </w:r>
    </w:p>
    <w:p>
      <w:pPr>
        <w:tabs>
          <w:tab w:val="left" w:pos="360"/>
        </w:tabs>
        <w:spacing w:line="516" w:lineRule="exact"/>
        <w:ind w:firstLine="448" w:firstLineChars="200"/>
        <w:rPr>
          <w:color w:val="000000"/>
          <w:sz w:val="24"/>
          <w:szCs w:val="24"/>
        </w:rPr>
      </w:pPr>
      <w:r>
        <w:rPr>
          <w:rFonts w:hAnsiTheme="minorEastAsia"/>
          <w:color w:val="000000"/>
          <w:sz w:val="24"/>
          <w:szCs w:val="24"/>
        </w:rPr>
        <w:t>委托代理人：委托代理人：</w:t>
      </w:r>
    </w:p>
    <w:p>
      <w:pPr>
        <w:tabs>
          <w:tab w:val="left" w:pos="360"/>
        </w:tabs>
        <w:spacing w:line="516" w:lineRule="exact"/>
        <w:ind w:firstLine="448" w:firstLineChars="200"/>
        <w:rPr>
          <w:color w:val="000000"/>
          <w:sz w:val="24"/>
          <w:szCs w:val="24"/>
        </w:rPr>
      </w:pPr>
      <w:r>
        <w:rPr>
          <w:rFonts w:hAnsiTheme="minorEastAsia"/>
          <w:color w:val="000000"/>
          <w:sz w:val="24"/>
          <w:szCs w:val="24"/>
        </w:rPr>
        <w:t>电话：电话：</w:t>
      </w:r>
    </w:p>
    <w:p>
      <w:pPr>
        <w:tabs>
          <w:tab w:val="left" w:pos="360"/>
        </w:tabs>
        <w:spacing w:line="516" w:lineRule="exact"/>
        <w:ind w:firstLine="448" w:firstLineChars="200"/>
        <w:rPr>
          <w:color w:val="000000"/>
          <w:sz w:val="24"/>
          <w:szCs w:val="24"/>
        </w:rPr>
      </w:pPr>
      <w:r>
        <w:rPr>
          <w:rFonts w:hAnsiTheme="minorEastAsia"/>
          <w:color w:val="000000"/>
          <w:sz w:val="24"/>
          <w:szCs w:val="24"/>
        </w:rPr>
        <w:t>时间：年月日</w:t>
      </w:r>
    </w:p>
    <w:p>
      <w:pPr>
        <w:jc w:val="center"/>
        <w:rPr>
          <w:sz w:val="24"/>
          <w:szCs w:val="24"/>
        </w:rPr>
      </w:pPr>
    </w:p>
    <w:p>
      <w:pPr>
        <w:jc w:val="center"/>
        <w:rPr>
          <w:sz w:val="24"/>
          <w:szCs w:val="24"/>
        </w:rPr>
      </w:pPr>
    </w:p>
    <w:p>
      <w:pPr>
        <w:widowControl/>
        <w:jc w:val="left"/>
        <w:rPr>
          <w:rFonts w:hAnsiTheme="minorEastAsia"/>
          <w:b/>
          <w:bCs/>
          <w:sz w:val="24"/>
          <w:szCs w:val="24"/>
        </w:rPr>
      </w:pPr>
      <w:r>
        <w:rPr>
          <w:rFonts w:hAnsiTheme="minorEastAsia"/>
          <w:b/>
          <w:bCs/>
          <w:sz w:val="24"/>
          <w:szCs w:val="24"/>
        </w:rPr>
        <w:br w:type="page"/>
      </w:r>
    </w:p>
    <w:p>
      <w:pPr>
        <w:widowControl/>
        <w:jc w:val="center"/>
        <w:rPr>
          <w:b/>
          <w:bCs/>
          <w:sz w:val="24"/>
          <w:szCs w:val="24"/>
        </w:rPr>
      </w:pPr>
      <w:r>
        <w:rPr>
          <w:rFonts w:hAnsiTheme="minorEastAsia"/>
          <w:b/>
          <w:bCs/>
          <w:sz w:val="24"/>
          <w:szCs w:val="24"/>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rFonts w:hAnsi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rFonts w:hAnsi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5"/>
        <w:rPr>
          <w:rFonts w:ascii="Times New Roman" w:hAnsi="Times New Roman"/>
        </w:rPr>
      </w:pPr>
      <w:r>
        <w:rPr>
          <w:rFonts w:ascii="Times New Roman" w:hAnsiTheme="minorEastAsia"/>
        </w:rPr>
        <w:t>第五部分投标文件格式</w:t>
      </w:r>
    </w:p>
    <w:p>
      <w:pPr>
        <w:autoSpaceDN w:val="0"/>
        <w:spacing w:line="360" w:lineRule="auto"/>
        <w:jc w:val="center"/>
        <w:rPr>
          <w:b/>
          <w:bCs/>
          <w:sz w:val="24"/>
        </w:rPr>
      </w:pPr>
      <w:r>
        <w:rPr>
          <w:rFonts w:hAnsiTheme="minorEastAsia"/>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rFonts w:hAnsiTheme="minorEastAsia"/>
          <w:sz w:val="160"/>
          <w:szCs w:val="84"/>
        </w:rPr>
        <w:t>投标文件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rFonts w:hAnsiTheme="minorEastAsia"/>
          <w:b/>
          <w:color w:val="FF0000"/>
          <w:kern w:val="0"/>
          <w:sz w:val="24"/>
        </w:rPr>
        <w:t>（加盖电子签章）</w:t>
      </w:r>
    </w:p>
    <w:p>
      <w:pPr>
        <w:spacing w:beforeLines="30" w:afterLines="70" w:line="540" w:lineRule="exact"/>
        <w:ind w:left="582" w:leftChars="300"/>
        <w:rPr>
          <w:b/>
          <w:sz w:val="34"/>
          <w:szCs w:val="34"/>
        </w:rPr>
      </w:pPr>
      <w:r>
        <w:rPr>
          <w:rFonts w:hAnsiTheme="minorEastAsia"/>
          <w:b/>
          <w:sz w:val="34"/>
          <w:szCs w:val="34"/>
        </w:rPr>
        <w:t>项目编号：</w:t>
      </w:r>
    </w:p>
    <w:p>
      <w:pPr>
        <w:spacing w:beforeLines="30" w:afterLines="70" w:line="540" w:lineRule="exact"/>
        <w:ind w:left="2027" w:leftChars="300" w:hanging="1445" w:hangingChars="446"/>
        <w:rPr>
          <w:b/>
          <w:sz w:val="34"/>
          <w:szCs w:val="34"/>
        </w:rPr>
      </w:pPr>
      <w:r>
        <w:rPr>
          <w:rFonts w:hAnsiTheme="minorEastAsia"/>
          <w:b/>
          <w:sz w:val="34"/>
          <w:szCs w:val="34"/>
        </w:rPr>
        <w:t>项目名称：</w:t>
      </w:r>
    </w:p>
    <w:p>
      <w:pPr>
        <w:spacing w:beforeLines="30" w:afterLines="70" w:line="540" w:lineRule="exact"/>
        <w:ind w:left="2027" w:leftChars="300" w:hanging="1445" w:hangingChars="446"/>
        <w:rPr>
          <w:b/>
          <w:sz w:val="34"/>
          <w:szCs w:val="34"/>
        </w:rPr>
      </w:pPr>
      <w:r>
        <w:rPr>
          <w:rFonts w:hAnsiTheme="minorEastAsia"/>
          <w:b/>
          <w:sz w:val="34"/>
          <w:szCs w:val="34"/>
        </w:rPr>
        <w:t>投标包号：</w:t>
      </w:r>
    </w:p>
    <w:p>
      <w:pPr>
        <w:spacing w:beforeLines="30" w:afterLines="70" w:line="540" w:lineRule="exact"/>
        <w:ind w:left="582" w:leftChars="300"/>
        <w:rPr>
          <w:b/>
          <w:sz w:val="34"/>
          <w:szCs w:val="34"/>
        </w:rPr>
      </w:pPr>
      <w:r>
        <w:rPr>
          <w:rFonts w:hAnsiTheme="minorEastAsia"/>
          <w:b/>
          <w:sz w:val="34"/>
          <w:szCs w:val="34"/>
        </w:rPr>
        <w:t>投标单位名称：</w:t>
      </w:r>
    </w:p>
    <w:p>
      <w:pPr>
        <w:spacing w:beforeLines="30" w:afterLines="70" w:line="540" w:lineRule="exact"/>
        <w:ind w:left="582" w:leftChars="300"/>
        <w:rPr>
          <w:b/>
          <w:kern w:val="0"/>
          <w:sz w:val="34"/>
          <w:szCs w:val="34"/>
        </w:rPr>
      </w:pPr>
      <w:r>
        <w:rPr>
          <w:rFonts w:hint="eastAsia" w:hAnsiTheme="minor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rFonts w:hAnsiTheme="minorEastAsia"/>
          <w:b/>
          <w:sz w:val="34"/>
          <w:szCs w:val="34"/>
        </w:rPr>
        <w:t>投标日期：年月日</w:t>
      </w:r>
    </w:p>
    <w:p>
      <w:pPr>
        <w:widowControl/>
        <w:jc w:val="left"/>
        <w:rPr>
          <w:b/>
          <w:sz w:val="24"/>
        </w:rPr>
      </w:pPr>
      <w:r>
        <w:rPr>
          <w:b/>
          <w:sz w:val="24"/>
        </w:rPr>
        <w:br w:type="page"/>
      </w:r>
    </w:p>
    <w:p>
      <w:pPr>
        <w:autoSpaceDN w:val="0"/>
        <w:spacing w:line="360" w:lineRule="auto"/>
        <w:jc w:val="center"/>
        <w:rPr>
          <w:b/>
          <w:bCs/>
          <w:sz w:val="24"/>
        </w:rPr>
      </w:pPr>
      <w:r>
        <w:rPr>
          <w:rFonts w:hAnsiTheme="minorEastAsia"/>
          <w:b/>
          <w:bCs/>
          <w:sz w:val="24"/>
        </w:rPr>
        <w:t>投标文件总目录</w:t>
      </w:r>
    </w:p>
    <w:p>
      <w:pPr>
        <w:autoSpaceDN w:val="0"/>
        <w:spacing w:line="360" w:lineRule="auto"/>
        <w:jc w:val="center"/>
        <w:rPr>
          <w:b/>
          <w:bCs/>
          <w:sz w:val="24"/>
        </w:rPr>
      </w:pPr>
      <w:r>
        <w:rPr>
          <w:rFonts w:hAnsiTheme="minorEastAsia"/>
          <w:b/>
          <w:bCs/>
          <w:sz w:val="24"/>
        </w:rPr>
        <w:t>（投标人自行编制）</w:t>
      </w:r>
    </w:p>
    <w:p>
      <w:pPr>
        <w:widowControl/>
        <w:jc w:val="left"/>
        <w:rPr>
          <w:b/>
          <w:sz w:val="24"/>
        </w:rPr>
      </w:pPr>
      <w:r>
        <w:rPr>
          <w:b/>
          <w:sz w:val="24"/>
        </w:rPr>
        <w:br w:type="page"/>
      </w:r>
    </w:p>
    <w:p>
      <w:pPr>
        <w:widowControl/>
        <w:jc w:val="center"/>
        <w:rPr>
          <w:b/>
          <w:sz w:val="24"/>
        </w:rPr>
      </w:pPr>
      <w:r>
        <w:rPr>
          <w:rFonts w:hAnsiTheme="minorEastAsia"/>
          <w:b/>
          <w:sz w:val="24"/>
        </w:rPr>
        <w:t>评分因素及评标标准页码检索</w:t>
      </w:r>
    </w:p>
    <w:p>
      <w:pPr>
        <w:widowControl/>
        <w:jc w:val="center"/>
        <w:rPr>
          <w:b/>
          <w:sz w:val="24"/>
        </w:rPr>
      </w:pPr>
      <w:r>
        <w:rPr>
          <w:rFonts w:hAnsiTheme="minorEastAsia"/>
          <w:b/>
          <w:bCs/>
          <w:sz w:val="24"/>
        </w:rPr>
        <w:t>（需投标人按招标文件</w:t>
      </w:r>
      <w:r>
        <w:rPr>
          <w:b/>
          <w:bCs/>
          <w:sz w:val="24"/>
        </w:rPr>
        <w:t>“</w:t>
      </w:r>
      <w:r>
        <w:rPr>
          <w:rFonts w:hAnsiTheme="minorEastAsia"/>
          <w:b/>
          <w:bCs/>
          <w:sz w:val="24"/>
        </w:rPr>
        <w:t>评分因素及评标标准</w:t>
      </w:r>
      <w:r>
        <w:rPr>
          <w:b/>
          <w:bCs/>
          <w:sz w:val="24"/>
        </w:rPr>
        <w:t>”</w:t>
      </w:r>
      <w:r>
        <w:rPr>
          <w:rFonts w:hAnsiTheme="minorEastAsia"/>
          <w:b/>
          <w:bCs/>
          <w:sz w:val="24"/>
        </w:rPr>
        <w:t>中每个评分项逐项列明页码）</w:t>
      </w:r>
    </w:p>
    <w:p>
      <w:pPr>
        <w:widowControl/>
        <w:jc w:val="left"/>
        <w:rPr>
          <w:b/>
          <w:sz w:val="24"/>
        </w:rPr>
      </w:pPr>
    </w:p>
    <w:p>
      <w:pPr>
        <w:widowControl/>
        <w:jc w:val="left"/>
        <w:rPr>
          <w:sz w:val="24"/>
        </w:rPr>
      </w:pPr>
      <w:r>
        <w:rPr>
          <w:b/>
          <w:sz w:val="24"/>
        </w:rPr>
        <w:br w:type="page"/>
      </w:r>
      <w:r>
        <w:rPr>
          <w:rFonts w:hAnsiTheme="minorEastAsia"/>
          <w:b/>
          <w:sz w:val="24"/>
        </w:rPr>
        <w:t>附件</w:t>
      </w:r>
      <w:r>
        <w:rPr>
          <w:b/>
          <w:sz w:val="24"/>
        </w:rPr>
        <w:t>1</w:t>
      </w:r>
    </w:p>
    <w:p>
      <w:pPr>
        <w:tabs>
          <w:tab w:val="left" w:pos="360"/>
        </w:tabs>
        <w:spacing w:line="560" w:lineRule="exact"/>
        <w:jc w:val="center"/>
        <w:rPr>
          <w:b/>
          <w:sz w:val="24"/>
        </w:rPr>
      </w:pPr>
      <w:r>
        <w:rPr>
          <w:rFonts w:hAnsiTheme="minorEastAsia"/>
          <w:b/>
          <w:sz w:val="24"/>
        </w:rPr>
        <w:t>投标书</w:t>
      </w:r>
    </w:p>
    <w:p>
      <w:pPr>
        <w:spacing w:line="560" w:lineRule="exact"/>
        <w:rPr>
          <w:sz w:val="24"/>
        </w:rPr>
      </w:pPr>
      <w:r>
        <w:rPr>
          <w:rFonts w:hAnsiTheme="minorEastAsia"/>
          <w:sz w:val="24"/>
        </w:rPr>
        <w:t>致：天津市</w:t>
      </w:r>
      <w:r>
        <w:rPr>
          <w:rFonts w:hint="eastAsia" w:hAnsiTheme="minorEastAsia"/>
          <w:sz w:val="24"/>
        </w:rPr>
        <w:t>滨海新区</w:t>
      </w:r>
      <w:r>
        <w:rPr>
          <w:rFonts w:hAnsiTheme="minorEastAsia"/>
          <w:sz w:val="24"/>
        </w:rPr>
        <w:t>政府采购中心</w:t>
      </w:r>
    </w:p>
    <w:p>
      <w:pPr>
        <w:spacing w:line="360" w:lineRule="auto"/>
        <w:ind w:firstLine="448" w:firstLineChars="200"/>
        <w:rPr>
          <w:sz w:val="24"/>
        </w:rPr>
      </w:pPr>
      <w:r>
        <w:rPr>
          <w:rFonts w:hAnsiTheme="minorEastAsia"/>
          <w:sz w:val="24"/>
        </w:rPr>
        <w:t>根据贵方为项目（项目编号：）的投标邀请，投标人代表（姓名</w:t>
      </w:r>
      <w:r>
        <w:rPr>
          <w:sz w:val="24"/>
          <w:lang w:val="en-GB"/>
        </w:rPr>
        <w:t>/</w:t>
      </w:r>
      <w:r>
        <w:rPr>
          <w:rFonts w:hAnsiTheme="minorEastAsia"/>
          <w:sz w:val="24"/>
        </w:rPr>
        <w:t>职务）经正式授权并代表我公司（投标单位名称、地址）提交网上应答及上传加盖电子签章的投标文件。</w:t>
      </w:r>
    </w:p>
    <w:p>
      <w:pPr>
        <w:spacing w:line="360" w:lineRule="auto"/>
        <w:ind w:firstLine="448" w:firstLineChars="200"/>
        <w:rPr>
          <w:sz w:val="24"/>
        </w:rPr>
      </w:pPr>
      <w:r>
        <w:rPr>
          <w:rFonts w:hAnsiTheme="minorEastAsia"/>
          <w:sz w:val="24"/>
        </w:rPr>
        <w:t>据此函，投标人代表宣布同意如下：</w:t>
      </w:r>
    </w:p>
    <w:p>
      <w:pPr>
        <w:spacing w:line="360" w:lineRule="auto"/>
        <w:ind w:firstLine="448" w:firstLineChars="200"/>
        <w:rPr>
          <w:sz w:val="24"/>
        </w:rPr>
      </w:pPr>
      <w:r>
        <w:rPr>
          <w:sz w:val="24"/>
        </w:rPr>
        <w:t xml:space="preserve">1. </w:t>
      </w:r>
      <w:r>
        <w:rPr>
          <w:rFonts w:hAnsiTheme="minorEastAsia"/>
          <w:sz w:val="24"/>
        </w:rPr>
        <w:t>所附投标报价表中规定的应提供服务的投标总价为：</w:t>
      </w:r>
    </w:p>
    <w:p>
      <w:pPr>
        <w:spacing w:line="360" w:lineRule="auto"/>
        <w:ind w:firstLine="448" w:firstLineChars="200"/>
        <w:rPr>
          <w:sz w:val="24"/>
        </w:rPr>
      </w:pPr>
      <w:r>
        <w:rPr>
          <w:rFonts w:hAnsiTheme="minorEastAsia"/>
          <w:sz w:val="24"/>
        </w:rPr>
        <w:t>第包，￥元（人民币），大写。</w:t>
      </w:r>
    </w:p>
    <w:p>
      <w:pPr>
        <w:spacing w:line="360" w:lineRule="auto"/>
        <w:ind w:firstLine="448" w:firstLineChars="200"/>
        <w:rPr>
          <w:sz w:val="24"/>
        </w:rPr>
      </w:pPr>
      <w:r>
        <w:rPr>
          <w:sz w:val="24"/>
        </w:rPr>
        <w:t>……</w:t>
      </w:r>
    </w:p>
    <w:p>
      <w:pPr>
        <w:spacing w:line="360" w:lineRule="auto"/>
        <w:ind w:firstLine="448" w:firstLineChars="200"/>
        <w:rPr>
          <w:sz w:val="24"/>
        </w:rPr>
      </w:pPr>
      <w:r>
        <w:rPr>
          <w:sz w:val="24"/>
        </w:rPr>
        <w:t xml:space="preserve">2. </w:t>
      </w:r>
      <w:r>
        <w:rPr>
          <w:rFonts w:hAnsiTheme="minorEastAsia"/>
          <w:sz w:val="24"/>
        </w:rPr>
        <w:t>我公司将按招标文件的规定履行合同责任和义务。</w:t>
      </w:r>
    </w:p>
    <w:p>
      <w:pPr>
        <w:spacing w:line="360" w:lineRule="auto"/>
        <w:ind w:firstLine="448" w:firstLineChars="200"/>
        <w:rPr>
          <w:sz w:val="24"/>
        </w:rPr>
      </w:pPr>
      <w:r>
        <w:rPr>
          <w:sz w:val="24"/>
        </w:rPr>
        <w:t xml:space="preserve">3. </w:t>
      </w:r>
      <w:r>
        <w:rPr>
          <w:rFonts w:hAnsiTheme="minor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 xml:space="preserve">4. </w:t>
      </w:r>
      <w:r>
        <w:rPr>
          <w:rFonts w:hAnsiTheme="minorEastAsia"/>
          <w:sz w:val="24"/>
        </w:rPr>
        <w:t>我公司的投标有效期为开标之日起</w:t>
      </w:r>
      <w:r>
        <w:rPr>
          <w:sz w:val="24"/>
        </w:rPr>
        <w:t>60</w:t>
      </w:r>
      <w:r>
        <w:rPr>
          <w:rFonts w:hAnsiTheme="minorEastAsia"/>
          <w:sz w:val="24"/>
        </w:rPr>
        <w:t>天。</w:t>
      </w:r>
    </w:p>
    <w:p>
      <w:pPr>
        <w:spacing w:line="360" w:lineRule="auto"/>
        <w:ind w:firstLine="448" w:firstLineChars="200"/>
        <w:rPr>
          <w:sz w:val="24"/>
        </w:rPr>
      </w:pPr>
      <w:r>
        <w:rPr>
          <w:sz w:val="24"/>
        </w:rPr>
        <w:t xml:space="preserve">5. </w:t>
      </w:r>
      <w:r>
        <w:rPr>
          <w:rFonts w:hAnsiTheme="minorEastAsia"/>
          <w:sz w:val="24"/>
        </w:rPr>
        <w:t>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 xml:space="preserve">6. </w:t>
      </w:r>
      <w:r>
        <w:rPr>
          <w:rFonts w:hAnsiTheme="minorEastAsia"/>
          <w:sz w:val="24"/>
        </w:rPr>
        <w:t>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 xml:space="preserve">7. </w:t>
      </w:r>
      <w:r>
        <w:rPr>
          <w:rFonts w:hAnsiTheme="minor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 xml:space="preserve">8. </w:t>
      </w:r>
      <w:r>
        <w:rPr>
          <w:rFonts w:hAnsiTheme="minorEastAsia"/>
          <w:sz w:val="24"/>
        </w:rPr>
        <w:t>我公司承诺完全符合《政府采购法》、《政府采购法实施条例》等法律法规规定，并随时接受</w:t>
      </w:r>
      <w:r>
        <w:rPr>
          <w:rFonts w:hint="eastAsia" w:hAnsiTheme="minorEastAsia"/>
          <w:sz w:val="24"/>
        </w:rPr>
        <w:t>采购人、采购代理机构</w:t>
      </w:r>
      <w:r>
        <w:rPr>
          <w:rFonts w:hAnsiTheme="minorEastAsia"/>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xml:space="preserve">. </w:t>
      </w:r>
      <w:r>
        <w:rPr>
          <w:rFonts w:hAnsiTheme="minorEastAsia"/>
          <w:sz w:val="24"/>
        </w:rPr>
        <w:t>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xml:space="preserve">. </w:t>
      </w:r>
      <w:r>
        <w:rPr>
          <w:rFonts w:hAnsiTheme="minorEastAsia"/>
          <w:sz w:val="24"/>
        </w:rPr>
        <w:t>如违反上述承诺，我公司投标无效且接受相关部门依法作出的处罚，并承担通过</w:t>
      </w:r>
      <w:r>
        <w:rPr>
          <w:sz w:val="24"/>
        </w:rPr>
        <w:t>“</w:t>
      </w:r>
      <w:r>
        <w:rPr>
          <w:rFonts w:hAnsiTheme="minorEastAsia"/>
          <w:sz w:val="24"/>
        </w:rPr>
        <w:t>天津市政府采购网</w:t>
      </w:r>
      <w:r>
        <w:rPr>
          <w:sz w:val="24"/>
        </w:rPr>
        <w:t>”</w:t>
      </w:r>
      <w:r>
        <w:rPr>
          <w:rFonts w:hAnsiTheme="minorEastAsia"/>
          <w:sz w:val="24"/>
        </w:rPr>
        <w:t>等相关媒体予以公布的任何风险和责任。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AnsiTheme="minorEastAsia"/>
          <w:sz w:val="24"/>
        </w:rPr>
        <w:t>与本投标有关的一切正式往来通讯请寄：</w:t>
      </w:r>
    </w:p>
    <w:p>
      <w:pPr>
        <w:spacing w:line="360" w:lineRule="auto"/>
        <w:ind w:firstLine="448" w:firstLineChars="200"/>
        <w:rPr>
          <w:sz w:val="24"/>
        </w:rPr>
      </w:pPr>
    </w:p>
    <w:p>
      <w:pPr>
        <w:spacing w:line="360" w:lineRule="auto"/>
        <w:ind w:firstLine="448" w:firstLineChars="200"/>
        <w:rPr>
          <w:sz w:val="24"/>
        </w:rPr>
      </w:pPr>
      <w:r>
        <w:rPr>
          <w:rFonts w:hAnsiTheme="minorEastAsia"/>
          <w:sz w:val="24"/>
        </w:rPr>
        <w:t>地址：</w:t>
      </w:r>
    </w:p>
    <w:p>
      <w:pPr>
        <w:spacing w:line="360" w:lineRule="auto"/>
        <w:ind w:firstLine="448" w:firstLineChars="200"/>
        <w:rPr>
          <w:sz w:val="24"/>
        </w:rPr>
      </w:pPr>
      <w:r>
        <w:rPr>
          <w:rFonts w:hAnsiTheme="minorEastAsia"/>
          <w:sz w:val="24"/>
        </w:rPr>
        <w:t>邮政编码：</w:t>
      </w:r>
    </w:p>
    <w:p>
      <w:pPr>
        <w:spacing w:line="360" w:lineRule="auto"/>
        <w:ind w:firstLine="448" w:firstLineChars="200"/>
        <w:rPr>
          <w:sz w:val="24"/>
        </w:rPr>
      </w:pPr>
      <w:r>
        <w:rPr>
          <w:rFonts w:hAnsiTheme="minorEastAsia"/>
          <w:sz w:val="24"/>
        </w:rPr>
        <w:t>电话：</w:t>
      </w:r>
    </w:p>
    <w:p>
      <w:pPr>
        <w:spacing w:line="360" w:lineRule="auto"/>
        <w:ind w:firstLine="448" w:firstLineChars="200"/>
        <w:rPr>
          <w:sz w:val="24"/>
        </w:rPr>
      </w:pPr>
      <w:r>
        <w:rPr>
          <w:rFonts w:hAnsiTheme="minorEastAsia"/>
          <w:sz w:val="24"/>
        </w:rPr>
        <w:t>传真：</w:t>
      </w:r>
    </w:p>
    <w:p>
      <w:pPr>
        <w:spacing w:line="360" w:lineRule="auto"/>
        <w:ind w:firstLine="3808" w:firstLineChars="1700"/>
        <w:rPr>
          <w:sz w:val="24"/>
        </w:rPr>
      </w:pPr>
      <w:r>
        <w:rPr>
          <w:rFonts w:hAnsiTheme="minorEastAsia"/>
          <w:sz w:val="24"/>
        </w:rPr>
        <w:t>投标人名称：</w:t>
      </w:r>
    </w:p>
    <w:p>
      <w:pPr>
        <w:spacing w:line="360" w:lineRule="auto"/>
        <w:ind w:firstLine="3808" w:firstLineChars="1700"/>
        <w:rPr>
          <w:sz w:val="24"/>
        </w:rPr>
      </w:pPr>
      <w:r>
        <w:rPr>
          <w:rFonts w:hAnsiTheme="minorEastAsia"/>
          <w:sz w:val="24"/>
        </w:rPr>
        <w:t>日期：年月日</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rFonts w:hAnsiTheme="minorEastAsia"/>
          <w:b/>
          <w:sz w:val="24"/>
        </w:rPr>
        <w:t>附件</w:t>
      </w:r>
      <w:r>
        <w:rPr>
          <w:b/>
          <w:sz w:val="24"/>
        </w:rPr>
        <w:t>2</w:t>
      </w:r>
    </w:p>
    <w:p>
      <w:pPr>
        <w:spacing w:line="460" w:lineRule="exact"/>
        <w:rPr>
          <w:b/>
          <w:sz w:val="24"/>
        </w:rPr>
      </w:pPr>
    </w:p>
    <w:p>
      <w:pPr>
        <w:ind w:right="84" w:firstLine="420"/>
        <w:jc w:val="center"/>
        <w:rPr>
          <w:b/>
          <w:sz w:val="24"/>
        </w:rPr>
      </w:pPr>
      <w:r>
        <w:rPr>
          <w:rFonts w:hAnsiTheme="minorEastAsia"/>
          <w:b/>
          <w:sz w:val="24"/>
        </w:rPr>
        <w:t>开标一览表</w:t>
      </w: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rPr>
      </w:pPr>
      <w:r>
        <w:rPr>
          <w:rFonts w:hAnsiTheme="minorEastAsia"/>
          <w:sz w:val="24"/>
        </w:rPr>
        <w:t>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sz w:val="24"/>
              </w:rPr>
            </w:pPr>
            <w:r>
              <w:rPr>
                <w:rFonts w:hAnsiTheme="minorEastAsia"/>
                <w:sz w:val="24"/>
              </w:rPr>
              <w:t>包号</w:t>
            </w:r>
          </w:p>
        </w:tc>
        <w:tc>
          <w:tcPr>
            <w:tcW w:w="1278" w:type="pct"/>
            <w:vAlign w:val="center"/>
          </w:tcPr>
          <w:p>
            <w:pPr>
              <w:spacing w:line="460" w:lineRule="exact"/>
              <w:jc w:val="center"/>
              <w:rPr>
                <w:sz w:val="24"/>
              </w:rPr>
            </w:pPr>
            <w:r>
              <w:rPr>
                <w:rFonts w:hAnsiTheme="minorEastAsia"/>
                <w:sz w:val="24"/>
              </w:rPr>
              <w:t>服务名称</w:t>
            </w:r>
          </w:p>
        </w:tc>
        <w:tc>
          <w:tcPr>
            <w:tcW w:w="806" w:type="pct"/>
            <w:vAlign w:val="center"/>
          </w:tcPr>
          <w:p>
            <w:pPr>
              <w:spacing w:line="460" w:lineRule="exact"/>
              <w:jc w:val="center"/>
              <w:rPr>
                <w:sz w:val="24"/>
              </w:rPr>
            </w:pPr>
            <w:r>
              <w:rPr>
                <w:rFonts w:hAnsiTheme="minorEastAsia"/>
                <w:sz w:val="24"/>
              </w:rPr>
              <w:t>数量</w:t>
            </w:r>
          </w:p>
        </w:tc>
        <w:tc>
          <w:tcPr>
            <w:tcW w:w="1202" w:type="pct"/>
            <w:vAlign w:val="center"/>
          </w:tcPr>
          <w:p>
            <w:pPr>
              <w:spacing w:line="460" w:lineRule="exact"/>
              <w:jc w:val="center"/>
              <w:rPr>
                <w:sz w:val="24"/>
              </w:rPr>
            </w:pPr>
            <w:r>
              <w:rPr>
                <w:rFonts w:hAnsiTheme="minorEastAsia"/>
                <w:sz w:val="24"/>
              </w:rPr>
              <w:t>投标总价</w:t>
            </w:r>
          </w:p>
        </w:tc>
        <w:tc>
          <w:tcPr>
            <w:tcW w:w="984" w:type="pct"/>
            <w:vAlign w:val="center"/>
          </w:tcPr>
          <w:p>
            <w:pPr>
              <w:spacing w:line="460" w:lineRule="exact"/>
              <w:jc w:val="center"/>
              <w:rPr>
                <w:sz w:val="24"/>
              </w:rPr>
            </w:pPr>
            <w:r>
              <w:rPr>
                <w:rFonts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sz w:val="24"/>
              </w:rPr>
            </w:pPr>
          </w:p>
        </w:tc>
        <w:tc>
          <w:tcPr>
            <w:tcW w:w="1278" w:type="pct"/>
          </w:tcPr>
          <w:p>
            <w:pPr>
              <w:spacing w:line="460" w:lineRule="exact"/>
              <w:rPr>
                <w:sz w:val="24"/>
              </w:rPr>
            </w:pPr>
          </w:p>
        </w:tc>
        <w:tc>
          <w:tcPr>
            <w:tcW w:w="806" w:type="pct"/>
          </w:tcPr>
          <w:p>
            <w:pPr>
              <w:spacing w:line="460" w:lineRule="exact"/>
              <w:rPr>
                <w:sz w:val="24"/>
              </w:rPr>
            </w:pPr>
          </w:p>
        </w:tc>
        <w:tc>
          <w:tcPr>
            <w:tcW w:w="1202" w:type="pct"/>
          </w:tcPr>
          <w:p>
            <w:pPr>
              <w:spacing w:line="460" w:lineRule="exact"/>
              <w:rPr>
                <w:sz w:val="24"/>
              </w:rPr>
            </w:pPr>
          </w:p>
        </w:tc>
        <w:tc>
          <w:tcPr>
            <w:tcW w:w="984"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rFonts w:hAnsiTheme="minorEastAsia"/>
          <w:sz w:val="24"/>
        </w:rPr>
        <w:t>日期：</w:t>
      </w:r>
    </w:p>
    <w:p>
      <w:pPr>
        <w:spacing w:line="360" w:lineRule="auto"/>
        <w:ind w:right="84" w:firstLine="420"/>
        <w:rPr>
          <w:position w:val="-40"/>
          <w:sz w:val="24"/>
        </w:rPr>
      </w:pPr>
    </w:p>
    <w:p>
      <w:pPr>
        <w:spacing w:line="360" w:lineRule="auto"/>
        <w:ind w:right="84" w:firstLine="420"/>
        <w:rPr>
          <w:position w:val="-40"/>
          <w:sz w:val="24"/>
        </w:rPr>
      </w:pPr>
    </w:p>
    <w:p>
      <w:pPr>
        <w:spacing w:line="360" w:lineRule="auto"/>
        <w:ind w:right="84" w:firstLine="420"/>
        <w:rPr>
          <w:position w:val="-40"/>
          <w:sz w:val="24"/>
        </w:rPr>
      </w:pP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p>
    <w:p>
      <w:pPr>
        <w:spacing w:line="460" w:lineRule="exact"/>
        <w:ind w:left="192"/>
        <w:rPr>
          <w:sz w:val="24"/>
        </w:rPr>
      </w:pPr>
      <w:r>
        <w:rPr>
          <w:sz w:val="24"/>
        </w:rPr>
        <w:t>项目编号：</w:t>
      </w:r>
    </w:p>
    <w:p>
      <w:pPr>
        <w:spacing w:line="460" w:lineRule="exact"/>
        <w:ind w:left="192"/>
        <w:rPr>
          <w:sz w:val="24"/>
        </w:rPr>
      </w:pPr>
      <w:r>
        <w:rPr>
          <w:sz w:val="24"/>
        </w:rPr>
        <w:t>包号：</w:t>
      </w:r>
    </w:p>
    <w:p>
      <w:pPr>
        <w:spacing w:line="460" w:lineRule="exact"/>
        <w:ind w:firstLine="6496" w:firstLineChars="2900"/>
        <w:rPr>
          <w:sz w:val="24"/>
        </w:rPr>
      </w:pPr>
      <w:r>
        <w:rPr>
          <w:sz w:val="24"/>
        </w:rPr>
        <w:t>单位：元</w:t>
      </w:r>
    </w:p>
    <w:tbl>
      <w:tblPr>
        <w:tblStyle w:val="19"/>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szCs w:val="21"/>
              </w:rPr>
              <w:t>日常运行维护工具耗材费用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5</w:t>
            </w:r>
          </w:p>
        </w:tc>
        <w:tc>
          <w:tcPr>
            <w:tcW w:w="2121" w:type="pct"/>
            <w:vAlign w:val="center"/>
          </w:tcPr>
          <w:p>
            <w:pPr>
              <w:jc w:val="center"/>
              <w:rPr>
                <w:szCs w:val="21"/>
              </w:rPr>
            </w:pPr>
            <w:r>
              <w:rPr>
                <w:szCs w:val="21"/>
              </w:rPr>
              <w:t>绿化养护费用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6</w:t>
            </w:r>
          </w:p>
        </w:tc>
        <w:tc>
          <w:tcPr>
            <w:tcW w:w="2121" w:type="pct"/>
            <w:vAlign w:val="center"/>
          </w:tcPr>
          <w:p>
            <w:pPr>
              <w:jc w:val="center"/>
              <w:rPr>
                <w:szCs w:val="21"/>
              </w:rPr>
            </w:pPr>
            <w:r>
              <w:rPr>
                <w:rFonts w:hint="eastAsia"/>
                <w:szCs w:val="21"/>
              </w:rPr>
              <w:t>餐费</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7</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8</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12</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sz w:val="24"/>
        </w:rPr>
      </w:pPr>
      <w:r>
        <w:rPr>
          <w:sz w:val="24"/>
        </w:rPr>
        <w:t>投标人名称：</w:t>
      </w:r>
    </w:p>
    <w:p>
      <w:pPr>
        <w:spacing w:line="360" w:lineRule="auto"/>
        <w:ind w:right="85" w:firstLine="448" w:firstLineChars="200"/>
        <w:rPr>
          <w:b/>
          <w:sz w:val="24"/>
        </w:rPr>
      </w:pPr>
      <w:r>
        <w:rPr>
          <w:sz w:val="24"/>
        </w:rPr>
        <w:t>日期：</w:t>
      </w:r>
      <w:r>
        <w:rPr>
          <w:b/>
          <w:sz w:val="24"/>
        </w:rPr>
        <w:br w:type="page"/>
      </w:r>
    </w:p>
    <w:p>
      <w:pPr>
        <w:spacing w:line="460" w:lineRule="exact"/>
        <w:rPr>
          <w:b/>
          <w:sz w:val="24"/>
        </w:rPr>
      </w:pPr>
      <w:r>
        <w:rPr>
          <w:rFonts w:hAnsiTheme="minorEastAsia"/>
          <w:b/>
          <w:sz w:val="24"/>
        </w:rPr>
        <w:t>附件</w:t>
      </w:r>
      <w:r>
        <w:rPr>
          <w:b/>
          <w:sz w:val="24"/>
        </w:rPr>
        <w:t>4</w:t>
      </w:r>
    </w:p>
    <w:p>
      <w:pPr>
        <w:tabs>
          <w:tab w:val="left" w:pos="3780"/>
          <w:tab w:val="left" w:pos="3960"/>
        </w:tabs>
        <w:spacing w:line="460" w:lineRule="exact"/>
        <w:jc w:val="center"/>
        <w:rPr>
          <w:b/>
          <w:sz w:val="24"/>
        </w:rPr>
      </w:pPr>
      <w:r>
        <w:rPr>
          <w:rFonts w:hAnsiTheme="minorEastAsia"/>
          <w:b/>
          <w:sz w:val="24"/>
        </w:rPr>
        <w:t>人员</w:t>
      </w:r>
      <w:r>
        <w:rPr>
          <w:rFonts w:hint="eastAsia" w:hAnsiTheme="minorEastAsia"/>
          <w:b/>
          <w:sz w:val="24"/>
        </w:rPr>
        <w:t>费用</w:t>
      </w:r>
      <w:r>
        <w:rPr>
          <w:rFonts w:hAnsiTheme="minorEastAsia"/>
          <w:b/>
          <w:sz w:val="24"/>
        </w:rPr>
        <w:t>分项一览表</w:t>
      </w:r>
    </w:p>
    <w:p>
      <w:pPr>
        <w:spacing w:line="460" w:lineRule="exact"/>
        <w:ind w:left="192"/>
        <w:rPr>
          <w:sz w:val="24"/>
        </w:rPr>
      </w:pPr>
      <w:r>
        <w:rPr>
          <w:rFonts w:hAnsiTheme="minorEastAsia"/>
          <w:sz w:val="24"/>
        </w:rPr>
        <w:t>项目名称：</w:t>
      </w:r>
    </w:p>
    <w:p>
      <w:pPr>
        <w:spacing w:line="460" w:lineRule="exact"/>
        <w:ind w:left="192"/>
        <w:rPr>
          <w:sz w:val="24"/>
        </w:rPr>
      </w:pPr>
      <w:r>
        <w:rPr>
          <w:rFonts w:hAnsiTheme="minorEastAsia"/>
          <w:sz w:val="24"/>
        </w:rPr>
        <w:t>项目编号：</w:t>
      </w:r>
    </w:p>
    <w:p>
      <w:pPr>
        <w:spacing w:line="460" w:lineRule="exact"/>
        <w:ind w:left="192"/>
        <w:rPr>
          <w:sz w:val="24"/>
        </w:rPr>
      </w:pPr>
      <w:r>
        <w:rPr>
          <w:rFonts w:hAnsiTheme="minorEastAsia"/>
          <w:sz w:val="24"/>
        </w:rPr>
        <w:t>包号：</w:t>
      </w:r>
    </w:p>
    <w:p>
      <w:pPr>
        <w:spacing w:line="460" w:lineRule="exact"/>
        <w:ind w:firstLine="6496" w:firstLineChars="2900"/>
        <w:rPr>
          <w:sz w:val="24"/>
        </w:rPr>
      </w:pPr>
      <w:r>
        <w:rPr>
          <w:rFonts w:hAnsiTheme="minorEastAsia"/>
          <w:sz w:val="24"/>
        </w:rPr>
        <w:t>单位：元</w:t>
      </w:r>
    </w:p>
    <w:tbl>
      <w:tblPr>
        <w:tblStyle w:val="19"/>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hAnsiTheme="minorEastAsia"/>
                <w:sz w:val="24"/>
                <w:szCs w:val="24"/>
              </w:rPr>
              <w:t>序号</w:t>
            </w:r>
          </w:p>
        </w:tc>
        <w:tc>
          <w:tcPr>
            <w:tcW w:w="1356" w:type="dxa"/>
            <w:vAlign w:val="center"/>
          </w:tcPr>
          <w:p>
            <w:pPr>
              <w:jc w:val="center"/>
              <w:rPr>
                <w:sz w:val="24"/>
                <w:szCs w:val="24"/>
              </w:rPr>
            </w:pPr>
            <w:r>
              <w:rPr>
                <w:rFonts w:hAnsiTheme="minorEastAsia"/>
                <w:sz w:val="24"/>
                <w:szCs w:val="24"/>
              </w:rPr>
              <w:t>具体岗位</w:t>
            </w:r>
          </w:p>
        </w:tc>
        <w:tc>
          <w:tcPr>
            <w:tcW w:w="1512" w:type="dxa"/>
            <w:vAlign w:val="center"/>
          </w:tcPr>
          <w:p>
            <w:pPr>
              <w:jc w:val="center"/>
              <w:rPr>
                <w:sz w:val="24"/>
                <w:szCs w:val="24"/>
              </w:rPr>
            </w:pPr>
            <w:r>
              <w:rPr>
                <w:rFonts w:hAnsiTheme="minorEastAsia"/>
                <w:sz w:val="24"/>
                <w:szCs w:val="24"/>
              </w:rPr>
              <w:t>人数（人）</w:t>
            </w:r>
          </w:p>
        </w:tc>
        <w:tc>
          <w:tcPr>
            <w:tcW w:w="1416" w:type="dxa"/>
            <w:vAlign w:val="center"/>
          </w:tcPr>
          <w:p>
            <w:pPr>
              <w:jc w:val="center"/>
              <w:rPr>
                <w:sz w:val="24"/>
                <w:szCs w:val="24"/>
              </w:rPr>
            </w:pPr>
            <w:r>
              <w:rPr>
                <w:rFonts w:hAnsiTheme="minorEastAsia"/>
                <w:sz w:val="24"/>
                <w:szCs w:val="24"/>
              </w:rPr>
              <w:t>月工资</w:t>
            </w:r>
            <w:r>
              <w:rPr>
                <w:sz w:val="24"/>
                <w:szCs w:val="24"/>
              </w:rPr>
              <w:t>/</w:t>
            </w:r>
            <w:r>
              <w:rPr>
                <w:rFonts w:hAnsiTheme="minorEastAsia"/>
                <w:sz w:val="24"/>
                <w:szCs w:val="24"/>
              </w:rPr>
              <w:t>人</w:t>
            </w:r>
          </w:p>
        </w:tc>
        <w:tc>
          <w:tcPr>
            <w:tcW w:w="1296" w:type="dxa"/>
            <w:vAlign w:val="center"/>
          </w:tcPr>
          <w:p>
            <w:pPr>
              <w:jc w:val="center"/>
              <w:rPr>
                <w:sz w:val="24"/>
                <w:szCs w:val="24"/>
              </w:rPr>
            </w:pPr>
            <w:r>
              <w:rPr>
                <w:rFonts w:hAnsiTheme="minorEastAsia"/>
                <w:sz w:val="24"/>
                <w:szCs w:val="24"/>
              </w:rPr>
              <w:t>月保险</w:t>
            </w:r>
            <w:r>
              <w:rPr>
                <w:sz w:val="24"/>
                <w:szCs w:val="24"/>
              </w:rPr>
              <w:t>/</w:t>
            </w:r>
            <w:r>
              <w:rPr>
                <w:rFonts w:hAnsiTheme="minorEastAsia"/>
                <w:sz w:val="24"/>
                <w:szCs w:val="24"/>
              </w:rPr>
              <w:t>人</w:t>
            </w:r>
          </w:p>
        </w:tc>
        <w:tc>
          <w:tcPr>
            <w:tcW w:w="1116" w:type="dxa"/>
            <w:vAlign w:val="center"/>
          </w:tcPr>
          <w:p>
            <w:pPr>
              <w:jc w:val="center"/>
              <w:rPr>
                <w:sz w:val="24"/>
                <w:szCs w:val="24"/>
              </w:rPr>
            </w:pPr>
            <w:r>
              <w:rPr>
                <w:rFonts w:hint="eastAsia" w:hAnsiTheme="minorEastAsia"/>
                <w:sz w:val="24"/>
                <w:szCs w:val="24"/>
              </w:rPr>
              <w:t>月公积金</w:t>
            </w:r>
            <w:r>
              <w:rPr>
                <w:rFonts w:hint="eastAsia"/>
                <w:sz w:val="24"/>
                <w:szCs w:val="24"/>
              </w:rPr>
              <w:t>/</w:t>
            </w:r>
            <w:r>
              <w:rPr>
                <w:rFonts w:hint="eastAsia" w:hAnsiTheme="minorEastAsia"/>
                <w:sz w:val="24"/>
                <w:szCs w:val="24"/>
              </w:rPr>
              <w:t>人</w:t>
            </w:r>
          </w:p>
        </w:tc>
        <w:tc>
          <w:tcPr>
            <w:tcW w:w="1116" w:type="dxa"/>
            <w:vAlign w:val="center"/>
          </w:tcPr>
          <w:p>
            <w:pPr>
              <w:jc w:val="center"/>
              <w:rPr>
                <w:sz w:val="24"/>
                <w:szCs w:val="24"/>
              </w:rPr>
            </w:pPr>
            <w:r>
              <w:rPr>
                <w:rFonts w:hAnsiTheme="minorEastAsia"/>
                <w:sz w:val="24"/>
                <w:szCs w:val="24"/>
              </w:rPr>
              <w:t>月小计</w:t>
            </w:r>
          </w:p>
        </w:tc>
        <w:tc>
          <w:tcPr>
            <w:tcW w:w="1968" w:type="dxa"/>
            <w:vAlign w:val="center"/>
          </w:tcPr>
          <w:p>
            <w:pPr>
              <w:jc w:val="center"/>
              <w:rPr>
                <w:sz w:val="24"/>
                <w:szCs w:val="24"/>
              </w:rPr>
            </w:pPr>
            <w:r>
              <w:rPr>
                <w:rFonts w:hAnsiTheme="minorEastAsia"/>
                <w:sz w:val="24"/>
                <w:szCs w:val="24"/>
              </w:rPr>
              <w:t>招标文件规定的服务期</w:t>
            </w:r>
            <w:r>
              <w:rPr>
                <w:rFonts w:hint="eastAsia" w:hAnsiTheme="minor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116" w:type="dxa"/>
            <w:vAlign w:val="center"/>
          </w:tcPr>
          <w:p>
            <w:pPr>
              <w:jc w:val="center"/>
              <w:rPr>
                <w:sz w:val="24"/>
                <w:szCs w:val="24"/>
              </w:rPr>
            </w:pPr>
          </w:p>
        </w:tc>
        <w:tc>
          <w:tcPr>
            <w:tcW w:w="1116" w:type="dxa"/>
            <w:vAlign w:val="center"/>
          </w:tcPr>
          <w:p>
            <w:pPr>
              <w:jc w:val="center"/>
              <w:rPr>
                <w:sz w:val="24"/>
                <w:szCs w:val="24"/>
              </w:rPr>
            </w:pPr>
          </w:p>
        </w:tc>
        <w:tc>
          <w:tcPr>
            <w:tcW w:w="1968"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pPr>
              <w:jc w:val="center"/>
              <w:rPr>
                <w:sz w:val="24"/>
                <w:szCs w:val="24"/>
              </w:rPr>
            </w:pPr>
            <w:r>
              <w:rPr>
                <w:rFonts w:hint="eastAsia" w:hAnsiTheme="minorEastAsia"/>
                <w:sz w:val="24"/>
                <w:szCs w:val="24"/>
              </w:rPr>
              <w:t>人员费用合计</w:t>
            </w:r>
          </w:p>
        </w:tc>
        <w:tc>
          <w:tcPr>
            <w:tcW w:w="1116" w:type="dxa"/>
            <w:vAlign w:val="center"/>
          </w:tcPr>
          <w:p>
            <w:pPr>
              <w:jc w:val="center"/>
              <w:rPr>
                <w:sz w:val="24"/>
                <w:szCs w:val="24"/>
              </w:rPr>
            </w:pPr>
          </w:p>
        </w:tc>
        <w:tc>
          <w:tcPr>
            <w:tcW w:w="1968" w:type="dxa"/>
            <w:vAlign w:val="center"/>
          </w:tcPr>
          <w:p>
            <w:pPr>
              <w:jc w:val="center"/>
              <w:rPr>
                <w:sz w:val="24"/>
                <w:szCs w:val="24"/>
              </w:rPr>
            </w:pPr>
          </w:p>
        </w:tc>
      </w:tr>
    </w:tbl>
    <w:p>
      <w:pPr>
        <w:autoSpaceDE w:val="0"/>
        <w:autoSpaceDN w:val="0"/>
        <w:adjustRightInd w:val="0"/>
        <w:spacing w:line="360" w:lineRule="auto"/>
        <w:rPr>
          <w:b/>
          <w:color w:val="000000"/>
          <w:sz w:val="24"/>
        </w:rPr>
      </w:pPr>
      <w:r>
        <w:rPr>
          <w:rFonts w:hint="eastAsia" w:hAnsiTheme="minorEastAsia"/>
          <w:b/>
          <w:color w:val="000000"/>
          <w:sz w:val="24"/>
        </w:rPr>
        <w:t>备注：</w:t>
      </w:r>
    </w:p>
    <w:p>
      <w:pPr>
        <w:autoSpaceDE w:val="0"/>
        <w:autoSpaceDN w:val="0"/>
        <w:adjustRightInd w:val="0"/>
        <w:spacing w:line="360" w:lineRule="auto"/>
        <w:ind w:firstLine="448" w:firstLineChars="200"/>
        <w:rPr>
          <w:b/>
          <w:color w:val="000000"/>
          <w:sz w:val="24"/>
        </w:rPr>
      </w:pPr>
      <w:r>
        <w:rPr>
          <w:b/>
          <w:color w:val="000000"/>
          <w:sz w:val="24"/>
        </w:rPr>
        <w:t>1</w:t>
      </w:r>
      <w:r>
        <w:rPr>
          <w:rFonts w:hAnsiTheme="minorEastAsia"/>
          <w:b/>
          <w:color w:val="000000"/>
          <w:sz w:val="24"/>
        </w:rPr>
        <w:t>、上表中工资是指在扣除劳动者个人负担的社会保险费、</w:t>
      </w:r>
      <w:r>
        <w:rPr>
          <w:rFonts w:hint="eastAsia" w:hAnsiTheme="minorEastAsia"/>
          <w:b/>
          <w:color w:val="000000"/>
          <w:sz w:val="24"/>
        </w:rPr>
        <w:t>个人负担的公积金、</w:t>
      </w:r>
      <w:r>
        <w:rPr>
          <w:rFonts w:hAnsiTheme="minorEastAsia"/>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w:t>
      </w:r>
      <w:r>
        <w:rPr>
          <w:rFonts w:hAnsiTheme="minorEastAsia"/>
          <w:b/>
          <w:color w:val="000000"/>
          <w:sz w:val="24"/>
        </w:rPr>
        <w:t>、投标人应按国家及天津市社会保险</w:t>
      </w:r>
      <w:r>
        <w:rPr>
          <w:rFonts w:hint="eastAsia" w:hAnsiTheme="minorEastAsia"/>
          <w:b/>
          <w:color w:val="000000"/>
          <w:sz w:val="24"/>
        </w:rPr>
        <w:t>、住房公积金</w:t>
      </w:r>
      <w:r>
        <w:rPr>
          <w:rFonts w:hAnsiTheme="minorEastAsia"/>
          <w:b/>
          <w:color w:val="000000"/>
          <w:sz w:val="24"/>
        </w:rPr>
        <w:t>相关规定</w:t>
      </w:r>
      <w:r>
        <w:rPr>
          <w:rFonts w:hint="eastAsia" w:hAnsiTheme="minorEastAsia"/>
          <w:b/>
          <w:color w:val="000000"/>
          <w:sz w:val="24"/>
        </w:rPr>
        <w:t>为本项目人员</w:t>
      </w:r>
      <w:r>
        <w:rPr>
          <w:rFonts w:hAnsiTheme="minorEastAsia"/>
          <w:b/>
          <w:color w:val="000000"/>
          <w:sz w:val="24"/>
        </w:rPr>
        <w:t>缴纳社会保险</w:t>
      </w:r>
      <w:r>
        <w:rPr>
          <w:rFonts w:hint="eastAsia" w:hAnsiTheme="minorEastAsia"/>
          <w:b/>
          <w:color w:val="000000"/>
          <w:sz w:val="24"/>
        </w:rPr>
        <w:t>、住房公积金</w:t>
      </w:r>
      <w:r>
        <w:rPr>
          <w:rFonts w:hAnsiTheme="minorEastAsia"/>
          <w:b/>
          <w:color w:val="000000"/>
          <w:sz w:val="24"/>
        </w:rPr>
        <w:t>，在投标文件中对人员保险</w:t>
      </w:r>
      <w:r>
        <w:rPr>
          <w:rFonts w:hint="eastAsia" w:hAnsiTheme="minorEastAsia"/>
          <w:b/>
          <w:color w:val="000000"/>
          <w:sz w:val="24"/>
        </w:rPr>
        <w:t>、公积金</w:t>
      </w:r>
      <w:r>
        <w:rPr>
          <w:rFonts w:hAnsiTheme="minorEastAsia"/>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rFonts w:hAnsiTheme="minorEastAsia"/>
          <w:b/>
          <w:color w:val="000000"/>
          <w:sz w:val="24"/>
        </w:rPr>
        <w:t>、上表中的月小计</w:t>
      </w:r>
      <w:r>
        <w:rPr>
          <w:b/>
          <w:color w:val="000000"/>
          <w:sz w:val="24"/>
        </w:rPr>
        <w:t>=</w:t>
      </w:r>
      <w:r>
        <w:rPr>
          <w:rFonts w:hAnsiTheme="minorEastAsia"/>
          <w:b/>
          <w:color w:val="000000"/>
          <w:sz w:val="24"/>
        </w:rPr>
        <w:t>人数</w:t>
      </w:r>
      <w:r>
        <w:rPr>
          <w:b/>
          <w:color w:val="000000"/>
          <w:sz w:val="24"/>
        </w:rPr>
        <w:t>*</w:t>
      </w:r>
      <w:r>
        <w:rPr>
          <w:rFonts w:hAnsiTheme="minorEastAsia"/>
          <w:b/>
          <w:color w:val="000000"/>
          <w:sz w:val="24"/>
        </w:rPr>
        <w:t>（月工资</w:t>
      </w:r>
      <w:r>
        <w:rPr>
          <w:b/>
          <w:color w:val="000000"/>
          <w:sz w:val="24"/>
        </w:rPr>
        <w:t>/</w:t>
      </w:r>
      <w:r>
        <w:rPr>
          <w:rFonts w:hAnsiTheme="minorEastAsia"/>
          <w:b/>
          <w:color w:val="000000"/>
          <w:sz w:val="24"/>
        </w:rPr>
        <w:t>人</w:t>
      </w:r>
      <w:r>
        <w:rPr>
          <w:b/>
          <w:color w:val="000000"/>
          <w:sz w:val="24"/>
        </w:rPr>
        <w:t>+</w:t>
      </w:r>
      <w:r>
        <w:rPr>
          <w:rFonts w:hAnsiTheme="minorEastAsia"/>
          <w:b/>
          <w:color w:val="000000"/>
          <w:sz w:val="24"/>
        </w:rPr>
        <w:t>月保险</w:t>
      </w:r>
      <w:r>
        <w:rPr>
          <w:b/>
          <w:color w:val="000000"/>
          <w:sz w:val="24"/>
        </w:rPr>
        <w:t>/</w:t>
      </w:r>
      <w:r>
        <w:rPr>
          <w:rFonts w:hAnsiTheme="minorEastAsia"/>
          <w:b/>
          <w:color w:val="000000"/>
          <w:sz w:val="24"/>
        </w:rPr>
        <w:t>人</w:t>
      </w:r>
      <w:r>
        <w:rPr>
          <w:rFonts w:hint="eastAsia"/>
          <w:b/>
          <w:color w:val="000000"/>
          <w:sz w:val="24"/>
        </w:rPr>
        <w:t>+</w:t>
      </w:r>
      <w:r>
        <w:rPr>
          <w:rFonts w:hint="eastAsia" w:hAnsiTheme="minorEastAsia"/>
          <w:b/>
          <w:color w:val="000000"/>
          <w:sz w:val="24"/>
        </w:rPr>
        <w:t>月公积金</w:t>
      </w:r>
      <w:r>
        <w:rPr>
          <w:rFonts w:hint="eastAsia"/>
          <w:b/>
          <w:color w:val="000000"/>
          <w:sz w:val="24"/>
        </w:rPr>
        <w:t>/</w:t>
      </w:r>
      <w:r>
        <w:rPr>
          <w:rFonts w:hint="eastAsia" w:hAnsiTheme="minorEastAsia"/>
          <w:b/>
          <w:color w:val="000000"/>
          <w:sz w:val="24"/>
        </w:rPr>
        <w:t>人</w:t>
      </w:r>
      <w:r>
        <w:rPr>
          <w:rFonts w:hAnsiTheme="minorEastAsia"/>
          <w:b/>
          <w:color w:val="000000"/>
          <w:sz w:val="24"/>
        </w:rPr>
        <w:t>），招标文件规定的服务期</w:t>
      </w:r>
      <w:r>
        <w:rPr>
          <w:rFonts w:hint="eastAsia" w:hAnsiTheme="minorEastAsia"/>
          <w:b/>
          <w:color w:val="000000"/>
          <w:sz w:val="24"/>
        </w:rPr>
        <w:t>小计</w:t>
      </w:r>
      <w:r>
        <w:rPr>
          <w:b/>
          <w:color w:val="000000"/>
          <w:sz w:val="24"/>
        </w:rPr>
        <w:t>=</w:t>
      </w:r>
      <w:r>
        <w:rPr>
          <w:rFonts w:hAnsiTheme="minorEastAsia"/>
          <w:b/>
          <w:color w:val="000000"/>
          <w:sz w:val="24"/>
        </w:rPr>
        <w:t>月小计</w:t>
      </w:r>
      <w:r>
        <w:rPr>
          <w:b/>
          <w:color w:val="000000"/>
          <w:sz w:val="24"/>
        </w:rPr>
        <w:t>*</w:t>
      </w:r>
      <w:r>
        <w:rPr>
          <w:rFonts w:hAnsiTheme="minorEastAsia"/>
          <w:b/>
          <w:color w:val="000000"/>
          <w:sz w:val="24"/>
        </w:rPr>
        <w:t>招标文件规定的服务</w:t>
      </w:r>
      <w:r>
        <w:rPr>
          <w:rFonts w:hint="eastAsia" w:hAnsiTheme="minorEastAsia"/>
          <w:b/>
          <w:color w:val="000000"/>
          <w:sz w:val="24"/>
        </w:rPr>
        <w:t>月数</w:t>
      </w:r>
    </w:p>
    <w:p>
      <w:pPr>
        <w:spacing w:line="460" w:lineRule="exact"/>
        <w:rPr>
          <w:sz w:val="24"/>
          <w:szCs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b/>
          <w:sz w:val="24"/>
        </w:rPr>
      </w:pPr>
      <w:r>
        <w:rPr>
          <w:rFonts w:hAnsiTheme="minorEastAsia"/>
          <w:sz w:val="24"/>
        </w:rPr>
        <w:t>日期：</w:t>
      </w:r>
      <w:r>
        <w:rPr>
          <w:b/>
          <w:sz w:val="24"/>
        </w:rPr>
        <w:br w:type="page"/>
      </w:r>
    </w:p>
    <w:p>
      <w:pPr>
        <w:spacing w:line="560" w:lineRule="exact"/>
        <w:rPr>
          <w:b/>
          <w:sz w:val="24"/>
        </w:rPr>
      </w:pPr>
      <w:r>
        <w:rPr>
          <w:rFonts w:hAnsiTheme="minorEastAsia"/>
          <w:b/>
          <w:sz w:val="24"/>
        </w:rPr>
        <w:t>附件</w:t>
      </w:r>
      <w:r>
        <w:rPr>
          <w:b/>
          <w:sz w:val="24"/>
        </w:rPr>
        <w:t>5</w:t>
      </w:r>
    </w:p>
    <w:p>
      <w:pPr>
        <w:autoSpaceDN w:val="0"/>
        <w:spacing w:line="360" w:lineRule="auto"/>
        <w:jc w:val="center"/>
        <w:rPr>
          <w:b/>
          <w:bCs/>
          <w:sz w:val="24"/>
        </w:rPr>
      </w:pPr>
      <w:r>
        <w:rPr>
          <w:rFonts w:hAnsiTheme="minorEastAsia"/>
          <w:b/>
          <w:bCs/>
          <w:sz w:val="24"/>
        </w:rPr>
        <w:t>商务要求点对点应答表</w:t>
      </w:r>
    </w:p>
    <w:p>
      <w:pPr>
        <w:spacing w:line="460" w:lineRule="exact"/>
        <w:rPr>
          <w:sz w:val="24"/>
        </w:rPr>
      </w:pP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p>
      <w:pPr>
        <w:spacing w:line="460" w:lineRule="exact"/>
        <w:rPr>
          <w:sz w:val="24"/>
          <w:u w:val="single"/>
        </w:rPr>
      </w:pPr>
    </w:p>
    <w:tbl>
      <w:tblPr>
        <w:tblStyle w:val="19"/>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rFonts w:hAnsiTheme="minorEastAsia"/>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rFonts w:hAnsiTheme="minorEastAsia"/>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rFonts w:hAnsiTheme="minorEastAsia"/>
                <w:kern w:val="0"/>
                <w:szCs w:val="21"/>
              </w:rPr>
              <w:t>　</w:t>
            </w:r>
          </w:p>
        </w:tc>
      </w:tr>
    </w:tbl>
    <w:p>
      <w:pPr>
        <w:spacing w:line="620" w:lineRule="exact"/>
        <w:rPr>
          <w:sz w:val="24"/>
        </w:rPr>
      </w:pPr>
      <w:r>
        <w:rPr>
          <w:rFonts w:hAnsiTheme="minorEastAsia"/>
          <w:sz w:val="24"/>
        </w:rPr>
        <w:t>注：</w:t>
      </w:r>
    </w:p>
    <w:p>
      <w:pPr>
        <w:spacing w:line="360" w:lineRule="auto"/>
        <w:rPr>
          <w:sz w:val="24"/>
        </w:rPr>
      </w:pPr>
      <w:r>
        <w:rPr>
          <w:sz w:val="24"/>
        </w:rPr>
        <w:t xml:space="preserve">1. </w:t>
      </w:r>
      <w:r>
        <w:rPr>
          <w:rFonts w:hAnsiTheme="minorEastAsia"/>
          <w:sz w:val="24"/>
        </w:rPr>
        <w:t>不如实填写偏离情况的投标文件将视为虚假材料。</w:t>
      </w:r>
    </w:p>
    <w:p>
      <w:pPr>
        <w:spacing w:line="360" w:lineRule="auto"/>
        <w:rPr>
          <w:sz w:val="24"/>
        </w:rPr>
      </w:pPr>
      <w:r>
        <w:rPr>
          <w:sz w:val="24"/>
        </w:rPr>
        <w:t xml:space="preserve">2. </w:t>
      </w:r>
      <w:r>
        <w:rPr>
          <w:rFonts w:hAnsiTheme="minorEastAsia"/>
          <w:sz w:val="24"/>
        </w:rPr>
        <w:t>招标要求指招标文件中规定的具体要求，投标应答指投标文件的具体内容。</w:t>
      </w:r>
    </w:p>
    <w:p>
      <w:pPr>
        <w:spacing w:line="360" w:lineRule="auto"/>
        <w:rPr>
          <w:sz w:val="24"/>
        </w:rPr>
      </w:pPr>
      <w:r>
        <w:rPr>
          <w:sz w:val="24"/>
        </w:rPr>
        <w:t xml:space="preserve">3. </w:t>
      </w:r>
      <w:r>
        <w:rPr>
          <w:rFonts w:hAnsiTheme="minorEastAsia"/>
          <w:sz w:val="24"/>
        </w:rPr>
        <w:t>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rFonts w:hAnsiTheme="minorEastAsia"/>
          <w:sz w:val="24"/>
        </w:rPr>
        <w:t>日期：</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rFonts w:hAnsiTheme="minorEastAsia"/>
          <w:b/>
          <w:sz w:val="24"/>
        </w:rPr>
        <w:t>附件</w:t>
      </w:r>
      <w:r>
        <w:rPr>
          <w:b/>
          <w:sz w:val="24"/>
        </w:rPr>
        <w:t>6</w:t>
      </w:r>
      <w:r>
        <w:rPr>
          <w:rFonts w:hint="eastAsia"/>
          <w:b/>
          <w:sz w:val="24"/>
        </w:rPr>
        <w:t>-1</w:t>
      </w:r>
    </w:p>
    <w:p>
      <w:pPr>
        <w:autoSpaceDN w:val="0"/>
        <w:spacing w:line="360" w:lineRule="auto"/>
        <w:jc w:val="center"/>
        <w:rPr>
          <w:b/>
          <w:bCs/>
          <w:sz w:val="24"/>
        </w:rPr>
      </w:pPr>
      <w:r>
        <w:rPr>
          <w:rFonts w:hAnsiTheme="minorEastAsia"/>
          <w:b/>
          <w:bCs/>
          <w:sz w:val="24"/>
        </w:rPr>
        <w:t>技术要求点对点应答表</w:t>
      </w: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tbl>
      <w:tblPr>
        <w:tblStyle w:val="19"/>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序号</w:t>
            </w:r>
          </w:p>
        </w:tc>
        <w:tc>
          <w:tcPr>
            <w:tcW w:w="4630" w:type="dxa"/>
            <w:shd w:val="clear" w:color="auto" w:fill="auto"/>
            <w:vAlign w:val="center"/>
          </w:tcPr>
          <w:p>
            <w:pPr>
              <w:widowControl/>
              <w:snapToGrid w:val="0"/>
              <w:jc w:val="center"/>
              <w:rPr>
                <w:kern w:val="0"/>
                <w:sz w:val="24"/>
                <w:szCs w:val="21"/>
              </w:rPr>
            </w:pPr>
            <w:r>
              <w:rPr>
                <w:rFonts w:hAnsiTheme="minorEastAsia"/>
                <w:kern w:val="0"/>
                <w:sz w:val="24"/>
                <w:szCs w:val="21"/>
              </w:rPr>
              <w:t>招标要求</w:t>
            </w:r>
          </w:p>
        </w:tc>
        <w:tc>
          <w:tcPr>
            <w:tcW w:w="2438" w:type="dxa"/>
            <w:shd w:val="clear" w:color="auto" w:fill="auto"/>
            <w:vAlign w:val="center"/>
          </w:tcPr>
          <w:p>
            <w:pPr>
              <w:widowControl/>
              <w:snapToGrid w:val="0"/>
              <w:jc w:val="center"/>
              <w:rPr>
                <w:kern w:val="0"/>
                <w:sz w:val="24"/>
                <w:szCs w:val="21"/>
              </w:rPr>
            </w:pPr>
            <w:r>
              <w:rPr>
                <w:rFonts w:hAnsiTheme="minorEastAsia"/>
                <w:kern w:val="0"/>
                <w:sz w:val="24"/>
                <w:szCs w:val="21"/>
              </w:rPr>
              <w:t>投标应答</w:t>
            </w:r>
          </w:p>
        </w:tc>
        <w:tc>
          <w:tcPr>
            <w:tcW w:w="1289" w:type="dxa"/>
            <w:shd w:val="clear" w:color="auto" w:fill="auto"/>
            <w:vAlign w:val="center"/>
          </w:tcPr>
          <w:p>
            <w:pPr>
              <w:widowControl/>
              <w:snapToGrid w:val="0"/>
              <w:jc w:val="center"/>
              <w:rPr>
                <w:kern w:val="0"/>
                <w:sz w:val="24"/>
                <w:szCs w:val="21"/>
              </w:rPr>
            </w:pPr>
            <w:r>
              <w:rPr>
                <w:rFonts w:hAnsiTheme="minorEastAsia"/>
                <w:kern w:val="0"/>
                <w:sz w:val="24"/>
                <w:szCs w:val="21"/>
              </w:rPr>
              <w:t>偏离说明</w:t>
            </w:r>
          </w:p>
        </w:tc>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rFonts w:hint="eastAsia" w:hAnsiTheme="minorEastAsia"/>
                <w:sz w:val="24"/>
              </w:rPr>
              <w:t>★</w:t>
            </w:r>
            <w:r>
              <w:rPr>
                <w:rFonts w:hAnsiTheme="minorEastAsia"/>
                <w:kern w:val="0"/>
                <w:sz w:val="24"/>
                <w:szCs w:val="21"/>
              </w:rPr>
              <w:t>（一）</w:t>
            </w:r>
            <w:r>
              <w:rPr>
                <w:rFonts w:hAnsiTheme="minorEastAsia"/>
                <w:sz w:val="24"/>
              </w:rPr>
              <w:t>投标人须承诺所提供的服务、人员</w:t>
            </w:r>
            <w:r>
              <w:rPr>
                <w:rFonts w:hint="eastAsia" w:hAnsiTheme="minorEastAsia"/>
                <w:sz w:val="24"/>
              </w:rPr>
              <w:t>、</w:t>
            </w:r>
            <w:r>
              <w:rPr>
                <w:rFonts w:hAnsiTheme="minorEastAsia"/>
                <w:sz w:val="24"/>
              </w:rPr>
              <w:t>设备</w:t>
            </w:r>
            <w:r>
              <w:rPr>
                <w:rFonts w:hint="eastAsia" w:hAnsiTheme="minorEastAsia"/>
                <w:sz w:val="24"/>
              </w:rPr>
              <w:t>及耗材等均</w:t>
            </w:r>
            <w:r>
              <w:rPr>
                <w:rFonts w:hAnsiTheme="minorEastAsia"/>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rFonts w:hint="eastAsia" w:hAnsiTheme="minorEastAsia"/>
                <w:sz w:val="24"/>
              </w:rPr>
              <w:t>★</w:t>
            </w:r>
            <w:r>
              <w:rPr>
                <w:rFonts w:hAnsiTheme="minorEastAsia"/>
                <w:sz w:val="24"/>
              </w:rPr>
              <w:t>（二）投标人须承诺</w:t>
            </w:r>
            <w:r>
              <w:rPr>
                <w:rFonts w:hint="eastAsia" w:hAnsiTheme="minorEastAsia"/>
                <w:sz w:val="24"/>
              </w:rPr>
              <w:t>一旦中标，</w:t>
            </w:r>
            <w:r>
              <w:rPr>
                <w:rFonts w:hAnsiTheme="minorEastAsia"/>
                <w:color w:val="000000"/>
                <w:sz w:val="24"/>
              </w:rPr>
              <w:t>根据《中华人民共和国劳动合同法》及其他法律法规的要求与服务人员签订</w:t>
            </w:r>
            <w:r>
              <w:rPr>
                <w:rFonts w:hint="eastAsia" w:hAnsiTheme="minorEastAsia"/>
                <w:color w:val="000000"/>
                <w:sz w:val="24"/>
              </w:rPr>
              <w:t>劳动</w:t>
            </w:r>
            <w:r>
              <w:rPr>
                <w:rFonts w:hAnsiTheme="minorEastAsia"/>
                <w:color w:val="000000"/>
                <w:sz w:val="24"/>
              </w:rPr>
              <w:t>合同</w:t>
            </w:r>
            <w:r>
              <w:rPr>
                <w:rFonts w:hint="eastAsia" w:hAnsiTheme="minorEastAsia"/>
                <w:color w:val="000000"/>
                <w:sz w:val="24"/>
              </w:rPr>
              <w:t>，按国家及天津市相关政策规定，支付工资、加班费和福利费、</w:t>
            </w:r>
            <w:r>
              <w:rPr>
                <w:rFonts w:hAnsiTheme="minorEastAsia"/>
                <w:color w:val="000000"/>
                <w:sz w:val="24"/>
              </w:rPr>
              <w:t>缴纳社会保险</w:t>
            </w:r>
            <w:r>
              <w:rPr>
                <w:rFonts w:hint="eastAsia" w:hAnsiTheme="minorEastAsia"/>
                <w:color w:val="000000"/>
                <w:sz w:val="24"/>
              </w:rPr>
              <w:t>及住房公积金等</w:t>
            </w:r>
            <w:r>
              <w:rPr>
                <w:rFonts w:hAnsiTheme="minorEastAsia"/>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rFonts w:hint="eastAsia" w:hAnsiTheme="minorEastAsia"/>
                <w:sz w:val="24"/>
              </w:rPr>
              <w:t>★</w:t>
            </w:r>
            <w:r>
              <w:rPr>
                <w:rFonts w:hAnsiTheme="minorEastAsia"/>
                <w:sz w:val="24"/>
              </w:rPr>
              <w:t>（三）投标人须承诺</w:t>
            </w:r>
            <w:r>
              <w:rPr>
                <w:rFonts w:hint="eastAsia" w:hAnsiTheme="minorEastAsia"/>
                <w:color w:val="000000"/>
                <w:sz w:val="24"/>
              </w:rPr>
              <w:t>相应专业</w:t>
            </w:r>
            <w:r>
              <w:rPr>
                <w:rFonts w:hAnsiTheme="minorEastAsia"/>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kern w:val="0"/>
                <w:sz w:val="24"/>
                <w:szCs w:val="21"/>
              </w:rPr>
              <w:t xml:space="preserve">4. </w:t>
            </w:r>
            <w:r>
              <w:rPr>
                <w:rFonts w:hAnsiTheme="minorEastAsia"/>
                <w:kern w:val="0"/>
                <w:sz w:val="24"/>
                <w:szCs w:val="21"/>
              </w:rPr>
              <w:t>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序号</w:t>
            </w:r>
          </w:p>
        </w:tc>
        <w:tc>
          <w:tcPr>
            <w:tcW w:w="4630" w:type="dxa"/>
            <w:shd w:val="clear" w:color="auto" w:fill="auto"/>
            <w:vAlign w:val="center"/>
          </w:tcPr>
          <w:p>
            <w:pPr>
              <w:widowControl/>
              <w:snapToGrid w:val="0"/>
              <w:jc w:val="center"/>
              <w:rPr>
                <w:kern w:val="0"/>
                <w:sz w:val="24"/>
                <w:szCs w:val="21"/>
              </w:rPr>
            </w:pPr>
            <w:r>
              <w:rPr>
                <w:rFonts w:hAnsiTheme="minorEastAsia"/>
                <w:kern w:val="0"/>
                <w:sz w:val="24"/>
                <w:szCs w:val="21"/>
              </w:rPr>
              <w:t>招标要求</w:t>
            </w:r>
          </w:p>
        </w:tc>
        <w:tc>
          <w:tcPr>
            <w:tcW w:w="2438" w:type="dxa"/>
            <w:shd w:val="clear" w:color="auto" w:fill="auto"/>
            <w:vAlign w:val="center"/>
          </w:tcPr>
          <w:p>
            <w:pPr>
              <w:widowControl/>
              <w:snapToGrid w:val="0"/>
              <w:jc w:val="center"/>
              <w:rPr>
                <w:kern w:val="0"/>
                <w:sz w:val="24"/>
                <w:szCs w:val="21"/>
              </w:rPr>
            </w:pPr>
            <w:r>
              <w:rPr>
                <w:rFonts w:hAnsiTheme="minorEastAsia"/>
                <w:kern w:val="0"/>
                <w:sz w:val="24"/>
                <w:szCs w:val="21"/>
              </w:rPr>
              <w:t>投标应答</w:t>
            </w:r>
          </w:p>
        </w:tc>
        <w:tc>
          <w:tcPr>
            <w:tcW w:w="1289" w:type="dxa"/>
            <w:shd w:val="clear" w:color="auto" w:fill="auto"/>
            <w:vAlign w:val="center"/>
          </w:tcPr>
          <w:p>
            <w:pPr>
              <w:widowControl/>
              <w:snapToGrid w:val="0"/>
              <w:jc w:val="center"/>
              <w:rPr>
                <w:kern w:val="0"/>
                <w:sz w:val="24"/>
                <w:szCs w:val="21"/>
              </w:rPr>
            </w:pPr>
            <w:r>
              <w:rPr>
                <w:rFonts w:hAnsiTheme="minorEastAsia"/>
                <w:kern w:val="0"/>
                <w:sz w:val="24"/>
                <w:szCs w:val="21"/>
              </w:rPr>
              <w:t>偏离说明</w:t>
            </w:r>
          </w:p>
        </w:tc>
        <w:tc>
          <w:tcPr>
            <w:tcW w:w="843" w:type="dxa"/>
            <w:shd w:val="clear" w:color="auto" w:fill="auto"/>
            <w:vAlign w:val="center"/>
          </w:tcPr>
          <w:p>
            <w:pPr>
              <w:widowControl/>
              <w:snapToGrid w:val="0"/>
              <w:jc w:val="center"/>
              <w:rPr>
                <w:kern w:val="0"/>
                <w:sz w:val="24"/>
                <w:szCs w:val="21"/>
              </w:rPr>
            </w:pPr>
            <w:r>
              <w:rPr>
                <w:rFonts w:hAnsiTheme="minorEastAsia"/>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rFonts w:hAnsiTheme="minorEastAsia"/>
          <w:sz w:val="24"/>
        </w:rPr>
        <w:t>注：</w:t>
      </w:r>
    </w:p>
    <w:p>
      <w:pPr>
        <w:spacing w:line="360" w:lineRule="auto"/>
        <w:rPr>
          <w:sz w:val="24"/>
        </w:rPr>
      </w:pPr>
      <w:r>
        <w:rPr>
          <w:sz w:val="24"/>
        </w:rPr>
        <w:t xml:space="preserve">1. </w:t>
      </w:r>
      <w:r>
        <w:rPr>
          <w:rFonts w:hAnsiTheme="minorEastAsia"/>
          <w:sz w:val="24"/>
        </w:rPr>
        <w:t>不如实填写偏离情况的投标文件将视为虚假材料。</w:t>
      </w:r>
    </w:p>
    <w:p>
      <w:pPr>
        <w:spacing w:line="360" w:lineRule="auto"/>
        <w:rPr>
          <w:sz w:val="24"/>
        </w:rPr>
      </w:pPr>
      <w:r>
        <w:rPr>
          <w:sz w:val="24"/>
        </w:rPr>
        <w:t xml:space="preserve">2. </w:t>
      </w:r>
      <w:r>
        <w:rPr>
          <w:rFonts w:hAnsiTheme="minorEastAsia"/>
          <w:sz w:val="24"/>
        </w:rPr>
        <w:t>招标要求指招标文件中规定的具体要求，投标应答指投标文件的具体内容。</w:t>
      </w:r>
    </w:p>
    <w:p>
      <w:pPr>
        <w:spacing w:line="360" w:lineRule="auto"/>
        <w:rPr>
          <w:sz w:val="24"/>
        </w:rPr>
      </w:pPr>
      <w:r>
        <w:rPr>
          <w:sz w:val="24"/>
        </w:rPr>
        <w:t xml:space="preserve">3. </w:t>
      </w:r>
      <w:r>
        <w:rPr>
          <w:rFonts w:hAnsiTheme="minorEastAsia"/>
          <w:sz w:val="24"/>
        </w:rPr>
        <w:t>偏离说明指招标要求与投标应答之间的不同之处。</w:t>
      </w:r>
    </w:p>
    <w:p>
      <w:pPr>
        <w:spacing w:line="360" w:lineRule="auto"/>
        <w:rPr>
          <w:sz w:val="24"/>
        </w:rPr>
      </w:pPr>
      <w:r>
        <w:rPr>
          <w:sz w:val="24"/>
        </w:rPr>
        <w:t xml:space="preserve">4. </w:t>
      </w:r>
      <w:r>
        <w:rPr>
          <w:rFonts w:hAnsiTheme="minorEastAsia"/>
          <w:sz w:val="24"/>
        </w:rPr>
        <w:t>投标人在上表</w:t>
      </w:r>
      <w:r>
        <w:rPr>
          <w:sz w:val="24"/>
        </w:rPr>
        <w:t>“</w:t>
      </w:r>
      <w:r>
        <w:rPr>
          <w:rFonts w:hAnsiTheme="minorEastAsia"/>
          <w:sz w:val="24"/>
        </w:rPr>
        <w:t>项目需求书要求</w:t>
      </w:r>
      <w:r>
        <w:rPr>
          <w:sz w:val="24"/>
        </w:rPr>
        <w:t>”</w:t>
      </w:r>
      <w:r>
        <w:rPr>
          <w:rFonts w:hAnsiTheme="minorEastAsia"/>
          <w:sz w:val="24"/>
        </w:rPr>
        <w:t>的投标应答中必须列出具体数值或内容。如投标人未应答或只注明</w:t>
      </w:r>
      <w:r>
        <w:rPr>
          <w:sz w:val="24"/>
        </w:rPr>
        <w:t>“</w:t>
      </w:r>
      <w:r>
        <w:rPr>
          <w:rFonts w:hAnsiTheme="minorEastAsia"/>
          <w:sz w:val="24"/>
        </w:rPr>
        <w:t>符合</w:t>
      </w:r>
      <w:r>
        <w:rPr>
          <w:sz w:val="24"/>
        </w:rPr>
        <w:t>”</w:t>
      </w:r>
      <w:r>
        <w:rPr>
          <w:rFonts w:hAnsiTheme="minorEastAsia"/>
          <w:sz w:val="24"/>
        </w:rPr>
        <w:t>、</w:t>
      </w:r>
      <w:r>
        <w:rPr>
          <w:sz w:val="24"/>
        </w:rPr>
        <w:t>“</w:t>
      </w:r>
      <w:r>
        <w:rPr>
          <w:rFonts w:hAnsiTheme="minorEastAsia"/>
          <w:sz w:val="24"/>
        </w:rPr>
        <w:t>满足</w:t>
      </w:r>
      <w:r>
        <w:rPr>
          <w:sz w:val="24"/>
        </w:rPr>
        <w:t>”</w:t>
      </w:r>
      <w:r>
        <w:rPr>
          <w:rFonts w:hAnsiTheme="minorEastAsia"/>
          <w:sz w:val="24"/>
        </w:rPr>
        <w:t>等类似无具体内容的表述，将被视为不符合招标文件要求。投标人自行承担由此造成的一切后果。</w:t>
      </w: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rFonts w:hAnsiTheme="minorEastAsia"/>
          <w:sz w:val="24"/>
        </w:rPr>
        <w:t>日期</w:t>
      </w:r>
    </w:p>
    <w:p>
      <w:pPr>
        <w:widowControl/>
        <w:jc w:val="left"/>
        <w:rPr>
          <w:b/>
          <w:sz w:val="24"/>
        </w:rPr>
      </w:pPr>
      <w:r>
        <w:rPr>
          <w:rFonts w:hint="eastAsia" w:hAnsiTheme="minorEastAsia"/>
          <w:b/>
          <w:sz w:val="24"/>
        </w:rPr>
        <w:t>附件</w:t>
      </w:r>
      <w:r>
        <w:rPr>
          <w:rFonts w:hint="eastAsia"/>
          <w:b/>
          <w:sz w:val="24"/>
        </w:rPr>
        <w:t>6-2</w:t>
      </w:r>
    </w:p>
    <w:p>
      <w:pPr>
        <w:widowControl/>
        <w:jc w:val="left"/>
        <w:rPr>
          <w:sz w:val="24"/>
        </w:rPr>
      </w:pPr>
    </w:p>
    <w:p>
      <w:pPr>
        <w:widowControl/>
        <w:jc w:val="center"/>
        <w:rPr>
          <w:b/>
          <w:sz w:val="24"/>
        </w:rPr>
      </w:pPr>
      <w:r>
        <w:rPr>
          <w:rFonts w:hint="eastAsia" w:hAnsiTheme="minorEastAsia"/>
          <w:b/>
          <w:sz w:val="24"/>
        </w:rPr>
        <w:t>项目人员及岗位安排</w:t>
      </w:r>
    </w:p>
    <w:p>
      <w:pPr>
        <w:widowControl/>
        <w:jc w:val="left"/>
        <w:rPr>
          <w:sz w:val="24"/>
        </w:rPr>
      </w:pP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p>
      <w:pPr>
        <w:widowControl/>
        <w:jc w:val="left"/>
        <w:rPr>
          <w:sz w:val="24"/>
        </w:rPr>
      </w:pPr>
    </w:p>
    <w:p>
      <w:pPr>
        <w:widowControl/>
        <w:jc w:val="left"/>
        <w:rPr>
          <w:sz w:val="24"/>
        </w:rPr>
      </w:pPr>
    </w:p>
    <w:tbl>
      <w:tblPr>
        <w:tblStyle w:val="20"/>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rFonts w:hAnsiTheme="minorEastAsia"/>
                <w:b/>
                <w:szCs w:val="21"/>
              </w:rPr>
              <w:t>序号</w:t>
            </w:r>
          </w:p>
        </w:tc>
        <w:tc>
          <w:tcPr>
            <w:tcW w:w="682" w:type="pct"/>
            <w:vAlign w:val="center"/>
          </w:tcPr>
          <w:p>
            <w:pPr>
              <w:spacing w:line="360" w:lineRule="auto"/>
              <w:jc w:val="center"/>
              <w:rPr>
                <w:b/>
                <w:szCs w:val="21"/>
              </w:rPr>
            </w:pPr>
            <w:r>
              <w:rPr>
                <w:rFonts w:hAnsiTheme="minorEastAsia"/>
                <w:b/>
                <w:szCs w:val="21"/>
              </w:rPr>
              <w:t>岗位名称</w:t>
            </w:r>
          </w:p>
        </w:tc>
        <w:tc>
          <w:tcPr>
            <w:tcW w:w="682" w:type="pct"/>
            <w:vAlign w:val="center"/>
          </w:tcPr>
          <w:p>
            <w:pPr>
              <w:spacing w:line="360" w:lineRule="auto"/>
              <w:jc w:val="center"/>
              <w:rPr>
                <w:b/>
                <w:szCs w:val="21"/>
              </w:rPr>
            </w:pPr>
            <w:r>
              <w:rPr>
                <w:rFonts w:hint="eastAsia" w:hAnsiTheme="minorEastAsia"/>
                <w:b/>
                <w:szCs w:val="21"/>
              </w:rPr>
              <w:t>投入</w:t>
            </w:r>
            <w:r>
              <w:rPr>
                <w:rFonts w:hAnsiTheme="minorEastAsia"/>
                <w:b/>
                <w:szCs w:val="21"/>
              </w:rPr>
              <w:t>人数</w:t>
            </w:r>
          </w:p>
        </w:tc>
        <w:tc>
          <w:tcPr>
            <w:tcW w:w="1113" w:type="pct"/>
            <w:vAlign w:val="center"/>
          </w:tcPr>
          <w:p>
            <w:pPr>
              <w:spacing w:line="360" w:lineRule="auto"/>
              <w:jc w:val="center"/>
              <w:rPr>
                <w:b/>
                <w:szCs w:val="21"/>
              </w:rPr>
            </w:pPr>
            <w:r>
              <w:rPr>
                <w:rFonts w:hint="eastAsia" w:hAnsiTheme="minorEastAsia"/>
                <w:b/>
                <w:szCs w:val="21"/>
              </w:rPr>
              <w:t>人员情况简介</w:t>
            </w:r>
          </w:p>
        </w:tc>
        <w:tc>
          <w:tcPr>
            <w:tcW w:w="652" w:type="pct"/>
            <w:vAlign w:val="center"/>
          </w:tcPr>
          <w:p>
            <w:pPr>
              <w:spacing w:line="360" w:lineRule="auto"/>
              <w:jc w:val="center"/>
              <w:rPr>
                <w:b/>
                <w:szCs w:val="21"/>
              </w:rPr>
            </w:pPr>
            <w:r>
              <w:rPr>
                <w:rFonts w:hint="eastAsia" w:hAnsiTheme="minorEastAsia"/>
                <w:b/>
                <w:szCs w:val="21"/>
              </w:rPr>
              <w:t>是否退休</w:t>
            </w:r>
          </w:p>
        </w:tc>
        <w:tc>
          <w:tcPr>
            <w:tcW w:w="723" w:type="pct"/>
            <w:vAlign w:val="center"/>
          </w:tcPr>
          <w:p>
            <w:pPr>
              <w:spacing w:line="360" w:lineRule="auto"/>
              <w:jc w:val="center"/>
              <w:rPr>
                <w:b/>
                <w:szCs w:val="21"/>
              </w:rPr>
            </w:pPr>
            <w:r>
              <w:rPr>
                <w:rFonts w:hAnsiTheme="minorEastAsia"/>
                <w:b/>
                <w:szCs w:val="21"/>
              </w:rPr>
              <w:t>工作时间</w:t>
            </w:r>
          </w:p>
        </w:tc>
        <w:tc>
          <w:tcPr>
            <w:tcW w:w="723" w:type="pct"/>
            <w:vAlign w:val="center"/>
          </w:tcPr>
          <w:p>
            <w:pPr>
              <w:spacing w:line="360" w:lineRule="auto"/>
              <w:jc w:val="center"/>
              <w:rPr>
                <w:b/>
                <w:szCs w:val="21"/>
              </w:rPr>
            </w:pPr>
            <w:r>
              <w:rPr>
                <w:rFonts w:hint="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hAnsiTheme="minor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hAnsiTheme="minor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hAnsiTheme="minorEastAsia"/>
          <w:sz w:val="24"/>
        </w:rPr>
        <w:t>按劳动法和国务院关于职工工作时间的规定，正常情况下，上述人员每日工作不超过</w:t>
      </w:r>
      <w:r>
        <w:rPr>
          <w:rFonts w:hint="eastAsia"/>
          <w:sz w:val="24"/>
        </w:rPr>
        <w:t>8</w:t>
      </w:r>
      <w:r>
        <w:rPr>
          <w:rFonts w:hint="eastAsia" w:hAnsiTheme="minorEastAsia"/>
          <w:sz w:val="24"/>
        </w:rPr>
        <w:t>小时，每周工作不超过</w:t>
      </w:r>
      <w:r>
        <w:rPr>
          <w:rFonts w:hint="eastAsia"/>
          <w:sz w:val="24"/>
        </w:rPr>
        <w:t>40</w:t>
      </w:r>
      <w:r>
        <w:rPr>
          <w:rFonts w:hint="eastAsia" w:hAnsiTheme="minorEastAsia"/>
          <w:sz w:val="24"/>
        </w:rPr>
        <w:t>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rFonts w:hAnsiTheme="minorEastAsia"/>
          <w:sz w:val="24"/>
        </w:rPr>
        <w:t>日期</w:t>
      </w:r>
    </w:p>
    <w:p>
      <w:pPr>
        <w:spacing w:line="360" w:lineRule="auto"/>
        <w:ind w:right="84" w:firstLine="224" w:firstLineChars="100"/>
        <w:rPr>
          <w:position w:val="-40"/>
          <w:sz w:val="24"/>
        </w:rPr>
      </w:pPr>
    </w:p>
    <w:p>
      <w:pPr>
        <w:spacing w:line="360" w:lineRule="auto"/>
        <w:ind w:right="84" w:firstLine="224" w:firstLineChars="100"/>
        <w:rPr>
          <w:position w:val="-40"/>
          <w:sz w:val="24"/>
        </w:rPr>
      </w:pPr>
    </w:p>
    <w:p>
      <w:pPr>
        <w:spacing w:line="620" w:lineRule="exact"/>
        <w:rPr>
          <w:b/>
          <w:sz w:val="24"/>
        </w:rPr>
      </w:pPr>
      <w:r>
        <w:rPr>
          <w:rFonts w:hAnsiTheme="minorEastAsia"/>
          <w:b/>
          <w:sz w:val="24"/>
        </w:rPr>
        <w:t>附件</w:t>
      </w:r>
      <w:r>
        <w:rPr>
          <w:b/>
          <w:sz w:val="24"/>
        </w:rPr>
        <w:t>7</w:t>
      </w:r>
    </w:p>
    <w:p>
      <w:pPr>
        <w:autoSpaceDN w:val="0"/>
        <w:spacing w:line="360" w:lineRule="auto"/>
        <w:jc w:val="center"/>
        <w:rPr>
          <w:b/>
          <w:bCs/>
          <w:sz w:val="24"/>
        </w:rPr>
      </w:pPr>
      <w:r>
        <w:rPr>
          <w:rFonts w:hAnsiTheme="minorEastAsia"/>
          <w:b/>
          <w:sz w:val="24"/>
        </w:rPr>
        <w:t>主要相关项目业绩一览表</w:t>
      </w:r>
    </w:p>
    <w:p>
      <w:pPr>
        <w:spacing w:line="460" w:lineRule="exact"/>
        <w:ind w:left="192"/>
        <w:rPr>
          <w:sz w:val="24"/>
        </w:rPr>
      </w:pPr>
    </w:p>
    <w:p>
      <w:pPr>
        <w:spacing w:line="460" w:lineRule="exact"/>
        <w:rPr>
          <w:sz w:val="24"/>
        </w:rPr>
      </w:pPr>
      <w:r>
        <w:rPr>
          <w:rFonts w:hAnsiTheme="minorEastAsia"/>
          <w:sz w:val="24"/>
        </w:rPr>
        <w:t>项目名称：</w:t>
      </w:r>
    </w:p>
    <w:p>
      <w:pPr>
        <w:spacing w:line="460" w:lineRule="exact"/>
        <w:rPr>
          <w:sz w:val="24"/>
        </w:rPr>
      </w:pPr>
      <w:r>
        <w:rPr>
          <w:rFonts w:hAnsiTheme="minorEastAsia"/>
          <w:sz w:val="24"/>
        </w:rPr>
        <w:t>项目编号：</w:t>
      </w:r>
    </w:p>
    <w:p>
      <w:pPr>
        <w:spacing w:line="460" w:lineRule="exact"/>
        <w:rPr>
          <w:sz w:val="24"/>
          <w:u w:val="single"/>
        </w:rPr>
      </w:pPr>
      <w:r>
        <w:rPr>
          <w:rFonts w:hAnsiTheme="minorEastAsia"/>
          <w:sz w:val="24"/>
        </w:rPr>
        <w:t>包号：</w:t>
      </w:r>
    </w:p>
    <w:p>
      <w:pPr>
        <w:spacing w:line="460" w:lineRule="exact"/>
        <w:ind w:left="192"/>
        <w:rPr>
          <w:sz w:val="24"/>
        </w:rPr>
      </w:pP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AnsiTheme="minorEastAsia"/>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rFonts w:hAnsiTheme="minorEastAsia"/>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rFonts w:hAnsiTheme="minorEastAsia"/>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rFonts w:hAnsiTheme="minorEastAsia"/>
          <w:sz w:val="24"/>
        </w:rPr>
        <w:t>日期</w:t>
      </w:r>
      <w:r>
        <w:rPr>
          <w:b/>
          <w:sz w:val="24"/>
        </w:rPr>
        <w:br w:type="page"/>
      </w:r>
    </w:p>
    <w:p>
      <w:pPr>
        <w:spacing w:line="460" w:lineRule="exact"/>
        <w:rPr>
          <w:b/>
          <w:sz w:val="24"/>
        </w:rPr>
      </w:pPr>
      <w:r>
        <w:rPr>
          <w:rFonts w:hAnsiTheme="minorEastAsia"/>
          <w:b/>
          <w:sz w:val="24"/>
        </w:rPr>
        <w:t>附件</w:t>
      </w:r>
      <w:r>
        <w:rPr>
          <w:b/>
          <w:sz w:val="24"/>
        </w:rPr>
        <w:t>8</w:t>
      </w:r>
    </w:p>
    <w:p>
      <w:pPr>
        <w:autoSpaceDN w:val="0"/>
        <w:spacing w:line="360" w:lineRule="auto"/>
        <w:jc w:val="center"/>
        <w:rPr>
          <w:b/>
          <w:bCs/>
          <w:sz w:val="24"/>
        </w:rPr>
      </w:pPr>
      <w:r>
        <w:rPr>
          <w:b/>
          <w:bCs/>
          <w:sz w:val="24"/>
        </w:rPr>
        <w:t>法定代表人授权书</w:t>
      </w:r>
    </w:p>
    <w:p>
      <w:pPr>
        <w:spacing w:line="360" w:lineRule="auto"/>
        <w:rPr>
          <w:sz w:val="24"/>
          <w:szCs w:val="21"/>
        </w:rPr>
      </w:pPr>
    </w:p>
    <w:p>
      <w:pPr>
        <w:spacing w:line="360" w:lineRule="auto"/>
        <w:rPr>
          <w:sz w:val="24"/>
          <w:szCs w:val="21"/>
        </w:rPr>
      </w:pPr>
      <w:r>
        <w:rPr>
          <w:sz w:val="24"/>
          <w:szCs w:val="21"/>
        </w:rPr>
        <w:t>致：天津市</w:t>
      </w:r>
      <w:r>
        <w:rPr>
          <w:rFonts w:hint="eastAsia"/>
          <w:sz w:val="24"/>
          <w:szCs w:val="21"/>
        </w:rPr>
        <w:t>滨海新区</w:t>
      </w:r>
      <w:r>
        <w:rPr>
          <w:sz w:val="24"/>
          <w:szCs w:val="21"/>
        </w:rPr>
        <w:t>政府采购中心</w:t>
      </w:r>
    </w:p>
    <w:p>
      <w:pPr>
        <w:snapToGrid w:val="0"/>
        <w:spacing w:line="360" w:lineRule="auto"/>
        <w:ind w:firstLine="448" w:firstLineChars="200"/>
        <w:rPr>
          <w:sz w:val="24"/>
          <w:szCs w:val="21"/>
        </w:rPr>
      </w:pPr>
      <w:r>
        <w:rPr>
          <w:rFonts w:hint="eastAsia"/>
          <w:sz w:val="24"/>
          <w:szCs w:val="21"/>
        </w:rPr>
        <w:t>我单位授权委托在职职工</w:t>
      </w:r>
      <w:r>
        <w:rPr>
          <w:sz w:val="24"/>
          <w:szCs w:val="21"/>
        </w:rPr>
        <w:t>_______________</w:t>
      </w:r>
      <w:r>
        <w:rPr>
          <w:rFonts w:hint="eastAsia"/>
          <w:sz w:val="24"/>
          <w:szCs w:val="21"/>
        </w:rPr>
        <w:t>（姓名，职务）（身份证号码：</w:t>
      </w:r>
      <w:r>
        <w:rPr>
          <w:sz w:val="24"/>
          <w:szCs w:val="21"/>
        </w:rPr>
        <w:t>____________________</w:t>
      </w:r>
      <w:r>
        <w:rPr>
          <w:rFonts w:hint="eastAsia"/>
          <w:sz w:val="24"/>
          <w:szCs w:val="21"/>
        </w:rPr>
        <w:t>，本月社保缴纳单位：，联系电话：</w:t>
      </w:r>
      <w:r>
        <w:rPr>
          <w:sz w:val="24"/>
          <w:szCs w:val="21"/>
        </w:rPr>
        <w:t>_______________</w:t>
      </w:r>
      <w:r>
        <w:rPr>
          <w:rFonts w:hint="eastAsia"/>
          <w:sz w:val="24"/>
          <w:szCs w:val="21"/>
        </w:rPr>
        <w:t>）</w:t>
      </w:r>
      <w:r>
        <w:rPr>
          <w:sz w:val="24"/>
          <w:szCs w:val="21"/>
        </w:rPr>
        <w:t>作为投标代表人以我方的名义参加贵中心______________________项目（项目编号：_______________）的投标活动，并代表我方全权办理针对上述项目的投标、开标、投标文件澄清、</w:t>
      </w:r>
      <w:r>
        <w:rPr>
          <w:rFonts w:hint="eastAsia"/>
          <w:sz w:val="24"/>
          <w:szCs w:val="21"/>
        </w:rPr>
        <w:t>说明或者更正等一切具体事务和签署相关文件。</w:t>
      </w:r>
    </w:p>
    <w:p>
      <w:pPr>
        <w:spacing w:line="360" w:lineRule="auto"/>
        <w:ind w:firstLine="448" w:firstLineChars="200"/>
        <w:rPr>
          <w:sz w:val="24"/>
          <w:szCs w:val="21"/>
        </w:rPr>
      </w:pPr>
      <w:r>
        <w:rPr>
          <w:rFonts w:hint="eastAsia"/>
          <w:sz w:val="24"/>
          <w:szCs w:val="21"/>
        </w:rPr>
        <w:t>我方对投标代表人的签名事项负全部责任。</w:t>
      </w:r>
    </w:p>
    <w:p>
      <w:pPr>
        <w:spacing w:line="360" w:lineRule="auto"/>
        <w:ind w:firstLine="448" w:firstLineChars="200"/>
        <w:rPr>
          <w:sz w:val="24"/>
          <w:szCs w:val="21"/>
        </w:rPr>
      </w:pPr>
      <w:r>
        <w:rPr>
          <w:rFonts w:hint="eastAsia"/>
          <w:sz w:val="24"/>
          <w:szCs w:val="21"/>
        </w:rPr>
        <w:t>我单位对填写的上述授权代表的社保缴纳单位信息的真实性负责，如有不实，愿承担相应的责任。</w:t>
      </w:r>
    </w:p>
    <w:p>
      <w:pPr>
        <w:spacing w:line="360" w:lineRule="auto"/>
        <w:ind w:firstLine="448" w:firstLineChars="200"/>
        <w:rPr>
          <w:sz w:val="24"/>
          <w:szCs w:val="21"/>
        </w:rPr>
      </w:pPr>
      <w:r>
        <w:rPr>
          <w:rFonts w:hint="eastAsia"/>
          <w:sz w:val="24"/>
          <w:szCs w:val="21"/>
        </w:rPr>
        <w:t>本授权书至投标有效期结束前始终有效。</w:t>
      </w:r>
    </w:p>
    <w:p>
      <w:pPr>
        <w:spacing w:line="360" w:lineRule="auto"/>
        <w:ind w:firstLine="448" w:firstLineChars="200"/>
        <w:rPr>
          <w:sz w:val="24"/>
        </w:rPr>
      </w:pPr>
      <w:r>
        <w:rPr>
          <w:rFonts w:hint="eastAsia"/>
          <w:sz w:val="24"/>
          <w:szCs w:val="21"/>
        </w:rPr>
        <w:t>投标代表人无转委托权，特此委托。</w:t>
      </w:r>
    </w:p>
    <w:p>
      <w:pPr>
        <w:spacing w:line="360" w:lineRule="auto"/>
        <w:ind w:firstLine="448" w:firstLineChars="200"/>
        <w:rPr>
          <w:sz w:val="24"/>
        </w:rPr>
      </w:pPr>
    </w:p>
    <w:p>
      <w:pPr>
        <w:spacing w:line="480" w:lineRule="auto"/>
        <w:ind w:right="480" w:firstLine="4032" w:firstLineChars="1800"/>
        <w:rPr>
          <w:sz w:val="24"/>
        </w:rPr>
      </w:pPr>
    </w:p>
    <w:p>
      <w:pPr>
        <w:spacing w:line="480" w:lineRule="auto"/>
        <w:jc w:val="center"/>
        <w:rPr>
          <w:sz w:val="24"/>
        </w:rPr>
      </w:pPr>
      <w:r>
        <w:rPr>
          <w:sz w:val="24"/>
        </w:rPr>
        <w:t>法定代表人签字或名章：</w:t>
      </w:r>
    </w:p>
    <w:p>
      <w:pPr>
        <w:spacing w:line="480" w:lineRule="auto"/>
        <w:jc w:val="center"/>
        <w:rPr>
          <w:sz w:val="24"/>
        </w:rPr>
      </w:pPr>
      <w:r>
        <w:rPr>
          <w:sz w:val="24"/>
        </w:rPr>
        <w:t>年月日</w:t>
      </w:r>
    </w:p>
    <w:p>
      <w:pPr>
        <w:spacing w:line="360" w:lineRule="auto"/>
        <w:ind w:firstLine="4704" w:firstLineChars="2100"/>
        <w:rPr>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rPr>
          <w:sz w:val="24"/>
        </w:rPr>
      </w:pPr>
      <w:r>
        <w:rPr>
          <w:sz w:val="24"/>
        </w:rPr>
        <w:t>此授权书填写完毕后打印，由法定代表人签字或加盖名章，扫描后放入电子投标文件。</w:t>
      </w:r>
    </w:p>
    <w:p>
      <w:pPr>
        <w:widowControl/>
        <w:jc w:val="left"/>
        <w:rPr>
          <w:sz w:val="24"/>
        </w:rPr>
      </w:pPr>
      <w:r>
        <w:rPr>
          <w:sz w:val="24"/>
        </w:rPr>
        <w:br w:type="page"/>
      </w:r>
    </w:p>
    <w:p>
      <w:pPr>
        <w:spacing w:line="460" w:lineRule="exact"/>
        <w:ind w:right="444"/>
        <w:rPr>
          <w:b/>
          <w:sz w:val="24"/>
        </w:rPr>
      </w:pPr>
      <w:r>
        <w:rPr>
          <w:rFonts w:hAnsiTheme="minorEastAsia"/>
          <w:b/>
          <w:sz w:val="24"/>
        </w:rPr>
        <w:t>附件</w:t>
      </w:r>
      <w:r>
        <w:rPr>
          <w:b/>
          <w:sz w:val="24"/>
        </w:rPr>
        <w:t>9</w:t>
      </w:r>
      <w:r>
        <w:rPr>
          <w:rFonts w:hint="eastAsia"/>
          <w:b/>
          <w:sz w:val="24"/>
        </w:rPr>
        <w:t>-1</w:t>
      </w:r>
    </w:p>
    <w:p>
      <w:pPr>
        <w:autoSpaceDE w:val="0"/>
        <w:autoSpaceDN w:val="0"/>
        <w:spacing w:line="480" w:lineRule="auto"/>
        <w:jc w:val="center"/>
        <w:rPr>
          <w:sz w:val="24"/>
          <w:szCs w:val="24"/>
        </w:rPr>
      </w:pPr>
      <w:r>
        <w:rPr>
          <w:rFonts w:hint="eastAsia" w:hAnsiTheme="minorEastAsia"/>
          <w:b/>
          <w:sz w:val="24"/>
          <w:szCs w:val="24"/>
        </w:rPr>
        <w:t>中小企业声明函（服务）</w:t>
      </w:r>
    </w:p>
    <w:p>
      <w:pPr>
        <w:widowControl/>
        <w:spacing w:line="500" w:lineRule="exact"/>
        <w:ind w:firstLine="448" w:firstLineChars="200"/>
        <w:jc w:val="left"/>
        <w:rPr>
          <w:sz w:val="24"/>
          <w:szCs w:val="24"/>
        </w:rPr>
      </w:pPr>
      <w:r>
        <w:rPr>
          <w:rFonts w:hint="eastAsia" w:hAnsiTheme="minorEastAsia"/>
          <w:sz w:val="24"/>
          <w:szCs w:val="24"/>
        </w:rPr>
        <w:t>本公司（联合体）郑重声明，根据《政府采购促进中小企业发展管理办法》（财库﹝</w:t>
      </w:r>
      <w:r>
        <w:rPr>
          <w:sz w:val="24"/>
          <w:szCs w:val="24"/>
        </w:rPr>
        <w:t>2020</w:t>
      </w:r>
      <w:r>
        <w:rPr>
          <w:rFonts w:hint="eastAsia" w:hAnsiTheme="minorEastAsia"/>
          <w:sz w:val="24"/>
          <w:szCs w:val="24"/>
        </w:rPr>
        <w:t>﹞</w:t>
      </w:r>
      <w:r>
        <w:rPr>
          <w:sz w:val="24"/>
          <w:szCs w:val="24"/>
        </w:rPr>
        <w:t>46</w:t>
      </w:r>
      <w:r>
        <w:rPr>
          <w:rFonts w:hint="eastAsia" w:hAnsiTheme="minorEastAsia"/>
          <w:sz w:val="24"/>
          <w:szCs w:val="24"/>
        </w:rPr>
        <w:t>号）的规定，本公司（联合体）参加</w:t>
      </w:r>
      <w:r>
        <w:rPr>
          <w:rFonts w:hint="eastAsia" w:hAnsiTheme="minorEastAsia"/>
          <w:b/>
          <w:sz w:val="24"/>
          <w:szCs w:val="24"/>
          <w:u w:val="single"/>
        </w:rPr>
        <w:t>（请填写项目名称）</w:t>
      </w:r>
      <w:r>
        <w:rPr>
          <w:rFonts w:hint="eastAsia" w:hAnsiTheme="minorEastAsia"/>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rFonts w:hint="eastAsia" w:hAnsiTheme="minorEastAsia"/>
          <w:sz w:val="24"/>
          <w:szCs w:val="24"/>
          <w:u w:val="single"/>
        </w:rPr>
        <w:t>（</w:t>
      </w:r>
      <w:r>
        <w:rPr>
          <w:rFonts w:hint="eastAsia" w:hAnsiTheme="minorEastAsia"/>
          <w:b/>
          <w:sz w:val="24"/>
          <w:szCs w:val="24"/>
        </w:rPr>
        <w:t>请填写标的名称</w:t>
      </w:r>
      <w:r>
        <w:rPr>
          <w:rFonts w:hint="eastAsia" w:hAnsiTheme="minorEastAsia"/>
          <w:sz w:val="24"/>
          <w:szCs w:val="24"/>
        </w:rPr>
        <w:t>），属于</w:t>
      </w:r>
      <w:r>
        <w:rPr>
          <w:rFonts w:hint="eastAsia" w:hAnsiTheme="minorEastAsia"/>
          <w:b/>
          <w:sz w:val="24"/>
          <w:szCs w:val="24"/>
        </w:rPr>
        <w:t>（请填写本项目采购文件中明确的所属行业）</w:t>
      </w:r>
      <w:r>
        <w:rPr>
          <w:rFonts w:hint="eastAsia" w:hAnsiTheme="minorEastAsia"/>
          <w:sz w:val="24"/>
          <w:szCs w:val="24"/>
        </w:rPr>
        <w:t>行业；承接企业为</w:t>
      </w:r>
      <w:r>
        <w:rPr>
          <w:rFonts w:hint="eastAsia" w:hAnsiTheme="minorEastAsia"/>
          <w:sz w:val="24"/>
          <w:szCs w:val="24"/>
          <w:u w:val="single"/>
        </w:rPr>
        <w:t>（</w:t>
      </w:r>
      <w:r>
        <w:rPr>
          <w:rFonts w:hint="eastAsia" w:hAnsiTheme="minorEastAsia"/>
          <w:b/>
          <w:sz w:val="24"/>
          <w:szCs w:val="24"/>
        </w:rPr>
        <w:t>请填写承接该标的企业名称</w:t>
      </w:r>
      <w:r>
        <w:rPr>
          <w:rFonts w:hint="eastAsia" w:hAnsiTheme="minorEastAsia"/>
          <w:sz w:val="24"/>
          <w:szCs w:val="24"/>
        </w:rPr>
        <w:t>），从业人员人，营业收入为万元，资产总额为万元，属于</w:t>
      </w:r>
      <w:r>
        <w:rPr>
          <w:rFonts w:hint="eastAsia" w:hAnsiTheme="minorEastAsia"/>
          <w:sz w:val="24"/>
          <w:szCs w:val="24"/>
          <w:u w:val="single"/>
        </w:rPr>
        <w:t>（</w:t>
      </w:r>
      <w:r>
        <w:rPr>
          <w:rFonts w:hint="eastAsia" w:hAnsiTheme="minorEastAsia"/>
          <w:b/>
          <w:sz w:val="24"/>
          <w:szCs w:val="24"/>
        </w:rPr>
        <w:t>请根据中小企业划分标准填写中型企业</w:t>
      </w:r>
      <w:r>
        <w:rPr>
          <w:b/>
          <w:sz w:val="24"/>
          <w:szCs w:val="24"/>
        </w:rPr>
        <w:t>/</w:t>
      </w:r>
      <w:r>
        <w:rPr>
          <w:rFonts w:hint="eastAsia" w:hAnsiTheme="minorEastAsia"/>
          <w:b/>
          <w:sz w:val="24"/>
          <w:szCs w:val="24"/>
        </w:rPr>
        <w:t>小型企业</w:t>
      </w:r>
      <w:r>
        <w:rPr>
          <w:b/>
          <w:sz w:val="24"/>
          <w:szCs w:val="24"/>
        </w:rPr>
        <w:t>/</w:t>
      </w:r>
      <w:r>
        <w:rPr>
          <w:rFonts w:hint="eastAsia" w:hAnsiTheme="minorEastAsia"/>
          <w:b/>
          <w:sz w:val="24"/>
          <w:szCs w:val="24"/>
        </w:rPr>
        <w:t>微型企业</w:t>
      </w:r>
      <w:r>
        <w:rPr>
          <w:rFonts w:hint="eastAsia" w:hAnsiTheme="minorEastAsia"/>
          <w:sz w:val="24"/>
          <w:szCs w:val="24"/>
        </w:rPr>
        <w:t>）；</w:t>
      </w:r>
    </w:p>
    <w:p>
      <w:pPr>
        <w:autoSpaceDE w:val="0"/>
        <w:autoSpaceDN w:val="0"/>
        <w:spacing w:line="500" w:lineRule="exact"/>
        <w:ind w:firstLine="448" w:firstLineChars="200"/>
        <w:jc w:val="left"/>
        <w:rPr>
          <w:sz w:val="24"/>
          <w:szCs w:val="24"/>
        </w:rPr>
      </w:pPr>
      <w:r>
        <w:rPr>
          <w:sz w:val="24"/>
          <w:szCs w:val="24"/>
        </w:rPr>
        <w:t>2.</w:t>
      </w:r>
      <w:r>
        <w:rPr>
          <w:rFonts w:hint="eastAsia" w:hAnsiTheme="minorEastAsia"/>
          <w:sz w:val="24"/>
          <w:szCs w:val="24"/>
          <w:u w:val="single"/>
        </w:rPr>
        <w:t>（</w:t>
      </w:r>
      <w:r>
        <w:rPr>
          <w:rFonts w:hint="eastAsia" w:hAnsiTheme="minorEastAsia"/>
          <w:b/>
          <w:sz w:val="24"/>
          <w:szCs w:val="24"/>
        </w:rPr>
        <w:t>请填写标的名称</w:t>
      </w:r>
      <w:r>
        <w:rPr>
          <w:rFonts w:hint="eastAsia" w:hAnsiTheme="minorEastAsia"/>
          <w:sz w:val="24"/>
          <w:szCs w:val="24"/>
        </w:rPr>
        <w:t>），属于</w:t>
      </w:r>
      <w:r>
        <w:rPr>
          <w:rFonts w:hint="eastAsia" w:hAnsiTheme="minorEastAsia"/>
          <w:b/>
          <w:sz w:val="24"/>
          <w:szCs w:val="24"/>
        </w:rPr>
        <w:t>（请填写本项目采购文件中明确的所属行业）</w:t>
      </w:r>
      <w:r>
        <w:rPr>
          <w:rFonts w:hint="eastAsia" w:hAnsiTheme="minorEastAsia"/>
          <w:sz w:val="24"/>
          <w:szCs w:val="24"/>
        </w:rPr>
        <w:t>行业；承接企业为</w:t>
      </w:r>
      <w:r>
        <w:rPr>
          <w:rFonts w:hint="eastAsia" w:hAnsiTheme="minorEastAsia"/>
          <w:sz w:val="24"/>
          <w:szCs w:val="24"/>
          <w:u w:val="single"/>
        </w:rPr>
        <w:t>（</w:t>
      </w:r>
      <w:r>
        <w:rPr>
          <w:rFonts w:hint="eastAsia" w:hAnsiTheme="minorEastAsia"/>
          <w:b/>
          <w:sz w:val="24"/>
          <w:szCs w:val="24"/>
        </w:rPr>
        <w:t>请填写承接该标的企业名称</w:t>
      </w:r>
      <w:r>
        <w:rPr>
          <w:rFonts w:hint="eastAsia" w:hAnsiTheme="minorEastAsia"/>
          <w:sz w:val="24"/>
          <w:szCs w:val="24"/>
        </w:rPr>
        <w:t>），从业人员人，营业收入为万元，资产总额为万元，属于</w:t>
      </w:r>
      <w:r>
        <w:rPr>
          <w:rFonts w:hint="eastAsia" w:hAnsiTheme="minorEastAsia"/>
          <w:sz w:val="24"/>
          <w:szCs w:val="24"/>
          <w:u w:val="single"/>
        </w:rPr>
        <w:t>（</w:t>
      </w:r>
      <w:r>
        <w:rPr>
          <w:rFonts w:hint="eastAsia" w:hAnsiTheme="minorEastAsia"/>
          <w:b/>
          <w:sz w:val="24"/>
          <w:szCs w:val="24"/>
        </w:rPr>
        <w:t>请根据中小企业划分标准填写中型企业</w:t>
      </w:r>
      <w:r>
        <w:rPr>
          <w:b/>
          <w:sz w:val="24"/>
          <w:szCs w:val="24"/>
        </w:rPr>
        <w:t>/</w:t>
      </w:r>
      <w:r>
        <w:rPr>
          <w:rFonts w:hint="eastAsia" w:hAnsiTheme="minorEastAsia"/>
          <w:b/>
          <w:sz w:val="24"/>
          <w:szCs w:val="24"/>
        </w:rPr>
        <w:t>小型企业</w:t>
      </w:r>
      <w:r>
        <w:rPr>
          <w:b/>
          <w:sz w:val="24"/>
          <w:szCs w:val="24"/>
        </w:rPr>
        <w:t>/</w:t>
      </w:r>
      <w:r>
        <w:rPr>
          <w:rFonts w:hint="eastAsia" w:hAnsiTheme="minorEastAsia"/>
          <w:b/>
          <w:sz w:val="24"/>
          <w:szCs w:val="24"/>
        </w:rPr>
        <w:t>微型企业</w:t>
      </w:r>
      <w:r>
        <w:rPr>
          <w:rFonts w:hint="eastAsia" w:hAnsiTheme="minorEastAsia"/>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rFonts w:hint="eastAsia" w:hAnsiTheme="minorEastAsia"/>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rFonts w:hint="eastAsia" w:hAnsiTheme="minorEastAsia"/>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rFonts w:hint="eastAsia" w:hAnsiTheme="minorEastAsia"/>
          <w:sz w:val="24"/>
          <w:szCs w:val="24"/>
        </w:rPr>
        <w:t>投标人名称：</w:t>
      </w:r>
    </w:p>
    <w:p>
      <w:pPr>
        <w:autoSpaceDE w:val="0"/>
        <w:autoSpaceDN w:val="0"/>
        <w:spacing w:line="500" w:lineRule="exact"/>
        <w:ind w:left="3840"/>
        <w:jc w:val="left"/>
        <w:rPr>
          <w:sz w:val="32"/>
        </w:rPr>
      </w:pPr>
      <w:r>
        <w:rPr>
          <w:rFonts w:hint="eastAsia" w:hAnsiTheme="minorEastAsia"/>
          <w:sz w:val="24"/>
          <w:szCs w:val="24"/>
        </w:rPr>
        <w:t>日期：</w:t>
      </w:r>
    </w:p>
    <w:p>
      <w:pPr>
        <w:spacing w:line="360" w:lineRule="auto"/>
        <w:ind w:right="84" w:firstLine="224" w:firstLineChars="100"/>
        <w:rPr>
          <w:b/>
          <w:sz w:val="24"/>
          <w:szCs w:val="24"/>
        </w:rPr>
      </w:pPr>
      <w:r>
        <w:rPr>
          <w:rFonts w:hint="eastAsia" w:hAnsiTheme="minorEastAsia"/>
          <w:b/>
          <w:sz w:val="24"/>
          <w:szCs w:val="24"/>
        </w:rPr>
        <w:t>注：</w:t>
      </w:r>
    </w:p>
    <w:p>
      <w:pPr>
        <w:spacing w:line="360" w:lineRule="auto"/>
        <w:ind w:right="84" w:firstLine="224" w:firstLineChars="100"/>
        <w:rPr>
          <w:b/>
          <w:sz w:val="24"/>
          <w:szCs w:val="24"/>
        </w:rPr>
      </w:pPr>
      <w:r>
        <w:rPr>
          <w:b/>
          <w:sz w:val="24"/>
          <w:szCs w:val="24"/>
        </w:rPr>
        <w:t>1.</w:t>
      </w:r>
      <w:r>
        <w:rPr>
          <w:rFonts w:hint="eastAsia" w:hAnsiTheme="minorEastAsia"/>
          <w:b/>
          <w:sz w:val="24"/>
          <w:szCs w:val="24"/>
        </w:rPr>
        <w:t>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w:t>
      </w:r>
      <w:r>
        <w:rPr>
          <w:rFonts w:hint="eastAsia" w:hAnsiTheme="minorEastAsia"/>
          <w:b/>
          <w:sz w:val="24"/>
          <w:szCs w:val="24"/>
        </w:rPr>
        <w:t>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szCs w:val="24"/>
        </w:rPr>
      </w:pPr>
      <w:r>
        <w:rPr>
          <w:b/>
          <w:sz w:val="24"/>
          <w:szCs w:val="24"/>
        </w:rPr>
        <w:t>3.</w:t>
      </w:r>
      <w:r>
        <w:rPr>
          <w:rFonts w:hint="eastAsia" w:hAnsiTheme="minorEastAsia"/>
          <w:b/>
          <w:sz w:val="24"/>
          <w:szCs w:val="24"/>
        </w:rPr>
        <w:t>中标（成交）供应商享受中小企业扶持政策的，将随中标（成交）结果同时公告其《中小企业声明函》，接受社会监督。</w:t>
      </w:r>
    </w:p>
    <w:p>
      <w:pPr>
        <w:autoSpaceDN w:val="0"/>
        <w:spacing w:line="360" w:lineRule="auto"/>
        <w:jc w:val="center"/>
        <w:rPr>
          <w:b/>
          <w:sz w:val="24"/>
        </w:rPr>
      </w:pPr>
      <w:r>
        <w:rPr>
          <w:b/>
          <w:sz w:val="24"/>
        </w:rPr>
        <w:br w:type="page"/>
      </w:r>
    </w:p>
    <w:p>
      <w:pPr>
        <w:autoSpaceDN w:val="0"/>
        <w:spacing w:line="360" w:lineRule="auto"/>
        <w:rPr>
          <w:b/>
          <w:sz w:val="24"/>
        </w:rPr>
      </w:pPr>
      <w:r>
        <w:rPr>
          <w:rFonts w:hint="eastAsia" w:hAnsiTheme="minorEastAsia"/>
          <w:b/>
          <w:sz w:val="24"/>
        </w:rPr>
        <w:t>附件</w:t>
      </w:r>
      <w:r>
        <w:rPr>
          <w:rFonts w:hint="eastAsia"/>
          <w:b/>
          <w:sz w:val="24"/>
        </w:rPr>
        <w:t>9-2</w:t>
      </w:r>
    </w:p>
    <w:p>
      <w:pPr>
        <w:autoSpaceDN w:val="0"/>
        <w:spacing w:line="360" w:lineRule="auto"/>
        <w:rPr>
          <w:b/>
          <w:bCs/>
          <w:sz w:val="24"/>
        </w:rPr>
      </w:pPr>
      <w:r>
        <w:rPr>
          <w:rFonts w:hint="eastAsia" w:hAnsiTheme="minorEastAsia"/>
          <w:b/>
          <w:kern w:val="0"/>
          <w:sz w:val="24"/>
          <w:szCs w:val="21"/>
        </w:rPr>
        <w:t>若投标人不是残疾人福利性单位，投标文件中可不提供此声明函</w:t>
      </w:r>
    </w:p>
    <w:p>
      <w:pPr>
        <w:autoSpaceDN w:val="0"/>
        <w:spacing w:line="360" w:lineRule="auto"/>
        <w:jc w:val="center"/>
        <w:rPr>
          <w:b/>
          <w:bCs/>
          <w:sz w:val="24"/>
        </w:rPr>
      </w:pPr>
    </w:p>
    <w:p>
      <w:pPr>
        <w:autoSpaceDN w:val="0"/>
        <w:spacing w:line="360" w:lineRule="auto"/>
        <w:jc w:val="center"/>
        <w:rPr>
          <w:b/>
          <w:bCs/>
          <w:sz w:val="24"/>
        </w:rPr>
      </w:pPr>
      <w:r>
        <w:rPr>
          <w:rFonts w:hint="eastAsia" w:hAnsiTheme="minorEastAsia"/>
          <w:b/>
          <w:bCs/>
          <w:sz w:val="24"/>
        </w:rPr>
        <w:t>残疾人福利性单位声明函</w:t>
      </w:r>
    </w:p>
    <w:p>
      <w:pPr>
        <w:spacing w:line="588" w:lineRule="exact"/>
        <w:rPr>
          <w:b/>
          <w:spacing w:val="6"/>
          <w:sz w:val="30"/>
          <w:szCs w:val="30"/>
        </w:rPr>
      </w:pPr>
    </w:p>
    <w:p>
      <w:pPr>
        <w:snapToGrid w:val="0"/>
        <w:spacing w:line="360" w:lineRule="auto"/>
        <w:ind w:firstLine="448" w:firstLineChars="200"/>
        <w:rPr>
          <w:sz w:val="24"/>
          <w:szCs w:val="21"/>
        </w:rPr>
      </w:pPr>
      <w:r>
        <w:rPr>
          <w:rFonts w:hint="eastAsia" w:hAnsiTheme="minorEastAsia"/>
          <w:sz w:val="24"/>
          <w:szCs w:val="21"/>
        </w:rPr>
        <w:t>本单位郑重声明，根据《财政部民政部中国残疾人联合会关于促进残疾人就业政府采购政策的通知》（财库〔</w:t>
      </w:r>
      <w:r>
        <w:rPr>
          <w:rFonts w:hint="eastAsia"/>
          <w:sz w:val="24"/>
          <w:szCs w:val="21"/>
        </w:rPr>
        <w:t>2017</w:t>
      </w:r>
      <w:r>
        <w:rPr>
          <w:rFonts w:hint="eastAsia" w:hAnsiTheme="minorEastAsia"/>
          <w:sz w:val="24"/>
          <w:szCs w:val="21"/>
        </w:rPr>
        <w:t>〕</w:t>
      </w:r>
      <w:r>
        <w:rPr>
          <w:rFonts w:hint="eastAsia"/>
          <w:sz w:val="24"/>
          <w:szCs w:val="21"/>
        </w:rPr>
        <w:t>141</w:t>
      </w:r>
      <w:r>
        <w:rPr>
          <w:rFonts w:hint="eastAsia" w:hAnsiTheme="minorEastAsia"/>
          <w:sz w:val="24"/>
          <w:szCs w:val="21"/>
        </w:rPr>
        <w:t>号）的规定，本单位为符合条件的残疾人福利性单位，且本单位参加</w:t>
      </w:r>
      <w:r>
        <w:rPr>
          <w:rFonts w:hint="eastAsia"/>
          <w:sz w:val="24"/>
          <w:szCs w:val="21"/>
        </w:rPr>
        <w:t>______</w:t>
      </w:r>
      <w:r>
        <w:rPr>
          <w:rFonts w:hint="eastAsia" w:hAnsiTheme="minorEastAsia"/>
          <w:sz w:val="24"/>
          <w:szCs w:val="21"/>
        </w:rPr>
        <w:t>单位的</w:t>
      </w:r>
      <w:r>
        <w:rPr>
          <w:rFonts w:hint="eastAsia"/>
          <w:sz w:val="24"/>
          <w:szCs w:val="21"/>
        </w:rPr>
        <w:t>______</w:t>
      </w:r>
      <w:r>
        <w:rPr>
          <w:rFonts w:hint="eastAsia" w:hAnsiTheme="minorEastAsia"/>
          <w:sz w:val="24"/>
          <w:szCs w:val="21"/>
        </w:rPr>
        <w:t>项目采购活动提供本单位制造的货物（由本单位承担工程</w:t>
      </w:r>
      <w:r>
        <w:rPr>
          <w:rFonts w:hint="eastAsia"/>
          <w:sz w:val="24"/>
          <w:szCs w:val="21"/>
        </w:rPr>
        <w:t>/</w:t>
      </w:r>
      <w:r>
        <w:rPr>
          <w:rFonts w:hint="eastAsia" w:hAnsiTheme="minorEastAsia"/>
          <w:sz w:val="24"/>
          <w:szCs w:val="21"/>
        </w:rPr>
        <w:t>提供服务），或者提供其他残疾人福利性单位制造的货物（不包括使用非残疾人福利性单位注册商标的货物）。</w:t>
      </w:r>
    </w:p>
    <w:p>
      <w:pPr>
        <w:snapToGrid w:val="0"/>
        <w:spacing w:line="360" w:lineRule="auto"/>
        <w:ind w:firstLine="448" w:firstLineChars="200"/>
        <w:rPr>
          <w:sz w:val="24"/>
          <w:szCs w:val="21"/>
        </w:rPr>
      </w:pPr>
      <w:r>
        <w:rPr>
          <w:rFonts w:hint="eastAsia" w:hAnsiTheme="minorEastAsia"/>
          <w:sz w:val="24"/>
          <w:szCs w:val="21"/>
        </w:rPr>
        <w:t>本单位对上述声明的真实性负责。如有虚假，将依法承担相应责任。</w:t>
      </w:r>
    </w:p>
    <w:p>
      <w:pPr>
        <w:snapToGrid w:val="0"/>
        <w:spacing w:line="360" w:lineRule="auto"/>
        <w:ind w:firstLine="448" w:firstLineChars="200"/>
        <w:rPr>
          <w:sz w:val="24"/>
          <w:szCs w:val="21"/>
        </w:rPr>
      </w:pPr>
    </w:p>
    <w:p>
      <w:pPr>
        <w:snapToGrid w:val="0"/>
        <w:spacing w:line="360" w:lineRule="auto"/>
        <w:ind w:firstLine="448" w:firstLineChars="200"/>
        <w:rPr>
          <w:sz w:val="24"/>
          <w:szCs w:val="21"/>
        </w:rPr>
      </w:pPr>
    </w:p>
    <w:p>
      <w:pPr>
        <w:snapToGrid w:val="0"/>
        <w:spacing w:line="360" w:lineRule="auto"/>
        <w:ind w:firstLine="448" w:firstLineChars="200"/>
        <w:jc w:val="left"/>
        <w:rPr>
          <w:sz w:val="24"/>
          <w:szCs w:val="21"/>
        </w:rPr>
      </w:pPr>
      <w:r>
        <w:rPr>
          <w:rFonts w:hint="eastAsia" w:hAnsiTheme="minorEastAsia"/>
          <w:sz w:val="24"/>
          <w:szCs w:val="21"/>
        </w:rPr>
        <w:t>投标人名称：</w:t>
      </w:r>
    </w:p>
    <w:p>
      <w:pPr>
        <w:snapToGrid w:val="0"/>
        <w:spacing w:line="360" w:lineRule="auto"/>
        <w:ind w:firstLine="448" w:firstLineChars="200"/>
        <w:jc w:val="left"/>
        <w:rPr>
          <w:sz w:val="24"/>
          <w:szCs w:val="21"/>
        </w:rPr>
      </w:pPr>
    </w:p>
    <w:p>
      <w:pPr>
        <w:snapToGrid w:val="0"/>
        <w:spacing w:line="360" w:lineRule="auto"/>
        <w:ind w:firstLine="448" w:firstLineChars="200"/>
        <w:jc w:val="left"/>
        <w:rPr>
          <w:sz w:val="24"/>
          <w:szCs w:val="21"/>
        </w:rPr>
      </w:pPr>
      <w:r>
        <w:rPr>
          <w:rFonts w:hint="eastAsia" w:hAnsiTheme="minorEastAsia"/>
          <w:sz w:val="24"/>
          <w:szCs w:val="21"/>
        </w:rPr>
        <w:t>日期：年月日</w:t>
      </w:r>
    </w:p>
    <w:p>
      <w:pPr>
        <w:snapToGrid w:val="0"/>
        <w:spacing w:line="360" w:lineRule="auto"/>
        <w:ind w:firstLine="448" w:firstLineChars="200"/>
        <w:jc w:val="left"/>
        <w:rPr>
          <w:sz w:val="24"/>
          <w:szCs w:val="21"/>
        </w:rPr>
      </w:pP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rFonts w:hint="eastAsia" w:hAnsiTheme="minorEastAsia"/>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日期：</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联系电话</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时间</w:t>
            </w:r>
          </w:p>
        </w:tc>
        <w:tc>
          <w:tcPr>
            <w:tcW w:w="1394" w:type="dxa"/>
            <w:gridSpan w:val="2"/>
          </w:tcPr>
          <w:p>
            <w:pPr>
              <w:spacing w:line="360" w:lineRule="auto"/>
              <w:ind w:right="84"/>
              <w:jc w:val="center"/>
              <w:rPr>
                <w:position w:val="-36"/>
                <w:sz w:val="24"/>
              </w:rPr>
            </w:pPr>
            <w:r>
              <w:rPr>
                <w:position w:val="-36"/>
                <w:sz w:val="24"/>
              </w:rPr>
              <w:t>地点</w:t>
            </w:r>
          </w:p>
        </w:tc>
        <w:tc>
          <w:tcPr>
            <w:tcW w:w="1445" w:type="dxa"/>
            <w:gridSpan w:val="2"/>
          </w:tcPr>
          <w:p>
            <w:pPr>
              <w:spacing w:line="360" w:lineRule="auto"/>
              <w:ind w:right="84"/>
              <w:jc w:val="center"/>
              <w:rPr>
                <w:position w:val="-36"/>
                <w:sz w:val="24"/>
              </w:rPr>
            </w:pPr>
            <w:r>
              <w:rPr>
                <w:position w:val="-36"/>
                <w:sz w:val="24"/>
              </w:rPr>
              <w:t>单位</w:t>
            </w:r>
          </w:p>
        </w:tc>
        <w:tc>
          <w:tcPr>
            <w:tcW w:w="944" w:type="dxa"/>
            <w:gridSpan w:val="2"/>
          </w:tcPr>
          <w:p>
            <w:pPr>
              <w:spacing w:line="360" w:lineRule="auto"/>
              <w:ind w:right="84"/>
              <w:jc w:val="center"/>
              <w:rPr>
                <w:position w:val="-36"/>
                <w:sz w:val="24"/>
              </w:rPr>
            </w:pPr>
            <w:r>
              <w:rPr>
                <w:position w:val="-36"/>
                <w:sz w:val="24"/>
              </w:rPr>
              <w:t>职务</w:t>
            </w:r>
          </w:p>
        </w:tc>
        <w:tc>
          <w:tcPr>
            <w:tcW w:w="4172" w:type="dxa"/>
            <w:gridSpan w:val="5"/>
          </w:tcPr>
          <w:p>
            <w:pPr>
              <w:spacing w:line="360" w:lineRule="auto"/>
              <w:ind w:right="84"/>
              <w:jc w:val="center"/>
              <w:rPr>
                <w:position w:val="-36"/>
                <w:sz w:val="24"/>
              </w:rPr>
            </w:pPr>
            <w:r>
              <w:rPr>
                <w:position w:val="-36"/>
                <w:sz w:val="24"/>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19"/>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数量</w:t>
            </w:r>
          </w:p>
        </w:tc>
        <w:tc>
          <w:tcPr>
            <w:tcW w:w="1404" w:type="dxa"/>
            <w:vAlign w:val="center"/>
          </w:tcPr>
          <w:p>
            <w:pPr>
              <w:spacing w:line="360" w:lineRule="auto"/>
              <w:ind w:right="84"/>
              <w:jc w:val="center"/>
              <w:rPr>
                <w:position w:val="-32"/>
                <w:sz w:val="24"/>
              </w:rPr>
            </w:pPr>
            <w:r>
              <w:rPr>
                <w:position w:val="-3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名称</w:t>
            </w:r>
          </w:p>
        </w:tc>
        <w:tc>
          <w:tcPr>
            <w:tcW w:w="975" w:type="dxa"/>
            <w:tcBorders>
              <w:bottom w:val="single" w:color="auto" w:sz="4" w:space="0"/>
            </w:tcBorders>
          </w:tcPr>
          <w:p>
            <w:pPr>
              <w:tabs>
                <w:tab w:val="left" w:pos="240"/>
              </w:tabs>
              <w:jc w:val="center"/>
              <w:rPr>
                <w:position w:val="-50"/>
                <w:sz w:val="24"/>
              </w:rPr>
            </w:pPr>
            <w:r>
              <w:rPr>
                <w:position w:val="-50"/>
                <w:sz w:val="24"/>
              </w:rPr>
              <w:t>单位</w:t>
            </w:r>
          </w:p>
        </w:tc>
        <w:tc>
          <w:tcPr>
            <w:tcW w:w="996" w:type="dxa"/>
            <w:tcBorders>
              <w:bottom w:val="single" w:color="auto" w:sz="4" w:space="0"/>
            </w:tcBorders>
          </w:tcPr>
          <w:p>
            <w:pPr>
              <w:tabs>
                <w:tab w:val="left" w:pos="240"/>
              </w:tabs>
              <w:jc w:val="center"/>
              <w:rPr>
                <w:position w:val="-50"/>
                <w:sz w:val="24"/>
              </w:rPr>
            </w:pPr>
            <w:r>
              <w:rPr>
                <w:position w:val="-50"/>
                <w:sz w:val="24"/>
              </w:rPr>
              <w:t>数量</w:t>
            </w:r>
          </w:p>
        </w:tc>
        <w:tc>
          <w:tcPr>
            <w:tcW w:w="1494" w:type="dxa"/>
            <w:tcBorders>
              <w:bottom w:val="single" w:color="auto" w:sz="4" w:space="0"/>
            </w:tcBorders>
          </w:tcPr>
          <w:p>
            <w:pPr>
              <w:tabs>
                <w:tab w:val="left" w:pos="240"/>
              </w:tabs>
              <w:jc w:val="center"/>
              <w:rPr>
                <w:position w:val="-32"/>
                <w:sz w:val="24"/>
              </w:rPr>
            </w:pPr>
            <w:r>
              <w:rPr>
                <w:position w:val="-32"/>
                <w:sz w:val="24"/>
              </w:rPr>
              <w:t>是否有偿提供</w:t>
            </w:r>
          </w:p>
        </w:tc>
        <w:tc>
          <w:tcPr>
            <w:tcW w:w="2409" w:type="dxa"/>
            <w:tcBorders>
              <w:bottom w:val="single" w:color="auto" w:sz="4" w:space="0"/>
            </w:tcBorders>
          </w:tcPr>
          <w:p>
            <w:pPr>
              <w:tabs>
                <w:tab w:val="left" w:pos="240"/>
              </w:tabs>
              <w:jc w:val="center"/>
              <w:rPr>
                <w:position w:val="-50"/>
                <w:sz w:val="24"/>
              </w:rPr>
            </w:pPr>
            <w:r>
              <w:rPr>
                <w:position w:val="-50"/>
                <w:sz w:val="24"/>
              </w:rPr>
              <w:t>如有偿提供的说明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8"/>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6"/>
        <w:tabs>
          <w:tab w:val="left" w:pos="360"/>
        </w:tabs>
        <w:spacing w:line="360" w:lineRule="auto"/>
        <w:ind w:firstLine="446"/>
        <w:rPr>
          <w:sz w:val="24"/>
        </w:rPr>
      </w:pPr>
    </w:p>
    <w:p>
      <w:pPr>
        <w:pStyle w:val="36"/>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6"/>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6"/>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6"/>
        <w:tabs>
          <w:tab w:val="left" w:pos="360"/>
        </w:tabs>
        <w:spacing w:line="360" w:lineRule="auto"/>
        <w:ind w:firstLine="0" w:firstLineChars="0"/>
        <w:rPr>
          <w:sz w:val="24"/>
          <w:u w:val="single"/>
        </w:rPr>
      </w:pPr>
    </w:p>
    <w:p>
      <w:pPr>
        <w:pStyle w:val="36"/>
        <w:tabs>
          <w:tab w:val="left" w:pos="360"/>
        </w:tabs>
        <w:spacing w:line="360" w:lineRule="auto"/>
        <w:ind w:firstLine="446"/>
        <w:rPr>
          <w:sz w:val="24"/>
        </w:rPr>
      </w:pPr>
    </w:p>
    <w:p>
      <w:pPr>
        <w:pStyle w:val="36"/>
        <w:spacing w:line="360" w:lineRule="auto"/>
        <w:ind w:firstLine="0" w:firstLineChars="0"/>
        <w:jc w:val="center"/>
        <w:rPr>
          <w:b/>
          <w:sz w:val="24"/>
        </w:rPr>
      </w:pPr>
    </w:p>
    <w:p>
      <w:pPr>
        <w:pStyle w:val="36"/>
        <w:spacing w:line="360" w:lineRule="auto"/>
        <w:ind w:firstLine="0" w:firstLineChars="0"/>
        <w:jc w:val="center"/>
        <w:rPr>
          <w:b/>
          <w:sz w:val="24"/>
        </w:rPr>
      </w:pPr>
    </w:p>
    <w:p>
      <w:pPr>
        <w:pStyle w:val="36"/>
        <w:spacing w:line="360" w:lineRule="auto"/>
        <w:ind w:firstLine="0" w:firstLineChars="0"/>
        <w:jc w:val="center"/>
        <w:rPr>
          <w:b/>
          <w:sz w:val="24"/>
        </w:rPr>
      </w:pPr>
      <w:r>
        <w:rPr>
          <w:rFonts w:hint="eastAsia"/>
          <w:b/>
          <w:sz w:val="24"/>
        </w:rPr>
        <w:t>证明材料</w:t>
      </w:r>
    </w:p>
    <w:p>
      <w:pPr>
        <w:pStyle w:val="36"/>
        <w:tabs>
          <w:tab w:val="left" w:pos="360"/>
        </w:tabs>
        <w:spacing w:line="360" w:lineRule="auto"/>
        <w:ind w:firstLine="446"/>
        <w:rPr>
          <w:sz w:val="24"/>
        </w:rPr>
      </w:pPr>
    </w:p>
    <w:p>
      <w:pPr>
        <w:pStyle w:val="36"/>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6"/>
        <w:tabs>
          <w:tab w:val="left" w:pos="360"/>
        </w:tabs>
        <w:spacing w:line="360" w:lineRule="auto"/>
        <w:ind w:firstLine="446"/>
        <w:rPr>
          <w:sz w:val="24"/>
        </w:rPr>
      </w:pPr>
    </w:p>
    <w:p>
      <w:pPr>
        <w:pStyle w:val="36"/>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spacing w:line="480" w:lineRule="auto"/>
        <w:rPr>
          <w:sz w:val="24"/>
          <w:szCs w:val="21"/>
        </w:rPr>
      </w:pPr>
    </w:p>
    <w:sectPr>
      <w:footerReference r:id="rId3"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12</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0215"/>
    <w:multiLevelType w:val="singleLevel"/>
    <w:tmpl w:val="9BD00215"/>
    <w:lvl w:ilvl="0" w:tentative="0">
      <w:start w:val="1"/>
      <w:numFmt w:val="decimal"/>
      <w:suff w:val="nothing"/>
      <w:lvlText w:val="%1、"/>
      <w:lvlJc w:val="left"/>
    </w:lvl>
  </w:abstractNum>
  <w:abstractNum w:abstractNumId="1">
    <w:nsid w:val="BCF5A594"/>
    <w:multiLevelType w:val="singleLevel"/>
    <w:tmpl w:val="BCF5A594"/>
    <w:lvl w:ilvl="0" w:tentative="0">
      <w:start w:val="2"/>
      <w:numFmt w:val="decimal"/>
      <w:suff w:val="nothing"/>
      <w:lvlText w:val="%1、"/>
      <w:lvlJc w:val="left"/>
    </w:lvl>
  </w:abstractNum>
  <w:abstractNum w:abstractNumId="2">
    <w:nsid w:val="DB4A9401"/>
    <w:multiLevelType w:val="singleLevel"/>
    <w:tmpl w:val="DB4A9401"/>
    <w:lvl w:ilvl="0" w:tentative="0">
      <w:start w:val="1"/>
      <w:numFmt w:val="decimal"/>
      <w:suff w:val="nothing"/>
      <w:lvlText w:val="%1、"/>
      <w:lvlJc w:val="left"/>
    </w:lvl>
  </w:abstractNum>
  <w:abstractNum w:abstractNumId="3">
    <w:nsid w:val="DF1D2495"/>
    <w:multiLevelType w:val="singleLevel"/>
    <w:tmpl w:val="DF1D2495"/>
    <w:lvl w:ilvl="0" w:tentative="0">
      <w:start w:val="1"/>
      <w:numFmt w:val="decimal"/>
      <w:suff w:val="nothing"/>
      <w:lvlText w:val="%1、"/>
      <w:lvlJc w:val="left"/>
    </w:lvl>
  </w:abstractNum>
  <w:abstractNum w:abstractNumId="4">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5">
    <w:nsid w:val="2E4CA392"/>
    <w:multiLevelType w:val="singleLevel"/>
    <w:tmpl w:val="2E4CA392"/>
    <w:lvl w:ilvl="0" w:tentative="0">
      <w:start w:val="1"/>
      <w:numFmt w:val="decimal"/>
      <w:suff w:val="nothing"/>
      <w:lvlText w:val="%1、"/>
      <w:lvlJc w:val="left"/>
    </w:lvl>
  </w:abstractNum>
  <w:abstractNum w:abstractNumId="6">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6"/>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NTFjZDUyMjczN2VlYmNmMGM4NjZkOTA5ZTkwNGQifQ=="/>
  </w:docVars>
  <w:rsids>
    <w:rsidRoot w:val="00325832"/>
    <w:rsid w:val="00000D09"/>
    <w:rsid w:val="00001FD1"/>
    <w:rsid w:val="00010DCF"/>
    <w:rsid w:val="00011B73"/>
    <w:rsid w:val="00013068"/>
    <w:rsid w:val="00013701"/>
    <w:rsid w:val="00017219"/>
    <w:rsid w:val="00017C2D"/>
    <w:rsid w:val="00025169"/>
    <w:rsid w:val="000279E6"/>
    <w:rsid w:val="000308AC"/>
    <w:rsid w:val="00032015"/>
    <w:rsid w:val="00034B13"/>
    <w:rsid w:val="00036A32"/>
    <w:rsid w:val="000403B6"/>
    <w:rsid w:val="0004130F"/>
    <w:rsid w:val="00042FFE"/>
    <w:rsid w:val="00045920"/>
    <w:rsid w:val="00046460"/>
    <w:rsid w:val="00050365"/>
    <w:rsid w:val="00055AED"/>
    <w:rsid w:val="00056208"/>
    <w:rsid w:val="0005643C"/>
    <w:rsid w:val="00056EF3"/>
    <w:rsid w:val="000607D4"/>
    <w:rsid w:val="00065BDD"/>
    <w:rsid w:val="00070115"/>
    <w:rsid w:val="0007081F"/>
    <w:rsid w:val="00071B4A"/>
    <w:rsid w:val="00072919"/>
    <w:rsid w:val="00074F44"/>
    <w:rsid w:val="000756A0"/>
    <w:rsid w:val="00075A17"/>
    <w:rsid w:val="00075AF1"/>
    <w:rsid w:val="00075C85"/>
    <w:rsid w:val="00076BA5"/>
    <w:rsid w:val="000826F9"/>
    <w:rsid w:val="00086439"/>
    <w:rsid w:val="00092400"/>
    <w:rsid w:val="000A260B"/>
    <w:rsid w:val="000A5CEA"/>
    <w:rsid w:val="000A62E5"/>
    <w:rsid w:val="000B1CA7"/>
    <w:rsid w:val="000B2975"/>
    <w:rsid w:val="000B4BF2"/>
    <w:rsid w:val="000B5BA1"/>
    <w:rsid w:val="000B78E8"/>
    <w:rsid w:val="000C1E8D"/>
    <w:rsid w:val="000C337F"/>
    <w:rsid w:val="000C4541"/>
    <w:rsid w:val="000C6CA8"/>
    <w:rsid w:val="000C7A3F"/>
    <w:rsid w:val="000D26D7"/>
    <w:rsid w:val="000D2F5A"/>
    <w:rsid w:val="000D321F"/>
    <w:rsid w:val="000D3C29"/>
    <w:rsid w:val="000D514E"/>
    <w:rsid w:val="000D5DE9"/>
    <w:rsid w:val="000E50F9"/>
    <w:rsid w:val="000E5380"/>
    <w:rsid w:val="000E6A76"/>
    <w:rsid w:val="000F08EE"/>
    <w:rsid w:val="000F1202"/>
    <w:rsid w:val="000F1454"/>
    <w:rsid w:val="000F48D9"/>
    <w:rsid w:val="000F4D4E"/>
    <w:rsid w:val="000F5C82"/>
    <w:rsid w:val="000F6957"/>
    <w:rsid w:val="00104B79"/>
    <w:rsid w:val="001143EC"/>
    <w:rsid w:val="001165C6"/>
    <w:rsid w:val="00121CDE"/>
    <w:rsid w:val="00123BF8"/>
    <w:rsid w:val="001256ED"/>
    <w:rsid w:val="0012609D"/>
    <w:rsid w:val="001303B1"/>
    <w:rsid w:val="00130AD2"/>
    <w:rsid w:val="00130B12"/>
    <w:rsid w:val="00132342"/>
    <w:rsid w:val="00136F51"/>
    <w:rsid w:val="0014031B"/>
    <w:rsid w:val="001411F4"/>
    <w:rsid w:val="00141664"/>
    <w:rsid w:val="001418B8"/>
    <w:rsid w:val="00143B4D"/>
    <w:rsid w:val="0014712D"/>
    <w:rsid w:val="001524A8"/>
    <w:rsid w:val="00154813"/>
    <w:rsid w:val="001548C7"/>
    <w:rsid w:val="00155128"/>
    <w:rsid w:val="001659F0"/>
    <w:rsid w:val="00166A23"/>
    <w:rsid w:val="001704C8"/>
    <w:rsid w:val="001707F2"/>
    <w:rsid w:val="00173561"/>
    <w:rsid w:val="00176E4F"/>
    <w:rsid w:val="00181ED5"/>
    <w:rsid w:val="001834DA"/>
    <w:rsid w:val="001837F4"/>
    <w:rsid w:val="00184B7F"/>
    <w:rsid w:val="00185D85"/>
    <w:rsid w:val="00190D07"/>
    <w:rsid w:val="00193BCD"/>
    <w:rsid w:val="0019431D"/>
    <w:rsid w:val="00194FBC"/>
    <w:rsid w:val="00196A86"/>
    <w:rsid w:val="00196D6B"/>
    <w:rsid w:val="00196E07"/>
    <w:rsid w:val="001A0C29"/>
    <w:rsid w:val="001A142F"/>
    <w:rsid w:val="001A2919"/>
    <w:rsid w:val="001A3DE3"/>
    <w:rsid w:val="001A46F9"/>
    <w:rsid w:val="001A54DD"/>
    <w:rsid w:val="001A651E"/>
    <w:rsid w:val="001B1EE8"/>
    <w:rsid w:val="001B5BEA"/>
    <w:rsid w:val="001B72DA"/>
    <w:rsid w:val="001B78FF"/>
    <w:rsid w:val="001C0E64"/>
    <w:rsid w:val="001C1981"/>
    <w:rsid w:val="001C1AFF"/>
    <w:rsid w:val="001C3CB7"/>
    <w:rsid w:val="001C50CC"/>
    <w:rsid w:val="001C68F2"/>
    <w:rsid w:val="001D1850"/>
    <w:rsid w:val="001D4FB9"/>
    <w:rsid w:val="001D5102"/>
    <w:rsid w:val="001E2963"/>
    <w:rsid w:val="001E3CB7"/>
    <w:rsid w:val="001E5483"/>
    <w:rsid w:val="001F2B50"/>
    <w:rsid w:val="001F345B"/>
    <w:rsid w:val="001F4AD6"/>
    <w:rsid w:val="001F65EF"/>
    <w:rsid w:val="001F6DCF"/>
    <w:rsid w:val="002027E3"/>
    <w:rsid w:val="00206328"/>
    <w:rsid w:val="00206449"/>
    <w:rsid w:val="002113A2"/>
    <w:rsid w:val="00212E26"/>
    <w:rsid w:val="00214D65"/>
    <w:rsid w:val="00215764"/>
    <w:rsid w:val="0021638D"/>
    <w:rsid w:val="00217F59"/>
    <w:rsid w:val="00220883"/>
    <w:rsid w:val="00230077"/>
    <w:rsid w:val="002320BD"/>
    <w:rsid w:val="00233239"/>
    <w:rsid w:val="00234778"/>
    <w:rsid w:val="002369E5"/>
    <w:rsid w:val="00240A5B"/>
    <w:rsid w:val="00243DC1"/>
    <w:rsid w:val="00244482"/>
    <w:rsid w:val="00245D22"/>
    <w:rsid w:val="0024790F"/>
    <w:rsid w:val="00247A26"/>
    <w:rsid w:val="00250531"/>
    <w:rsid w:val="002510DD"/>
    <w:rsid w:val="00251ED7"/>
    <w:rsid w:val="00253145"/>
    <w:rsid w:val="0025399D"/>
    <w:rsid w:val="00256A4A"/>
    <w:rsid w:val="00256FF5"/>
    <w:rsid w:val="002575F6"/>
    <w:rsid w:val="00261C83"/>
    <w:rsid w:val="0026461A"/>
    <w:rsid w:val="00264E8A"/>
    <w:rsid w:val="00265753"/>
    <w:rsid w:val="00265B2C"/>
    <w:rsid w:val="00266956"/>
    <w:rsid w:val="00266AAA"/>
    <w:rsid w:val="00266F46"/>
    <w:rsid w:val="00270513"/>
    <w:rsid w:val="00274CF5"/>
    <w:rsid w:val="00275C48"/>
    <w:rsid w:val="00277AEF"/>
    <w:rsid w:val="002804EC"/>
    <w:rsid w:val="00280C49"/>
    <w:rsid w:val="00283662"/>
    <w:rsid w:val="00292BE5"/>
    <w:rsid w:val="00293728"/>
    <w:rsid w:val="00293B4A"/>
    <w:rsid w:val="002948B5"/>
    <w:rsid w:val="00294986"/>
    <w:rsid w:val="00294EAF"/>
    <w:rsid w:val="00295416"/>
    <w:rsid w:val="00295883"/>
    <w:rsid w:val="0029610C"/>
    <w:rsid w:val="00297EAE"/>
    <w:rsid w:val="002A4B3C"/>
    <w:rsid w:val="002A5E55"/>
    <w:rsid w:val="002A7AEA"/>
    <w:rsid w:val="002B3887"/>
    <w:rsid w:val="002B3BB4"/>
    <w:rsid w:val="002B3BFC"/>
    <w:rsid w:val="002B4BC0"/>
    <w:rsid w:val="002B50EF"/>
    <w:rsid w:val="002B538F"/>
    <w:rsid w:val="002C05E5"/>
    <w:rsid w:val="002C696D"/>
    <w:rsid w:val="002D09CD"/>
    <w:rsid w:val="002D17E4"/>
    <w:rsid w:val="002D1D64"/>
    <w:rsid w:val="002D5B4E"/>
    <w:rsid w:val="002E079A"/>
    <w:rsid w:val="002E1053"/>
    <w:rsid w:val="002E4551"/>
    <w:rsid w:val="002E6D18"/>
    <w:rsid w:val="002E796B"/>
    <w:rsid w:val="002F1119"/>
    <w:rsid w:val="002F245E"/>
    <w:rsid w:val="002F4792"/>
    <w:rsid w:val="002F4FD8"/>
    <w:rsid w:val="002F7120"/>
    <w:rsid w:val="002F7322"/>
    <w:rsid w:val="003036EA"/>
    <w:rsid w:val="0031086D"/>
    <w:rsid w:val="00312763"/>
    <w:rsid w:val="00313073"/>
    <w:rsid w:val="0031461A"/>
    <w:rsid w:val="003159EF"/>
    <w:rsid w:val="00315E02"/>
    <w:rsid w:val="00320416"/>
    <w:rsid w:val="00321DA5"/>
    <w:rsid w:val="00322EA4"/>
    <w:rsid w:val="00325832"/>
    <w:rsid w:val="00325D0D"/>
    <w:rsid w:val="00330315"/>
    <w:rsid w:val="0033138A"/>
    <w:rsid w:val="00336C99"/>
    <w:rsid w:val="00343849"/>
    <w:rsid w:val="00343BA7"/>
    <w:rsid w:val="003473CD"/>
    <w:rsid w:val="0035257E"/>
    <w:rsid w:val="00355EEA"/>
    <w:rsid w:val="003562E3"/>
    <w:rsid w:val="00356309"/>
    <w:rsid w:val="00357222"/>
    <w:rsid w:val="00364265"/>
    <w:rsid w:val="00367868"/>
    <w:rsid w:val="003678BC"/>
    <w:rsid w:val="0037085F"/>
    <w:rsid w:val="00371639"/>
    <w:rsid w:val="00373357"/>
    <w:rsid w:val="00373C07"/>
    <w:rsid w:val="00374D2C"/>
    <w:rsid w:val="00377781"/>
    <w:rsid w:val="003778E8"/>
    <w:rsid w:val="00381EC7"/>
    <w:rsid w:val="00381F52"/>
    <w:rsid w:val="003839AE"/>
    <w:rsid w:val="00383A58"/>
    <w:rsid w:val="00383C1D"/>
    <w:rsid w:val="003904F7"/>
    <w:rsid w:val="003918BD"/>
    <w:rsid w:val="00391FD0"/>
    <w:rsid w:val="0039235B"/>
    <w:rsid w:val="003924AE"/>
    <w:rsid w:val="003926CA"/>
    <w:rsid w:val="00394B36"/>
    <w:rsid w:val="00395727"/>
    <w:rsid w:val="003A2FCD"/>
    <w:rsid w:val="003A4245"/>
    <w:rsid w:val="003A4B1D"/>
    <w:rsid w:val="003A543A"/>
    <w:rsid w:val="003A7FEB"/>
    <w:rsid w:val="003B6D2D"/>
    <w:rsid w:val="003B78E0"/>
    <w:rsid w:val="003C71A3"/>
    <w:rsid w:val="003C7A89"/>
    <w:rsid w:val="003D28DC"/>
    <w:rsid w:val="003D2EF8"/>
    <w:rsid w:val="003E0DD8"/>
    <w:rsid w:val="003E2404"/>
    <w:rsid w:val="003E2BBE"/>
    <w:rsid w:val="003E4B1B"/>
    <w:rsid w:val="003E5355"/>
    <w:rsid w:val="003E5E39"/>
    <w:rsid w:val="003E6E8F"/>
    <w:rsid w:val="003E71CA"/>
    <w:rsid w:val="003F26E5"/>
    <w:rsid w:val="003F64B7"/>
    <w:rsid w:val="003F68DF"/>
    <w:rsid w:val="003F6B18"/>
    <w:rsid w:val="003F7025"/>
    <w:rsid w:val="0040134A"/>
    <w:rsid w:val="00402BE6"/>
    <w:rsid w:val="00403986"/>
    <w:rsid w:val="0040553A"/>
    <w:rsid w:val="004055D4"/>
    <w:rsid w:val="0040569C"/>
    <w:rsid w:val="00410A95"/>
    <w:rsid w:val="00411416"/>
    <w:rsid w:val="00412894"/>
    <w:rsid w:val="00413972"/>
    <w:rsid w:val="004153D6"/>
    <w:rsid w:val="00415D1E"/>
    <w:rsid w:val="00415D39"/>
    <w:rsid w:val="00416AFE"/>
    <w:rsid w:val="004176FC"/>
    <w:rsid w:val="00424BD8"/>
    <w:rsid w:val="00424D37"/>
    <w:rsid w:val="00424F07"/>
    <w:rsid w:val="004261C2"/>
    <w:rsid w:val="004267C9"/>
    <w:rsid w:val="00427249"/>
    <w:rsid w:val="00427F8D"/>
    <w:rsid w:val="00431536"/>
    <w:rsid w:val="00431C42"/>
    <w:rsid w:val="00432C99"/>
    <w:rsid w:val="004377AC"/>
    <w:rsid w:val="00437DB0"/>
    <w:rsid w:val="00441FDF"/>
    <w:rsid w:val="004424FE"/>
    <w:rsid w:val="00443C74"/>
    <w:rsid w:val="00445313"/>
    <w:rsid w:val="00446120"/>
    <w:rsid w:val="004519C8"/>
    <w:rsid w:val="00454160"/>
    <w:rsid w:val="004559D5"/>
    <w:rsid w:val="00455F7E"/>
    <w:rsid w:val="00457B84"/>
    <w:rsid w:val="00457E92"/>
    <w:rsid w:val="0046017F"/>
    <w:rsid w:val="00460809"/>
    <w:rsid w:val="00461A5D"/>
    <w:rsid w:val="00462456"/>
    <w:rsid w:val="00467BBC"/>
    <w:rsid w:val="00472C82"/>
    <w:rsid w:val="004740E4"/>
    <w:rsid w:val="004748EF"/>
    <w:rsid w:val="004756C5"/>
    <w:rsid w:val="00480BCD"/>
    <w:rsid w:val="004826E0"/>
    <w:rsid w:val="004833B1"/>
    <w:rsid w:val="00495ECD"/>
    <w:rsid w:val="004A0F57"/>
    <w:rsid w:val="004A18BA"/>
    <w:rsid w:val="004A1E95"/>
    <w:rsid w:val="004A3709"/>
    <w:rsid w:val="004A3B65"/>
    <w:rsid w:val="004A4E98"/>
    <w:rsid w:val="004A59B1"/>
    <w:rsid w:val="004A7516"/>
    <w:rsid w:val="004A7F72"/>
    <w:rsid w:val="004B2DBB"/>
    <w:rsid w:val="004B725D"/>
    <w:rsid w:val="004C13B0"/>
    <w:rsid w:val="004C3AC0"/>
    <w:rsid w:val="004C4386"/>
    <w:rsid w:val="004D02AD"/>
    <w:rsid w:val="004D30C6"/>
    <w:rsid w:val="004D5F22"/>
    <w:rsid w:val="004D6293"/>
    <w:rsid w:val="004D6546"/>
    <w:rsid w:val="004E0B40"/>
    <w:rsid w:val="004E3000"/>
    <w:rsid w:val="004E38E3"/>
    <w:rsid w:val="004E5EC6"/>
    <w:rsid w:val="004E6148"/>
    <w:rsid w:val="004F55DE"/>
    <w:rsid w:val="004F73AC"/>
    <w:rsid w:val="004F7B5C"/>
    <w:rsid w:val="00502349"/>
    <w:rsid w:val="00502D44"/>
    <w:rsid w:val="00505330"/>
    <w:rsid w:val="00506C8E"/>
    <w:rsid w:val="00506CD1"/>
    <w:rsid w:val="005131C3"/>
    <w:rsid w:val="00513A4E"/>
    <w:rsid w:val="005152A6"/>
    <w:rsid w:val="005201BE"/>
    <w:rsid w:val="00524604"/>
    <w:rsid w:val="00525EE9"/>
    <w:rsid w:val="0053021A"/>
    <w:rsid w:val="00530D50"/>
    <w:rsid w:val="00531FCF"/>
    <w:rsid w:val="005329BE"/>
    <w:rsid w:val="0053326A"/>
    <w:rsid w:val="005334B4"/>
    <w:rsid w:val="005349D4"/>
    <w:rsid w:val="00537D63"/>
    <w:rsid w:val="005407BF"/>
    <w:rsid w:val="00542508"/>
    <w:rsid w:val="00543FCF"/>
    <w:rsid w:val="00544107"/>
    <w:rsid w:val="005449BE"/>
    <w:rsid w:val="005506BE"/>
    <w:rsid w:val="005506C7"/>
    <w:rsid w:val="005506CE"/>
    <w:rsid w:val="0055079B"/>
    <w:rsid w:val="00550B2F"/>
    <w:rsid w:val="00555DDD"/>
    <w:rsid w:val="0055739D"/>
    <w:rsid w:val="0056011E"/>
    <w:rsid w:val="00562957"/>
    <w:rsid w:val="0056453E"/>
    <w:rsid w:val="00566BB4"/>
    <w:rsid w:val="00570D6F"/>
    <w:rsid w:val="0057120E"/>
    <w:rsid w:val="00571853"/>
    <w:rsid w:val="005718A8"/>
    <w:rsid w:val="00572118"/>
    <w:rsid w:val="00572CCF"/>
    <w:rsid w:val="00572E0A"/>
    <w:rsid w:val="005737C6"/>
    <w:rsid w:val="00575DF4"/>
    <w:rsid w:val="00577B4C"/>
    <w:rsid w:val="00577CA1"/>
    <w:rsid w:val="00580546"/>
    <w:rsid w:val="005842A0"/>
    <w:rsid w:val="0058472E"/>
    <w:rsid w:val="00584D37"/>
    <w:rsid w:val="0059473B"/>
    <w:rsid w:val="005953CA"/>
    <w:rsid w:val="00595C28"/>
    <w:rsid w:val="005960BA"/>
    <w:rsid w:val="005A2314"/>
    <w:rsid w:val="005A6731"/>
    <w:rsid w:val="005B352D"/>
    <w:rsid w:val="005B4C78"/>
    <w:rsid w:val="005B631B"/>
    <w:rsid w:val="005B6420"/>
    <w:rsid w:val="005C1E11"/>
    <w:rsid w:val="005C463B"/>
    <w:rsid w:val="005C5EB1"/>
    <w:rsid w:val="005C67E5"/>
    <w:rsid w:val="005C78DB"/>
    <w:rsid w:val="005D1B17"/>
    <w:rsid w:val="005D1B86"/>
    <w:rsid w:val="005D3683"/>
    <w:rsid w:val="005D3AB2"/>
    <w:rsid w:val="005D792B"/>
    <w:rsid w:val="005E0072"/>
    <w:rsid w:val="005E2966"/>
    <w:rsid w:val="005E6149"/>
    <w:rsid w:val="005E7FF4"/>
    <w:rsid w:val="005F09CC"/>
    <w:rsid w:val="005F2890"/>
    <w:rsid w:val="005F297C"/>
    <w:rsid w:val="005F3EB2"/>
    <w:rsid w:val="006001B2"/>
    <w:rsid w:val="006014DA"/>
    <w:rsid w:val="006021BF"/>
    <w:rsid w:val="006038D0"/>
    <w:rsid w:val="006044CF"/>
    <w:rsid w:val="00610C4A"/>
    <w:rsid w:val="006117A3"/>
    <w:rsid w:val="00611A86"/>
    <w:rsid w:val="00612BD3"/>
    <w:rsid w:val="00615EF2"/>
    <w:rsid w:val="00616B13"/>
    <w:rsid w:val="00620130"/>
    <w:rsid w:val="00622893"/>
    <w:rsid w:val="00625361"/>
    <w:rsid w:val="0062548D"/>
    <w:rsid w:val="00627EB6"/>
    <w:rsid w:val="00630B07"/>
    <w:rsid w:val="00631029"/>
    <w:rsid w:val="00632268"/>
    <w:rsid w:val="00632AB5"/>
    <w:rsid w:val="00633921"/>
    <w:rsid w:val="00635DAE"/>
    <w:rsid w:val="00637E05"/>
    <w:rsid w:val="00641765"/>
    <w:rsid w:val="00641801"/>
    <w:rsid w:val="00645C89"/>
    <w:rsid w:val="00647642"/>
    <w:rsid w:val="006478CA"/>
    <w:rsid w:val="00660A72"/>
    <w:rsid w:val="006633CF"/>
    <w:rsid w:val="0066588E"/>
    <w:rsid w:val="00665F3D"/>
    <w:rsid w:val="00670BE5"/>
    <w:rsid w:val="006741E5"/>
    <w:rsid w:val="006802EF"/>
    <w:rsid w:val="00685987"/>
    <w:rsid w:val="00690AD3"/>
    <w:rsid w:val="006910E6"/>
    <w:rsid w:val="00692004"/>
    <w:rsid w:val="00695302"/>
    <w:rsid w:val="00695CDD"/>
    <w:rsid w:val="0069681C"/>
    <w:rsid w:val="006A1C8A"/>
    <w:rsid w:val="006A437D"/>
    <w:rsid w:val="006A4BDB"/>
    <w:rsid w:val="006A5D28"/>
    <w:rsid w:val="006A6F51"/>
    <w:rsid w:val="006A75E7"/>
    <w:rsid w:val="006B0EC3"/>
    <w:rsid w:val="006B52A7"/>
    <w:rsid w:val="006B5D2F"/>
    <w:rsid w:val="006C0461"/>
    <w:rsid w:val="006C12C7"/>
    <w:rsid w:val="006C23C2"/>
    <w:rsid w:val="006C4521"/>
    <w:rsid w:val="006C59A5"/>
    <w:rsid w:val="006C5D2F"/>
    <w:rsid w:val="006C7FB3"/>
    <w:rsid w:val="006D629A"/>
    <w:rsid w:val="006E0CD2"/>
    <w:rsid w:val="006E1997"/>
    <w:rsid w:val="006E2EB7"/>
    <w:rsid w:val="006E5A80"/>
    <w:rsid w:val="006E63C3"/>
    <w:rsid w:val="006E76A5"/>
    <w:rsid w:val="006F0645"/>
    <w:rsid w:val="006F1700"/>
    <w:rsid w:val="006F239F"/>
    <w:rsid w:val="006F436C"/>
    <w:rsid w:val="0070070A"/>
    <w:rsid w:val="0071193F"/>
    <w:rsid w:val="0071367F"/>
    <w:rsid w:val="007236BA"/>
    <w:rsid w:val="007238DD"/>
    <w:rsid w:val="00723D02"/>
    <w:rsid w:val="00723D84"/>
    <w:rsid w:val="00723EDE"/>
    <w:rsid w:val="00724717"/>
    <w:rsid w:val="00725838"/>
    <w:rsid w:val="0072660C"/>
    <w:rsid w:val="007268B8"/>
    <w:rsid w:val="00726F9F"/>
    <w:rsid w:val="00727446"/>
    <w:rsid w:val="00727CF8"/>
    <w:rsid w:val="00730404"/>
    <w:rsid w:val="00731AB7"/>
    <w:rsid w:val="0074180F"/>
    <w:rsid w:val="007446DE"/>
    <w:rsid w:val="00745DED"/>
    <w:rsid w:val="00746019"/>
    <w:rsid w:val="00746D3F"/>
    <w:rsid w:val="00750AB2"/>
    <w:rsid w:val="007532A0"/>
    <w:rsid w:val="00755358"/>
    <w:rsid w:val="007558DB"/>
    <w:rsid w:val="00755AB9"/>
    <w:rsid w:val="007567B6"/>
    <w:rsid w:val="00756DFF"/>
    <w:rsid w:val="00756FFA"/>
    <w:rsid w:val="00757FB9"/>
    <w:rsid w:val="00760746"/>
    <w:rsid w:val="00765303"/>
    <w:rsid w:val="00766299"/>
    <w:rsid w:val="00766870"/>
    <w:rsid w:val="00767923"/>
    <w:rsid w:val="007702C7"/>
    <w:rsid w:val="007737A3"/>
    <w:rsid w:val="007738A0"/>
    <w:rsid w:val="0077606A"/>
    <w:rsid w:val="0078146D"/>
    <w:rsid w:val="00781801"/>
    <w:rsid w:val="0078318D"/>
    <w:rsid w:val="00784C33"/>
    <w:rsid w:val="0079363C"/>
    <w:rsid w:val="00793B6E"/>
    <w:rsid w:val="0079785B"/>
    <w:rsid w:val="007A4BB5"/>
    <w:rsid w:val="007A4FB6"/>
    <w:rsid w:val="007A5AEB"/>
    <w:rsid w:val="007A6AA6"/>
    <w:rsid w:val="007B1550"/>
    <w:rsid w:val="007B1B3A"/>
    <w:rsid w:val="007B2632"/>
    <w:rsid w:val="007B4E82"/>
    <w:rsid w:val="007B5D7F"/>
    <w:rsid w:val="007B66EC"/>
    <w:rsid w:val="007B7C1E"/>
    <w:rsid w:val="007C1B8F"/>
    <w:rsid w:val="007C1D1B"/>
    <w:rsid w:val="007C5329"/>
    <w:rsid w:val="007D6EC1"/>
    <w:rsid w:val="007E0835"/>
    <w:rsid w:val="007E4CD6"/>
    <w:rsid w:val="007E73D8"/>
    <w:rsid w:val="007F1574"/>
    <w:rsid w:val="007F1F0C"/>
    <w:rsid w:val="007F5589"/>
    <w:rsid w:val="007F55DE"/>
    <w:rsid w:val="007F6327"/>
    <w:rsid w:val="007F79A8"/>
    <w:rsid w:val="008005A8"/>
    <w:rsid w:val="00802CE5"/>
    <w:rsid w:val="00805098"/>
    <w:rsid w:val="00807A77"/>
    <w:rsid w:val="00814C9A"/>
    <w:rsid w:val="0081595F"/>
    <w:rsid w:val="00823A7E"/>
    <w:rsid w:val="008259FC"/>
    <w:rsid w:val="008304DA"/>
    <w:rsid w:val="00832534"/>
    <w:rsid w:val="0083284E"/>
    <w:rsid w:val="00834EDE"/>
    <w:rsid w:val="00835D1F"/>
    <w:rsid w:val="00837228"/>
    <w:rsid w:val="008444AE"/>
    <w:rsid w:val="008465BF"/>
    <w:rsid w:val="00847657"/>
    <w:rsid w:val="008503B3"/>
    <w:rsid w:val="00851B4B"/>
    <w:rsid w:val="008527D8"/>
    <w:rsid w:val="00852A19"/>
    <w:rsid w:val="00852DD8"/>
    <w:rsid w:val="00852EBB"/>
    <w:rsid w:val="008545E7"/>
    <w:rsid w:val="0085585F"/>
    <w:rsid w:val="00855FFB"/>
    <w:rsid w:val="00856C7F"/>
    <w:rsid w:val="00861293"/>
    <w:rsid w:val="00865EB1"/>
    <w:rsid w:val="0086630A"/>
    <w:rsid w:val="0087065C"/>
    <w:rsid w:val="00872A7C"/>
    <w:rsid w:val="00873081"/>
    <w:rsid w:val="00874016"/>
    <w:rsid w:val="008763F1"/>
    <w:rsid w:val="00880769"/>
    <w:rsid w:val="00883479"/>
    <w:rsid w:val="00885DD4"/>
    <w:rsid w:val="00886809"/>
    <w:rsid w:val="0088750D"/>
    <w:rsid w:val="008879C5"/>
    <w:rsid w:val="00890051"/>
    <w:rsid w:val="00890E84"/>
    <w:rsid w:val="0089306D"/>
    <w:rsid w:val="008951B3"/>
    <w:rsid w:val="00895914"/>
    <w:rsid w:val="008A1E8A"/>
    <w:rsid w:val="008A64B8"/>
    <w:rsid w:val="008B202B"/>
    <w:rsid w:val="008B3001"/>
    <w:rsid w:val="008B3CFE"/>
    <w:rsid w:val="008B5DBC"/>
    <w:rsid w:val="008B73BC"/>
    <w:rsid w:val="008C3C92"/>
    <w:rsid w:val="008C4E8A"/>
    <w:rsid w:val="008C73D5"/>
    <w:rsid w:val="008D394D"/>
    <w:rsid w:val="008D4422"/>
    <w:rsid w:val="008D640B"/>
    <w:rsid w:val="008E3C04"/>
    <w:rsid w:val="008E56E2"/>
    <w:rsid w:val="008E57F5"/>
    <w:rsid w:val="008F2FC7"/>
    <w:rsid w:val="008F35A8"/>
    <w:rsid w:val="008F46E4"/>
    <w:rsid w:val="009016E3"/>
    <w:rsid w:val="009018EF"/>
    <w:rsid w:val="009039FB"/>
    <w:rsid w:val="00905F50"/>
    <w:rsid w:val="0090766A"/>
    <w:rsid w:val="00913750"/>
    <w:rsid w:val="00913815"/>
    <w:rsid w:val="00913F09"/>
    <w:rsid w:val="00917496"/>
    <w:rsid w:val="0092151E"/>
    <w:rsid w:val="0092600D"/>
    <w:rsid w:val="00926FB8"/>
    <w:rsid w:val="00932AD3"/>
    <w:rsid w:val="0093523E"/>
    <w:rsid w:val="00935C40"/>
    <w:rsid w:val="0093630E"/>
    <w:rsid w:val="00936E99"/>
    <w:rsid w:val="00937898"/>
    <w:rsid w:val="0094212E"/>
    <w:rsid w:val="0094458A"/>
    <w:rsid w:val="0094466C"/>
    <w:rsid w:val="00945846"/>
    <w:rsid w:val="00947EC9"/>
    <w:rsid w:val="00951A8D"/>
    <w:rsid w:val="009533CE"/>
    <w:rsid w:val="00955B43"/>
    <w:rsid w:val="0095612C"/>
    <w:rsid w:val="00957036"/>
    <w:rsid w:val="00962A82"/>
    <w:rsid w:val="009662F0"/>
    <w:rsid w:val="00967BE2"/>
    <w:rsid w:val="009739A9"/>
    <w:rsid w:val="00974B43"/>
    <w:rsid w:val="009761E9"/>
    <w:rsid w:val="00977FB6"/>
    <w:rsid w:val="009809F0"/>
    <w:rsid w:val="009820A2"/>
    <w:rsid w:val="009829B0"/>
    <w:rsid w:val="00984AB0"/>
    <w:rsid w:val="0098544D"/>
    <w:rsid w:val="00987484"/>
    <w:rsid w:val="009901C6"/>
    <w:rsid w:val="009908ED"/>
    <w:rsid w:val="00994D53"/>
    <w:rsid w:val="0099688A"/>
    <w:rsid w:val="009A02C9"/>
    <w:rsid w:val="009A0D32"/>
    <w:rsid w:val="009A3371"/>
    <w:rsid w:val="009A3D6A"/>
    <w:rsid w:val="009A3F39"/>
    <w:rsid w:val="009A418D"/>
    <w:rsid w:val="009A4641"/>
    <w:rsid w:val="009A5F5B"/>
    <w:rsid w:val="009A70B1"/>
    <w:rsid w:val="009A7596"/>
    <w:rsid w:val="009B0E51"/>
    <w:rsid w:val="009B477B"/>
    <w:rsid w:val="009B50B5"/>
    <w:rsid w:val="009C0EA3"/>
    <w:rsid w:val="009C69C7"/>
    <w:rsid w:val="009D061F"/>
    <w:rsid w:val="009D187B"/>
    <w:rsid w:val="009D1E28"/>
    <w:rsid w:val="009D2385"/>
    <w:rsid w:val="009D24A0"/>
    <w:rsid w:val="009D49FE"/>
    <w:rsid w:val="009D52B6"/>
    <w:rsid w:val="009D5C8E"/>
    <w:rsid w:val="009E0499"/>
    <w:rsid w:val="009E105F"/>
    <w:rsid w:val="009E2558"/>
    <w:rsid w:val="009E3B6B"/>
    <w:rsid w:val="009E44DC"/>
    <w:rsid w:val="009E7D35"/>
    <w:rsid w:val="009F2269"/>
    <w:rsid w:val="009F2706"/>
    <w:rsid w:val="009F3382"/>
    <w:rsid w:val="009F598A"/>
    <w:rsid w:val="009F5AC3"/>
    <w:rsid w:val="009F60C9"/>
    <w:rsid w:val="00A002FE"/>
    <w:rsid w:val="00A02228"/>
    <w:rsid w:val="00A03C90"/>
    <w:rsid w:val="00A03EDD"/>
    <w:rsid w:val="00A05682"/>
    <w:rsid w:val="00A05BA7"/>
    <w:rsid w:val="00A06370"/>
    <w:rsid w:val="00A06870"/>
    <w:rsid w:val="00A06EFE"/>
    <w:rsid w:val="00A071FC"/>
    <w:rsid w:val="00A07548"/>
    <w:rsid w:val="00A11FFD"/>
    <w:rsid w:val="00A12C8D"/>
    <w:rsid w:val="00A148A6"/>
    <w:rsid w:val="00A2223B"/>
    <w:rsid w:val="00A252F0"/>
    <w:rsid w:val="00A264A9"/>
    <w:rsid w:val="00A26C90"/>
    <w:rsid w:val="00A317D9"/>
    <w:rsid w:val="00A3561D"/>
    <w:rsid w:val="00A35793"/>
    <w:rsid w:val="00A35BC5"/>
    <w:rsid w:val="00A36777"/>
    <w:rsid w:val="00A41A92"/>
    <w:rsid w:val="00A43224"/>
    <w:rsid w:val="00A440E2"/>
    <w:rsid w:val="00A45815"/>
    <w:rsid w:val="00A45D6E"/>
    <w:rsid w:val="00A5132F"/>
    <w:rsid w:val="00A5241A"/>
    <w:rsid w:val="00A53C66"/>
    <w:rsid w:val="00A54763"/>
    <w:rsid w:val="00A55CB3"/>
    <w:rsid w:val="00A57696"/>
    <w:rsid w:val="00A60795"/>
    <w:rsid w:val="00A60AF2"/>
    <w:rsid w:val="00A62455"/>
    <w:rsid w:val="00A63263"/>
    <w:rsid w:val="00A643F2"/>
    <w:rsid w:val="00A64F8F"/>
    <w:rsid w:val="00A711EB"/>
    <w:rsid w:val="00A8009D"/>
    <w:rsid w:val="00A80AAB"/>
    <w:rsid w:val="00A81A7A"/>
    <w:rsid w:val="00A90C1C"/>
    <w:rsid w:val="00A90DDC"/>
    <w:rsid w:val="00A90E13"/>
    <w:rsid w:val="00A92667"/>
    <w:rsid w:val="00A92A1A"/>
    <w:rsid w:val="00A936E7"/>
    <w:rsid w:val="00A9562A"/>
    <w:rsid w:val="00A959A5"/>
    <w:rsid w:val="00A97408"/>
    <w:rsid w:val="00A97998"/>
    <w:rsid w:val="00A979D9"/>
    <w:rsid w:val="00AA0995"/>
    <w:rsid w:val="00AA0FDA"/>
    <w:rsid w:val="00AA1865"/>
    <w:rsid w:val="00AA2CF3"/>
    <w:rsid w:val="00AA3118"/>
    <w:rsid w:val="00AA6B88"/>
    <w:rsid w:val="00AA772B"/>
    <w:rsid w:val="00AB0817"/>
    <w:rsid w:val="00AB0F96"/>
    <w:rsid w:val="00AB1AAB"/>
    <w:rsid w:val="00AB1AB2"/>
    <w:rsid w:val="00AB2E38"/>
    <w:rsid w:val="00AB472B"/>
    <w:rsid w:val="00AC04F7"/>
    <w:rsid w:val="00AC0B2F"/>
    <w:rsid w:val="00AC1550"/>
    <w:rsid w:val="00AC3AB3"/>
    <w:rsid w:val="00AC3F91"/>
    <w:rsid w:val="00AC6628"/>
    <w:rsid w:val="00AC66EF"/>
    <w:rsid w:val="00AC6BDD"/>
    <w:rsid w:val="00AC7CD8"/>
    <w:rsid w:val="00AD4123"/>
    <w:rsid w:val="00AE14EE"/>
    <w:rsid w:val="00AE15EA"/>
    <w:rsid w:val="00AE1773"/>
    <w:rsid w:val="00AE20C6"/>
    <w:rsid w:val="00AE2ECF"/>
    <w:rsid w:val="00AE4505"/>
    <w:rsid w:val="00AE52B0"/>
    <w:rsid w:val="00AE5C1F"/>
    <w:rsid w:val="00AE5F0C"/>
    <w:rsid w:val="00AF06D9"/>
    <w:rsid w:val="00AF3DA6"/>
    <w:rsid w:val="00AF4C34"/>
    <w:rsid w:val="00AF61C0"/>
    <w:rsid w:val="00AF65F0"/>
    <w:rsid w:val="00B0026F"/>
    <w:rsid w:val="00B012DE"/>
    <w:rsid w:val="00B05458"/>
    <w:rsid w:val="00B07152"/>
    <w:rsid w:val="00B1214A"/>
    <w:rsid w:val="00B1328E"/>
    <w:rsid w:val="00B13707"/>
    <w:rsid w:val="00B13CD0"/>
    <w:rsid w:val="00B208E4"/>
    <w:rsid w:val="00B2233E"/>
    <w:rsid w:val="00B24A31"/>
    <w:rsid w:val="00B25107"/>
    <w:rsid w:val="00B25E59"/>
    <w:rsid w:val="00B31F81"/>
    <w:rsid w:val="00B32A76"/>
    <w:rsid w:val="00B32C88"/>
    <w:rsid w:val="00B331B2"/>
    <w:rsid w:val="00B33284"/>
    <w:rsid w:val="00B37FB0"/>
    <w:rsid w:val="00B4237D"/>
    <w:rsid w:val="00B424BA"/>
    <w:rsid w:val="00B42656"/>
    <w:rsid w:val="00B443B4"/>
    <w:rsid w:val="00B45888"/>
    <w:rsid w:val="00B45B15"/>
    <w:rsid w:val="00B51D96"/>
    <w:rsid w:val="00B529C4"/>
    <w:rsid w:val="00B5317F"/>
    <w:rsid w:val="00B53BAF"/>
    <w:rsid w:val="00B53BD7"/>
    <w:rsid w:val="00B55825"/>
    <w:rsid w:val="00B558D2"/>
    <w:rsid w:val="00B56096"/>
    <w:rsid w:val="00B6637D"/>
    <w:rsid w:val="00B666EF"/>
    <w:rsid w:val="00B671A0"/>
    <w:rsid w:val="00B672EC"/>
    <w:rsid w:val="00B703FD"/>
    <w:rsid w:val="00B7176B"/>
    <w:rsid w:val="00B728F9"/>
    <w:rsid w:val="00B73509"/>
    <w:rsid w:val="00B8141F"/>
    <w:rsid w:val="00B83D1A"/>
    <w:rsid w:val="00B84566"/>
    <w:rsid w:val="00B85D52"/>
    <w:rsid w:val="00B86890"/>
    <w:rsid w:val="00B86FE6"/>
    <w:rsid w:val="00B90E88"/>
    <w:rsid w:val="00B91501"/>
    <w:rsid w:val="00B919EE"/>
    <w:rsid w:val="00B92D7E"/>
    <w:rsid w:val="00BA33E7"/>
    <w:rsid w:val="00BA48C0"/>
    <w:rsid w:val="00BA4E83"/>
    <w:rsid w:val="00BB09D4"/>
    <w:rsid w:val="00BB21E1"/>
    <w:rsid w:val="00BC035C"/>
    <w:rsid w:val="00BC2979"/>
    <w:rsid w:val="00BC5201"/>
    <w:rsid w:val="00BC5D73"/>
    <w:rsid w:val="00BC6742"/>
    <w:rsid w:val="00BC7490"/>
    <w:rsid w:val="00BC74D7"/>
    <w:rsid w:val="00BC78CE"/>
    <w:rsid w:val="00BD0EA1"/>
    <w:rsid w:val="00BD11D6"/>
    <w:rsid w:val="00BD3DB6"/>
    <w:rsid w:val="00BD5A2E"/>
    <w:rsid w:val="00BD751A"/>
    <w:rsid w:val="00BE20B2"/>
    <w:rsid w:val="00BE4FFC"/>
    <w:rsid w:val="00BF1387"/>
    <w:rsid w:val="00BF27F1"/>
    <w:rsid w:val="00BF3297"/>
    <w:rsid w:val="00BF3B42"/>
    <w:rsid w:val="00BF402E"/>
    <w:rsid w:val="00BF4915"/>
    <w:rsid w:val="00BF4B96"/>
    <w:rsid w:val="00C01AD0"/>
    <w:rsid w:val="00C030CD"/>
    <w:rsid w:val="00C045E5"/>
    <w:rsid w:val="00C0504F"/>
    <w:rsid w:val="00C0765F"/>
    <w:rsid w:val="00C07C56"/>
    <w:rsid w:val="00C137F2"/>
    <w:rsid w:val="00C1421A"/>
    <w:rsid w:val="00C15351"/>
    <w:rsid w:val="00C1584D"/>
    <w:rsid w:val="00C162F0"/>
    <w:rsid w:val="00C16CC2"/>
    <w:rsid w:val="00C21580"/>
    <w:rsid w:val="00C23D41"/>
    <w:rsid w:val="00C243BC"/>
    <w:rsid w:val="00C24668"/>
    <w:rsid w:val="00C25308"/>
    <w:rsid w:val="00C255A7"/>
    <w:rsid w:val="00C258AC"/>
    <w:rsid w:val="00C27942"/>
    <w:rsid w:val="00C337B7"/>
    <w:rsid w:val="00C352E4"/>
    <w:rsid w:val="00C37976"/>
    <w:rsid w:val="00C45B01"/>
    <w:rsid w:val="00C45D94"/>
    <w:rsid w:val="00C4698B"/>
    <w:rsid w:val="00C55371"/>
    <w:rsid w:val="00C553EC"/>
    <w:rsid w:val="00C555A4"/>
    <w:rsid w:val="00C55AB7"/>
    <w:rsid w:val="00C55ACC"/>
    <w:rsid w:val="00C6143B"/>
    <w:rsid w:val="00C637D6"/>
    <w:rsid w:val="00C64598"/>
    <w:rsid w:val="00C6657F"/>
    <w:rsid w:val="00C67013"/>
    <w:rsid w:val="00C720A2"/>
    <w:rsid w:val="00C7230E"/>
    <w:rsid w:val="00C72A5F"/>
    <w:rsid w:val="00C74859"/>
    <w:rsid w:val="00C816F8"/>
    <w:rsid w:val="00C8474B"/>
    <w:rsid w:val="00C870B6"/>
    <w:rsid w:val="00C90170"/>
    <w:rsid w:val="00C90EDD"/>
    <w:rsid w:val="00C92ED5"/>
    <w:rsid w:val="00CA05BC"/>
    <w:rsid w:val="00CA0D71"/>
    <w:rsid w:val="00CA0E37"/>
    <w:rsid w:val="00CA262C"/>
    <w:rsid w:val="00CA2A97"/>
    <w:rsid w:val="00CA3960"/>
    <w:rsid w:val="00CB0677"/>
    <w:rsid w:val="00CB1696"/>
    <w:rsid w:val="00CC3889"/>
    <w:rsid w:val="00CC3D49"/>
    <w:rsid w:val="00CC5DA5"/>
    <w:rsid w:val="00CD0B61"/>
    <w:rsid w:val="00CD214D"/>
    <w:rsid w:val="00CD4977"/>
    <w:rsid w:val="00CD4D29"/>
    <w:rsid w:val="00CD5427"/>
    <w:rsid w:val="00CE143E"/>
    <w:rsid w:val="00CE48BF"/>
    <w:rsid w:val="00CF1AAC"/>
    <w:rsid w:val="00CF31B8"/>
    <w:rsid w:val="00CF3D52"/>
    <w:rsid w:val="00CF4653"/>
    <w:rsid w:val="00CF492A"/>
    <w:rsid w:val="00CF4DE8"/>
    <w:rsid w:val="00CF6792"/>
    <w:rsid w:val="00CF6EAD"/>
    <w:rsid w:val="00D06931"/>
    <w:rsid w:val="00D12CAF"/>
    <w:rsid w:val="00D13280"/>
    <w:rsid w:val="00D13923"/>
    <w:rsid w:val="00D1698A"/>
    <w:rsid w:val="00D16A49"/>
    <w:rsid w:val="00D2261A"/>
    <w:rsid w:val="00D260FE"/>
    <w:rsid w:val="00D43D4D"/>
    <w:rsid w:val="00D57E7B"/>
    <w:rsid w:val="00D616C1"/>
    <w:rsid w:val="00D64DC5"/>
    <w:rsid w:val="00D65F9B"/>
    <w:rsid w:val="00D6662E"/>
    <w:rsid w:val="00D679E2"/>
    <w:rsid w:val="00D73247"/>
    <w:rsid w:val="00D8223A"/>
    <w:rsid w:val="00D8458A"/>
    <w:rsid w:val="00D85E87"/>
    <w:rsid w:val="00D85E94"/>
    <w:rsid w:val="00D872E5"/>
    <w:rsid w:val="00D873D6"/>
    <w:rsid w:val="00D87A4B"/>
    <w:rsid w:val="00D87A82"/>
    <w:rsid w:val="00D94293"/>
    <w:rsid w:val="00D9463C"/>
    <w:rsid w:val="00D94BC3"/>
    <w:rsid w:val="00D9515A"/>
    <w:rsid w:val="00D97AD1"/>
    <w:rsid w:val="00DA1C99"/>
    <w:rsid w:val="00DA30D4"/>
    <w:rsid w:val="00DA34C5"/>
    <w:rsid w:val="00DA3B07"/>
    <w:rsid w:val="00DA44A4"/>
    <w:rsid w:val="00DA4AE5"/>
    <w:rsid w:val="00DA5924"/>
    <w:rsid w:val="00DA7E40"/>
    <w:rsid w:val="00DB1959"/>
    <w:rsid w:val="00DB32FF"/>
    <w:rsid w:val="00DB3474"/>
    <w:rsid w:val="00DB491A"/>
    <w:rsid w:val="00DB682A"/>
    <w:rsid w:val="00DB6FD4"/>
    <w:rsid w:val="00DC1E27"/>
    <w:rsid w:val="00DC5888"/>
    <w:rsid w:val="00DD1519"/>
    <w:rsid w:val="00DD1FB1"/>
    <w:rsid w:val="00DD4A57"/>
    <w:rsid w:val="00DD4D01"/>
    <w:rsid w:val="00DD66F0"/>
    <w:rsid w:val="00DD7985"/>
    <w:rsid w:val="00DE45AA"/>
    <w:rsid w:val="00DE4901"/>
    <w:rsid w:val="00DE5B26"/>
    <w:rsid w:val="00DE766C"/>
    <w:rsid w:val="00DE78D0"/>
    <w:rsid w:val="00DE790F"/>
    <w:rsid w:val="00DF03C2"/>
    <w:rsid w:val="00DF12BE"/>
    <w:rsid w:val="00DF2A97"/>
    <w:rsid w:val="00E03E6D"/>
    <w:rsid w:val="00E0438B"/>
    <w:rsid w:val="00E07B01"/>
    <w:rsid w:val="00E12E28"/>
    <w:rsid w:val="00E15D14"/>
    <w:rsid w:val="00E20F2B"/>
    <w:rsid w:val="00E227FF"/>
    <w:rsid w:val="00E22C56"/>
    <w:rsid w:val="00E25042"/>
    <w:rsid w:val="00E26969"/>
    <w:rsid w:val="00E269BA"/>
    <w:rsid w:val="00E3578B"/>
    <w:rsid w:val="00E40D53"/>
    <w:rsid w:val="00E40E5F"/>
    <w:rsid w:val="00E41D23"/>
    <w:rsid w:val="00E4390F"/>
    <w:rsid w:val="00E455E0"/>
    <w:rsid w:val="00E53369"/>
    <w:rsid w:val="00E575B1"/>
    <w:rsid w:val="00E578C5"/>
    <w:rsid w:val="00E60CAD"/>
    <w:rsid w:val="00E618AE"/>
    <w:rsid w:val="00E67265"/>
    <w:rsid w:val="00E70592"/>
    <w:rsid w:val="00E716E0"/>
    <w:rsid w:val="00E71BED"/>
    <w:rsid w:val="00E74899"/>
    <w:rsid w:val="00E753DF"/>
    <w:rsid w:val="00E77325"/>
    <w:rsid w:val="00E81B33"/>
    <w:rsid w:val="00E81D71"/>
    <w:rsid w:val="00E839EF"/>
    <w:rsid w:val="00E85C37"/>
    <w:rsid w:val="00E86E2A"/>
    <w:rsid w:val="00E902A9"/>
    <w:rsid w:val="00E92A1C"/>
    <w:rsid w:val="00E92C60"/>
    <w:rsid w:val="00E93A11"/>
    <w:rsid w:val="00E940DA"/>
    <w:rsid w:val="00E94513"/>
    <w:rsid w:val="00EA3BA2"/>
    <w:rsid w:val="00EA48B8"/>
    <w:rsid w:val="00EA6EC8"/>
    <w:rsid w:val="00EB01B6"/>
    <w:rsid w:val="00EB1F35"/>
    <w:rsid w:val="00EB2B87"/>
    <w:rsid w:val="00EB39C5"/>
    <w:rsid w:val="00EB47D5"/>
    <w:rsid w:val="00EB6C44"/>
    <w:rsid w:val="00EC07CF"/>
    <w:rsid w:val="00EC0FB5"/>
    <w:rsid w:val="00EC29FA"/>
    <w:rsid w:val="00EC2CB4"/>
    <w:rsid w:val="00EC2FAA"/>
    <w:rsid w:val="00EC36BA"/>
    <w:rsid w:val="00EC3ACA"/>
    <w:rsid w:val="00EC6E7D"/>
    <w:rsid w:val="00ED080B"/>
    <w:rsid w:val="00ED0E03"/>
    <w:rsid w:val="00ED12E8"/>
    <w:rsid w:val="00ED3B82"/>
    <w:rsid w:val="00ED3E72"/>
    <w:rsid w:val="00ED4B6D"/>
    <w:rsid w:val="00ED6893"/>
    <w:rsid w:val="00EE564B"/>
    <w:rsid w:val="00EE79D6"/>
    <w:rsid w:val="00EF0D03"/>
    <w:rsid w:val="00EF0E84"/>
    <w:rsid w:val="00EF18D1"/>
    <w:rsid w:val="00EF35FB"/>
    <w:rsid w:val="00EF5154"/>
    <w:rsid w:val="00EF5351"/>
    <w:rsid w:val="00EF7338"/>
    <w:rsid w:val="00F041C4"/>
    <w:rsid w:val="00F04FF1"/>
    <w:rsid w:val="00F06646"/>
    <w:rsid w:val="00F0691A"/>
    <w:rsid w:val="00F07FF9"/>
    <w:rsid w:val="00F1082E"/>
    <w:rsid w:val="00F22EB4"/>
    <w:rsid w:val="00F238DF"/>
    <w:rsid w:val="00F24726"/>
    <w:rsid w:val="00F25204"/>
    <w:rsid w:val="00F25935"/>
    <w:rsid w:val="00F306C7"/>
    <w:rsid w:val="00F32F05"/>
    <w:rsid w:val="00F33DDF"/>
    <w:rsid w:val="00F374A1"/>
    <w:rsid w:val="00F40389"/>
    <w:rsid w:val="00F41B8B"/>
    <w:rsid w:val="00F424B8"/>
    <w:rsid w:val="00F43200"/>
    <w:rsid w:val="00F436AA"/>
    <w:rsid w:val="00F43FF6"/>
    <w:rsid w:val="00F51AD2"/>
    <w:rsid w:val="00F53829"/>
    <w:rsid w:val="00F57097"/>
    <w:rsid w:val="00F61CAD"/>
    <w:rsid w:val="00F62AA7"/>
    <w:rsid w:val="00F643E6"/>
    <w:rsid w:val="00F66DD2"/>
    <w:rsid w:val="00F67C9D"/>
    <w:rsid w:val="00F70820"/>
    <w:rsid w:val="00F81A86"/>
    <w:rsid w:val="00F86DB5"/>
    <w:rsid w:val="00F86E3C"/>
    <w:rsid w:val="00F86E7B"/>
    <w:rsid w:val="00F9117A"/>
    <w:rsid w:val="00F92891"/>
    <w:rsid w:val="00F97162"/>
    <w:rsid w:val="00FA16EF"/>
    <w:rsid w:val="00FA4865"/>
    <w:rsid w:val="00FA4AA2"/>
    <w:rsid w:val="00FB0A47"/>
    <w:rsid w:val="00FB3025"/>
    <w:rsid w:val="00FB56AE"/>
    <w:rsid w:val="00FB5E5B"/>
    <w:rsid w:val="00FC26A7"/>
    <w:rsid w:val="00FC4DF5"/>
    <w:rsid w:val="00FC5AA6"/>
    <w:rsid w:val="00FC6823"/>
    <w:rsid w:val="00FC7BCC"/>
    <w:rsid w:val="00FC7FDF"/>
    <w:rsid w:val="00FD2929"/>
    <w:rsid w:val="00FD3118"/>
    <w:rsid w:val="00FD4590"/>
    <w:rsid w:val="00FD796D"/>
    <w:rsid w:val="00FE251C"/>
    <w:rsid w:val="00FE3329"/>
    <w:rsid w:val="00FE4A64"/>
    <w:rsid w:val="00FF00AD"/>
    <w:rsid w:val="00FF2317"/>
    <w:rsid w:val="00FF2E1D"/>
    <w:rsid w:val="00FF5553"/>
    <w:rsid w:val="00FF5906"/>
    <w:rsid w:val="01BB63F3"/>
    <w:rsid w:val="021B6523"/>
    <w:rsid w:val="023575E5"/>
    <w:rsid w:val="023A109F"/>
    <w:rsid w:val="03283ED9"/>
    <w:rsid w:val="03993BA4"/>
    <w:rsid w:val="083E11BD"/>
    <w:rsid w:val="0939616D"/>
    <w:rsid w:val="09E33DCA"/>
    <w:rsid w:val="09F67759"/>
    <w:rsid w:val="0B177790"/>
    <w:rsid w:val="0CBB102F"/>
    <w:rsid w:val="0D4B4CD3"/>
    <w:rsid w:val="0E0252AE"/>
    <w:rsid w:val="10635C65"/>
    <w:rsid w:val="132C05F4"/>
    <w:rsid w:val="13A870C3"/>
    <w:rsid w:val="15212E8E"/>
    <w:rsid w:val="161B2B0B"/>
    <w:rsid w:val="168F779C"/>
    <w:rsid w:val="189866C8"/>
    <w:rsid w:val="18B9541C"/>
    <w:rsid w:val="18EA6F23"/>
    <w:rsid w:val="1A366198"/>
    <w:rsid w:val="1A3F6DFB"/>
    <w:rsid w:val="1B4D72F6"/>
    <w:rsid w:val="1C0E2F29"/>
    <w:rsid w:val="1CB41B29"/>
    <w:rsid w:val="1CFE2A48"/>
    <w:rsid w:val="1D1125A5"/>
    <w:rsid w:val="1D3A6989"/>
    <w:rsid w:val="1D5801D4"/>
    <w:rsid w:val="1E8C282B"/>
    <w:rsid w:val="21D80319"/>
    <w:rsid w:val="251D54C7"/>
    <w:rsid w:val="296D29C2"/>
    <w:rsid w:val="2A1E144D"/>
    <w:rsid w:val="2C9C632F"/>
    <w:rsid w:val="2FC76426"/>
    <w:rsid w:val="30191A45"/>
    <w:rsid w:val="31411253"/>
    <w:rsid w:val="32110C25"/>
    <w:rsid w:val="324B1ED4"/>
    <w:rsid w:val="325133BE"/>
    <w:rsid w:val="32AA4049"/>
    <w:rsid w:val="344A6670"/>
    <w:rsid w:val="344C4197"/>
    <w:rsid w:val="34AF7768"/>
    <w:rsid w:val="35E93C67"/>
    <w:rsid w:val="35EF127D"/>
    <w:rsid w:val="367A2181"/>
    <w:rsid w:val="38787C50"/>
    <w:rsid w:val="38B2278E"/>
    <w:rsid w:val="3A991BBE"/>
    <w:rsid w:val="3BCB0097"/>
    <w:rsid w:val="3C74072E"/>
    <w:rsid w:val="3FB138EF"/>
    <w:rsid w:val="4001677D"/>
    <w:rsid w:val="421877CE"/>
    <w:rsid w:val="436074C4"/>
    <w:rsid w:val="438F79B8"/>
    <w:rsid w:val="4441183E"/>
    <w:rsid w:val="44B0339B"/>
    <w:rsid w:val="45267BCC"/>
    <w:rsid w:val="455455A1"/>
    <w:rsid w:val="46E2098A"/>
    <w:rsid w:val="47BA7062"/>
    <w:rsid w:val="4A1D6A8A"/>
    <w:rsid w:val="4AEA6060"/>
    <w:rsid w:val="4D5824E1"/>
    <w:rsid w:val="4D9E78F3"/>
    <w:rsid w:val="4EFE4A29"/>
    <w:rsid w:val="4FDF614C"/>
    <w:rsid w:val="507408A5"/>
    <w:rsid w:val="51616E44"/>
    <w:rsid w:val="51AB6549"/>
    <w:rsid w:val="51F577C4"/>
    <w:rsid w:val="52021EE1"/>
    <w:rsid w:val="52466271"/>
    <w:rsid w:val="53DB0C3B"/>
    <w:rsid w:val="55A0038E"/>
    <w:rsid w:val="566664A3"/>
    <w:rsid w:val="575C2093"/>
    <w:rsid w:val="58020E8D"/>
    <w:rsid w:val="5BFB631F"/>
    <w:rsid w:val="5C13269F"/>
    <w:rsid w:val="5C633E69"/>
    <w:rsid w:val="5D9E3405"/>
    <w:rsid w:val="5F427DC1"/>
    <w:rsid w:val="639826A5"/>
    <w:rsid w:val="64236413"/>
    <w:rsid w:val="651153A0"/>
    <w:rsid w:val="66297900"/>
    <w:rsid w:val="66EA3218"/>
    <w:rsid w:val="68E25001"/>
    <w:rsid w:val="69766FE4"/>
    <w:rsid w:val="6BA22313"/>
    <w:rsid w:val="6C7A233B"/>
    <w:rsid w:val="6D657A9C"/>
    <w:rsid w:val="6E912A5B"/>
    <w:rsid w:val="71C16BA1"/>
    <w:rsid w:val="733028FA"/>
    <w:rsid w:val="734F0FD2"/>
    <w:rsid w:val="748D14F6"/>
    <w:rsid w:val="762F217F"/>
    <w:rsid w:val="766C59F7"/>
    <w:rsid w:val="77B51620"/>
    <w:rsid w:val="77C26E75"/>
    <w:rsid w:val="798C015E"/>
    <w:rsid w:val="7CE456E0"/>
    <w:rsid w:val="7EE57FE3"/>
    <w:rsid w:val="7EE973FB"/>
    <w:rsid w:val="7FB144E0"/>
    <w:rsid w:val="7FC51B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8"/>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List Number 2"/>
    <w:basedOn w:val="1"/>
    <w:autoRedefine/>
    <w:unhideWhenUsed/>
    <w:qFormat/>
    <w:uiPriority w:val="1"/>
    <w:pPr>
      <w:widowControl/>
      <w:numPr>
        <w:ilvl w:val="1"/>
        <w:numId w:val="1"/>
      </w:numPr>
      <w:tabs>
        <w:tab w:val="left" w:pos="360"/>
        <w:tab w:val="clear" w:pos="432"/>
      </w:tabs>
      <w:ind w:left="431" w:hanging="431"/>
      <w:contextualSpacing/>
      <w:jc w:val="left"/>
    </w:pPr>
    <w:rPr>
      <w:rFonts w:eastAsia="微软雅黑" w:asciiTheme="minorHAnsi" w:hAnsiTheme="minorHAnsi" w:cstheme="minorBidi"/>
      <w:color w:val="585858" w:themeColor="text1" w:themeTint="A6"/>
      <w:kern w:val="20"/>
      <w:lang w:val="zh-CN"/>
    </w:rPr>
  </w:style>
  <w:style w:type="paragraph" w:styleId="4">
    <w:name w:val="List Number"/>
    <w:basedOn w:val="1"/>
    <w:autoRedefine/>
    <w:unhideWhenUsed/>
    <w:qFormat/>
    <w:uiPriority w:val="1"/>
    <w:pPr>
      <w:widowControl/>
      <w:numPr>
        <w:ilvl w:val="0"/>
        <w:numId w:val="1"/>
      </w:numPr>
      <w:ind w:left="357" w:hanging="357"/>
      <w:contextualSpacing/>
      <w:jc w:val="left"/>
    </w:pPr>
    <w:rPr>
      <w:rFonts w:eastAsia="微软雅黑" w:asciiTheme="minorHAnsi" w:hAnsiTheme="minorHAnsi" w:cstheme="minorBidi"/>
      <w:color w:val="585858" w:themeColor="text1" w:themeTint="A6"/>
      <w:kern w:val="20"/>
      <w:lang w:val="zh-CN"/>
    </w:rPr>
  </w:style>
  <w:style w:type="paragraph" w:styleId="5">
    <w:name w:val="annotation text"/>
    <w:basedOn w:val="1"/>
    <w:link w:val="52"/>
    <w:autoRedefine/>
    <w:semiHidden/>
    <w:unhideWhenUsed/>
    <w:qFormat/>
    <w:uiPriority w:val="99"/>
    <w:pPr>
      <w:jc w:val="left"/>
    </w:pPr>
  </w:style>
  <w:style w:type="paragraph" w:styleId="6">
    <w:name w:val="Body Text"/>
    <w:basedOn w:val="1"/>
    <w:link w:val="51"/>
    <w:autoRedefine/>
    <w:semiHidden/>
    <w:unhideWhenUsed/>
    <w:qFormat/>
    <w:uiPriority w:val="99"/>
    <w:pPr>
      <w:spacing w:after="120"/>
    </w:pPr>
  </w:style>
  <w:style w:type="paragraph" w:styleId="7">
    <w:name w:val="Body Text Indent"/>
    <w:basedOn w:val="1"/>
    <w:link w:val="30"/>
    <w:autoRedefine/>
    <w:qFormat/>
    <w:uiPriority w:val="0"/>
    <w:pPr>
      <w:tabs>
        <w:tab w:val="left" w:pos="480"/>
      </w:tabs>
      <w:spacing w:line="560" w:lineRule="exact"/>
      <w:ind w:firstLine="480"/>
      <w:jc w:val="left"/>
    </w:pPr>
    <w:rPr>
      <w:rFonts w:ascii="宋体" w:hAnsi="宋体"/>
      <w:sz w:val="24"/>
    </w:rPr>
  </w:style>
  <w:style w:type="paragraph" w:styleId="8">
    <w:name w:val="List Number 3"/>
    <w:basedOn w:val="1"/>
    <w:autoRedefine/>
    <w:unhideWhenUsed/>
    <w:qFormat/>
    <w:uiPriority w:val="18"/>
    <w:pPr>
      <w:widowControl/>
      <w:numPr>
        <w:ilvl w:val="2"/>
        <w:numId w:val="1"/>
      </w:numPr>
      <w:spacing w:before="40" w:after="160"/>
      <w:contextualSpacing/>
      <w:jc w:val="left"/>
    </w:pPr>
    <w:rPr>
      <w:rFonts w:eastAsia="微软雅黑" w:asciiTheme="minorHAnsi" w:hAnsiTheme="minorHAnsi" w:cstheme="minorBidi"/>
      <w:color w:val="585858" w:themeColor="text1" w:themeTint="A6"/>
      <w:kern w:val="20"/>
      <w:lang w:val="zh-CN"/>
    </w:rPr>
  </w:style>
  <w:style w:type="paragraph" w:styleId="9">
    <w:name w:val="Plain Text"/>
    <w:basedOn w:val="1"/>
    <w:link w:val="42"/>
    <w:autoRedefine/>
    <w:qFormat/>
    <w:uiPriority w:val="0"/>
    <w:rPr>
      <w:rFonts w:ascii="宋体" w:hAnsi="Courier New"/>
    </w:rPr>
  </w:style>
  <w:style w:type="paragraph" w:styleId="10">
    <w:name w:val="List Number 4"/>
    <w:basedOn w:val="1"/>
    <w:autoRedefine/>
    <w:unhideWhenUsed/>
    <w:qFormat/>
    <w:uiPriority w:val="18"/>
    <w:pPr>
      <w:widowControl/>
      <w:numPr>
        <w:ilvl w:val="3"/>
        <w:numId w:val="1"/>
      </w:numPr>
      <w:spacing w:before="40" w:after="160"/>
      <w:contextualSpacing/>
      <w:jc w:val="left"/>
    </w:pPr>
    <w:rPr>
      <w:rFonts w:eastAsia="微软雅黑" w:asciiTheme="minorHAnsi" w:hAnsiTheme="minorHAnsi" w:cstheme="minorBidi"/>
      <w:color w:val="585858" w:themeColor="text1" w:themeTint="A6"/>
      <w:kern w:val="20"/>
      <w:lang w:val="zh-CN"/>
    </w:rPr>
  </w:style>
  <w:style w:type="paragraph" w:styleId="11">
    <w:name w:val="Date"/>
    <w:basedOn w:val="1"/>
    <w:next w:val="1"/>
    <w:link w:val="35"/>
    <w:autoRedefine/>
    <w:qFormat/>
    <w:uiPriority w:val="0"/>
    <w:pPr>
      <w:adjustRightInd w:val="0"/>
      <w:spacing w:line="360" w:lineRule="atLeast"/>
      <w:textAlignment w:val="baseline"/>
    </w:pPr>
    <w:rPr>
      <w:sz w:val="32"/>
    </w:rPr>
  </w:style>
  <w:style w:type="paragraph" w:styleId="12">
    <w:name w:val="Body Text Indent 2"/>
    <w:basedOn w:val="1"/>
    <w:link w:val="37"/>
    <w:autoRedefine/>
    <w:semiHidden/>
    <w:unhideWhenUsed/>
    <w:qFormat/>
    <w:uiPriority w:val="99"/>
    <w:pPr>
      <w:spacing w:after="120" w:line="480" w:lineRule="auto"/>
      <w:ind w:left="420" w:leftChars="200"/>
    </w:p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autoRedefine/>
    <w:qFormat/>
    <w:uiPriority w:val="0"/>
    <w:pPr>
      <w:spacing w:before="240" w:after="60" w:line="312" w:lineRule="auto"/>
      <w:jc w:val="center"/>
      <w:outlineLvl w:val="1"/>
    </w:pPr>
    <w:rPr>
      <w:rFonts w:ascii="Cambria" w:hAnsi="Cambria"/>
      <w:b/>
      <w:bCs/>
      <w:kern w:val="28"/>
      <w:sz w:val="32"/>
      <w:szCs w:val="32"/>
    </w:rPr>
  </w:style>
  <w:style w:type="paragraph" w:styleId="16">
    <w:name w:val="List Number 5"/>
    <w:basedOn w:val="1"/>
    <w:autoRedefine/>
    <w:unhideWhenUsed/>
    <w:qFormat/>
    <w:uiPriority w:val="18"/>
    <w:pPr>
      <w:widowControl/>
      <w:numPr>
        <w:ilvl w:val="4"/>
        <w:numId w:val="1"/>
      </w:numPr>
      <w:spacing w:before="40" w:after="160"/>
      <w:contextualSpacing/>
      <w:jc w:val="left"/>
    </w:pPr>
    <w:rPr>
      <w:rFonts w:eastAsia="微软雅黑" w:asciiTheme="minorHAnsi" w:hAnsiTheme="minorHAnsi" w:cstheme="minorBidi"/>
      <w:color w:val="585858" w:themeColor="text1" w:themeTint="A6"/>
      <w:kern w:val="20"/>
      <w:lang w:val="zh-CN"/>
    </w:rPr>
  </w:style>
  <w:style w:type="paragraph" w:styleId="17">
    <w:name w:val="Body Text Indent 3"/>
    <w:basedOn w:val="1"/>
    <w:link w:val="43"/>
    <w:autoRedefine/>
    <w:semiHidden/>
    <w:unhideWhenUsed/>
    <w:qFormat/>
    <w:uiPriority w:val="99"/>
    <w:pPr>
      <w:spacing w:after="120"/>
      <w:ind w:left="420" w:leftChars="200"/>
    </w:pPr>
    <w:rPr>
      <w:sz w:val="16"/>
      <w:szCs w:val="16"/>
    </w:rPr>
  </w:style>
  <w:style w:type="paragraph" w:styleId="18">
    <w:name w:val="Body Text 2"/>
    <w:basedOn w:val="1"/>
    <w:link w:val="39"/>
    <w:autoRedefine/>
    <w:semiHidden/>
    <w:unhideWhenUsed/>
    <w:qFormat/>
    <w:uiPriority w:val="99"/>
    <w:pPr>
      <w:spacing w:after="120" w:line="480" w:lineRule="auto"/>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bCs/>
    </w:rPr>
  </w:style>
  <w:style w:type="character" w:styleId="23">
    <w:name w:val="FollowedHyperlink"/>
    <w:basedOn w:val="21"/>
    <w:autoRedefine/>
    <w:semiHidden/>
    <w:unhideWhenUsed/>
    <w:qFormat/>
    <w:uiPriority w:val="99"/>
    <w:rPr>
      <w:color w:val="800080" w:themeColor="followedHyperlink"/>
      <w:u w:val="single"/>
    </w:rPr>
  </w:style>
  <w:style w:type="character" w:styleId="24">
    <w:name w:val="HTML Definition"/>
    <w:basedOn w:val="21"/>
    <w:autoRedefine/>
    <w:semiHidden/>
    <w:unhideWhenUsed/>
    <w:qFormat/>
    <w:uiPriority w:val="99"/>
    <w:rPr>
      <w:i/>
      <w:iCs/>
    </w:rPr>
  </w:style>
  <w:style w:type="character" w:styleId="25">
    <w:name w:val="Hyperlink"/>
    <w:basedOn w:val="21"/>
    <w:autoRedefine/>
    <w:unhideWhenUsed/>
    <w:qFormat/>
    <w:uiPriority w:val="99"/>
    <w:rPr>
      <w:color w:val="0000FF" w:themeColor="hyperlink"/>
      <w:u w:val="single"/>
    </w:rPr>
  </w:style>
  <w:style w:type="character" w:styleId="26">
    <w:name w:val="HTML Code"/>
    <w:basedOn w:val="21"/>
    <w:autoRedefine/>
    <w:semiHidden/>
    <w:unhideWhenUsed/>
    <w:qFormat/>
    <w:uiPriority w:val="99"/>
    <w:rPr>
      <w:rFonts w:hint="default" w:ascii="Consolas" w:hAnsi="Consolas" w:eastAsia="Consolas" w:cs="Consolas"/>
      <w:color w:val="C7254E"/>
      <w:sz w:val="21"/>
      <w:szCs w:val="21"/>
      <w:shd w:val="clear" w:color="auto" w:fill="F9F2F4"/>
    </w:rPr>
  </w:style>
  <w:style w:type="character" w:styleId="27">
    <w:name w:val="HTML Cite"/>
    <w:basedOn w:val="21"/>
    <w:autoRedefine/>
    <w:semiHidden/>
    <w:unhideWhenUsed/>
    <w:qFormat/>
    <w:uiPriority w:val="99"/>
  </w:style>
  <w:style w:type="character" w:styleId="28">
    <w:name w:val="HTML Keyboard"/>
    <w:basedOn w:val="21"/>
    <w:autoRedefine/>
    <w:semiHidden/>
    <w:unhideWhenUsed/>
    <w:qFormat/>
    <w:uiPriority w:val="99"/>
    <w:rPr>
      <w:rFonts w:ascii="Consolas" w:hAnsi="Consolas" w:eastAsia="Consolas" w:cs="Consolas"/>
      <w:sz w:val="21"/>
      <w:szCs w:val="21"/>
    </w:rPr>
  </w:style>
  <w:style w:type="character" w:styleId="29">
    <w:name w:val="HTML Sample"/>
    <w:basedOn w:val="21"/>
    <w:autoRedefine/>
    <w:semiHidden/>
    <w:unhideWhenUsed/>
    <w:qFormat/>
    <w:uiPriority w:val="99"/>
    <w:rPr>
      <w:rFonts w:hint="default" w:ascii="Consolas" w:hAnsi="Consolas" w:eastAsia="Consolas" w:cs="Consolas"/>
      <w:sz w:val="21"/>
      <w:szCs w:val="21"/>
    </w:rPr>
  </w:style>
  <w:style w:type="character" w:customStyle="1" w:styleId="30">
    <w:name w:val="正文文本缩进 Char"/>
    <w:basedOn w:val="21"/>
    <w:link w:val="7"/>
    <w:autoRedefine/>
    <w:qFormat/>
    <w:uiPriority w:val="0"/>
    <w:rPr>
      <w:rFonts w:ascii="宋体" w:hAnsi="宋体" w:eastAsia="宋体" w:cs="Times New Roman"/>
      <w:sz w:val="24"/>
      <w:szCs w:val="20"/>
    </w:rPr>
  </w:style>
  <w:style w:type="paragraph" w:customStyle="1" w:styleId="31">
    <w:name w:val="Default"/>
    <w:link w:val="50"/>
    <w:autoRedefine/>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2">
    <w:name w:val="副标题 Char"/>
    <w:basedOn w:val="21"/>
    <w:link w:val="15"/>
    <w:autoRedefine/>
    <w:qFormat/>
    <w:uiPriority w:val="0"/>
    <w:rPr>
      <w:rFonts w:ascii="Cambria" w:hAnsi="Cambria" w:eastAsia="宋体" w:cs="Times New Roman"/>
      <w:b/>
      <w:bCs/>
      <w:kern w:val="28"/>
      <w:sz w:val="32"/>
      <w:szCs w:val="32"/>
    </w:rPr>
  </w:style>
  <w:style w:type="character" w:customStyle="1" w:styleId="33">
    <w:name w:val="页眉 Char"/>
    <w:basedOn w:val="21"/>
    <w:link w:val="14"/>
    <w:autoRedefine/>
    <w:qFormat/>
    <w:uiPriority w:val="99"/>
    <w:rPr>
      <w:rFonts w:ascii="Times New Roman" w:hAnsi="Times New Roman" w:eastAsia="宋体" w:cs="Times New Roman"/>
      <w:sz w:val="18"/>
      <w:szCs w:val="18"/>
    </w:rPr>
  </w:style>
  <w:style w:type="character" w:customStyle="1" w:styleId="34">
    <w:name w:val="页脚 Char"/>
    <w:basedOn w:val="21"/>
    <w:link w:val="13"/>
    <w:autoRedefine/>
    <w:qFormat/>
    <w:uiPriority w:val="99"/>
    <w:rPr>
      <w:rFonts w:ascii="Times New Roman" w:hAnsi="Times New Roman" w:eastAsia="宋体" w:cs="Times New Roman"/>
      <w:sz w:val="18"/>
      <w:szCs w:val="18"/>
    </w:rPr>
  </w:style>
  <w:style w:type="character" w:customStyle="1" w:styleId="35">
    <w:name w:val="日期 Char"/>
    <w:basedOn w:val="21"/>
    <w:link w:val="11"/>
    <w:autoRedefine/>
    <w:qFormat/>
    <w:uiPriority w:val="0"/>
    <w:rPr>
      <w:rFonts w:ascii="Times New Roman" w:hAnsi="Times New Roman" w:eastAsia="宋体" w:cs="Times New Roman"/>
      <w:sz w:val="32"/>
      <w:szCs w:val="20"/>
    </w:rPr>
  </w:style>
  <w:style w:type="paragraph" w:styleId="36">
    <w:name w:val="List Paragraph"/>
    <w:basedOn w:val="1"/>
    <w:link w:val="55"/>
    <w:autoRedefine/>
    <w:qFormat/>
    <w:uiPriority w:val="34"/>
    <w:pPr>
      <w:ind w:firstLine="420" w:firstLineChars="200"/>
    </w:pPr>
  </w:style>
  <w:style w:type="character" w:customStyle="1" w:styleId="37">
    <w:name w:val="正文文本缩进 2 Char"/>
    <w:basedOn w:val="21"/>
    <w:link w:val="12"/>
    <w:autoRedefine/>
    <w:semiHidden/>
    <w:qFormat/>
    <w:uiPriority w:val="99"/>
    <w:rPr>
      <w:rFonts w:ascii="Times New Roman" w:hAnsi="Times New Roman" w:eastAsia="宋体" w:cs="Times New Roman"/>
      <w:szCs w:val="20"/>
    </w:rPr>
  </w:style>
  <w:style w:type="character" w:customStyle="1" w:styleId="38">
    <w:name w:val="标题 3 Char"/>
    <w:basedOn w:val="21"/>
    <w:link w:val="2"/>
    <w:autoRedefine/>
    <w:qFormat/>
    <w:uiPriority w:val="0"/>
    <w:rPr>
      <w:rFonts w:ascii="Times New Roman" w:hAnsi="Times New Roman" w:eastAsia="宋体" w:cs="Times New Roman"/>
      <w:b/>
      <w:bCs/>
      <w:sz w:val="32"/>
      <w:szCs w:val="32"/>
    </w:rPr>
  </w:style>
  <w:style w:type="character" w:customStyle="1" w:styleId="39">
    <w:name w:val="正文文本 2 Char"/>
    <w:basedOn w:val="21"/>
    <w:link w:val="18"/>
    <w:autoRedefine/>
    <w:semiHidden/>
    <w:qFormat/>
    <w:uiPriority w:val="99"/>
    <w:rPr>
      <w:rFonts w:ascii="Times New Roman" w:hAnsi="Times New Roman" w:eastAsia="宋体" w:cs="Times New Roman"/>
      <w:szCs w:val="20"/>
    </w:rPr>
  </w:style>
  <w:style w:type="paragraph" w:customStyle="1" w:styleId="40">
    <w:name w:val="Char"/>
    <w:basedOn w:val="1"/>
    <w:autoRedefine/>
    <w:qFormat/>
    <w:uiPriority w:val="0"/>
    <w:pPr>
      <w:tabs>
        <w:tab w:val="left" w:pos="360"/>
      </w:tabs>
    </w:pPr>
    <w:rPr>
      <w:sz w:val="24"/>
      <w:szCs w:val="24"/>
    </w:rPr>
  </w:style>
  <w:style w:type="character" w:customStyle="1" w:styleId="41">
    <w:name w:val="纯文本 Char"/>
    <w:basedOn w:val="21"/>
    <w:autoRedefine/>
    <w:semiHidden/>
    <w:qFormat/>
    <w:uiPriority w:val="99"/>
    <w:rPr>
      <w:rFonts w:ascii="宋体" w:hAnsi="Courier New" w:eastAsia="宋体" w:cs="Courier New"/>
      <w:szCs w:val="21"/>
    </w:rPr>
  </w:style>
  <w:style w:type="character" w:customStyle="1" w:styleId="42">
    <w:name w:val="纯文本 Char1"/>
    <w:link w:val="9"/>
    <w:autoRedefine/>
    <w:qFormat/>
    <w:locked/>
    <w:uiPriority w:val="0"/>
    <w:rPr>
      <w:rFonts w:ascii="宋体" w:hAnsi="Courier New" w:eastAsia="宋体" w:cs="Times New Roman"/>
      <w:szCs w:val="20"/>
    </w:rPr>
  </w:style>
  <w:style w:type="character" w:customStyle="1" w:styleId="43">
    <w:name w:val="正文文本缩进 3 Char"/>
    <w:basedOn w:val="21"/>
    <w:link w:val="17"/>
    <w:autoRedefine/>
    <w:semiHidden/>
    <w:qFormat/>
    <w:uiPriority w:val="99"/>
    <w:rPr>
      <w:rFonts w:ascii="Times New Roman" w:hAnsi="Times New Roman" w:eastAsia="宋体" w:cs="Times New Roman"/>
      <w:sz w:val="16"/>
      <w:szCs w:val="16"/>
    </w:rPr>
  </w:style>
  <w:style w:type="paragraph" w:customStyle="1" w:styleId="44">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har1"/>
    <w:basedOn w:val="1"/>
    <w:autoRedefine/>
    <w:qFormat/>
    <w:uiPriority w:val="0"/>
    <w:pPr>
      <w:tabs>
        <w:tab w:val="left" w:pos="360"/>
      </w:tabs>
    </w:pPr>
    <w:rPr>
      <w:sz w:val="24"/>
      <w:szCs w:val="24"/>
    </w:rPr>
  </w:style>
  <w:style w:type="paragraph" w:customStyle="1" w:styleId="49">
    <w:name w:val="列出段落1"/>
    <w:basedOn w:val="1"/>
    <w:autoRedefine/>
    <w:semiHidden/>
    <w:qFormat/>
    <w:uiPriority w:val="34"/>
    <w:pPr>
      <w:widowControl/>
      <w:spacing w:before="40" w:after="160"/>
      <w:ind w:firstLine="420" w:firstLineChars="200"/>
      <w:jc w:val="left"/>
    </w:pPr>
    <w:rPr>
      <w:rFonts w:eastAsia="微软雅黑" w:asciiTheme="minorHAnsi" w:hAnsiTheme="minorHAnsi" w:cstheme="minorBidi"/>
      <w:color w:val="585858" w:themeColor="text1" w:themeTint="A6"/>
      <w:kern w:val="20"/>
      <w:lang w:val="zh-CN"/>
    </w:rPr>
  </w:style>
  <w:style w:type="character" w:customStyle="1" w:styleId="50">
    <w:name w:val="Default Char"/>
    <w:link w:val="31"/>
    <w:autoRedefine/>
    <w:qFormat/>
    <w:locked/>
    <w:uiPriority w:val="0"/>
    <w:rPr>
      <w:rFonts w:ascii="......." w:hAnsi="Calibri" w:eastAsia="......." w:cs="......."/>
      <w:color w:val="000000"/>
      <w:kern w:val="0"/>
      <w:sz w:val="24"/>
      <w:szCs w:val="24"/>
    </w:rPr>
  </w:style>
  <w:style w:type="character" w:customStyle="1" w:styleId="51">
    <w:name w:val="正文文本 Char"/>
    <w:basedOn w:val="21"/>
    <w:link w:val="6"/>
    <w:autoRedefine/>
    <w:semiHidden/>
    <w:qFormat/>
    <w:uiPriority w:val="99"/>
    <w:rPr>
      <w:rFonts w:ascii="Times New Roman" w:hAnsi="Times New Roman" w:eastAsia="宋体" w:cs="Times New Roman"/>
      <w:szCs w:val="20"/>
    </w:rPr>
  </w:style>
  <w:style w:type="character" w:customStyle="1" w:styleId="52">
    <w:name w:val="批注文字 Char"/>
    <w:basedOn w:val="21"/>
    <w:link w:val="5"/>
    <w:autoRedefine/>
    <w:semiHidden/>
    <w:qFormat/>
    <w:uiPriority w:val="99"/>
    <w:rPr>
      <w:rFonts w:ascii="Times New Roman" w:hAnsi="Times New Roman" w:eastAsia="宋体" w:cs="Times New Roman"/>
      <w:szCs w:val="20"/>
    </w:rPr>
  </w:style>
  <w:style w:type="paragraph" w:customStyle="1" w:styleId="53">
    <w:name w:val="Char2"/>
    <w:basedOn w:val="1"/>
    <w:autoRedefine/>
    <w:qFormat/>
    <w:uiPriority w:val="0"/>
    <w:pPr>
      <w:tabs>
        <w:tab w:val="left" w:pos="360"/>
      </w:tabs>
    </w:pPr>
    <w:rPr>
      <w:sz w:val="24"/>
      <w:szCs w:val="24"/>
    </w:rPr>
  </w:style>
  <w:style w:type="character" w:customStyle="1" w:styleId="54">
    <w:name w:val="NormalCharacter"/>
    <w:autoRedefine/>
    <w:semiHidden/>
    <w:qFormat/>
    <w:uiPriority w:val="0"/>
  </w:style>
  <w:style w:type="character" w:customStyle="1" w:styleId="55">
    <w:name w:val="列出段落 Char"/>
    <w:link w:val="36"/>
    <w:autoRedefine/>
    <w:qFormat/>
    <w:uiPriority w:val="34"/>
    <w:rPr>
      <w:rFonts w:ascii="Times New Roman" w:hAnsi="Times New Roman" w:eastAsia="宋体" w:cs="Times New Roman"/>
      <w:szCs w:val="20"/>
    </w:rPr>
  </w:style>
  <w:style w:type="character" w:customStyle="1" w:styleId="56">
    <w:name w:val="tab2"/>
    <w:basedOn w:val="21"/>
    <w:autoRedefine/>
    <w:qFormat/>
    <w:uiPriority w:val="0"/>
    <w:rPr>
      <w:color w:val="333366"/>
    </w:rPr>
  </w:style>
  <w:style w:type="character" w:customStyle="1" w:styleId="57">
    <w:name w:val="tab1"/>
    <w:basedOn w:val="21"/>
    <w:autoRedefine/>
    <w:qFormat/>
    <w:uiPriority w:val="0"/>
  </w:style>
  <w:style w:type="character" w:customStyle="1" w:styleId="58">
    <w:name w:val="required"/>
    <w:basedOn w:val="21"/>
    <w:autoRedefine/>
    <w:qFormat/>
    <w:uiPriority w:val="0"/>
    <w:rPr>
      <w:color w:val="FF0000"/>
    </w:rPr>
  </w:style>
  <w:style w:type="character" w:customStyle="1" w:styleId="59">
    <w:name w:val="active"/>
    <w:basedOn w:val="21"/>
    <w:autoRedefine/>
    <w:qFormat/>
    <w:uiPriority w:val="0"/>
    <w:rPr>
      <w:color w:val="FFFFFF"/>
    </w:rPr>
  </w:style>
  <w:style w:type="character" w:customStyle="1" w:styleId="60">
    <w:name w:val="hilite"/>
    <w:basedOn w:val="21"/>
    <w:autoRedefine/>
    <w:qFormat/>
    <w:uiPriority w:val="0"/>
    <w:rPr>
      <w:color w:val="000000"/>
    </w:rPr>
  </w:style>
  <w:style w:type="character" w:customStyle="1" w:styleId="61">
    <w:name w:val="fielderror"/>
    <w:basedOn w:val="21"/>
    <w:autoRedefine/>
    <w:qFormat/>
    <w:uiPriority w:val="0"/>
    <w:rPr>
      <w:color w:val="800000"/>
    </w:rPr>
  </w:style>
  <w:style w:type="character" w:customStyle="1" w:styleId="62">
    <w:name w:val="layui-this"/>
    <w:basedOn w:val="21"/>
    <w:autoRedefine/>
    <w:qFormat/>
    <w:uiPriority w:val="0"/>
    <w:rPr>
      <w:bdr w:val="single" w:color="EEEEEE" w:sz="6" w:space="0"/>
      <w:shd w:val="clear" w:color="auto" w:fill="FFFFFF"/>
    </w:rPr>
  </w:style>
  <w:style w:type="character" w:customStyle="1" w:styleId="63">
    <w:name w:val="first-child"/>
    <w:basedOn w:val="21"/>
    <w:autoRedefine/>
    <w:qFormat/>
    <w:uiPriority w:val="0"/>
  </w:style>
  <w:style w:type="character" w:customStyle="1" w:styleId="64">
    <w:name w:val="l-btn-icon-left"/>
    <w:basedOn w:val="21"/>
    <w:autoRedefine/>
    <w:qFormat/>
    <w:uiPriority w:val="0"/>
  </w:style>
  <w:style w:type="character" w:customStyle="1" w:styleId="65">
    <w:name w:val="action"/>
    <w:basedOn w:val="21"/>
    <w:autoRedefine/>
    <w:qFormat/>
    <w:uiPriority w:val="0"/>
    <w:rPr>
      <w:b/>
      <w:bCs/>
      <w:sz w:val="16"/>
      <w:szCs w:val="16"/>
      <w:shd w:val="clear" w:color="auto" w:fill="FFFFFF"/>
    </w:rPr>
  </w:style>
  <w:style w:type="character" w:customStyle="1" w:styleId="66">
    <w:name w:val="hour_pm"/>
    <w:basedOn w:val="21"/>
    <w:autoRedefine/>
    <w:qFormat/>
    <w:uiPriority w:val="0"/>
  </w:style>
  <w:style w:type="character" w:customStyle="1" w:styleId="67">
    <w:name w:val="old"/>
    <w:basedOn w:val="21"/>
    <w:autoRedefine/>
    <w:qFormat/>
    <w:uiPriority w:val="0"/>
    <w:rPr>
      <w:color w:val="999999"/>
    </w:rPr>
  </w:style>
  <w:style w:type="character" w:customStyle="1" w:styleId="68">
    <w:name w:val="filename"/>
    <w:basedOn w:val="21"/>
    <w:autoRedefine/>
    <w:qFormat/>
    <w:uiPriority w:val="0"/>
    <w:rPr>
      <w:color w:val="777777"/>
      <w:sz w:val="16"/>
      <w:szCs w:val="16"/>
    </w:rPr>
  </w:style>
  <w:style w:type="character" w:customStyle="1" w:styleId="69">
    <w:name w:val="hover3"/>
    <w:basedOn w:val="21"/>
    <w:autoRedefine/>
    <w:qFormat/>
    <w:uiPriority w:val="0"/>
    <w:rPr>
      <w:shd w:val="clear" w:color="auto" w:fill="EEEEEE"/>
    </w:rPr>
  </w:style>
  <w:style w:type="character" w:customStyle="1" w:styleId="70">
    <w:name w:val="hour_am"/>
    <w:basedOn w:val="21"/>
    <w:autoRedefine/>
    <w:qFormat/>
    <w:uiPriority w:val="0"/>
  </w:style>
  <w:style w:type="character" w:customStyle="1" w:styleId="71">
    <w:name w:val="l-btn-left"/>
    <w:basedOn w:val="21"/>
    <w:autoRedefine/>
    <w:qFormat/>
    <w:uiPriority w:val="0"/>
  </w:style>
  <w:style w:type="character" w:customStyle="1" w:styleId="72">
    <w:name w:val="l-btn-left1"/>
    <w:basedOn w:val="21"/>
    <w:autoRedefine/>
    <w:qFormat/>
    <w:uiPriority w:val="0"/>
  </w:style>
  <w:style w:type="character" w:customStyle="1" w:styleId="73">
    <w:name w:val="l-btn-left2"/>
    <w:basedOn w:val="21"/>
    <w:autoRedefine/>
    <w:qFormat/>
    <w:uiPriority w:val="0"/>
  </w:style>
  <w:style w:type="character" w:customStyle="1" w:styleId="74">
    <w:name w:val="checked"/>
    <w:basedOn w:val="21"/>
    <w:autoRedefine/>
    <w:qFormat/>
    <w:uiPriority w:val="0"/>
  </w:style>
  <w:style w:type="character" w:customStyle="1" w:styleId="75">
    <w:name w:val="checked1"/>
    <w:basedOn w:val="21"/>
    <w:autoRedefine/>
    <w:qFormat/>
    <w:uiPriority w:val="0"/>
  </w:style>
  <w:style w:type="character" w:customStyle="1" w:styleId="76">
    <w:name w:val="l-btn-text"/>
    <w:basedOn w:val="21"/>
    <w:autoRedefine/>
    <w:qFormat/>
    <w:uiPriority w:val="0"/>
  </w:style>
  <w:style w:type="character" w:customStyle="1" w:styleId="77">
    <w:name w:val="l-btn-text1"/>
    <w:basedOn w:val="21"/>
    <w:autoRedefine/>
    <w:qFormat/>
    <w:uiPriority w:val="0"/>
    <w:rPr>
      <w:sz w:val="18"/>
      <w:szCs w:val="18"/>
    </w:rPr>
  </w:style>
  <w:style w:type="character" w:customStyle="1" w:styleId="78">
    <w:name w:val="l-btn-icon-right"/>
    <w:basedOn w:val="21"/>
    <w:autoRedefine/>
    <w:qFormat/>
    <w:uiPriority w:val="0"/>
  </w:style>
  <w:style w:type="character" w:customStyle="1" w:styleId="79">
    <w:name w:val="l-btn-empty"/>
    <w:basedOn w:val="21"/>
    <w:autoRedefine/>
    <w:qFormat/>
    <w:uiPriority w:val="0"/>
  </w:style>
  <w:style w:type="paragraph" w:customStyle="1" w:styleId="80">
    <w:name w:val="_Style 79"/>
    <w:basedOn w:val="1"/>
    <w:next w:val="1"/>
    <w:autoRedefine/>
    <w:qFormat/>
    <w:uiPriority w:val="0"/>
    <w:pPr>
      <w:pBdr>
        <w:bottom w:val="single" w:color="auto" w:sz="6" w:space="1"/>
      </w:pBdr>
      <w:jc w:val="center"/>
    </w:pPr>
    <w:rPr>
      <w:rFonts w:ascii="Arial"/>
      <w:vanish/>
      <w:sz w:val="16"/>
    </w:rPr>
  </w:style>
  <w:style w:type="paragraph" w:customStyle="1" w:styleId="81">
    <w:name w:val="_Style 80"/>
    <w:basedOn w:val="1"/>
    <w:next w:val="1"/>
    <w:autoRedefine/>
    <w:qFormat/>
    <w:uiPriority w:val="0"/>
    <w:pPr>
      <w:pBdr>
        <w:top w:val="single" w:color="auto" w:sz="6" w:space="1"/>
      </w:pBdr>
      <w:jc w:val="center"/>
    </w:pPr>
    <w:rPr>
      <w:rFonts w:ascii="Arial"/>
      <w:vanish/>
      <w:sz w:val="16"/>
    </w:rPr>
  </w:style>
  <w:style w:type="character" w:customStyle="1" w:styleId="82">
    <w:name w:val="control-label9"/>
    <w:basedOn w:val="21"/>
    <w:autoRedefine/>
    <w:qFormat/>
    <w:uiPriority w:val="0"/>
    <w:rPr>
      <w:color w:val="A94442"/>
    </w:rPr>
  </w:style>
  <w:style w:type="character" w:customStyle="1" w:styleId="83">
    <w:name w:val="hover2"/>
    <w:basedOn w:val="21"/>
    <w:autoRedefine/>
    <w:qFormat/>
    <w:uiPriority w:val="0"/>
    <w:rPr>
      <w:shd w:val="clear" w:color="auto" w:fill="EEEEEE"/>
    </w:rPr>
  </w:style>
  <w:style w:type="character" w:customStyle="1" w:styleId="84">
    <w:name w:val="control-label6"/>
    <w:basedOn w:val="21"/>
    <w:autoRedefine/>
    <w:qFormat/>
    <w:uiPriority w:val="0"/>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EFD70-A062-42D3-8AA3-B80B5800FB8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79</Pages>
  <Words>6120</Words>
  <Characters>34887</Characters>
  <Lines>290</Lines>
  <Paragraphs>81</Paragraphs>
  <TotalTime>1</TotalTime>
  <ScaleCrop>false</ScaleCrop>
  <LinksUpToDate>false</LinksUpToDate>
  <CharactersWithSpaces>40926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2017-08-03T11:19:00Z</dcterms:created>
  <dc:creator>未定义</dc:creator>
  <cp:lastModifiedBy>未定义</cp:lastModifiedBy>
  <dcterms:modified xsi:type="dcterms:W3CDTF">2024-03-15T06:20:13Z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1B0E4802853342019D303B99AA18113C_13</vt:lpwstr>
  </property>
</Properties>
</file>