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rPr>
      </w:pPr>
    </w:p>
    <w:p>
      <w:pPr>
        <w:ind w:right="105"/>
        <w:jc w:val="right"/>
        <w:rPr>
          <w:rFonts w:hint="eastAsia" w:ascii="黑体" w:hAnsi="黑体" w:eastAsia="黑体"/>
          <w:b/>
          <w:spacing w:val="40"/>
          <w:w w:val="66"/>
          <w:sz w:val="60"/>
          <w:szCs w:val="60"/>
        </w:rPr>
      </w:pPr>
      <w:r>
        <w:rPr>
          <w:rFonts w:hint="eastAsia" w:ascii="黑体" w:hAnsi="黑体" w:eastAsia="黑体"/>
          <w:b/>
          <w:spacing w:val="40"/>
          <w:w w:val="66"/>
          <w:sz w:val="60"/>
          <w:szCs w:val="60"/>
        </w:rPr>
        <w:t>天津市滨海新区规划编制研究中心阳光金地办公楼2023年-2025年物业管理</w:t>
      </w:r>
    </w:p>
    <w:p>
      <w:pPr>
        <w:ind w:right="105"/>
        <w:jc w:val="right"/>
        <w:rPr>
          <w:rFonts w:ascii="黑体" w:hAnsi="黑体" w:eastAsia="黑体"/>
          <w:b/>
          <w:spacing w:val="40"/>
          <w:w w:val="66"/>
          <w:sz w:val="60"/>
          <w:szCs w:val="60"/>
        </w:rPr>
      </w:pPr>
      <w:r>
        <w:rPr>
          <w:rFonts w:ascii="黑体" w:hAnsi="黑体"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285750</wp:posOffset>
                </wp:positionV>
                <wp:extent cx="2499360" cy="10160"/>
                <wp:effectExtent l="635" t="95250" r="14605" b="104140"/>
                <wp:wrapNone/>
                <wp:docPr id="1" name="直线 3"/>
                <wp:cNvGraphicFramePr/>
                <a:graphic xmlns:a="http://schemas.openxmlformats.org/drawingml/2006/main">
                  <a:graphicData uri="http://schemas.microsoft.com/office/word/2010/wordprocessingShape">
                    <wps:wsp>
                      <wps:cNvCnPr/>
                      <wps:spPr>
                        <a:xfrm flipV="1">
                          <a:off x="0" y="0"/>
                          <a:ext cx="2499360" cy="10160"/>
                        </a:xfrm>
                        <a:prstGeom prst="line">
                          <a:avLst/>
                        </a:prstGeom>
                        <a:ln w="190500" cap="flat" cmpd="sng">
                          <a:solidFill>
                            <a:srgbClr val="4B69B5"/>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19.55pt;margin-top:22.5pt;height:0.8pt;width:196.8pt;z-index:251659264;mso-width-relative:page;mso-height-relative:page;" filled="f" stroked="t" coordsize="21600,21600" o:gfxdata="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tUHOzZAAAACAEAAA8AAAAAAAAAAQAgAAAAIgAAAGRycy9kb3ducmV2LnhtbFBL&#10;AQIUABQAAAAIAIdO4kCUqbrw9QEAAOsDAAAOAAAAAAAAAAEAIAAAACgBAABkcnMvZTJvRG9jLnht&#10;bFBLBQYAAAAABgAGAFkBAACPBQAAAAA=&#10;">
                <v:fill on="f" focussize="0,0"/>
                <v:stroke weight="15pt" color="#4B69B5" joinstyle="round"/>
                <v:imagedata o:title=""/>
                <o:lock v:ext="edit" aspectratio="f"/>
              </v:line>
            </w:pict>
          </mc:Fallback>
        </mc:AlternateContent>
      </w:r>
      <w:r>
        <w:rPr>
          <w:rFonts w:hint="eastAsia" w:ascii="黑体" w:hAnsi="黑体" w:eastAsia="黑体"/>
          <w:b/>
          <w:spacing w:val="40"/>
          <w:w w:val="66"/>
          <w:sz w:val="60"/>
          <w:szCs w:val="60"/>
        </w:rPr>
        <w:t>服务</w:t>
      </w:r>
      <w:r>
        <w:rPr>
          <w:rFonts w:ascii="黑体" w:hAnsi="黑体" w:eastAsia="黑体"/>
          <w:b/>
          <w:spacing w:val="40"/>
          <w:w w:val="66"/>
          <w:sz w:val="60"/>
          <w:szCs w:val="60"/>
        </w:rPr>
        <w:t>项目招标文件</w:t>
      </w:r>
    </w:p>
    <w:p>
      <w:pPr>
        <w:ind w:right="1025"/>
        <w:jc w:val="center"/>
        <w:rPr>
          <w:rFonts w:ascii="黑体" w:hAnsi="黑体" w:eastAsia="黑体"/>
          <w:b/>
          <w:spacing w:val="40"/>
          <w:w w:val="66"/>
          <w:sz w:val="60"/>
          <w:szCs w:val="60"/>
        </w:rPr>
      </w:pPr>
    </w:p>
    <w:p>
      <w:pPr>
        <w:jc w:val="center"/>
        <w:rPr>
          <w:rFonts w:ascii="黑体" w:hAnsi="黑体" w:eastAsia="黑体"/>
          <w:b/>
          <w:spacing w:val="40"/>
          <w:w w:val="66"/>
          <w:sz w:val="15"/>
          <w:szCs w:val="15"/>
        </w:rPr>
      </w:pPr>
    </w:p>
    <w:p>
      <w:pPr>
        <w:jc w:val="center"/>
        <w:rPr>
          <w:rFonts w:ascii="黑体" w:hAnsi="黑体" w:eastAsia="黑体"/>
          <w:b/>
          <w:color w:val="FF0000"/>
          <w:spacing w:val="40"/>
          <w:w w:val="66"/>
          <w:sz w:val="32"/>
          <w:szCs w:val="32"/>
        </w:rPr>
      </w:pPr>
      <w:r>
        <w:rPr>
          <w:rFonts w:ascii="黑体" w:hAnsi="黑体" w:eastAsia="黑体"/>
          <w:b/>
          <w:spacing w:val="40"/>
          <w:w w:val="66"/>
          <w:sz w:val="32"/>
          <w:szCs w:val="32"/>
        </w:rPr>
        <w:t>（项目编号：</w:t>
      </w:r>
      <w:r>
        <w:rPr>
          <w:rFonts w:hint="eastAsia" w:ascii="黑体" w:hAnsi="黑体" w:eastAsia="黑体"/>
          <w:b/>
          <w:spacing w:val="40"/>
          <w:w w:val="66"/>
          <w:sz w:val="32"/>
          <w:szCs w:val="32"/>
        </w:rPr>
        <w:t>TJBH-2023-D-0137</w:t>
      </w:r>
      <w:r>
        <w:rPr>
          <w:rFonts w:ascii="黑体" w:hAnsi="黑体" w:eastAsia="黑体"/>
          <w:b/>
          <w:spacing w:val="40"/>
          <w:w w:val="66"/>
          <w:sz w:val="32"/>
          <w:szCs w:val="32"/>
        </w:rPr>
        <w:t>）</w:t>
      </w:r>
    </w:p>
    <w:p>
      <w:pPr>
        <w:rPr>
          <w:rFonts w:ascii="黑体" w:hAnsi="黑体" w:eastAsia="黑体"/>
          <w:b/>
          <w:sz w:val="40"/>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jc w:val="center"/>
        <w:rPr>
          <w:rFonts w:ascii="黑体" w:hAnsi="黑体" w:eastAsia="黑体"/>
          <w:b/>
          <w:spacing w:val="20"/>
          <w:w w:val="66"/>
          <w:sz w:val="44"/>
          <w:szCs w:val="44"/>
        </w:rPr>
      </w:pPr>
      <w:r>
        <w:rPr>
          <w:rFonts w:ascii="黑体" w:hAnsi="黑体" w:eastAsia="黑体"/>
          <w:b/>
          <w:spacing w:val="20"/>
          <w:w w:val="66"/>
          <w:sz w:val="44"/>
          <w:szCs w:val="44"/>
        </w:rPr>
        <w:t>天津市滨海新区政府采购中心</w:t>
      </w:r>
    </w:p>
    <w:p>
      <w:pPr>
        <w:tabs>
          <w:tab w:val="left" w:pos="3281"/>
          <w:tab w:val="center" w:pos="4711"/>
        </w:tabs>
        <w:jc w:val="center"/>
        <w:rPr>
          <w:rFonts w:hint="default" w:ascii="黑体" w:hAnsi="黑体" w:eastAsia="黑体"/>
          <w:b/>
          <w:bCs/>
          <w:kern w:val="0"/>
          <w:sz w:val="44"/>
          <w:szCs w:val="44"/>
          <w:lang w:val="en-US" w:eastAsia="zh-CN"/>
        </w:rPr>
      </w:pPr>
      <w:r>
        <w:rPr>
          <w:rFonts w:ascii="黑体" w:hAnsi="黑体" w:eastAsia="黑体"/>
          <w:b/>
          <w:bCs/>
          <w:kern w:val="0"/>
          <w:sz w:val="44"/>
          <w:szCs w:val="44"/>
        </w:rPr>
        <w:t>202</w:t>
      </w:r>
      <w:r>
        <w:rPr>
          <w:rFonts w:hint="eastAsia" w:ascii="黑体" w:hAnsi="黑体" w:eastAsia="黑体"/>
          <w:b/>
          <w:bCs/>
          <w:kern w:val="0"/>
          <w:sz w:val="44"/>
          <w:szCs w:val="44"/>
          <w:lang w:val="en-US" w:eastAsia="zh-CN"/>
        </w:rPr>
        <w:t>4.1</w:t>
      </w:r>
    </w:p>
    <w:p>
      <w:pPr>
        <w:widowControl/>
        <w:jc w:val="left"/>
        <w:rPr>
          <w:rFonts w:ascii="黑体" w:hAnsi="黑体" w:eastAsia="黑体"/>
          <w:b/>
          <w:bCs/>
          <w:kern w:val="0"/>
          <w:sz w:val="44"/>
          <w:szCs w:val="44"/>
        </w:rPr>
      </w:pPr>
    </w:p>
    <w:p>
      <w:pPr>
        <w:ind w:firstLine="408" w:firstLineChars="100"/>
        <w:jc w:val="center"/>
        <w:rPr>
          <w:b/>
          <w:spacing w:val="20"/>
          <w:w w:val="80"/>
          <w:sz w:val="48"/>
          <w:szCs w:val="48"/>
        </w:rPr>
        <w:sectPr>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rFonts w:hAnsiTheme="minorEastAsia"/>
          <w:b/>
          <w:spacing w:val="20"/>
          <w:w w:val="80"/>
          <w:sz w:val="48"/>
          <w:szCs w:val="48"/>
        </w:rPr>
        <w:t>目录</w:t>
      </w:r>
    </w:p>
    <w:p>
      <w:pPr>
        <w:spacing w:line="560" w:lineRule="exact"/>
        <w:ind w:right="-141" w:rightChars="-73"/>
        <w:rPr>
          <w:b/>
          <w:sz w:val="24"/>
        </w:rPr>
      </w:pPr>
      <w:r>
        <w:rPr>
          <w:rFonts w:hAnsiTheme="minorEastAsia"/>
          <w:b/>
          <w:sz w:val="24"/>
        </w:rPr>
        <w:t>第一部分投标邀请函</w:t>
      </w:r>
    </w:p>
    <w:p>
      <w:pPr>
        <w:spacing w:line="560" w:lineRule="exact"/>
        <w:ind w:right="-141" w:rightChars="-73"/>
        <w:rPr>
          <w:b/>
          <w:sz w:val="24"/>
        </w:rPr>
      </w:pPr>
    </w:p>
    <w:p>
      <w:pPr>
        <w:spacing w:line="560" w:lineRule="exact"/>
        <w:ind w:right="-141" w:rightChars="-73"/>
        <w:rPr>
          <w:b/>
          <w:sz w:val="24"/>
        </w:rPr>
      </w:pPr>
      <w:r>
        <w:rPr>
          <w:rFonts w:hAnsiTheme="minorEastAsia"/>
          <w:b/>
          <w:sz w:val="24"/>
        </w:rPr>
        <w:t>第二部分招标项目要求</w:t>
      </w:r>
    </w:p>
    <w:p>
      <w:pPr>
        <w:spacing w:line="560" w:lineRule="exact"/>
        <w:ind w:right="-141" w:rightChars="-73"/>
        <w:rPr>
          <w:b/>
          <w:sz w:val="24"/>
        </w:rPr>
      </w:pPr>
    </w:p>
    <w:p>
      <w:pPr>
        <w:spacing w:line="560" w:lineRule="exact"/>
        <w:ind w:right="-141" w:rightChars="-73"/>
        <w:rPr>
          <w:b/>
          <w:sz w:val="24"/>
        </w:rPr>
      </w:pPr>
      <w:r>
        <w:rPr>
          <w:rFonts w:hAnsiTheme="minorEastAsia"/>
          <w:b/>
          <w:sz w:val="24"/>
        </w:rPr>
        <w:t>第三部分投标须知</w:t>
      </w:r>
    </w:p>
    <w:p>
      <w:pPr>
        <w:spacing w:line="560" w:lineRule="exact"/>
        <w:ind w:right="-141" w:rightChars="-73"/>
        <w:rPr>
          <w:sz w:val="24"/>
        </w:rPr>
      </w:pPr>
    </w:p>
    <w:p>
      <w:pPr>
        <w:spacing w:line="560" w:lineRule="exact"/>
        <w:rPr>
          <w:b/>
          <w:sz w:val="24"/>
        </w:rPr>
      </w:pPr>
      <w:r>
        <w:rPr>
          <w:rFonts w:hAnsiTheme="minorEastAsia"/>
          <w:b/>
          <w:sz w:val="24"/>
        </w:rPr>
        <w:t>第四部分合同条款</w:t>
      </w:r>
    </w:p>
    <w:p>
      <w:pPr>
        <w:spacing w:line="560" w:lineRule="exact"/>
        <w:rPr>
          <w:sz w:val="24"/>
        </w:rPr>
      </w:pPr>
    </w:p>
    <w:p>
      <w:pPr>
        <w:spacing w:line="560" w:lineRule="exact"/>
        <w:rPr>
          <w:sz w:val="24"/>
        </w:rPr>
      </w:pPr>
      <w:r>
        <w:rPr>
          <w:rFonts w:hAnsiTheme="minorEastAsia"/>
          <w:b/>
          <w:sz w:val="24"/>
        </w:rPr>
        <w:t>第五部分投标文件格式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5"/>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5"/>
        <w:rPr>
          <w:rFonts w:ascii="Times New Roman" w:hAnsi="Times New Roman"/>
        </w:rPr>
      </w:pPr>
      <w:r>
        <w:rPr>
          <w:rFonts w:ascii="Times New Roman" w:hAnsiTheme="minorEastAsia"/>
        </w:rPr>
        <w:t>第一部分投标邀请函</w:t>
      </w:r>
      <w:bookmarkEnd w:id="0"/>
    </w:p>
    <w:p>
      <w:pPr>
        <w:pStyle w:val="31"/>
        <w:spacing w:line="360" w:lineRule="auto"/>
        <w:ind w:firstLine="448" w:firstLineChars="200"/>
        <w:jc w:val="both"/>
        <w:rPr>
          <w:rFonts w:ascii="Times New Roman" w:hAnsi="Times New Roman" w:eastAsia="宋体" w:cs="Times New Roman"/>
          <w:color w:val="auto"/>
          <w:szCs w:val="32"/>
        </w:rPr>
      </w:pPr>
      <w:r>
        <w:rPr>
          <w:rFonts w:ascii="Times New Roman" w:eastAsia="宋体" w:cs="Times New Roman" w:hAnsiTheme="minorEastAsia"/>
          <w:color w:val="auto"/>
          <w:szCs w:val="32"/>
        </w:rPr>
        <w:t>受</w:t>
      </w:r>
      <w:r>
        <w:rPr>
          <w:rFonts w:hint="eastAsia" w:ascii="Times New Roman" w:eastAsia="宋体" w:cs="Times New Roman" w:hAnsiTheme="minorEastAsia"/>
          <w:color w:val="auto"/>
          <w:szCs w:val="32"/>
        </w:rPr>
        <w:t>天津市滨海新区规划编制研究中心</w:t>
      </w:r>
      <w:r>
        <w:rPr>
          <w:rFonts w:ascii="Times New Roman" w:eastAsia="宋体" w:cs="Times New Roman" w:hAnsiTheme="minorEastAsia"/>
          <w:color w:val="auto"/>
          <w:szCs w:val="32"/>
        </w:rPr>
        <w:t>委托，天津市滨海新区政府采购中心将以公开招标方式，对</w:t>
      </w:r>
      <w:r>
        <w:rPr>
          <w:rFonts w:hint="eastAsia" w:ascii="Times New Roman" w:eastAsia="宋体" w:cs="Times New Roman" w:hAnsiTheme="minorEastAsia"/>
          <w:color w:val="auto"/>
          <w:szCs w:val="32"/>
        </w:rPr>
        <w:t>天津市滨海新区规划编制研究中心阳光金地办公楼2023年-2025年物业管理服务项目</w:t>
      </w:r>
      <w:r>
        <w:rPr>
          <w:rFonts w:ascii="Times New Roman" w:eastAsia="宋体" w:cs="Times New Roman" w:hAnsiTheme="minorEastAsia"/>
          <w:color w:val="auto"/>
          <w:szCs w:val="32"/>
        </w:rPr>
        <w:t>实施政府采购。现欢迎合格的供应商参加投标。</w:t>
      </w:r>
    </w:p>
    <w:p>
      <w:pPr>
        <w:pStyle w:val="31"/>
        <w:spacing w:line="360" w:lineRule="auto"/>
        <w:ind w:firstLine="448" w:firstLineChars="200"/>
        <w:jc w:val="both"/>
        <w:rPr>
          <w:rFonts w:ascii="Times New Roman" w:hAnsi="Times New Roman" w:eastAsia="宋体" w:cs="Times New Roman"/>
          <w:color w:val="auto"/>
          <w:szCs w:val="32"/>
        </w:rPr>
      </w:pPr>
      <w:r>
        <w:rPr>
          <w:rFonts w:hint="eastAsia" w:ascii="Times New Roman" w:eastAsia="宋体" w:cs="Times New Roman" w:hAnsiTheme="minorEastAsia"/>
          <w:color w:val="auto"/>
          <w:szCs w:val="32"/>
        </w:rPr>
        <w:t>本项目为远程招投标，一律不接受纸质投标文件，只接受加盖投标人电子签章的</w:t>
      </w:r>
      <w:r>
        <w:rPr>
          <w:rFonts w:hint="eastAsia" w:ascii="Times New Roman" w:hAnsi="Times New Roman" w:eastAsia="宋体" w:cs="Times New Roman"/>
          <w:color w:val="auto"/>
          <w:szCs w:val="32"/>
        </w:rPr>
        <w:t>PDF</w:t>
      </w:r>
      <w:r>
        <w:rPr>
          <w:rFonts w:hint="eastAsia" w:ascii="Times New Roman" w:eastAsia="宋体" w:cs="Times New Roman" w:hAnsiTheme="minorEastAsia"/>
          <w:color w:val="auto"/>
          <w:szCs w:val="32"/>
        </w:rPr>
        <w:t>格式电子投标文件（以通过天津公共资源电子签章客户端正确读取签章信息为准）。供应商参加投标前须办理</w:t>
      </w:r>
      <w:r>
        <w:rPr>
          <w:rFonts w:hint="eastAsia" w:ascii="Times New Roman" w:hAnsi="Times New Roman" w:eastAsia="宋体" w:cs="Times New Roman"/>
          <w:color w:val="auto"/>
          <w:szCs w:val="32"/>
        </w:rPr>
        <w:t>CA</w:t>
      </w:r>
      <w:r>
        <w:rPr>
          <w:rFonts w:hint="eastAsia" w:ascii="Times New Roman" w:eastAsia="宋体" w:cs="Times New Roman" w:hAnsiTheme="minorEastAsia"/>
          <w:color w:val="auto"/>
          <w:szCs w:val="32"/>
        </w:rPr>
        <w:t>数字证书（</w:t>
      </w:r>
      <w:r>
        <w:rPr>
          <w:rFonts w:hint="eastAsia" w:ascii="Times New Roman" w:hAnsi="Times New Roman" w:eastAsia="宋体" w:cs="Times New Roman"/>
          <w:color w:val="auto"/>
          <w:szCs w:val="32"/>
        </w:rPr>
        <w:t>USBKey</w:t>
      </w:r>
      <w:r>
        <w:rPr>
          <w:rFonts w:hint="eastAsia" w:ascii="Times New Roman" w:eastAsia="宋体" w:cs="Times New Roman" w:hAnsiTheme="minorEastAsia"/>
          <w:color w:val="auto"/>
          <w:szCs w:val="32"/>
        </w:rPr>
        <w:t>）和电子签章。投标人须按招标文件的规定在天津市政府采购中心招投标系统中提交网上应答并上传加盖投标人电子签章的</w:t>
      </w:r>
      <w:r>
        <w:rPr>
          <w:rFonts w:hint="eastAsia" w:ascii="Times New Roman" w:hAnsi="Times New Roman" w:eastAsia="宋体" w:cs="Times New Roman"/>
          <w:color w:val="auto"/>
          <w:szCs w:val="32"/>
        </w:rPr>
        <w:t>PDF</w:t>
      </w:r>
      <w:r>
        <w:rPr>
          <w:rFonts w:hint="eastAsia" w:ascii="Times New Roman" w:eastAsia="宋体" w:cs="Times New Roman" w:hAnsiTheme="minorEastAsia"/>
          <w:color w:val="auto"/>
          <w:szCs w:val="32"/>
        </w:rPr>
        <w:t>格式电子投标文件（以通过天津公共资源电子签章客户端正确读取签章信息为准）。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一、项目名称和编号</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（一）项目名称：</w:t>
      </w:r>
      <w:r>
        <w:rPr>
          <w:rFonts w:hint="eastAsia" w:ascii="Times New Roman" w:eastAsia="宋体" w:cs="Times New Roman" w:hAnsiTheme="minorEastAsia"/>
          <w:color w:val="auto"/>
        </w:rPr>
        <w:t>天津市滨海新区规划编制研究中心阳光金地办公楼2023年-2025年物业管理服务项目</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（二）项目编号：</w:t>
      </w:r>
      <w:r>
        <w:rPr>
          <w:rFonts w:hint="eastAsia" w:ascii="Times New Roman" w:eastAsia="宋体" w:cs="Times New Roman" w:hAnsiTheme="minorEastAsia"/>
          <w:color w:val="auto"/>
        </w:rPr>
        <w:t>TJBH-2023-D-0137</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二、项目内容</w:t>
      </w:r>
    </w:p>
    <w:p>
      <w:pPr>
        <w:pStyle w:val="31"/>
        <w:ind w:firstLine="439" w:firstLineChars="196"/>
        <w:rPr>
          <w:rFonts w:ascii="Times New Roman" w:hAnsi="Times New Roman" w:eastAsia="宋体"/>
          <w:color w:val="auto"/>
        </w:rPr>
      </w:pPr>
      <w:r>
        <w:rPr>
          <w:rFonts w:hint="eastAsia" w:ascii="Times New Roman" w:eastAsia="宋体" w:hAnsiTheme="minorEastAsia"/>
          <w:color w:val="auto"/>
        </w:rPr>
        <w:t>第一包：物业管理服务</w:t>
      </w:r>
      <w:r>
        <w:rPr>
          <w:rFonts w:hint="eastAsia" w:ascii="Times New Roman" w:hAnsi="Times New Roman" w:eastAsia="宋体"/>
          <w:color w:val="auto"/>
        </w:rPr>
        <w:t>1</w:t>
      </w:r>
      <w:r>
        <w:rPr>
          <w:rFonts w:hint="eastAsia" w:ascii="Times New Roman" w:eastAsia="宋体" w:hAnsiTheme="minorEastAsia"/>
          <w:color w:val="auto"/>
        </w:rPr>
        <w:t>项，自签订合同之日起两年</w:t>
      </w:r>
      <w:r>
        <w:rPr>
          <w:rFonts w:hint="eastAsia" w:hAnsiTheme="minorEastAsia"/>
          <w:color w:val="auto"/>
        </w:rPr>
        <w:t>（特殊情况以合同为准）。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三、项目预算</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第一包：1518384.24元。</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四</w:t>
      </w:r>
      <w:r>
        <w:rPr>
          <w:rFonts w:ascii="Times New Roman" w:eastAsia="宋体" w:cs="Times New Roman" w:hAnsiTheme="minorEastAsia"/>
          <w:color w:val="auto"/>
        </w:rPr>
        <w:t>、供应商资格要求（实质性要求）</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（一）</w:t>
      </w:r>
      <w:r>
        <w:rPr>
          <w:rFonts w:hint="eastAsia" w:ascii="Times New Roman" w:eastAsia="宋体" w:cs="Times New Roman" w:hAnsiTheme="minorEastAsia"/>
          <w:color w:val="auto"/>
        </w:rPr>
        <w:t>供应商应具备独立法人资格。</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（二）投标人须具备《中华人民共和国政府采购法》第二十二条第一款规定的条件，提供以下材料：</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1. </w:t>
      </w:r>
      <w:r>
        <w:rPr>
          <w:rFonts w:hint="eastAsia" w:ascii="Times New Roman" w:eastAsia="宋体" w:cs="Times New Roman" w:hAnsiTheme="minorEastAsia"/>
          <w:color w:val="auto"/>
        </w:rPr>
        <w:t>营业执照副本或事业单位法人证书或民办非企业单位登记证书或社会团体法人登记证书或基金会法人登记证书扫描件。</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 经第三方会计师事务所审计的2022年度</w:t>
      </w:r>
      <w:r>
        <w:rPr>
          <w:rFonts w:hint="eastAsia" w:ascii="Times New Roman" w:hAnsi="Times New Roman" w:eastAsia="宋体" w:cs="Times New Roman"/>
          <w:color w:val="auto"/>
          <w:lang w:eastAsia="zh-CN"/>
        </w:rPr>
        <w:t>或</w:t>
      </w:r>
      <w:r>
        <w:rPr>
          <w:rFonts w:hint="eastAsia" w:ascii="Times New Roman" w:hAnsi="Times New Roman" w:eastAsia="宋体" w:cs="Times New Roman"/>
          <w:color w:val="auto"/>
          <w:lang w:val="en-US" w:eastAsia="zh-CN"/>
        </w:rPr>
        <w:t>2023年度</w:t>
      </w:r>
      <w:r>
        <w:rPr>
          <w:rFonts w:hint="eastAsia" w:ascii="Times New Roman" w:hAnsi="Times New Roman" w:eastAsia="宋体" w:cs="Times New Roman"/>
          <w:color w:val="auto"/>
        </w:rPr>
        <w:t>财务报告扫描件。</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4. </w:t>
      </w:r>
      <w:r>
        <w:rPr>
          <w:rFonts w:hint="eastAsia" w:ascii="Times New Roman" w:eastAsia="宋体" w:cs="Times New Roman" w:hAnsiTheme="minorEastAsia"/>
          <w:color w:val="auto"/>
        </w:rPr>
        <w:t>投标截止日前</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年在经营活动中没有重大违法记录的书面声明（截至开标日成立不足</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年的供应商可提供自成立以来无重大违法记录的书面声明）。</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（三）本项目不接受联合体投标。</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（四）本项目专门面向中小企业采购，提供《中小企业声明函》。</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五</w:t>
      </w:r>
      <w:r>
        <w:rPr>
          <w:rFonts w:ascii="Times New Roman" w:eastAsia="宋体" w:cs="Times New Roman" w:hAnsiTheme="minorEastAsia"/>
          <w:color w:val="auto"/>
        </w:rPr>
        <w:t>、项目需要落实的政府采购政策</w:t>
      </w:r>
    </w:p>
    <w:p>
      <w:pPr>
        <w:pStyle w:val="31"/>
        <w:spacing w:line="360" w:lineRule="auto"/>
        <w:ind w:firstLine="448" w:firstLineChars="200"/>
        <w:rPr>
          <w:rFonts w:ascii="Times New Roman" w:eastAsia="宋体" w:cs="Times New Roman" w:hAnsiTheme="minorEastAsia"/>
          <w:color w:val="auto"/>
        </w:rPr>
      </w:pPr>
      <w:bookmarkStart w:id="1" w:name="OLE_LINK3"/>
      <w:bookmarkStart w:id="2" w:name="OLE_LINK4"/>
      <w:r>
        <w:rPr>
          <w:rFonts w:ascii="Times New Roman" w:eastAsia="宋体" w:cs="Times New Roman" w:hAnsiTheme="minorEastAsia"/>
          <w:color w:val="auto"/>
        </w:rPr>
        <w:t>（一）</w:t>
      </w:r>
      <w:r>
        <w:rPr>
          <w:rFonts w:hint="eastAsia" w:ascii="Times New Roman" w:eastAsia="宋体" w:cs="Times New Roman" w:hAnsiTheme="minorEastAsia"/>
          <w:color w:val="auto"/>
        </w:rPr>
        <w:t>根据《政府采购促进中小企业发展管理办法》（财库</w:t>
      </w:r>
      <w:r>
        <w:rPr>
          <w:rFonts w:hint="eastAsia" w:ascii="Times New Roman" w:hAnsi="Times New Roman" w:eastAsia="宋体" w:cs="Times New Roman"/>
          <w:color w:val="auto"/>
        </w:rPr>
        <w:t>[2020]46</w:t>
      </w:r>
      <w:r>
        <w:rPr>
          <w:rFonts w:hint="eastAsia" w:ascii="Times New Roman" w:eastAsia="宋体" w:cs="Times New Roman" w:hAnsiTheme="minorEastAsia"/>
          <w:color w:val="auto"/>
        </w:rPr>
        <w:t>号）规定</w:t>
      </w:r>
      <w:r>
        <w:rPr>
          <w:rFonts w:ascii="Times New Roman" w:eastAsia="宋体" w:cs="Times New Roman" w:hAnsiTheme="minorEastAsia"/>
          <w:color w:val="auto"/>
        </w:rPr>
        <w:t>，</w:t>
      </w:r>
      <w:r>
        <w:rPr>
          <w:rFonts w:hint="eastAsia" w:ascii="Times New Roman" w:eastAsia="宋体" w:cs="Times New Roman" w:hAnsiTheme="minorEastAsia"/>
          <w:color w:val="auto"/>
        </w:rPr>
        <w:t>本项目专门面向中小企业采购。</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（二）根据财政部发布的《关于政府采购支持监狱企业发展有关问题的通知》规定，监狱企业视同小微企业。</w:t>
      </w:r>
    </w:p>
    <w:bookmarkEnd w:id="1"/>
    <w:bookmarkEnd w:id="2"/>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（三）</w:t>
      </w:r>
      <w:r>
        <w:rPr>
          <w:rFonts w:ascii="Times New Roman" w:eastAsia="宋体" w:cs="Times New Roman" w:hAnsiTheme="minorEastAsia"/>
          <w:color w:val="auto"/>
        </w:rPr>
        <w:t>根据财政部、民政部、中国残疾人联合会发布的《关于促进残疾人就业政府采购政策的通知》规定，残疾人福利性单位视同小微企业。</w:t>
      </w:r>
    </w:p>
    <w:p>
      <w:pPr>
        <w:pStyle w:val="31"/>
        <w:spacing w:line="360" w:lineRule="auto"/>
        <w:ind w:firstLine="448" w:firstLineChars="200"/>
        <w:jc w:val="both"/>
        <w:rPr>
          <w:rFonts w:ascii="Times New Roman" w:hAnsi="Times New Roman" w:eastAsia="宋体"/>
          <w:color w:val="auto"/>
        </w:rPr>
      </w:pPr>
      <w:r>
        <w:rPr>
          <w:rFonts w:hint="eastAsia" w:ascii="Times New Roman" w:eastAsia="宋体" w:hAnsiTheme="minor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31"/>
        <w:spacing w:line="360" w:lineRule="auto"/>
        <w:ind w:firstLine="448" w:firstLineChars="200"/>
        <w:jc w:val="both"/>
        <w:rPr>
          <w:rFonts w:ascii="Times New Roman" w:hAnsi="Times New Roman" w:eastAsia="宋体"/>
          <w:color w:val="auto"/>
        </w:rPr>
      </w:pPr>
      <w:r>
        <w:rPr>
          <w:rFonts w:hint="eastAsia" w:ascii="Times New Roman" w:eastAsia="宋体" w:hAnsiTheme="minorEastAsia"/>
          <w:color w:val="auto"/>
        </w:rPr>
        <w:t>（四）涉及商品包装或快递包装的，按照《财政部办公厅、生态环境部办公厅、国家邮政局办公室关于印发</w:t>
      </w:r>
      <w:r>
        <w:rPr>
          <w:rFonts w:hint="eastAsia" w:ascii="Times New Roman" w:hAnsi="Times New Roman" w:eastAsia="宋体"/>
          <w:color w:val="auto"/>
        </w:rPr>
        <w:t>&lt;</w:t>
      </w:r>
      <w:r>
        <w:rPr>
          <w:rFonts w:hint="eastAsia" w:ascii="Times New Roman" w:eastAsia="宋体" w:hAnsiTheme="minorEastAsia"/>
          <w:color w:val="auto"/>
        </w:rPr>
        <w:t>商品包装政府采购需求标准（试行）</w:t>
      </w:r>
      <w:r>
        <w:rPr>
          <w:rFonts w:hint="eastAsia" w:ascii="Times New Roman" w:hAnsi="Times New Roman" w:eastAsia="宋体"/>
          <w:color w:val="auto"/>
        </w:rPr>
        <w:t>&gt;</w:t>
      </w:r>
      <w:r>
        <w:rPr>
          <w:rFonts w:hint="eastAsia" w:ascii="Times New Roman" w:eastAsia="宋体" w:hAnsiTheme="minorEastAsia"/>
          <w:color w:val="auto"/>
        </w:rPr>
        <w:t>、</w:t>
      </w:r>
      <w:r>
        <w:rPr>
          <w:rFonts w:hint="eastAsia" w:ascii="Times New Roman" w:hAnsi="Times New Roman" w:eastAsia="宋体"/>
          <w:color w:val="auto"/>
        </w:rPr>
        <w:t>&lt;</w:t>
      </w:r>
      <w:r>
        <w:rPr>
          <w:rFonts w:hint="eastAsia" w:ascii="Times New Roman" w:eastAsia="宋体" w:hAnsiTheme="minorEastAsia"/>
          <w:color w:val="auto"/>
        </w:rPr>
        <w:t>快递包装政府采购需求标准（试行）</w:t>
      </w:r>
      <w:r>
        <w:rPr>
          <w:rFonts w:hint="eastAsia" w:ascii="Times New Roman" w:hAnsi="Times New Roman" w:eastAsia="宋体"/>
          <w:color w:val="auto"/>
        </w:rPr>
        <w:t>&gt;</w:t>
      </w:r>
      <w:r>
        <w:rPr>
          <w:rFonts w:hint="eastAsia" w:ascii="Times New Roman" w:eastAsia="宋体" w:hAnsiTheme="minorEastAsia"/>
          <w:color w:val="auto"/>
        </w:rPr>
        <w:t>的通知》（财办库〔</w:t>
      </w:r>
      <w:r>
        <w:rPr>
          <w:rFonts w:hint="eastAsia" w:ascii="Times New Roman" w:hAnsi="Times New Roman" w:eastAsia="宋体"/>
          <w:color w:val="auto"/>
        </w:rPr>
        <w:t>2020</w:t>
      </w:r>
      <w:r>
        <w:rPr>
          <w:rFonts w:hint="eastAsia" w:ascii="Times New Roman" w:eastAsia="宋体" w:hAnsiTheme="minorEastAsia"/>
          <w:color w:val="auto"/>
        </w:rPr>
        <w:t>〕</w:t>
      </w:r>
      <w:r>
        <w:rPr>
          <w:rFonts w:hint="eastAsia" w:ascii="Times New Roman" w:hAnsi="Times New Roman" w:eastAsia="宋体"/>
          <w:color w:val="auto"/>
        </w:rPr>
        <w:t>123</w:t>
      </w:r>
      <w:r>
        <w:rPr>
          <w:rFonts w:hint="eastAsia" w:ascii="Times New Roman" w:eastAsia="宋体" w:hAnsiTheme="minorEastAsia"/>
          <w:color w:val="auto"/>
        </w:rPr>
        <w:t>号）要求执行。</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（五）按照《财政部关于在政府采购活动中查询及使用信用记录有关问题的通知》（财库〔</w:t>
      </w:r>
      <w:r>
        <w:rPr>
          <w:rFonts w:hint="eastAsia" w:ascii="Times New Roman" w:hAnsi="Times New Roman" w:eastAsia="宋体" w:cs="Times New Roman"/>
          <w:color w:val="auto"/>
        </w:rPr>
        <w:t>2016</w:t>
      </w:r>
      <w:r>
        <w:rPr>
          <w:rFonts w:hint="eastAsia" w:ascii="Times New Roman" w:eastAsia="宋体" w:cs="Times New Roman" w:hAnsiTheme="minorEastAsia"/>
          <w:color w:val="auto"/>
        </w:rPr>
        <w:t>〕</w:t>
      </w:r>
      <w:r>
        <w:rPr>
          <w:rFonts w:hint="eastAsia" w:ascii="Times New Roman" w:hAnsi="Times New Roman" w:eastAsia="宋体" w:cs="Times New Roman"/>
          <w:color w:val="auto"/>
        </w:rPr>
        <w:t>125</w:t>
      </w:r>
      <w:r>
        <w:rPr>
          <w:rFonts w:hint="eastAsia" w:ascii="Times New Roman" w:eastAsia="宋体" w:cs="Times New Roman" w:hAnsiTheme="minorEastAsia"/>
          <w:color w:val="auto"/>
        </w:rPr>
        <w:t>号）的要求，根据开标当日解密截止时间</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信用中国</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网站（</w:t>
      </w:r>
      <w:r>
        <w:fldChar w:fldCharType="begin"/>
      </w:r>
      <w:r>
        <w:instrText xml:space="preserve"> HYPERLINK "http://www.creditchina.gov.cn" </w:instrText>
      </w:r>
      <w:r>
        <w:fldChar w:fldCharType="separate"/>
      </w:r>
      <w:r>
        <w:rPr>
          <w:rStyle w:val="25"/>
          <w:rFonts w:hint="eastAsia" w:ascii="Times New Roman" w:hAnsi="Times New Roman" w:eastAsia="宋体"/>
        </w:rPr>
        <w:t>http://www.creditchina.gov.cn</w:t>
      </w:r>
      <w:r>
        <w:rPr>
          <w:rStyle w:val="25"/>
          <w:rFonts w:hint="eastAsia" w:ascii="Times New Roman" w:hAnsi="Times New Roman" w:eastAsia="宋体"/>
        </w:rPr>
        <w:fldChar w:fldCharType="end"/>
      </w:r>
      <w:r>
        <w:rPr>
          <w:rFonts w:hint="eastAsia" w:ascii="Times New Roman" w:eastAsia="宋体" w:cs="Times New Roman" w:hAnsiTheme="minorEastAsia"/>
          <w:color w:val="auto"/>
        </w:rPr>
        <w:t>）、中国政府采购网（</w:t>
      </w:r>
      <w:r>
        <w:fldChar w:fldCharType="begin"/>
      </w:r>
      <w:r>
        <w:instrText xml:space="preserve"> HYPERLINK "http://www.ccgp.gov.cn/" </w:instrText>
      </w:r>
      <w:r>
        <w:fldChar w:fldCharType="separate"/>
      </w:r>
      <w:r>
        <w:rPr>
          <w:rStyle w:val="25"/>
          <w:rFonts w:ascii="Times New Roman" w:hAnsi="Times New Roman" w:eastAsia="宋体" w:cs="Times New Roman"/>
        </w:rPr>
        <w:t>http://www.ccgp.gov.cn/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六）参与政府采购活动的中小微企业，在获取政府采购中标（成交）通知书后，可向本市相关金融机构申请“政采贷”融资支持。有融资需求的企业，请于正式签订政府采购合同之前，向相关金融机构联系咨询。注：金融机构相关信息请登录天津市政府采购网政采贷板块（网址：http://tjgp.cz.tj.gov.cn/zcd/zcdList.jsp）了解。</w:t>
      </w:r>
    </w:p>
    <w:p>
      <w:pPr>
        <w:pStyle w:val="31"/>
        <w:spacing w:line="360" w:lineRule="auto"/>
        <w:ind w:firstLine="448" w:firstLineChars="200"/>
        <w:jc w:val="both"/>
        <w:rPr>
          <w:rFonts w:ascii="Times New Roman" w:hAnsi="Times New Roman" w:eastAsia="宋体" w:cs="Times New Roman"/>
          <w:color w:val="auto"/>
        </w:rPr>
      </w:pPr>
      <w:bookmarkStart w:id="3" w:name="_Toc412903615"/>
      <w:r>
        <w:rPr>
          <w:rFonts w:ascii="Times New Roman" w:hAnsi="Times New Roman" w:eastAsia="宋体" w:cs="Times New Roman"/>
          <w:color w:val="auto"/>
        </w:rPr>
        <w:t>六、获取招标文件时间、方式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日至202</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hint="eastAsia" w:ascii="Times New Roman" w:hAnsi="Times New Roman" w:eastAsia="宋体" w:cs="Times New Roman"/>
          <w:color w:val="auto"/>
        </w:rPr>
        <w:t>日，每日</w:t>
      </w:r>
      <w:r>
        <w:rPr>
          <w:rFonts w:ascii="Times New Roman" w:hAnsi="Times New Roman" w:eastAsia="宋体" w:cs="Times New Roman"/>
          <w:color w:val="auto"/>
        </w:rPr>
        <w:t>9:00</w:t>
      </w:r>
      <w:r>
        <w:rPr>
          <w:rFonts w:hint="eastAsia" w:ascii="Times New Roman" w:hAnsi="Times New Roman" w:eastAsia="宋体" w:cs="Times New Roman"/>
          <w:color w:val="auto"/>
        </w:rPr>
        <w:t>至</w:t>
      </w:r>
      <w:r>
        <w:rPr>
          <w:rFonts w:ascii="Times New Roman" w:hAnsi="Times New Roman" w:eastAsia="宋体"/>
          <w:color w:val="auto"/>
        </w:rPr>
        <w:t>17:00</w:t>
      </w:r>
      <w:r>
        <w:rPr>
          <w:rFonts w:hint="eastAsia" w:ascii="Times New Roman" w:hAnsi="Times New Roman" w:eastAsia="宋体"/>
          <w:color w:val="auto"/>
        </w:rPr>
        <w:t>（北京时间，法定节假日除外）。</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1.获取招标文件网址：使用天津市中环认证服务有限公司发出的CA数字证书（原天津市电子认证中心发出尚在有效期内的CA数字证书仍可使用）登录天津市政府采购中心网（网址：</w:t>
      </w:r>
      <w:r>
        <w:rPr>
          <w:color w:val="auto"/>
        </w:rPr>
        <w:fldChar w:fldCharType="begin"/>
      </w:r>
      <w:r>
        <w:rPr>
          <w:color w:val="auto"/>
        </w:rPr>
        <w:instrText xml:space="preserve"> HYPERLINK "http://tjgpc.cz.tj.gov.cn/" </w:instrText>
      </w:r>
      <w:r>
        <w:rPr>
          <w:color w:val="auto"/>
        </w:rPr>
        <w:fldChar w:fldCharType="separate"/>
      </w:r>
      <w:r>
        <w:rPr>
          <w:rStyle w:val="25"/>
          <w:rFonts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）-“网上招投标”-“供应商登录”-“区级集采机构入口”</w:t>
      </w:r>
      <w:r>
        <w:rPr>
          <w:rFonts w:ascii="Times New Roman" w:hAnsi="Times New Roman" w:eastAsia="宋体" w:cs="Times New Roman"/>
          <w:color w:val="auto"/>
        </w:rPr>
        <w:t>下载招标文件。</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供应商注册、CA数字证书（USBKey）领取、电子签章办理办法：</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color w:val="auto"/>
        </w:rPr>
        <w:fldChar w:fldCharType="begin"/>
      </w:r>
      <w:r>
        <w:rPr>
          <w:color w:val="auto"/>
        </w:rPr>
        <w:instrText xml:space="preserve"> HYPERLINK "http://tjgpc.cz.tj.gov.cn/" </w:instrText>
      </w:r>
      <w:r>
        <w:rPr>
          <w:color w:val="auto"/>
        </w:rPr>
        <w:fldChar w:fldCharType="separate"/>
      </w:r>
      <w:r>
        <w:rPr>
          <w:rStyle w:val="25"/>
          <w:rFonts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hint="eastAsia" w:ascii="Times New Roman" w:hAnsi="Times New Roman" w:eastAsia="宋体" w:cs="Times New Roman"/>
          <w:color w:val="auto"/>
        </w:rPr>
        <w:t>）首页点击“供应商注册”，填写相关内容。天津市政府采购中心注册窗口联系电话：022-24538316。</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（2）天津市政府采购网注册：登录天津市政府采购网（http://tjgp.cz.tj.gov.cn/gys_login.jsp）点击“申报注册”，完成网上注册。</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（3）CA数字证书（USBKey）领取及电子签章办理：参见天津市政府采购中心网（</w:t>
      </w:r>
      <w:r>
        <w:rPr>
          <w:color w:val="auto"/>
        </w:rPr>
        <w:fldChar w:fldCharType="begin"/>
      </w:r>
      <w:r>
        <w:rPr>
          <w:color w:val="auto"/>
        </w:rPr>
        <w:instrText xml:space="preserve"> HYPERLINK "http://tjgpc.cz.tj.gov.cn/" </w:instrText>
      </w:r>
      <w:r>
        <w:rPr>
          <w:color w:val="auto"/>
        </w:rPr>
        <w:fldChar w:fldCharType="separate"/>
      </w:r>
      <w:r>
        <w:rPr>
          <w:rStyle w:val="25"/>
          <w:rFonts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hint="eastAsia" w:ascii="Times New Roman" w:hAnsi="Times New Roman" w:eastAsia="宋体" w:cs="Times New Roman"/>
          <w:color w:val="auto"/>
        </w:rPr>
        <w:t>）--服务指南--供应商注册、领取CA数字证书（USBKey）及电子签章制章的流程。</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电子签章办理联系电话：022-24538316。</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（三）下载招标文件后如放弃投标，请于网上应答截止时间之前取消投标。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日9:00至</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日8:30，使用天津市中环认证服务有限公司发出的CA数字证书（原天津市电子认证中心发出尚在有效期内的CA数字证书仍可使用）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w:t>
      </w:r>
      <w:r>
        <w:rPr>
          <w:color w:val="auto"/>
        </w:rPr>
        <w:fldChar w:fldCharType="begin"/>
      </w:r>
      <w:r>
        <w:rPr>
          <w:color w:val="auto"/>
        </w:rPr>
        <w:instrText xml:space="preserve"> HYPERLINK "http://tjgpc.cz.tj.gov.cn/" </w:instrText>
      </w:r>
      <w:r>
        <w:rPr>
          <w:color w:val="auto"/>
        </w:rPr>
        <w:fldChar w:fldCharType="separate"/>
      </w:r>
      <w:r>
        <w:rPr>
          <w:rStyle w:val="25"/>
          <w:rFonts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）-“网上招投标”-“供应商登录”-“区级集采机构入口”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n）-“网上招投标”-“供应商登录”-“区级集采机构入口”提交网上应答并上传加盖投标人电子签章的PDF格式电子投标文件（以通过天津公共资源电子签章客户端正确读取签章信息为准）。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w:t>
      </w:r>
      <w:r>
        <w:rPr>
          <w:color w:val="auto"/>
        </w:rPr>
        <w:fldChar w:fldCharType="begin"/>
      </w:r>
      <w:r>
        <w:rPr>
          <w:color w:val="auto"/>
        </w:rPr>
        <w:instrText xml:space="preserve"> HYPERLINK "http://tjgpc.cz.tj.gov.cn/" </w:instrText>
      </w:r>
      <w:r>
        <w:rPr>
          <w:color w:val="auto"/>
        </w:rPr>
        <w:fldChar w:fldCharType="separate"/>
      </w:r>
      <w:r>
        <w:rPr>
          <w:rStyle w:val="25"/>
          <w:rFonts w:ascii="Times New Roman" w:hAnsi="Times New Roman" w:eastAsia="宋体" w:cs="Times New Roman"/>
          <w:color w:val="auto"/>
        </w:rPr>
        <w:t>http://tjgpc.zwfwb.tj.gov.cn/</w:t>
      </w:r>
      <w:r>
        <w:rPr>
          <w:rStyle w:val="25"/>
          <w:rFonts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）-“网上招投标”-“供应商登录”-“区级集采机构入口”</w:t>
      </w:r>
      <w:r>
        <w:rPr>
          <w:rFonts w:ascii="Times New Roman" w:hAnsi="Times New Roman" w:eastAsia="宋体" w:cs="Times New Roman"/>
          <w:color w:val="auto"/>
        </w:rPr>
        <w:t>完成开标解密。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31</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）-“网上招投标”-“供应商登录”-“区级集采机构入口”自行查看开标信息。</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w:t>
      </w:r>
      <w:r>
        <w:rPr>
          <w:rFonts w:hint="eastAsia" w:ascii="Times New Roman" w:hAnsi="Times New Roman" w:eastAsia="宋体" w:cs="Times New Roman"/>
          <w:color w:val="auto"/>
        </w:rPr>
        <w:t>采购代理机构名称、地址、联系人及联系方式</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（一）采购代理机构名称：天津市滨海新区政府采购中心</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（二）采购代理机构地址：天津市滨海新区塘沽营口道468号</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rPr>
        <w:t>夏冰</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供应商注册、电子签章办理咨询：022-24538316</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采购文件咨询：</w:t>
      </w:r>
      <w:r>
        <w:rPr>
          <w:rFonts w:ascii="Times New Roman" w:hAnsi="Times New Roman" w:eastAsia="宋体" w:cs="Times New Roman"/>
          <w:color w:val="auto"/>
        </w:rPr>
        <w:t>022-</w:t>
      </w:r>
      <w:r>
        <w:rPr>
          <w:rFonts w:hint="eastAsia" w:ascii="Times New Roman" w:hAnsi="Times New Roman" w:eastAsia="宋体" w:cs="Times New Roman"/>
          <w:color w:val="auto"/>
        </w:rPr>
        <w:t>25866107</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 </w:t>
      </w:r>
      <w:r>
        <w:rPr>
          <w:rFonts w:hint="eastAsia" w:ascii="Times New Roman" w:hAnsi="Times New Roman" w:eastAsia="宋体" w:cs="Times New Roman"/>
          <w:color w:val="auto"/>
        </w:rPr>
        <w:t>网上应答操作咨询：</w:t>
      </w:r>
      <w:r>
        <w:rPr>
          <w:rFonts w:ascii="Times New Roman" w:hAnsi="Times New Roman" w:eastAsia="宋体" w:cs="Times New Roman"/>
          <w:color w:val="auto"/>
        </w:rPr>
        <w:t>022-2453</w:t>
      </w:r>
      <w:r>
        <w:rPr>
          <w:rFonts w:hint="eastAsia" w:ascii="Times New Roman" w:hAnsi="Times New Roman" w:eastAsia="宋体" w:cs="Times New Roman"/>
          <w:color w:val="auto"/>
        </w:rPr>
        <w:t>8309</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 </w:t>
      </w:r>
      <w:r>
        <w:rPr>
          <w:rFonts w:hint="eastAsia" w:ascii="Times New Roman" w:hAnsi="Times New Roman" w:eastAsia="宋体" w:cs="Times New Roman"/>
          <w:color w:val="auto"/>
        </w:rPr>
        <w:t>解密操作咨询：</w:t>
      </w:r>
      <w:r>
        <w:rPr>
          <w:rFonts w:ascii="Times New Roman" w:hAnsi="Times New Roman" w:eastAsia="宋体" w:cs="Times New Roman"/>
          <w:color w:val="auto"/>
        </w:rPr>
        <w:t>022-24538309</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（七）邮箱：bhzfzcb@tj.gov.cn</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天津市滨海新区规划编制研究中心 </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天津市滨海新区塘沽阳光金地2-1-02  </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洪剑东 </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022-65270328 </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采购人针对采购文件质疑受理：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1.联系部门：办公室 </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2.联系人：洪剑东</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3.联系方式：022-66312086 </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4.联系地址：天津市滨海新区塘沽阳光金地2-1-02</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（二）供应商对质疑答复不满意的，或者采购人、天津市滨海新区政府采购中心未在规定期限内作出答复的，供应商可以在质疑答复期满后15个工作日内，向</w:t>
      </w:r>
      <w:r>
        <w:rPr>
          <w:rFonts w:ascii="Times New Roman" w:hAnsi="Times New Roman" w:eastAsia="宋体" w:cs="Times New Roman"/>
          <w:color w:val="auto"/>
        </w:rPr>
        <w:t>天津市</w:t>
      </w:r>
      <w:r>
        <w:rPr>
          <w:rFonts w:hint="eastAsia" w:ascii="Times New Roman" w:hAnsi="Times New Roman" w:eastAsia="宋体" w:cs="Times New Roman"/>
          <w:color w:val="auto"/>
        </w:rPr>
        <w:t>滨海新区</w:t>
      </w:r>
      <w:r>
        <w:rPr>
          <w:rFonts w:ascii="Times New Roman" w:hAnsi="Times New Roman" w:eastAsia="宋体" w:cs="Times New Roman"/>
          <w:color w:val="auto"/>
        </w:rPr>
        <w:t>财政局</w:t>
      </w:r>
      <w:r>
        <w:rPr>
          <w:rFonts w:hint="eastAsia" w:ascii="Times New Roman" w:hAnsi="Times New Roman" w:eastAsia="宋体" w:cs="Times New Roman"/>
          <w:color w:val="auto"/>
        </w:rPr>
        <w:t>政府采购办公室提出投诉，逾期不予受理。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31"/>
        <w:spacing w:line="360" w:lineRule="auto"/>
        <w:ind w:firstLine="6720" w:firstLineChars="3000"/>
        <w:jc w:val="both"/>
        <w:rPr>
          <w:rFonts w:ascii="Times New Roman" w:hAnsi="Times New Roman" w:eastAsia="宋体"/>
          <w:b/>
          <w:bCs/>
          <w:color w:val="FF0000"/>
          <w:kern w:val="28"/>
          <w:sz w:val="32"/>
          <w:szCs w:val="32"/>
        </w:rPr>
      </w:pP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w:t>
      </w:r>
      <w:r>
        <w:rPr>
          <w:rFonts w:ascii="Times New Roman" w:hAnsi="Times New Roman" w:eastAsia="宋体"/>
          <w:color w:val="FF0000"/>
        </w:rPr>
        <w:br w:type="page"/>
      </w:r>
    </w:p>
    <w:p>
      <w:pPr>
        <w:pStyle w:val="15"/>
        <w:rPr>
          <w:rFonts w:ascii="Times New Roman" w:hAnsi="Times New Roman"/>
        </w:rPr>
      </w:pPr>
      <w:r>
        <w:rPr>
          <w:rFonts w:ascii="Times New Roman" w:hAnsiTheme="minorEastAsia"/>
        </w:rPr>
        <w:t>第二部分招标项目要求</w:t>
      </w:r>
      <w:bookmarkEnd w:id="3"/>
    </w:p>
    <w:p>
      <w:pPr>
        <w:tabs>
          <w:tab w:val="left" w:pos="210"/>
        </w:tabs>
        <w:autoSpaceDE w:val="0"/>
        <w:autoSpaceDN w:val="0"/>
        <w:adjustRightInd w:val="0"/>
        <w:spacing w:line="360" w:lineRule="auto"/>
        <w:ind w:firstLine="448" w:firstLineChars="200"/>
        <w:outlineLvl w:val="0"/>
        <w:rPr>
          <w:sz w:val="24"/>
          <w:szCs w:val="24"/>
        </w:rPr>
      </w:pPr>
      <w:r>
        <w:rPr>
          <w:rFonts w:hAnsiTheme="minorEastAsia"/>
          <w:sz w:val="24"/>
          <w:szCs w:val="24"/>
        </w:rPr>
        <w:t>一、商务要求</w:t>
      </w:r>
    </w:p>
    <w:p>
      <w:pPr>
        <w:autoSpaceDE w:val="0"/>
        <w:autoSpaceDN w:val="0"/>
        <w:adjustRightInd w:val="0"/>
        <w:spacing w:line="360" w:lineRule="auto"/>
        <w:ind w:firstLine="448" w:firstLineChars="200"/>
        <w:rPr>
          <w:sz w:val="24"/>
        </w:rPr>
      </w:pPr>
      <w:r>
        <w:rPr>
          <w:rFonts w:hAnsiTheme="minorEastAsia"/>
          <w:kern w:val="0"/>
          <w:sz w:val="24"/>
          <w:szCs w:val="24"/>
        </w:rPr>
        <w:t>（一）</w:t>
      </w:r>
      <w:r>
        <w:rPr>
          <w:rFonts w:hAnsiTheme="minorEastAsia"/>
          <w:sz w:val="24"/>
        </w:rPr>
        <w:t>报价要求</w:t>
      </w:r>
    </w:p>
    <w:p>
      <w:pPr>
        <w:autoSpaceDE w:val="0"/>
        <w:autoSpaceDN w:val="0"/>
        <w:adjustRightInd w:val="0"/>
        <w:spacing w:line="360" w:lineRule="auto"/>
        <w:ind w:firstLine="448" w:firstLineChars="200"/>
        <w:rPr>
          <w:sz w:val="24"/>
        </w:rPr>
      </w:pPr>
      <w:r>
        <w:rPr>
          <w:sz w:val="24"/>
        </w:rPr>
        <w:t xml:space="preserve">1. </w:t>
      </w:r>
      <w:r>
        <w:rPr>
          <w:rFonts w:hAnsiTheme="minorEastAsia"/>
          <w:sz w:val="24"/>
        </w:rPr>
        <w:t>投标报价以人民币填列。</w:t>
      </w:r>
    </w:p>
    <w:p>
      <w:pPr>
        <w:autoSpaceDE w:val="0"/>
        <w:autoSpaceDN w:val="0"/>
        <w:adjustRightInd w:val="0"/>
        <w:spacing w:line="360" w:lineRule="auto"/>
        <w:ind w:firstLine="448" w:firstLineChars="200"/>
        <w:rPr>
          <w:sz w:val="24"/>
        </w:rPr>
      </w:pPr>
      <w:r>
        <w:rPr>
          <w:sz w:val="24"/>
        </w:rPr>
        <w:t xml:space="preserve">2. </w:t>
      </w:r>
      <w:r>
        <w:rPr>
          <w:rFonts w:hAnsiTheme="minorEastAsia"/>
          <w:sz w:val="24"/>
        </w:rPr>
        <w:t>投标人的报价应包括：人员工资、福利、社险</w:t>
      </w:r>
      <w:r>
        <w:rPr>
          <w:rFonts w:hint="eastAsia" w:hAnsiTheme="minorEastAsia"/>
          <w:sz w:val="24"/>
        </w:rPr>
        <w:t>、住房公积金</w:t>
      </w:r>
      <w:r>
        <w:rPr>
          <w:rFonts w:hAnsiTheme="minorEastAsia"/>
          <w:sz w:val="24"/>
        </w:rPr>
        <w:t>等人工费用、服装费、办公费、企业利润及税金等为完成招标文件规定的一切工作所需的全部费用。投标人所报价格应为最终优惠价格。</w:t>
      </w:r>
    </w:p>
    <w:p>
      <w:pPr>
        <w:spacing w:line="360" w:lineRule="auto"/>
        <w:ind w:firstLine="448" w:firstLineChars="200"/>
        <w:rPr>
          <w:kern w:val="0"/>
          <w:sz w:val="24"/>
          <w:szCs w:val="24"/>
        </w:rPr>
      </w:pPr>
      <w:r>
        <w:rPr>
          <w:rFonts w:hint="eastAsia"/>
          <w:kern w:val="0"/>
          <w:sz w:val="24"/>
          <w:szCs w:val="24"/>
        </w:rPr>
        <w:t>3.</w:t>
      </w:r>
      <w:r>
        <w:rPr>
          <w:rFonts w:hAnsiTheme="minorEastAsia"/>
          <w:sz w:val="24"/>
        </w:rPr>
        <w:t>验收相关费用由投标人负责。</w:t>
      </w:r>
    </w:p>
    <w:p>
      <w:pPr>
        <w:autoSpaceDE w:val="0"/>
        <w:autoSpaceDN w:val="0"/>
        <w:adjustRightInd w:val="0"/>
        <w:spacing w:line="360" w:lineRule="auto"/>
        <w:ind w:firstLine="448" w:firstLineChars="200"/>
        <w:rPr>
          <w:sz w:val="24"/>
        </w:rPr>
      </w:pPr>
      <w:r>
        <w:rPr>
          <w:rFonts w:hAnsiTheme="minorEastAsia"/>
          <w:sz w:val="24"/>
        </w:rPr>
        <w:t>（</w:t>
      </w:r>
      <w:r>
        <w:rPr>
          <w:rFonts w:hint="eastAsia" w:hAnsiTheme="minorEastAsia"/>
          <w:sz w:val="24"/>
        </w:rPr>
        <w:t>二</w:t>
      </w:r>
      <w:r>
        <w:rPr>
          <w:rFonts w:hAnsiTheme="minorEastAsia"/>
          <w:sz w:val="24"/>
        </w:rPr>
        <w:t>）时间、地点要求</w:t>
      </w:r>
    </w:p>
    <w:p>
      <w:pPr>
        <w:autoSpaceDE w:val="0"/>
        <w:autoSpaceDN w:val="0"/>
        <w:adjustRightInd w:val="0"/>
        <w:spacing w:line="360" w:lineRule="auto"/>
        <w:ind w:firstLine="448" w:firstLineChars="200"/>
        <w:rPr>
          <w:sz w:val="24"/>
          <w:highlight w:val="none"/>
        </w:rPr>
      </w:pPr>
      <w:r>
        <w:rPr>
          <w:sz w:val="24"/>
          <w:highlight w:val="none"/>
        </w:rPr>
        <w:t xml:space="preserve">1. </w:t>
      </w:r>
      <w:r>
        <w:rPr>
          <w:rFonts w:hAnsiTheme="minorEastAsia"/>
          <w:sz w:val="24"/>
          <w:highlight w:val="none"/>
        </w:rPr>
        <w:t>时间要求：</w:t>
      </w:r>
      <w:r>
        <w:rPr>
          <w:rFonts w:hint="eastAsia" w:hAnsiTheme="minorEastAsia"/>
          <w:sz w:val="24"/>
          <w:highlight w:val="none"/>
        </w:rPr>
        <w:t>自签订合同</w:t>
      </w:r>
      <w:r>
        <w:rPr>
          <w:rFonts w:hint="eastAsia" w:hAnsiTheme="minorEastAsia"/>
          <w:color w:val="auto"/>
          <w:sz w:val="24"/>
          <w:highlight w:val="none"/>
        </w:rPr>
        <w:t>之日起两年</w:t>
      </w:r>
      <w:r>
        <w:rPr>
          <w:rFonts w:hAnsiTheme="minorEastAsia"/>
          <w:color w:val="auto"/>
          <w:sz w:val="24"/>
          <w:highlight w:val="none"/>
        </w:rPr>
        <w:t>（特殊情况以合同为准）。</w:t>
      </w:r>
    </w:p>
    <w:p>
      <w:pPr>
        <w:autoSpaceDE w:val="0"/>
        <w:autoSpaceDN w:val="0"/>
        <w:adjustRightInd w:val="0"/>
        <w:spacing w:line="360" w:lineRule="auto"/>
        <w:ind w:firstLine="448" w:firstLineChars="200"/>
        <w:rPr>
          <w:sz w:val="24"/>
          <w:highlight w:val="none"/>
        </w:rPr>
      </w:pPr>
      <w:r>
        <w:rPr>
          <w:sz w:val="24"/>
          <w:highlight w:val="none"/>
        </w:rPr>
        <w:t xml:space="preserve">2. </w:t>
      </w:r>
      <w:r>
        <w:rPr>
          <w:rFonts w:hAnsiTheme="minorEastAsia"/>
          <w:sz w:val="24"/>
          <w:highlight w:val="none"/>
        </w:rPr>
        <w:t>服务地点：</w:t>
      </w:r>
      <w:r>
        <w:rPr>
          <w:rFonts w:hint="eastAsia" w:hAnsiTheme="minorEastAsia"/>
          <w:sz w:val="24"/>
          <w:highlight w:val="none"/>
        </w:rPr>
        <w:t>天津市滨海新区塘沽中心北路阳光金地写字楼（特殊情况以合同为准）。</w:t>
      </w:r>
    </w:p>
    <w:p>
      <w:pPr>
        <w:autoSpaceDE w:val="0"/>
        <w:autoSpaceDN w:val="0"/>
        <w:adjustRightInd w:val="0"/>
        <w:spacing w:line="360" w:lineRule="auto"/>
        <w:ind w:firstLine="448" w:firstLineChars="200"/>
        <w:rPr>
          <w:sz w:val="24"/>
        </w:rPr>
      </w:pPr>
      <w:r>
        <w:rPr>
          <w:rFonts w:hAnsiTheme="minorEastAsia"/>
          <w:sz w:val="24"/>
        </w:rPr>
        <w:t>（</w:t>
      </w:r>
      <w:r>
        <w:rPr>
          <w:rFonts w:hint="eastAsia" w:hAnsiTheme="minorEastAsia"/>
          <w:sz w:val="24"/>
        </w:rPr>
        <w:t>三</w:t>
      </w:r>
      <w:r>
        <w:rPr>
          <w:rFonts w:hAnsiTheme="minorEastAsia"/>
          <w:sz w:val="24"/>
        </w:rPr>
        <w:t>）付款方式</w:t>
      </w:r>
    </w:p>
    <w:p>
      <w:pPr>
        <w:autoSpaceDE w:val="0"/>
        <w:autoSpaceDN w:val="0"/>
        <w:adjustRightInd w:val="0"/>
        <w:spacing w:line="360" w:lineRule="auto"/>
        <w:ind w:firstLine="448" w:firstLineChars="200"/>
        <w:rPr>
          <w:rFonts w:hint="eastAsia" w:hAnsiTheme="minorEastAsia"/>
          <w:sz w:val="24"/>
        </w:rPr>
      </w:pPr>
      <w:r>
        <w:rPr>
          <w:rFonts w:hint="eastAsia" w:hAnsiTheme="minorEastAsia"/>
          <w:sz w:val="24"/>
        </w:rPr>
        <w:t>按季度付款，经考核后，每季度结束后的7个工作日内支付上一季度的服务费（特殊情况以合同为准）。</w:t>
      </w:r>
    </w:p>
    <w:p>
      <w:pPr>
        <w:autoSpaceDE w:val="0"/>
        <w:autoSpaceDN w:val="0"/>
        <w:adjustRightInd w:val="0"/>
        <w:spacing w:line="360" w:lineRule="auto"/>
        <w:ind w:firstLine="448" w:firstLineChars="200"/>
        <w:rPr>
          <w:rFonts w:hint="eastAsia" w:hAnsiTheme="minorEastAsia"/>
          <w:sz w:val="24"/>
        </w:rPr>
      </w:pPr>
      <w:r>
        <w:rPr>
          <w:rFonts w:hint="eastAsia" w:hAnsiTheme="minorEastAsia"/>
          <w:sz w:val="24"/>
        </w:rPr>
        <w:t>如采购人因转企改制或其他原因更换办公场所，合同终止，服务费按中标单位实际服务天数支付。</w:t>
      </w:r>
    </w:p>
    <w:p>
      <w:pPr>
        <w:autoSpaceDE w:val="0"/>
        <w:autoSpaceDN w:val="0"/>
        <w:adjustRightInd w:val="0"/>
        <w:spacing w:line="360" w:lineRule="auto"/>
        <w:ind w:firstLine="448" w:firstLineChars="200"/>
        <w:rPr>
          <w:sz w:val="24"/>
        </w:rPr>
      </w:pPr>
      <w:r>
        <w:rPr>
          <w:rFonts w:hAnsiTheme="minorEastAsia"/>
          <w:sz w:val="24"/>
        </w:rPr>
        <w:t>（</w:t>
      </w:r>
      <w:r>
        <w:rPr>
          <w:rFonts w:hint="eastAsia" w:hAnsiTheme="minorEastAsia"/>
          <w:sz w:val="24"/>
        </w:rPr>
        <w:t>四</w:t>
      </w:r>
      <w:r>
        <w:rPr>
          <w:rFonts w:hAnsiTheme="minorEastAsia"/>
          <w:sz w:val="24"/>
        </w:rPr>
        <w:t>）投标保证金和履约保证金</w:t>
      </w:r>
    </w:p>
    <w:p>
      <w:pPr>
        <w:autoSpaceDE w:val="0"/>
        <w:autoSpaceDN w:val="0"/>
        <w:adjustRightInd w:val="0"/>
        <w:spacing w:line="360" w:lineRule="auto"/>
        <w:ind w:firstLine="448" w:firstLineChars="200"/>
        <w:rPr>
          <w:sz w:val="24"/>
        </w:rPr>
      </w:pPr>
      <w:r>
        <w:rPr>
          <w:rFonts w:hAnsiTheme="minorEastAsia"/>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rFonts w:hAnsiTheme="minorEastAsia"/>
          <w:sz w:val="24"/>
        </w:rPr>
        <w:t>二</w:t>
      </w:r>
      <w:r>
        <w:rPr>
          <w:rFonts w:hAnsiTheme="minorEastAsia"/>
          <w:bCs/>
          <w:sz w:val="24"/>
        </w:rPr>
        <w:t>、技术要求</w:t>
      </w:r>
    </w:p>
    <w:p>
      <w:pPr>
        <w:spacing w:line="360" w:lineRule="auto"/>
        <w:ind w:firstLine="448" w:firstLineChars="200"/>
        <w:outlineLvl w:val="0"/>
        <w:rPr>
          <w:sz w:val="24"/>
        </w:rPr>
      </w:pPr>
      <w:r>
        <w:rPr>
          <w:rFonts w:hint="eastAsia" w:hAnsiTheme="minorEastAsia"/>
          <w:sz w:val="24"/>
        </w:rPr>
        <w:t>★</w:t>
      </w:r>
      <w:r>
        <w:rPr>
          <w:rFonts w:hAnsiTheme="minorEastAsia"/>
          <w:sz w:val="24"/>
        </w:rPr>
        <w:t>（一）投标人须承诺所提供的服务、人员</w:t>
      </w:r>
      <w:r>
        <w:rPr>
          <w:rFonts w:hint="eastAsia" w:hAnsiTheme="minorEastAsia"/>
          <w:sz w:val="24"/>
        </w:rPr>
        <w:t>、</w:t>
      </w:r>
      <w:r>
        <w:rPr>
          <w:rFonts w:hAnsiTheme="minorEastAsia"/>
          <w:sz w:val="24"/>
        </w:rPr>
        <w:t>设备</w:t>
      </w:r>
      <w:r>
        <w:rPr>
          <w:rFonts w:hint="eastAsia" w:hAnsiTheme="minorEastAsia"/>
          <w:sz w:val="24"/>
        </w:rPr>
        <w:t>及耗材等均</w:t>
      </w:r>
      <w:r>
        <w:rPr>
          <w:rFonts w:hAnsiTheme="minorEastAsia"/>
          <w:sz w:val="24"/>
        </w:rPr>
        <w:t>符合相关强制性规定。</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w:t>
      </w:r>
      <w:r>
        <w:rPr>
          <w:rFonts w:hAnsiTheme="minorEastAsia"/>
          <w:color w:val="000000"/>
          <w:sz w:val="24"/>
        </w:rPr>
        <w:t>（二）</w:t>
      </w:r>
      <w:r>
        <w:rPr>
          <w:rFonts w:hAnsiTheme="minorEastAsia"/>
          <w:sz w:val="24"/>
        </w:rPr>
        <w:t>投标人须承诺</w:t>
      </w:r>
      <w:r>
        <w:rPr>
          <w:rFonts w:hint="eastAsia" w:hAnsiTheme="minorEastAsia"/>
          <w:sz w:val="24"/>
        </w:rPr>
        <w:t>一旦中标，</w:t>
      </w:r>
      <w:r>
        <w:rPr>
          <w:rFonts w:hAnsiTheme="minorEastAsia"/>
          <w:color w:val="000000"/>
          <w:sz w:val="24"/>
        </w:rPr>
        <w:t>根据《中华人民共和国劳动合同法》及其他法律法规的要求与服务人员签订</w:t>
      </w:r>
      <w:r>
        <w:rPr>
          <w:rFonts w:hint="eastAsia" w:hAnsiTheme="minorEastAsia"/>
          <w:color w:val="000000"/>
          <w:sz w:val="24"/>
        </w:rPr>
        <w:t>劳动</w:t>
      </w:r>
      <w:r>
        <w:rPr>
          <w:rFonts w:hAnsiTheme="minorEastAsia"/>
          <w:color w:val="000000"/>
          <w:sz w:val="24"/>
        </w:rPr>
        <w:t>合同</w:t>
      </w:r>
      <w:r>
        <w:rPr>
          <w:rFonts w:hint="eastAsia" w:hAnsiTheme="minorEastAsia"/>
          <w:color w:val="000000"/>
          <w:sz w:val="24"/>
        </w:rPr>
        <w:t>，按国家及天津市相关政策规定，支付工资、加班费和福利费、</w:t>
      </w:r>
      <w:r>
        <w:rPr>
          <w:rFonts w:hAnsiTheme="minorEastAsia"/>
          <w:color w:val="000000"/>
          <w:sz w:val="24"/>
        </w:rPr>
        <w:t>缴纳社会保险</w:t>
      </w:r>
      <w:r>
        <w:rPr>
          <w:rFonts w:hint="eastAsia" w:hAnsiTheme="minorEastAsia"/>
          <w:color w:val="000000"/>
          <w:sz w:val="24"/>
        </w:rPr>
        <w:t>及住房公积金等</w:t>
      </w:r>
      <w:r>
        <w:rPr>
          <w:rFonts w:hAnsiTheme="minorEastAsia"/>
          <w:color w:val="000000"/>
          <w:sz w:val="24"/>
        </w:rPr>
        <w:t>。</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w:t>
      </w:r>
      <w:r>
        <w:rPr>
          <w:rFonts w:hAnsiTheme="minorEastAsia"/>
          <w:color w:val="000000"/>
          <w:sz w:val="24"/>
        </w:rPr>
        <w:t>（三）</w:t>
      </w:r>
      <w:r>
        <w:rPr>
          <w:rFonts w:hAnsiTheme="minorEastAsia"/>
          <w:sz w:val="24"/>
        </w:rPr>
        <w:t>投标人须承诺</w:t>
      </w:r>
      <w:r>
        <w:rPr>
          <w:rFonts w:hint="eastAsia" w:hAnsiTheme="minorEastAsia"/>
          <w:color w:val="000000"/>
          <w:sz w:val="24"/>
        </w:rPr>
        <w:t>相应专业</w:t>
      </w:r>
      <w:r>
        <w:rPr>
          <w:rFonts w:hAnsiTheme="minorEastAsia"/>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rFonts w:hAnsiTheme="minorEastAsia"/>
          <w:sz w:val="24"/>
        </w:rPr>
        <w:t>（四）具体需求详见本部分项目需求书。</w:t>
      </w:r>
    </w:p>
    <w:p>
      <w:pPr>
        <w:spacing w:line="360" w:lineRule="auto"/>
        <w:ind w:firstLine="448" w:firstLineChars="200"/>
        <w:outlineLvl w:val="0"/>
        <w:rPr>
          <w:sz w:val="24"/>
        </w:rPr>
      </w:pPr>
      <w:r>
        <w:rPr>
          <w:rFonts w:hAnsiTheme="minorEastAsia"/>
          <w:sz w:val="24"/>
        </w:rPr>
        <w:t>三、评分因素及评标标准</w:t>
      </w:r>
    </w:p>
    <w:tbl>
      <w:tblPr>
        <w:tblStyle w:val="19"/>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pPr>
              <w:widowControl/>
              <w:adjustRightInd w:val="0"/>
              <w:snapToGrid w:val="0"/>
              <w:spacing w:line="360" w:lineRule="auto"/>
              <w:jc w:val="center"/>
              <w:rPr>
                <w:kern w:val="0"/>
                <w:sz w:val="24"/>
                <w:szCs w:val="24"/>
              </w:rPr>
            </w:pPr>
            <w:r>
              <w:rPr>
                <w:kern w:val="0"/>
                <w:sz w:val="24"/>
                <w:szCs w:val="24"/>
              </w:rPr>
              <w:t>第一部分 价格（20分）</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1</w:t>
            </w:r>
          </w:p>
        </w:tc>
        <w:tc>
          <w:tcPr>
            <w:tcW w:w="1419" w:type="dxa"/>
            <w:vAlign w:val="center"/>
          </w:tcPr>
          <w:p>
            <w:pPr>
              <w:widowControl/>
              <w:adjustRightInd w:val="0"/>
              <w:snapToGrid w:val="0"/>
              <w:spacing w:line="360" w:lineRule="auto"/>
              <w:jc w:val="center"/>
              <w:rPr>
                <w:kern w:val="0"/>
                <w:sz w:val="24"/>
                <w:szCs w:val="24"/>
              </w:rPr>
            </w:pPr>
            <w:r>
              <w:rPr>
                <w:kern w:val="0"/>
                <w:sz w:val="24"/>
                <w:szCs w:val="24"/>
              </w:rPr>
              <w:t>价格</w:t>
            </w:r>
          </w:p>
        </w:tc>
        <w:tc>
          <w:tcPr>
            <w:tcW w:w="7311" w:type="dxa"/>
            <w:vAlign w:val="center"/>
          </w:tcPr>
          <w:p>
            <w:pPr>
              <w:widowControl/>
              <w:adjustRightInd w:val="0"/>
              <w:snapToGrid w:val="0"/>
              <w:spacing w:line="360" w:lineRule="auto"/>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spacing w:line="360" w:lineRule="auto"/>
              <w:rPr>
                <w:kern w:val="0"/>
                <w:sz w:val="24"/>
                <w:szCs w:val="24"/>
              </w:rPr>
            </w:pPr>
            <w:r>
              <w:rPr>
                <w:kern w:val="0"/>
                <w:sz w:val="24"/>
                <w:szCs w:val="24"/>
              </w:rPr>
              <w:t>（2）投标报价得分=（评标基准价/投标报价）×20</w:t>
            </w:r>
          </w:p>
          <w:p>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noWrap/>
            <w:vAlign w:val="center"/>
          </w:tcPr>
          <w:p>
            <w:pPr>
              <w:widowControl/>
              <w:adjustRightInd w:val="0"/>
              <w:snapToGrid w:val="0"/>
              <w:spacing w:line="360" w:lineRule="auto"/>
              <w:jc w:val="center"/>
              <w:rPr>
                <w:kern w:val="0"/>
                <w:sz w:val="24"/>
                <w:szCs w:val="24"/>
              </w:rPr>
            </w:pPr>
            <w:r>
              <w:rPr>
                <w:kern w:val="0"/>
                <w:sz w:val="24"/>
                <w:szCs w:val="24"/>
              </w:rPr>
              <w:t>第二部分 客观分（</w:t>
            </w:r>
            <w:r>
              <w:rPr>
                <w:rFonts w:hint="eastAsia"/>
                <w:kern w:val="0"/>
                <w:sz w:val="24"/>
                <w:szCs w:val="24"/>
              </w:rPr>
              <w:t>47</w:t>
            </w:r>
            <w:r>
              <w:rPr>
                <w:kern w:val="0"/>
                <w:sz w:val="24"/>
                <w:szCs w:val="24"/>
              </w:rPr>
              <w:t>分）</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1</w:t>
            </w:r>
          </w:p>
        </w:tc>
        <w:tc>
          <w:tcPr>
            <w:tcW w:w="1419" w:type="dxa"/>
            <w:vAlign w:val="center"/>
          </w:tcPr>
          <w:p>
            <w:pPr>
              <w:widowControl/>
              <w:adjustRightInd w:val="0"/>
              <w:snapToGrid w:val="0"/>
              <w:spacing w:line="360" w:lineRule="auto"/>
              <w:jc w:val="center"/>
              <w:rPr>
                <w:kern w:val="0"/>
                <w:sz w:val="24"/>
                <w:szCs w:val="24"/>
              </w:rPr>
            </w:pPr>
            <w:r>
              <w:rPr>
                <w:kern w:val="0"/>
                <w:sz w:val="24"/>
                <w:szCs w:val="24"/>
              </w:rPr>
              <w:t>投标人业绩</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kern w:val="0"/>
                <w:sz w:val="24"/>
                <w:szCs w:val="24"/>
              </w:rPr>
            </w:pPr>
            <w:r>
              <w:rPr>
                <w:rFonts w:hint="eastAsia"/>
                <w:kern w:val="0"/>
                <w:sz w:val="24"/>
                <w:szCs w:val="24"/>
              </w:rPr>
              <w:t>A. 合同原件扫描件。包括合同金额、买卖双方名称及盖章、物业服务期限（合同服务起始日期为2020年1月1日或以后，且已经履行至少1年的时间）、物业服务内容。</w:t>
            </w:r>
          </w:p>
          <w:p>
            <w:pPr>
              <w:widowControl/>
              <w:adjustRightInd w:val="0"/>
              <w:snapToGrid w:val="0"/>
              <w:spacing w:line="360" w:lineRule="auto"/>
              <w:rPr>
                <w:kern w:val="0"/>
                <w:sz w:val="24"/>
                <w:szCs w:val="24"/>
              </w:rPr>
            </w:pPr>
            <w:r>
              <w:rPr>
                <w:rFonts w:hint="eastAsia"/>
                <w:kern w:val="0"/>
                <w:sz w:val="24"/>
                <w:szCs w:val="24"/>
              </w:rPr>
              <w:t>B.上述合同履行良好的相关证明材料原件扫描件（加盖上述合同甲方单位公章或上述合同中的甲方印章）。</w:t>
            </w:r>
          </w:p>
          <w:p>
            <w:pPr>
              <w:widowControl/>
              <w:adjustRightInd w:val="0"/>
              <w:snapToGrid w:val="0"/>
              <w:spacing w:line="360" w:lineRule="auto"/>
              <w:rPr>
                <w:kern w:val="0"/>
                <w:sz w:val="24"/>
                <w:szCs w:val="24"/>
              </w:rPr>
            </w:pPr>
            <w:r>
              <w:rPr>
                <w:rFonts w:hint="eastAsia"/>
                <w:kern w:val="0"/>
                <w:sz w:val="24"/>
                <w:szCs w:val="24"/>
              </w:rPr>
              <w:t>每个业绩2分，最多10分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2</w:t>
            </w:r>
          </w:p>
        </w:tc>
        <w:tc>
          <w:tcPr>
            <w:tcW w:w="1419" w:type="dxa"/>
            <w:vAlign w:val="center"/>
          </w:tcPr>
          <w:p>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pPr>
              <w:widowControl/>
              <w:adjustRightInd w:val="0"/>
              <w:snapToGrid w:val="0"/>
              <w:spacing w:line="360" w:lineRule="auto"/>
              <w:rPr>
                <w:kern w:val="0"/>
                <w:sz w:val="24"/>
                <w:szCs w:val="24"/>
              </w:rPr>
            </w:pPr>
            <w:r>
              <w:rPr>
                <w:rFonts w:hint="eastAsia"/>
                <w:kern w:val="0"/>
                <w:sz w:val="24"/>
                <w:szCs w:val="24"/>
              </w:rPr>
              <w:t>具备1个证书得1分，最高3分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3</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投入的项目经理为投标单位正式员工，提供项目经理姓名、项目经理开标日当月或上一月的由投标单位或其分公司缴纳社会保险证明扫描件，否则不予认定加分。</w:t>
            </w:r>
          </w:p>
          <w:p>
            <w:pPr>
              <w:widowControl/>
              <w:adjustRightInd w:val="0"/>
              <w:snapToGrid w:val="0"/>
              <w:spacing w:line="360" w:lineRule="auto"/>
              <w:rPr>
                <w:kern w:val="0"/>
                <w:sz w:val="24"/>
                <w:szCs w:val="24"/>
              </w:rPr>
            </w:pPr>
            <w:r>
              <w:rPr>
                <w:rFonts w:hint="eastAsia"/>
                <w:kern w:val="0"/>
                <w:sz w:val="24"/>
                <w:szCs w:val="24"/>
              </w:rPr>
              <w:t>（1）提供项目经理毕业证书扫描件，该项目经理具有本科或以上学历的：2分，其他：0分；</w:t>
            </w:r>
          </w:p>
          <w:p>
            <w:pPr>
              <w:widowControl/>
              <w:adjustRightInd w:val="0"/>
              <w:snapToGrid w:val="0"/>
              <w:spacing w:line="360" w:lineRule="auto"/>
              <w:rPr>
                <w:kern w:val="0"/>
                <w:sz w:val="24"/>
                <w:szCs w:val="24"/>
              </w:rPr>
            </w:pPr>
            <w:r>
              <w:rPr>
                <w:rFonts w:hint="eastAsia"/>
                <w:kern w:val="0"/>
                <w:sz w:val="24"/>
                <w:szCs w:val="24"/>
              </w:rPr>
              <w:t>（2）提供项目经理用户服务证明扫描件（加盖用户单位公章），用户服务证明能表明该项目经理具备三年（含三年）以上非住宅物业管理经验的：2分，其他：0分；</w:t>
            </w:r>
          </w:p>
          <w:p>
            <w:pPr>
              <w:widowControl/>
              <w:adjustRightInd w:val="0"/>
              <w:snapToGrid w:val="0"/>
              <w:spacing w:line="360" w:lineRule="auto"/>
              <w:rPr>
                <w:kern w:val="0"/>
                <w:sz w:val="24"/>
                <w:szCs w:val="24"/>
              </w:rPr>
            </w:pPr>
            <w:r>
              <w:rPr>
                <w:rFonts w:hint="eastAsia"/>
                <w:kern w:val="0"/>
                <w:sz w:val="24"/>
                <w:szCs w:val="24"/>
              </w:rPr>
              <w:t>（3）提供项目经理身份证扫描件，该项目经理年龄在40周岁或以下的：1分，其他：0分；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4</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（1）承诺全部物业人员均满足项目需求书人员岗位要求且身体健康得</w:t>
            </w:r>
            <w:r>
              <w:rPr>
                <w:rFonts w:hint="eastAsia"/>
                <w:kern w:val="0"/>
                <w:sz w:val="24"/>
                <w:szCs w:val="24"/>
                <w:lang w:val="en-US" w:eastAsia="zh-CN"/>
              </w:rPr>
              <w:t>11</w:t>
            </w:r>
            <w:r>
              <w:rPr>
                <w:rFonts w:hint="eastAsia"/>
                <w:kern w:val="0"/>
                <w:sz w:val="24"/>
                <w:szCs w:val="24"/>
              </w:rPr>
              <w:t>分，否则0分。</w:t>
            </w:r>
          </w:p>
          <w:p>
            <w:pPr>
              <w:widowControl/>
              <w:adjustRightInd w:val="0"/>
              <w:snapToGrid w:val="0"/>
              <w:spacing w:line="360" w:lineRule="auto"/>
              <w:rPr>
                <w:kern w:val="0"/>
                <w:sz w:val="24"/>
                <w:szCs w:val="24"/>
              </w:rPr>
            </w:pPr>
            <w:r>
              <w:rPr>
                <w:rFonts w:hint="eastAsia"/>
                <w:kern w:val="0"/>
                <w:sz w:val="24"/>
                <w:szCs w:val="24"/>
              </w:rPr>
              <w:t>（2）设备维护员：拟投入本项目的设备维护员同时具备《特种作业操作证（低压电工作业）》</w:t>
            </w:r>
            <w:r>
              <w:rPr>
                <w:rFonts w:hint="eastAsia"/>
                <w:kern w:val="0"/>
                <w:sz w:val="24"/>
                <w:szCs w:val="24"/>
                <w:lang w:eastAsia="zh-CN"/>
              </w:rPr>
              <w:t>、</w:t>
            </w:r>
            <w:r>
              <w:rPr>
                <w:rFonts w:hint="eastAsia"/>
                <w:kern w:val="0"/>
                <w:sz w:val="24"/>
                <w:szCs w:val="24"/>
              </w:rPr>
              <w:t>《中华人民共和国特种作业操作证(焊接与热切割)》</w:t>
            </w:r>
            <w:r>
              <w:rPr>
                <w:rFonts w:hint="eastAsia"/>
                <w:kern w:val="0"/>
                <w:sz w:val="24"/>
                <w:szCs w:val="24"/>
                <w:lang w:eastAsia="zh-CN"/>
              </w:rPr>
              <w:t>、《</w:t>
            </w:r>
            <w:r>
              <w:rPr>
                <w:rFonts w:hint="eastAsia"/>
                <w:kern w:val="0"/>
                <w:sz w:val="24"/>
                <w:szCs w:val="24"/>
              </w:rPr>
              <w:t>特种作业操作证（高处作业）》和《特种设备作业人员证（电梯作业）》（项目代号T），且提供上述人员上述</w:t>
            </w:r>
            <w:r>
              <w:rPr>
                <w:rFonts w:hint="eastAsia"/>
                <w:kern w:val="0"/>
                <w:sz w:val="24"/>
                <w:szCs w:val="24"/>
                <w:lang w:eastAsia="zh-CN"/>
              </w:rPr>
              <w:t>四个</w:t>
            </w:r>
            <w:r>
              <w:rPr>
                <w:rFonts w:hint="eastAsia"/>
                <w:kern w:val="0"/>
                <w:sz w:val="24"/>
                <w:szCs w:val="24"/>
              </w:rPr>
              <w:t>证书扫描件，每个提供合格的证书扫描件</w:t>
            </w:r>
            <w:bookmarkStart w:id="8" w:name="_GoBack"/>
            <w:bookmarkEnd w:id="8"/>
            <w:r>
              <w:rPr>
                <w:rFonts w:hint="eastAsia"/>
                <w:kern w:val="0"/>
                <w:sz w:val="24"/>
                <w:szCs w:val="24"/>
              </w:rPr>
              <w:t>的上述人员得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（3）设备维护员：提供上述设备维护员（已提供</w:t>
            </w:r>
            <w:r>
              <w:rPr>
                <w:rFonts w:hint="eastAsia"/>
                <w:kern w:val="0"/>
                <w:sz w:val="24"/>
                <w:szCs w:val="24"/>
                <w:lang w:eastAsia="zh-CN"/>
              </w:rPr>
              <w:t>四个</w:t>
            </w:r>
            <w:r>
              <w:rPr>
                <w:rFonts w:hint="eastAsia"/>
                <w:kern w:val="0"/>
                <w:sz w:val="24"/>
                <w:szCs w:val="24"/>
              </w:rPr>
              <w:t>证书扫描件的）</w:t>
            </w:r>
            <w:r>
              <w:rPr>
                <w:rFonts w:hint="eastAsia"/>
                <w:color w:val="auto"/>
                <w:kern w:val="0"/>
                <w:sz w:val="24"/>
                <w:szCs w:val="24"/>
              </w:rPr>
              <w:t>开标日当月或上一月的由投标单位或其分公司缴纳社会保险证明扫描件，</w:t>
            </w:r>
            <w:r>
              <w:rPr>
                <w:rFonts w:hint="eastAsia"/>
                <w:kern w:val="0"/>
                <w:sz w:val="24"/>
                <w:szCs w:val="24"/>
              </w:rPr>
              <w:t>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4</w:t>
            </w:r>
            <w:r>
              <w:rPr>
                <w:rFonts w:hint="eastAsia"/>
                <w:kern w:val="0"/>
                <w:sz w:val="24"/>
                <w:szCs w:val="24"/>
              </w:rPr>
              <w:t>）秩序维护员：拟投入本项目的秩序维护员同时具备《保安员》证和《职业资格证书（建（构）筑物消防员）或消防设施操作员》，且提供上述人员上述双证书扫描件，每个提供合格的证书扫描件的上述人员得1分，最多2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）秩序维护员：提供上述秩序维护员（已提供证书扫描件的）</w:t>
            </w:r>
            <w:r>
              <w:rPr>
                <w:rFonts w:hint="eastAsia"/>
                <w:color w:val="auto"/>
                <w:kern w:val="0"/>
                <w:sz w:val="24"/>
                <w:szCs w:val="24"/>
              </w:rPr>
              <w:t>开标日当月或上一月的由投标单位或其分公司缴纳社会保险证明扫描件，</w:t>
            </w:r>
            <w:r>
              <w:rPr>
                <w:rFonts w:hint="eastAsia"/>
                <w:kern w:val="0"/>
                <w:sz w:val="24"/>
                <w:szCs w:val="24"/>
              </w:rPr>
              <w:t>每个合格的人员社保证明扫描件得1分，最多2分；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保洁员：拟投入本项目的保洁员中同时具备《特种作业操作证（高处作业）》、《天津市病媒生物防制培训证书》和卫生防疫部门或医疗机构颁发的健康证，且提供上述人员上述三个证书扫描件，每个提供合格的证书扫描件的上述人员得1分，最多3分；</w:t>
            </w:r>
          </w:p>
          <w:p>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7</w:t>
            </w:r>
            <w:r>
              <w:rPr>
                <w:rFonts w:hint="eastAsia"/>
                <w:kern w:val="0"/>
                <w:sz w:val="24"/>
                <w:szCs w:val="24"/>
              </w:rPr>
              <w:t>）保洁员：提供上述保洁员（已提供合格证书扫描件的</w:t>
            </w:r>
            <w:r>
              <w:rPr>
                <w:rFonts w:hint="eastAsia"/>
                <w:color w:val="0000FF"/>
                <w:kern w:val="0"/>
                <w:sz w:val="24"/>
                <w:szCs w:val="24"/>
              </w:rPr>
              <w:t>）</w:t>
            </w:r>
            <w:r>
              <w:rPr>
                <w:rFonts w:hint="eastAsia"/>
                <w:color w:val="auto"/>
                <w:kern w:val="0"/>
                <w:sz w:val="24"/>
                <w:szCs w:val="24"/>
              </w:rPr>
              <w:t>开标日当月或上一月的由投标单位或其分公司缴纳社会保险证明扫描件，提供合格</w:t>
            </w:r>
            <w:r>
              <w:rPr>
                <w:rFonts w:hint="eastAsia"/>
                <w:kern w:val="0"/>
                <w:sz w:val="24"/>
                <w:szCs w:val="24"/>
              </w:rPr>
              <w:t>的人员社保证明扫描件得1分，最多3分；</w:t>
            </w:r>
          </w:p>
        </w:tc>
        <w:tc>
          <w:tcPr>
            <w:tcW w:w="1143" w:type="dxa"/>
            <w:vAlign w:val="center"/>
          </w:tcPr>
          <w:p>
            <w:pPr>
              <w:widowControl/>
              <w:adjustRightInd w:val="0"/>
              <w:snapToGrid w:val="0"/>
              <w:spacing w:line="360" w:lineRule="auto"/>
              <w:jc w:val="center"/>
              <w:rPr>
                <w:color w:val="FF0000"/>
                <w:kern w:val="0"/>
                <w:sz w:val="24"/>
                <w:szCs w:val="24"/>
              </w:rPr>
            </w:pPr>
            <w:r>
              <w:rPr>
                <w:rFonts w:hint="eastAsia"/>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5</w:t>
            </w:r>
          </w:p>
        </w:tc>
        <w:tc>
          <w:tcPr>
            <w:tcW w:w="1419" w:type="dxa"/>
            <w:vAlign w:val="center"/>
          </w:tcPr>
          <w:p>
            <w:pPr>
              <w:widowControl/>
              <w:adjustRightInd w:val="0"/>
              <w:snapToGrid w:val="0"/>
              <w:spacing w:line="360" w:lineRule="auto"/>
              <w:jc w:val="center"/>
              <w:rPr>
                <w:kern w:val="0"/>
                <w:sz w:val="24"/>
                <w:szCs w:val="24"/>
              </w:rPr>
            </w:pPr>
            <w:r>
              <w:rPr>
                <w:sz w:val="24"/>
              </w:rPr>
              <w:t>人员培训方案</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pPr>
              <w:widowControl/>
              <w:adjustRightInd w:val="0"/>
              <w:snapToGrid w:val="0"/>
              <w:spacing w:line="360" w:lineRule="auto"/>
              <w:rPr>
                <w:kern w:val="0"/>
                <w:sz w:val="24"/>
                <w:szCs w:val="24"/>
              </w:rPr>
            </w:pPr>
            <w:r>
              <w:rPr>
                <w:rFonts w:hint="eastAsia"/>
                <w:kern w:val="0"/>
                <w:sz w:val="24"/>
                <w:szCs w:val="24"/>
              </w:rPr>
              <w:t>每提供上述1项内容的得0.5分，最多3分。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6</w:t>
            </w:r>
          </w:p>
        </w:tc>
        <w:tc>
          <w:tcPr>
            <w:tcW w:w="1419" w:type="dxa"/>
            <w:vAlign w:val="center"/>
          </w:tcPr>
          <w:p>
            <w:pPr>
              <w:widowControl/>
              <w:adjustRightInd w:val="0"/>
              <w:snapToGrid w:val="0"/>
              <w:spacing w:line="360" w:lineRule="auto"/>
              <w:jc w:val="center"/>
              <w:rPr>
                <w:sz w:val="24"/>
              </w:rPr>
            </w:pPr>
            <w:r>
              <w:rPr>
                <w:rFonts w:hint="eastAsia"/>
                <w:kern w:val="0"/>
                <w:sz w:val="24"/>
                <w:szCs w:val="24"/>
              </w:rPr>
              <w:t>保洁耗材评价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noWrap/>
            <w:vAlign w:val="center"/>
          </w:tcPr>
          <w:p>
            <w:pPr>
              <w:widowControl/>
              <w:adjustRightInd w:val="0"/>
              <w:snapToGrid w:val="0"/>
              <w:spacing w:line="360" w:lineRule="auto"/>
              <w:jc w:val="center"/>
              <w:rPr>
                <w:kern w:val="0"/>
                <w:sz w:val="24"/>
                <w:szCs w:val="24"/>
              </w:rPr>
            </w:pPr>
            <w:r>
              <w:rPr>
                <w:kern w:val="0"/>
                <w:sz w:val="24"/>
                <w:szCs w:val="24"/>
              </w:rPr>
              <w:t>第三部分 主观分（</w:t>
            </w:r>
            <w:r>
              <w:rPr>
                <w:rFonts w:hint="eastAsia"/>
                <w:kern w:val="0"/>
                <w:sz w:val="24"/>
                <w:szCs w:val="24"/>
              </w:rPr>
              <w:t>33</w:t>
            </w:r>
            <w:r>
              <w:rPr>
                <w:kern w:val="0"/>
                <w:sz w:val="24"/>
                <w:szCs w:val="24"/>
              </w:rPr>
              <w:t>分）</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1</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针对本项目特点的人员、岗位配置方案评价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人员配置方案满足招标文件要求，内容无瑕疵：5分；</w:t>
            </w:r>
          </w:p>
          <w:p>
            <w:pPr>
              <w:widowControl/>
              <w:adjustRightInd w:val="0"/>
              <w:snapToGrid w:val="0"/>
              <w:spacing w:line="360" w:lineRule="auto"/>
              <w:rPr>
                <w:kern w:val="0"/>
                <w:sz w:val="24"/>
                <w:szCs w:val="24"/>
              </w:rPr>
            </w:pPr>
            <w:r>
              <w:rPr>
                <w:rFonts w:hint="eastAsia"/>
                <w:kern w:val="0"/>
                <w:sz w:val="24"/>
                <w:szCs w:val="24"/>
              </w:rPr>
              <w:t>人员配置方案满足招标文件要求，但内容存在1处瑕疵：4分；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人员配置方案满足招标文件要求，但内容存在2处瑕疵：3分；</w:t>
            </w:r>
          </w:p>
          <w:p>
            <w:pPr>
              <w:widowControl/>
              <w:adjustRightInd w:val="0"/>
              <w:snapToGrid w:val="0"/>
              <w:spacing w:line="360" w:lineRule="auto"/>
              <w:rPr>
                <w:color w:val="FF0000"/>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2</w:t>
            </w:r>
          </w:p>
        </w:tc>
        <w:tc>
          <w:tcPr>
            <w:tcW w:w="1419" w:type="dxa"/>
            <w:vAlign w:val="center"/>
          </w:tcPr>
          <w:p>
            <w:pPr>
              <w:widowControl/>
              <w:adjustRightInd w:val="0"/>
              <w:snapToGrid w:val="0"/>
              <w:spacing w:line="360" w:lineRule="auto"/>
              <w:jc w:val="center"/>
              <w:rPr>
                <w:kern w:val="0"/>
                <w:sz w:val="24"/>
                <w:szCs w:val="24"/>
              </w:rPr>
            </w:pPr>
            <w:r>
              <w:rPr>
                <w:rFonts w:hint="eastAsia"/>
                <w:color w:val="000000" w:themeColor="text1"/>
                <w:kern w:val="0"/>
                <w:sz w:val="24"/>
                <w:szCs w:val="24"/>
                <w14:textFill>
                  <w14:solidFill>
                    <w14:schemeClr w14:val="tx1"/>
                  </w14:solidFill>
                </w14:textFill>
              </w:rPr>
              <w:t>针对本项目特点的专业化管理方案评价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方案满足招标文件要求，内容无瑕疵：5分；</w:t>
            </w:r>
          </w:p>
          <w:p>
            <w:pPr>
              <w:widowControl/>
              <w:adjustRightInd w:val="0"/>
              <w:snapToGrid w:val="0"/>
              <w:spacing w:line="360" w:lineRule="auto"/>
              <w:rPr>
                <w:kern w:val="0"/>
                <w:sz w:val="24"/>
                <w:szCs w:val="24"/>
              </w:rPr>
            </w:pPr>
            <w:r>
              <w:rPr>
                <w:rFonts w:hint="eastAsia"/>
                <w:kern w:val="0"/>
                <w:sz w:val="24"/>
                <w:szCs w:val="24"/>
              </w:rPr>
              <w:t>方案满足招标文件要求，但内容存在1处瑕疵：4分；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方案满足招标文件要求，但内容存在2处瑕疵：3分；</w:t>
            </w:r>
          </w:p>
          <w:p>
            <w:pPr>
              <w:widowControl/>
              <w:adjustRightInd w:val="0"/>
              <w:snapToGrid w:val="0"/>
              <w:spacing w:line="360" w:lineRule="auto"/>
              <w:rPr>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3</w:t>
            </w:r>
          </w:p>
        </w:tc>
        <w:tc>
          <w:tcPr>
            <w:tcW w:w="1419" w:type="dxa"/>
            <w:vAlign w:val="center"/>
          </w:tcPr>
          <w:p>
            <w:pPr>
              <w:widowControl/>
              <w:adjustRightInd w:val="0"/>
              <w:snapToGrid w:val="0"/>
              <w:spacing w:line="360" w:lineRule="auto"/>
              <w:jc w:val="center"/>
              <w:rPr>
                <w:kern w:val="0"/>
                <w:sz w:val="24"/>
                <w:szCs w:val="24"/>
              </w:rPr>
            </w:pPr>
            <w:r>
              <w:rPr>
                <w:rFonts w:hint="eastAsia"/>
                <w:sz w:val="24"/>
              </w:rPr>
              <w:t>针对本项目特点的重点、难点的理解评价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理解满足招标文件要求，内容无瑕疵：5分；</w:t>
            </w:r>
          </w:p>
          <w:p>
            <w:pPr>
              <w:widowControl/>
              <w:adjustRightInd w:val="0"/>
              <w:snapToGrid w:val="0"/>
              <w:spacing w:line="360" w:lineRule="auto"/>
              <w:rPr>
                <w:kern w:val="0"/>
                <w:sz w:val="24"/>
                <w:szCs w:val="24"/>
              </w:rPr>
            </w:pPr>
            <w:r>
              <w:rPr>
                <w:rFonts w:hint="eastAsia"/>
                <w:kern w:val="0"/>
                <w:sz w:val="24"/>
                <w:szCs w:val="24"/>
              </w:rPr>
              <w:t>理解满足招标文件要求，但内容存在1处瑕疵：4分；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理解满足招标文件要求，但内容存在2处瑕疵：3分；</w:t>
            </w:r>
          </w:p>
          <w:p>
            <w:pPr>
              <w:widowControl/>
              <w:adjustRightInd w:val="0"/>
              <w:snapToGrid w:val="0"/>
              <w:spacing w:line="360" w:lineRule="auto"/>
              <w:rPr>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4</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针对本项目特点的应急预案评价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kern w:val="0"/>
                <w:sz w:val="24"/>
                <w:szCs w:val="24"/>
              </w:rPr>
            </w:pPr>
            <w:r>
              <w:rPr>
                <w:rFonts w:hint="eastAsia"/>
                <w:kern w:val="0"/>
                <w:sz w:val="24"/>
                <w:szCs w:val="24"/>
              </w:rPr>
              <w:t>预案满足招标文件要求，内容无瑕疵：5分；</w:t>
            </w:r>
          </w:p>
          <w:p>
            <w:pPr>
              <w:widowControl/>
              <w:adjustRightInd w:val="0"/>
              <w:snapToGrid w:val="0"/>
              <w:spacing w:line="360" w:lineRule="auto"/>
              <w:rPr>
                <w:kern w:val="0"/>
                <w:sz w:val="24"/>
                <w:szCs w:val="24"/>
              </w:rPr>
            </w:pPr>
            <w:r>
              <w:rPr>
                <w:rFonts w:hint="eastAsia"/>
                <w:kern w:val="0"/>
                <w:sz w:val="24"/>
                <w:szCs w:val="24"/>
              </w:rPr>
              <w:t>预案满足招标文件要求，但内容存在1处瑕疵：4分；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预案满足招标文件要求，但内容存在2处瑕疵：3分；</w:t>
            </w:r>
          </w:p>
          <w:p>
            <w:pPr>
              <w:widowControl/>
              <w:adjustRightInd w:val="0"/>
              <w:snapToGrid w:val="0"/>
              <w:spacing w:line="360" w:lineRule="auto"/>
              <w:rPr>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5</w:t>
            </w:r>
          </w:p>
        </w:tc>
        <w:tc>
          <w:tcPr>
            <w:tcW w:w="1419" w:type="dxa"/>
            <w:vAlign w:val="center"/>
          </w:tcPr>
          <w:p>
            <w:pPr>
              <w:widowControl/>
              <w:adjustRightInd w:val="0"/>
              <w:snapToGrid w:val="0"/>
              <w:spacing w:line="360" w:lineRule="auto"/>
              <w:jc w:val="center"/>
              <w:rPr>
                <w:kern w:val="0"/>
                <w:sz w:val="24"/>
                <w:szCs w:val="24"/>
              </w:rPr>
            </w:pPr>
            <w:r>
              <w:rPr>
                <w:rFonts w:hint="eastAsia"/>
                <w:sz w:val="24"/>
              </w:rPr>
              <w:t>针对本项目特点的人员保密管理方案评价</w:t>
            </w:r>
          </w:p>
        </w:tc>
        <w:tc>
          <w:tcPr>
            <w:tcW w:w="7311" w:type="dxa"/>
            <w:vAlign w:val="center"/>
          </w:tcPr>
          <w:p>
            <w:pPr>
              <w:widowControl/>
              <w:adjustRightInd w:val="0"/>
              <w:snapToGrid w:val="0"/>
              <w:spacing w:line="360" w:lineRule="auto"/>
              <w:rPr>
                <w:sz w:val="24"/>
              </w:rPr>
            </w:pPr>
            <w:r>
              <w:rPr>
                <w:rFonts w:hint="eastAsia"/>
                <w:sz w:val="24"/>
              </w:rPr>
              <w:t>方案满足招标文件要求，内容无瑕疵：5分；</w:t>
            </w:r>
          </w:p>
          <w:p>
            <w:pPr>
              <w:widowControl/>
              <w:adjustRightInd w:val="0"/>
              <w:snapToGrid w:val="0"/>
              <w:spacing w:line="360" w:lineRule="auto"/>
              <w:rPr>
                <w:sz w:val="24"/>
              </w:rPr>
            </w:pPr>
            <w:r>
              <w:rPr>
                <w:rFonts w:hint="eastAsia"/>
                <w:sz w:val="24"/>
              </w:rPr>
              <w:t>方案满足招标文件要求，但内容存在1处瑕疵：4分；</w:t>
            </w:r>
          </w:p>
          <w:p>
            <w:pPr>
              <w:widowControl/>
              <w:adjustRightInd w:val="0"/>
              <w:snapToGrid w:val="0"/>
              <w:spacing w:line="360" w:lineRule="auto"/>
              <w:rPr>
                <w:sz w:val="24"/>
              </w:rPr>
            </w:pPr>
            <w:r>
              <w:rPr>
                <w:rFonts w:hint="eastAsia"/>
                <w:sz w:val="24"/>
              </w:rPr>
              <w:t>方案满足招标文件要求，但内容存在2处瑕疵：3分；</w:t>
            </w:r>
          </w:p>
          <w:p>
            <w:pPr>
              <w:widowControl/>
              <w:adjustRightInd w:val="0"/>
              <w:snapToGrid w:val="0"/>
              <w:spacing w:line="360" w:lineRule="auto"/>
              <w:rPr>
                <w:kern w:val="0"/>
                <w:sz w:val="24"/>
                <w:szCs w:val="24"/>
              </w:rPr>
            </w:pPr>
            <w:r>
              <w:rPr>
                <w:rFonts w:hint="eastAsia"/>
                <w:sz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6</w:t>
            </w:r>
          </w:p>
        </w:tc>
        <w:tc>
          <w:tcPr>
            <w:tcW w:w="1419" w:type="dxa"/>
            <w:vAlign w:val="center"/>
          </w:tcPr>
          <w:p>
            <w:pPr>
              <w:widowControl/>
              <w:adjustRightInd w:val="0"/>
              <w:snapToGrid w:val="0"/>
              <w:spacing w:line="360" w:lineRule="auto"/>
              <w:jc w:val="center"/>
              <w:rPr>
                <w:kern w:val="0"/>
                <w:sz w:val="24"/>
                <w:szCs w:val="24"/>
              </w:rPr>
            </w:pPr>
            <w:r>
              <w:rPr>
                <w:rFonts w:hint="eastAsia"/>
                <w:sz w:val="24"/>
              </w:rPr>
              <w:t>针对本项目特点的人员稳定性方案评价</w:t>
            </w:r>
          </w:p>
        </w:tc>
        <w:tc>
          <w:tcPr>
            <w:tcW w:w="7311" w:type="dxa"/>
            <w:vAlign w:val="center"/>
          </w:tcPr>
          <w:p>
            <w:pPr>
              <w:widowControl/>
              <w:adjustRightInd w:val="0"/>
              <w:snapToGrid w:val="0"/>
              <w:spacing w:line="360" w:lineRule="auto"/>
              <w:rPr>
                <w:sz w:val="24"/>
              </w:rPr>
            </w:pPr>
            <w:r>
              <w:rPr>
                <w:rFonts w:hint="eastAsia"/>
                <w:sz w:val="24"/>
              </w:rPr>
              <w:t>方案满足招标文件要求，内容无瑕疵：5分；</w:t>
            </w:r>
          </w:p>
          <w:p>
            <w:pPr>
              <w:widowControl/>
              <w:adjustRightInd w:val="0"/>
              <w:snapToGrid w:val="0"/>
              <w:spacing w:line="360" w:lineRule="auto"/>
              <w:rPr>
                <w:sz w:val="24"/>
              </w:rPr>
            </w:pPr>
            <w:r>
              <w:rPr>
                <w:rFonts w:hint="eastAsia"/>
                <w:sz w:val="24"/>
              </w:rPr>
              <w:t>方案满足招标文件要求，但内容存在1处瑕疵：4分；</w:t>
            </w:r>
          </w:p>
          <w:p>
            <w:pPr>
              <w:widowControl/>
              <w:adjustRightInd w:val="0"/>
              <w:snapToGrid w:val="0"/>
              <w:spacing w:line="360" w:lineRule="auto"/>
              <w:rPr>
                <w:sz w:val="24"/>
              </w:rPr>
            </w:pPr>
            <w:r>
              <w:rPr>
                <w:rFonts w:hint="eastAsia"/>
                <w:sz w:val="24"/>
              </w:rPr>
              <w:t>方案满足招标文件要求，但内容存在2处瑕疵：3分；</w:t>
            </w:r>
          </w:p>
          <w:p>
            <w:pPr>
              <w:widowControl/>
              <w:adjustRightInd w:val="0"/>
              <w:snapToGrid w:val="0"/>
              <w:spacing w:line="360" w:lineRule="auto"/>
              <w:rPr>
                <w:kern w:val="0"/>
                <w:sz w:val="24"/>
                <w:szCs w:val="24"/>
              </w:rPr>
            </w:pPr>
            <w:r>
              <w:rPr>
                <w:rFonts w:hint="eastAsia"/>
                <w:sz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7</w:t>
            </w:r>
          </w:p>
        </w:tc>
        <w:tc>
          <w:tcPr>
            <w:tcW w:w="1419" w:type="dxa"/>
            <w:vAlign w:val="center"/>
          </w:tcPr>
          <w:p>
            <w:pPr>
              <w:widowControl/>
              <w:adjustRightInd w:val="0"/>
              <w:snapToGrid w:val="0"/>
              <w:spacing w:line="360" w:lineRule="auto"/>
              <w:jc w:val="center"/>
              <w:rPr>
                <w:sz w:val="24"/>
              </w:rPr>
            </w:pPr>
            <w:r>
              <w:rPr>
                <w:rFonts w:hint="eastAsia"/>
                <w:sz w:val="24"/>
              </w:rPr>
              <w:t>价格测算方案评价</w:t>
            </w:r>
          </w:p>
        </w:tc>
        <w:tc>
          <w:tcPr>
            <w:tcW w:w="7311" w:type="dxa"/>
            <w:vAlign w:val="center"/>
          </w:tcPr>
          <w:p>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sz w:val="24"/>
              </w:rPr>
            </w:pPr>
            <w:r>
              <w:rPr>
                <w:rFonts w:hint="eastAsia"/>
                <w:sz w:val="24"/>
              </w:rPr>
              <w:t>投标报价在不超采购预算的前提下，其合理性由评标委员会在评分中予以考虑。</w:t>
            </w:r>
          </w:p>
          <w:p>
            <w:pPr>
              <w:widowControl/>
              <w:adjustRightInd w:val="0"/>
              <w:snapToGrid w:val="0"/>
              <w:spacing w:line="360" w:lineRule="auto"/>
              <w:rPr>
                <w:sz w:val="24"/>
              </w:rPr>
            </w:pPr>
            <w:r>
              <w:rPr>
                <w:rFonts w:hint="eastAsia"/>
                <w:sz w:val="24"/>
              </w:rPr>
              <w:t>价格测算方案科学合理：3分；</w:t>
            </w:r>
          </w:p>
          <w:p>
            <w:pPr>
              <w:widowControl/>
              <w:adjustRightInd w:val="0"/>
              <w:snapToGrid w:val="0"/>
              <w:spacing w:line="360" w:lineRule="auto"/>
              <w:rPr>
                <w:sz w:val="24"/>
              </w:rPr>
            </w:pPr>
            <w:r>
              <w:rPr>
                <w:rFonts w:hint="eastAsia"/>
                <w:sz w:val="24"/>
              </w:rPr>
              <w:t>价格测算方案合理性方面存在1处瑕疵：2分；</w:t>
            </w:r>
          </w:p>
          <w:p>
            <w:pPr>
              <w:widowControl/>
              <w:adjustRightInd w:val="0"/>
              <w:snapToGrid w:val="0"/>
              <w:spacing w:line="360" w:lineRule="auto"/>
              <w:rPr>
                <w:sz w:val="24"/>
              </w:rPr>
            </w:pPr>
            <w:r>
              <w:rPr>
                <w:rFonts w:hint="eastAsia"/>
                <w:sz w:val="24"/>
              </w:rPr>
              <w:t>价格测算方案合理性方面存在2处瑕疵：1分；</w:t>
            </w:r>
          </w:p>
          <w:p>
            <w:pPr>
              <w:widowControl/>
              <w:adjustRightInd w:val="0"/>
              <w:snapToGrid w:val="0"/>
              <w:spacing w:line="360" w:lineRule="auto"/>
              <w:rPr>
                <w:sz w:val="24"/>
              </w:rPr>
            </w:pPr>
            <w:r>
              <w:rPr>
                <w:rFonts w:hint="eastAsia"/>
                <w:sz w:val="24"/>
              </w:rPr>
              <w:t>未提供测算方案或方案存在3处及以上瑕疵或社会保险、住房公积金应缴未缴的：0分。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noWrap/>
            <w:vAlign w:val="center"/>
          </w:tcPr>
          <w:p>
            <w:pPr>
              <w:widowControl/>
              <w:adjustRightInd w:val="0"/>
              <w:snapToGrid w:val="0"/>
              <w:spacing w:line="360" w:lineRule="auto"/>
              <w:jc w:val="center"/>
              <w:rPr>
                <w:sz w:val="24"/>
              </w:rPr>
            </w:pPr>
            <w:r>
              <w:rPr>
                <w:sz w:val="24"/>
              </w:rPr>
              <w:t>合计</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536" w:type="dxa"/>
            <w:gridSpan w:val="4"/>
            <w:noWrap/>
            <w:vAlign w:val="center"/>
          </w:tcPr>
          <w:p>
            <w:pPr>
              <w:widowControl/>
              <w:adjustRightInd w:val="0"/>
              <w:snapToGrid w:val="0"/>
              <w:spacing w:line="360" w:lineRule="auto"/>
              <w:jc w:val="left"/>
              <w:rPr>
                <w:kern w:val="0"/>
                <w:sz w:val="24"/>
                <w:szCs w:val="24"/>
              </w:rPr>
            </w:pPr>
            <w:r>
              <w:rPr>
                <w:rFonts w:hint="eastAsia"/>
                <w:b/>
                <w:bCs/>
                <w:color w:val="000000"/>
                <w:kern w:val="0"/>
                <w:sz w:val="24"/>
                <w:szCs w:val="24"/>
              </w:rPr>
              <w:t>注：</w:t>
            </w:r>
            <w:r>
              <w:rPr>
                <w:rFonts w:hint="eastAsia"/>
                <w:b/>
                <w:bCs/>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bl>
    <w:p>
      <w:pPr>
        <w:spacing w:line="360" w:lineRule="auto"/>
        <w:ind w:firstLine="448" w:firstLineChars="200"/>
        <w:outlineLvl w:val="0"/>
        <w:rPr>
          <w:sz w:val="24"/>
        </w:rPr>
      </w:pPr>
      <w:r>
        <w:rPr>
          <w:rFonts w:hAnsiTheme="minorEastAsia"/>
          <w:sz w:val="24"/>
        </w:rPr>
        <w:t>四、投标文件内容要求</w:t>
      </w:r>
    </w:p>
    <w:p>
      <w:pPr>
        <w:spacing w:line="360" w:lineRule="auto"/>
        <w:ind w:firstLine="448" w:firstLineChars="200"/>
        <w:outlineLvl w:val="0"/>
        <w:rPr>
          <w:sz w:val="24"/>
        </w:rPr>
      </w:pPr>
      <w:r>
        <w:rPr>
          <w:rFonts w:hint="eastAsia" w:hAnsiTheme="minorEastAsia"/>
          <w:sz w:val="24"/>
        </w:rPr>
        <w:t>（一）</w:t>
      </w:r>
      <w:r>
        <w:rPr>
          <w:rFonts w:hAnsiTheme="minorEastAsia"/>
          <w:sz w:val="24"/>
        </w:rPr>
        <w:t>投标人须按照《投标须知》</w:t>
      </w:r>
      <w:r>
        <w:rPr>
          <w:sz w:val="24"/>
        </w:rPr>
        <w:t xml:space="preserve">“C </w:t>
      </w:r>
      <w:r>
        <w:rPr>
          <w:rFonts w:hAnsiTheme="minorEastAsia"/>
          <w:sz w:val="24"/>
        </w:rPr>
        <w:t>投标文件的编制</w:t>
      </w:r>
      <w:r>
        <w:rPr>
          <w:sz w:val="24"/>
        </w:rPr>
        <w:t>”</w:t>
      </w:r>
      <w:r>
        <w:rPr>
          <w:rFonts w:hAnsiTheme="minorEastAsia"/>
          <w:sz w:val="24"/>
        </w:rPr>
        <w:t>中的相关要求编制投标文件</w:t>
      </w:r>
      <w:r>
        <w:rPr>
          <w:rFonts w:hint="eastAsia" w:hAnsiTheme="minorEastAsia"/>
          <w:sz w:val="24"/>
        </w:rPr>
        <w:t>。</w:t>
      </w:r>
    </w:p>
    <w:p>
      <w:pPr>
        <w:spacing w:line="360" w:lineRule="auto"/>
        <w:ind w:firstLine="448" w:firstLineChars="200"/>
        <w:outlineLvl w:val="0"/>
        <w:rPr>
          <w:sz w:val="24"/>
        </w:rPr>
      </w:pPr>
      <w:r>
        <w:rPr>
          <w:rFonts w:hint="eastAsia" w:hAnsiTheme="minorEastAsia"/>
          <w:sz w:val="24"/>
        </w:rPr>
        <w:t>（二）</w:t>
      </w:r>
      <w:r>
        <w:rPr>
          <w:rFonts w:hAnsiTheme="minorEastAsia"/>
          <w:sz w:val="24"/>
        </w:rPr>
        <w:t>投标文件</w:t>
      </w:r>
      <w:r>
        <w:rPr>
          <w:rFonts w:hint="eastAsia" w:hAnsiTheme="minorEastAsia"/>
          <w:sz w:val="24"/>
        </w:rPr>
        <w:t>格式参照第五部分</w:t>
      </w:r>
      <w:r>
        <w:rPr>
          <w:rFonts w:hint="eastAsia"/>
          <w:sz w:val="24"/>
        </w:rPr>
        <w:t>“</w:t>
      </w:r>
      <w:r>
        <w:rPr>
          <w:rFonts w:hint="eastAsia" w:hAnsiTheme="minorEastAsia"/>
          <w:sz w:val="24"/>
        </w:rPr>
        <w:t>投标文件格式</w:t>
      </w:r>
      <w:r>
        <w:rPr>
          <w:rFonts w:hint="eastAsia"/>
          <w:sz w:val="24"/>
        </w:rPr>
        <w:t>”</w:t>
      </w:r>
      <w:r>
        <w:rPr>
          <w:rFonts w:hint="eastAsia" w:hAnsiTheme="minorEastAsia"/>
          <w:sz w:val="24"/>
        </w:rPr>
        <w:t>。</w:t>
      </w:r>
    </w:p>
    <w:p>
      <w:pPr>
        <w:spacing w:line="360" w:lineRule="auto"/>
        <w:jc w:val="center"/>
        <w:rPr>
          <w:b/>
          <w:sz w:val="24"/>
        </w:rPr>
      </w:pPr>
      <w:r>
        <w:rPr>
          <w:sz w:val="24"/>
          <w:u w:val="single"/>
        </w:rPr>
        <w:br w:type="page"/>
      </w:r>
    </w:p>
    <w:p>
      <w:pPr>
        <w:widowControl/>
        <w:jc w:val="center"/>
        <w:rPr>
          <w:rFonts w:hint="eastAsia" w:eastAsia="宋体"/>
          <w:b/>
          <w:bCs/>
          <w:sz w:val="36"/>
          <w:szCs w:val="36"/>
          <w:lang w:eastAsia="zh-CN"/>
        </w:rPr>
      </w:pPr>
      <w:r>
        <w:rPr>
          <w:rFonts w:hint="eastAsia"/>
          <w:b/>
          <w:bCs/>
          <w:sz w:val="36"/>
          <w:szCs w:val="36"/>
          <w:lang w:eastAsia="zh-CN"/>
        </w:rPr>
        <w:t>项目需求书</w:t>
      </w:r>
    </w:p>
    <w:p>
      <w:pPr>
        <w:spacing w:line="360" w:lineRule="auto"/>
        <w:rPr>
          <w:rFonts w:ascii="宋体" w:hAnsi="宋体"/>
          <w:b/>
          <w:sz w:val="24"/>
          <w:szCs w:val="24"/>
        </w:rPr>
      </w:pPr>
    </w:p>
    <w:p>
      <w:pPr>
        <w:spacing w:line="360" w:lineRule="auto"/>
        <w:rPr>
          <w:rFonts w:ascii="宋体" w:hAnsi="宋体"/>
          <w:b/>
          <w:sz w:val="24"/>
          <w:szCs w:val="24"/>
        </w:rPr>
      </w:pPr>
      <w:r>
        <w:rPr>
          <w:rFonts w:ascii="宋体" w:hAnsi="宋体"/>
          <w:b/>
          <w:sz w:val="24"/>
          <w:szCs w:val="24"/>
        </w:rPr>
        <w:t>一、项目背景</w:t>
      </w:r>
    </w:p>
    <w:p>
      <w:pPr>
        <w:spacing w:line="360" w:lineRule="auto"/>
        <w:ind w:firstLine="448" w:firstLineChars="200"/>
        <w:rPr>
          <w:rFonts w:ascii="宋体" w:hAnsi="宋体" w:cs="宋体"/>
          <w:sz w:val="24"/>
          <w:szCs w:val="24"/>
          <w:lang w:val="zh-TW"/>
        </w:rPr>
      </w:pPr>
      <w:r>
        <w:rPr>
          <w:rFonts w:hint="eastAsia" w:ascii="宋体" w:hAnsi="宋体" w:cs="宋体"/>
          <w:sz w:val="24"/>
          <w:szCs w:val="24"/>
          <w:lang w:val="zh-TW"/>
        </w:rPr>
        <w:t>（一）项目背景</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自天津市滨海新区规划编制研究中心入驻阳光金地写字楼办公以来，采用专业物业管理模式，物业为规划编制研究中心提供内部办公有力的后勤保障，并实现物业的有效保值和增值。根据建设部《物业管理招标投标管理暂行办法》和天津市滨海新区规划编制研究中心相关规定，现采用招标的方式选聘物业管理企业。</w:t>
      </w:r>
    </w:p>
    <w:p>
      <w:pPr>
        <w:spacing w:line="360" w:lineRule="auto"/>
        <w:ind w:firstLine="448" w:firstLineChars="200"/>
        <w:rPr>
          <w:rFonts w:ascii="宋体" w:hAnsi="宋体" w:cs="宋体"/>
          <w:sz w:val="24"/>
          <w:szCs w:val="24"/>
          <w:lang w:val="zh-TW"/>
        </w:rPr>
      </w:pPr>
      <w:r>
        <w:rPr>
          <w:rFonts w:hint="eastAsia" w:ascii="宋体" w:hAnsi="宋体" w:cs="宋体"/>
          <w:sz w:val="24"/>
          <w:szCs w:val="24"/>
          <w:lang w:val="zh-TW"/>
        </w:rPr>
        <w:t>（二）项目概况</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本物业项目共计建筑物1幢，总建设用地面积1338.9平方米，总建筑面积约3100平方米，地上三层，建筑结构为框架抗震墙结构。建筑地下一层由小区前期物业管理单位负责变配电室、网络机房、预留办公、汽车库和消防泵房等设备用房，地面共三层，一层接待大厅及物业用房，二楼食堂、会议室、职工之家、库房，三楼办公区及室外空中休息平台，楼内设有1部电梯、消防报警系统、通风系统、防（排）烟系统、污水处理和排放系统、弱电系统、空调系统等。本物业项目中日常出入口共计1处，其他出入口共计5处。</w:t>
      </w:r>
    </w:p>
    <w:p>
      <w:pPr>
        <w:numPr>
          <w:ilvl w:val="0"/>
          <w:numId w:val="2"/>
        </w:numPr>
        <w:spacing w:line="360" w:lineRule="auto"/>
        <w:ind w:firstLine="402"/>
        <w:rPr>
          <w:rFonts w:ascii="宋体" w:hAnsi="宋体" w:cs="宋体"/>
          <w:sz w:val="24"/>
          <w:szCs w:val="24"/>
          <w:lang w:val="zh-TW"/>
        </w:rPr>
      </w:pPr>
      <w:r>
        <w:rPr>
          <w:rFonts w:hint="eastAsia" w:ascii="宋体" w:hAnsi="宋体" w:cs="宋体"/>
          <w:sz w:val="24"/>
          <w:szCs w:val="24"/>
          <w:lang w:val="zh-TW"/>
        </w:rPr>
        <w:t>物业管理用房的配置情况</w:t>
      </w:r>
    </w:p>
    <w:p>
      <w:pPr>
        <w:spacing w:line="360" w:lineRule="auto"/>
        <w:ind w:firstLine="448" w:firstLineChars="200"/>
        <w:rPr>
          <w:rFonts w:ascii="宋体" w:hAnsi="宋体" w:cs="宋体"/>
          <w:sz w:val="24"/>
          <w:szCs w:val="24"/>
        </w:rPr>
      </w:pPr>
      <w:r>
        <w:rPr>
          <w:rFonts w:hint="eastAsia" w:ascii="宋体" w:hAnsi="宋体" w:cs="宋体"/>
          <w:sz w:val="24"/>
          <w:szCs w:val="24"/>
        </w:rPr>
        <w:t>招标方为物业服务企业提供免费办公用房，建筑面积约 80平方米，如下表：</w:t>
      </w:r>
    </w:p>
    <w:tbl>
      <w:tblPr>
        <w:tblStyle w:val="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tabs>
                <w:tab w:val="left" w:pos="705"/>
              </w:tabs>
              <w:ind w:left="388" w:leftChars="200" w:firstLine="420"/>
              <w:jc w:val="center"/>
              <w:rPr>
                <w:rFonts w:ascii="宋体" w:hAnsi="宋体" w:cs="宋体"/>
                <w:bCs/>
                <w:sz w:val="24"/>
                <w:szCs w:val="24"/>
              </w:rPr>
            </w:pPr>
            <w:r>
              <w:rPr>
                <w:rFonts w:hint="eastAsia" w:ascii="宋体" w:hAnsi="宋体" w:cs="宋体"/>
                <w:bCs/>
                <w:sz w:val="24"/>
                <w:szCs w:val="24"/>
              </w:rPr>
              <w:t>坐落位置</w:t>
            </w:r>
          </w:p>
        </w:tc>
        <w:tc>
          <w:tcPr>
            <w:tcW w:w="4261" w:type="dxa"/>
            <w:vAlign w:val="center"/>
          </w:tcPr>
          <w:p>
            <w:pPr>
              <w:tabs>
                <w:tab w:val="left" w:pos="705"/>
              </w:tabs>
              <w:ind w:left="388" w:leftChars="200" w:firstLine="420"/>
              <w:jc w:val="center"/>
              <w:rPr>
                <w:rFonts w:ascii="宋体" w:hAnsi="宋体" w:cs="宋体"/>
                <w:bCs/>
                <w:sz w:val="24"/>
                <w:szCs w:val="24"/>
              </w:rPr>
            </w:pPr>
            <w:r>
              <w:rPr>
                <w:rFonts w:hint="eastAsia" w:ascii="宋体" w:hAnsi="宋体" w:cs="宋体"/>
                <w:bCs/>
                <w:sz w:val="24"/>
                <w:szCs w:val="24"/>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tabs>
                <w:tab w:val="left" w:pos="705"/>
              </w:tabs>
              <w:ind w:left="388" w:leftChars="200" w:firstLine="420"/>
              <w:jc w:val="center"/>
              <w:rPr>
                <w:rFonts w:ascii="宋体" w:hAnsi="宋体" w:cs="宋体"/>
                <w:bCs/>
                <w:sz w:val="24"/>
                <w:szCs w:val="24"/>
              </w:rPr>
            </w:pPr>
            <w:r>
              <w:rPr>
                <w:rFonts w:hint="eastAsia" w:ascii="宋体" w:hAnsi="宋体" w:cs="宋体"/>
                <w:bCs/>
                <w:sz w:val="24"/>
                <w:szCs w:val="24"/>
              </w:rPr>
              <w:t>物业办公室（一层）</w:t>
            </w:r>
          </w:p>
        </w:tc>
        <w:tc>
          <w:tcPr>
            <w:tcW w:w="4261" w:type="dxa"/>
            <w:vAlign w:val="center"/>
          </w:tcPr>
          <w:p>
            <w:pPr>
              <w:tabs>
                <w:tab w:val="left" w:pos="705"/>
              </w:tabs>
              <w:ind w:left="388" w:leftChars="200" w:firstLine="420"/>
              <w:jc w:val="center"/>
              <w:rPr>
                <w:rFonts w:ascii="宋体" w:hAnsi="宋体" w:cs="宋体"/>
                <w:bCs/>
                <w:sz w:val="24"/>
                <w:szCs w:val="24"/>
              </w:rPr>
            </w:pPr>
            <w:r>
              <w:rPr>
                <w:rFonts w:hint="eastAsia" w:ascii="宋体" w:hAnsi="宋体" w:cs="宋体"/>
                <w:bCs/>
                <w:sz w:val="24"/>
                <w:szCs w:val="24"/>
              </w:rPr>
              <w:t>65平方米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tabs>
                <w:tab w:val="left" w:pos="705"/>
              </w:tabs>
              <w:ind w:left="388" w:leftChars="200" w:firstLine="420"/>
              <w:jc w:val="center"/>
              <w:rPr>
                <w:rFonts w:ascii="宋体" w:hAnsi="宋体" w:cs="宋体"/>
                <w:bCs/>
                <w:sz w:val="24"/>
                <w:szCs w:val="24"/>
              </w:rPr>
            </w:pPr>
            <w:r>
              <w:rPr>
                <w:rFonts w:hint="eastAsia" w:ascii="宋体" w:hAnsi="宋体" w:cs="宋体"/>
                <w:bCs/>
                <w:sz w:val="24"/>
                <w:szCs w:val="24"/>
              </w:rPr>
              <w:t>工具库房</w:t>
            </w:r>
          </w:p>
        </w:tc>
        <w:tc>
          <w:tcPr>
            <w:tcW w:w="4261" w:type="dxa"/>
            <w:vAlign w:val="center"/>
          </w:tcPr>
          <w:p>
            <w:pPr>
              <w:tabs>
                <w:tab w:val="left" w:pos="705"/>
              </w:tabs>
              <w:ind w:left="388" w:leftChars="200" w:firstLine="420"/>
              <w:jc w:val="center"/>
              <w:rPr>
                <w:rFonts w:ascii="宋体" w:hAnsi="宋体" w:cs="宋体"/>
                <w:bCs/>
                <w:sz w:val="24"/>
                <w:szCs w:val="24"/>
              </w:rPr>
            </w:pPr>
            <w:r>
              <w:rPr>
                <w:rFonts w:hint="eastAsia" w:ascii="宋体" w:hAnsi="宋体" w:cs="宋体"/>
                <w:bCs/>
                <w:sz w:val="24"/>
                <w:szCs w:val="24"/>
              </w:rPr>
              <w:t>15平方米</w:t>
            </w:r>
          </w:p>
        </w:tc>
      </w:tr>
    </w:tbl>
    <w:p>
      <w:pPr>
        <w:spacing w:line="360" w:lineRule="auto"/>
        <w:ind w:firstLine="448" w:firstLineChars="200"/>
        <w:rPr>
          <w:b/>
          <w:sz w:val="24"/>
          <w:szCs w:val="24"/>
        </w:rPr>
      </w:pPr>
      <w:r>
        <w:rPr>
          <w:rFonts w:hint="eastAsia"/>
          <w:b/>
          <w:bCs/>
          <w:sz w:val="24"/>
          <w:szCs w:val="24"/>
        </w:rPr>
        <w:t>本项目属于物业服务行业</w:t>
      </w:r>
      <w:r>
        <w:rPr>
          <w:rFonts w:hint="eastAsia"/>
          <w:b/>
          <w:bCs/>
          <w:sz w:val="24"/>
          <w:szCs w:val="24"/>
          <w:lang w:eastAsia="zh-CN"/>
        </w:rPr>
        <w:t>。</w:t>
      </w:r>
    </w:p>
    <w:p>
      <w:pPr>
        <w:spacing w:line="360" w:lineRule="auto"/>
        <w:rPr>
          <w:b/>
          <w:sz w:val="24"/>
          <w:szCs w:val="24"/>
        </w:rPr>
      </w:pPr>
      <w:r>
        <w:rPr>
          <w:b/>
          <w:sz w:val="24"/>
          <w:szCs w:val="24"/>
        </w:rPr>
        <w:t>二、</w:t>
      </w:r>
      <w:r>
        <w:rPr>
          <w:rFonts w:hint="eastAsia"/>
          <w:b/>
          <w:kern w:val="0"/>
          <w:sz w:val="24"/>
          <w:szCs w:val="24"/>
        </w:rPr>
        <w:t>人员</w:t>
      </w:r>
      <w:r>
        <w:rPr>
          <w:b/>
          <w:kern w:val="0"/>
          <w:sz w:val="24"/>
          <w:szCs w:val="24"/>
        </w:rPr>
        <w:t>及岗位要求</w:t>
      </w:r>
    </w:p>
    <w:tbl>
      <w:tblPr>
        <w:tblStyle w:val="9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91"/>
        <w:gridCol w:w="719"/>
        <w:gridCol w:w="3689"/>
        <w:gridCol w:w="112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b/>
                <w:szCs w:val="21"/>
              </w:rPr>
            </w:pPr>
            <w:r>
              <w:rPr>
                <w:b/>
                <w:szCs w:val="21"/>
              </w:rPr>
              <w:t>序号</w:t>
            </w:r>
          </w:p>
        </w:tc>
        <w:tc>
          <w:tcPr>
            <w:tcW w:w="1291" w:type="dxa"/>
            <w:vAlign w:val="center"/>
          </w:tcPr>
          <w:p>
            <w:pPr>
              <w:spacing w:line="360" w:lineRule="auto"/>
              <w:jc w:val="center"/>
              <w:rPr>
                <w:b/>
                <w:szCs w:val="21"/>
              </w:rPr>
            </w:pPr>
            <w:r>
              <w:rPr>
                <w:b/>
                <w:szCs w:val="21"/>
              </w:rPr>
              <w:t>岗位名称</w:t>
            </w:r>
          </w:p>
        </w:tc>
        <w:tc>
          <w:tcPr>
            <w:tcW w:w="719" w:type="dxa"/>
            <w:vAlign w:val="center"/>
          </w:tcPr>
          <w:p>
            <w:pPr>
              <w:spacing w:line="360" w:lineRule="auto"/>
              <w:jc w:val="center"/>
              <w:rPr>
                <w:b/>
                <w:szCs w:val="21"/>
              </w:rPr>
            </w:pPr>
            <w:r>
              <w:rPr>
                <w:b/>
                <w:szCs w:val="21"/>
              </w:rPr>
              <w:t>人数</w:t>
            </w:r>
          </w:p>
        </w:tc>
        <w:tc>
          <w:tcPr>
            <w:tcW w:w="3689" w:type="dxa"/>
            <w:vAlign w:val="center"/>
          </w:tcPr>
          <w:p>
            <w:pPr>
              <w:spacing w:line="360" w:lineRule="auto"/>
              <w:jc w:val="center"/>
              <w:rPr>
                <w:b/>
                <w:szCs w:val="21"/>
              </w:rPr>
            </w:pPr>
            <w:r>
              <w:rPr>
                <w:b/>
                <w:szCs w:val="21"/>
              </w:rPr>
              <w:t>要求</w:t>
            </w:r>
          </w:p>
        </w:tc>
        <w:tc>
          <w:tcPr>
            <w:tcW w:w="1121" w:type="dxa"/>
            <w:vAlign w:val="center"/>
          </w:tcPr>
          <w:p>
            <w:pPr>
              <w:spacing w:line="360" w:lineRule="auto"/>
              <w:jc w:val="center"/>
              <w:rPr>
                <w:b/>
                <w:szCs w:val="21"/>
              </w:rPr>
            </w:pPr>
            <w:bookmarkStart w:id="4" w:name="OLE_LINK2"/>
            <w:bookmarkStart w:id="5" w:name="OLE_LINK1"/>
            <w:r>
              <w:rPr>
                <w:b/>
                <w:szCs w:val="21"/>
              </w:rPr>
              <w:t>是否接受退休人员</w:t>
            </w:r>
            <w:bookmarkEnd w:id="4"/>
            <w:bookmarkEnd w:id="5"/>
          </w:p>
        </w:tc>
        <w:tc>
          <w:tcPr>
            <w:tcW w:w="1135" w:type="dxa"/>
            <w:vAlign w:val="center"/>
          </w:tcPr>
          <w:p>
            <w:pPr>
              <w:spacing w:line="360" w:lineRule="auto"/>
              <w:jc w:val="center"/>
              <w:rPr>
                <w:b/>
                <w:szCs w:val="21"/>
              </w:rPr>
            </w:pPr>
            <w:r>
              <w:rPr>
                <w:b/>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szCs w:val="21"/>
              </w:rPr>
            </w:pPr>
            <w:r>
              <w:rPr>
                <w:rFonts w:hint="eastAsia"/>
                <w:szCs w:val="21"/>
              </w:rPr>
              <w:t>1</w:t>
            </w:r>
          </w:p>
        </w:tc>
        <w:tc>
          <w:tcPr>
            <w:tcW w:w="1291" w:type="dxa"/>
            <w:vAlign w:val="center"/>
          </w:tcPr>
          <w:p>
            <w:pPr>
              <w:spacing w:line="360" w:lineRule="auto"/>
              <w:jc w:val="center"/>
              <w:rPr>
                <w:szCs w:val="21"/>
              </w:rPr>
            </w:pPr>
            <w:r>
              <w:rPr>
                <w:rFonts w:hint="eastAsia"/>
                <w:szCs w:val="21"/>
              </w:rPr>
              <w:t>项目经理</w:t>
            </w:r>
          </w:p>
        </w:tc>
        <w:tc>
          <w:tcPr>
            <w:tcW w:w="719" w:type="dxa"/>
            <w:vAlign w:val="center"/>
          </w:tcPr>
          <w:p>
            <w:pPr>
              <w:spacing w:line="360" w:lineRule="auto"/>
              <w:jc w:val="center"/>
              <w:rPr>
                <w:szCs w:val="21"/>
              </w:rPr>
            </w:pPr>
            <w:r>
              <w:rPr>
                <w:rFonts w:hint="eastAsia"/>
                <w:szCs w:val="21"/>
              </w:rPr>
              <w:t>1人</w:t>
            </w:r>
          </w:p>
        </w:tc>
        <w:tc>
          <w:tcPr>
            <w:tcW w:w="3689" w:type="dxa"/>
            <w:vAlign w:val="center"/>
          </w:tcPr>
          <w:p>
            <w:pPr>
              <w:spacing w:line="360" w:lineRule="auto"/>
              <w:jc w:val="left"/>
              <w:rPr>
                <w:szCs w:val="21"/>
              </w:rPr>
            </w:pPr>
            <w:r>
              <w:rPr>
                <w:rFonts w:hint="eastAsia" w:ascii="宋体" w:hAnsi="宋体" w:cs="宋体"/>
                <w:szCs w:val="21"/>
              </w:rPr>
              <w:t>组织指挥、技术指导、解决问题及应对突发事件；着装整齐且整洁，佩戴统一标牌，有较高的管理水平和协调能力；有良好的执行能力;具有本科或以上学历；有3年以上相关工作经验；年龄在40周岁或以下。</w:t>
            </w:r>
          </w:p>
        </w:tc>
        <w:tc>
          <w:tcPr>
            <w:tcW w:w="1121" w:type="dxa"/>
            <w:vAlign w:val="center"/>
          </w:tcPr>
          <w:p>
            <w:pPr>
              <w:spacing w:line="360" w:lineRule="auto"/>
              <w:jc w:val="center"/>
              <w:rPr>
                <w:szCs w:val="21"/>
              </w:rPr>
            </w:pPr>
            <w:r>
              <w:rPr>
                <w:rFonts w:hint="eastAsia"/>
                <w:szCs w:val="21"/>
              </w:rPr>
              <w:t>否</w:t>
            </w:r>
          </w:p>
        </w:tc>
        <w:tc>
          <w:tcPr>
            <w:tcW w:w="1135" w:type="dxa"/>
            <w:vAlign w:val="center"/>
          </w:tcPr>
          <w:p>
            <w:pPr>
              <w:spacing w:line="360" w:lineRule="auto"/>
              <w:jc w:val="center"/>
              <w:rPr>
                <w:szCs w:val="21"/>
              </w:rPr>
            </w:pPr>
            <w:r>
              <w:rPr>
                <w:rFonts w:hint="eastAsia"/>
                <w:szCs w:val="21"/>
              </w:rPr>
              <w:t>工作每天8小时，每周五天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szCs w:val="21"/>
              </w:rPr>
            </w:pPr>
            <w:r>
              <w:rPr>
                <w:rFonts w:hint="eastAsia"/>
                <w:szCs w:val="21"/>
              </w:rPr>
              <w:t>2</w:t>
            </w:r>
          </w:p>
        </w:tc>
        <w:tc>
          <w:tcPr>
            <w:tcW w:w="1291" w:type="dxa"/>
            <w:vAlign w:val="center"/>
          </w:tcPr>
          <w:p>
            <w:pPr>
              <w:spacing w:line="360" w:lineRule="auto"/>
              <w:jc w:val="center"/>
              <w:rPr>
                <w:szCs w:val="21"/>
              </w:rPr>
            </w:pPr>
            <w:r>
              <w:rPr>
                <w:rFonts w:hint="eastAsia"/>
                <w:szCs w:val="21"/>
              </w:rPr>
              <w:t>客服接待员</w:t>
            </w:r>
          </w:p>
        </w:tc>
        <w:tc>
          <w:tcPr>
            <w:tcW w:w="719" w:type="dxa"/>
            <w:vAlign w:val="center"/>
          </w:tcPr>
          <w:p>
            <w:pPr>
              <w:spacing w:line="360" w:lineRule="auto"/>
              <w:jc w:val="center"/>
              <w:rPr>
                <w:szCs w:val="21"/>
              </w:rPr>
            </w:pPr>
            <w:r>
              <w:rPr>
                <w:rFonts w:hint="eastAsia"/>
                <w:szCs w:val="21"/>
              </w:rPr>
              <w:t>2人</w:t>
            </w:r>
          </w:p>
        </w:tc>
        <w:tc>
          <w:tcPr>
            <w:tcW w:w="3689" w:type="dxa"/>
            <w:vAlign w:val="center"/>
          </w:tcPr>
          <w:p>
            <w:pPr>
              <w:spacing w:line="360" w:lineRule="auto"/>
              <w:jc w:val="left"/>
              <w:rPr>
                <w:szCs w:val="21"/>
              </w:rPr>
            </w:pPr>
            <w:r>
              <w:rPr>
                <w:rFonts w:hint="eastAsia" w:ascii="宋体" w:hAnsi="宋体" w:cs="宋体"/>
                <w:szCs w:val="21"/>
              </w:rPr>
              <w:t>负责前台接待、信件收发、会议服务，会使用会议设备；统一着装，佩戴统一标牌且整洁；形象气质佳，30岁以下。</w:t>
            </w:r>
          </w:p>
        </w:tc>
        <w:tc>
          <w:tcPr>
            <w:tcW w:w="1121" w:type="dxa"/>
            <w:vAlign w:val="center"/>
          </w:tcPr>
          <w:p>
            <w:pPr>
              <w:spacing w:line="360" w:lineRule="auto"/>
              <w:jc w:val="center"/>
              <w:rPr>
                <w:szCs w:val="21"/>
              </w:rPr>
            </w:pPr>
            <w:r>
              <w:rPr>
                <w:rFonts w:hint="eastAsia"/>
                <w:szCs w:val="21"/>
              </w:rPr>
              <w:t>否</w:t>
            </w:r>
          </w:p>
        </w:tc>
        <w:tc>
          <w:tcPr>
            <w:tcW w:w="1135" w:type="dxa"/>
            <w:vAlign w:val="center"/>
          </w:tcPr>
          <w:p>
            <w:pPr>
              <w:spacing w:line="360" w:lineRule="auto"/>
              <w:jc w:val="center"/>
              <w:rPr>
                <w:szCs w:val="21"/>
              </w:rPr>
            </w:pPr>
            <w:r>
              <w:rPr>
                <w:rFonts w:hint="eastAsia"/>
                <w:szCs w:val="21"/>
              </w:rPr>
              <w:t>工作每天8小时，每周五天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szCs w:val="21"/>
              </w:rPr>
            </w:pPr>
            <w:r>
              <w:rPr>
                <w:rFonts w:hint="eastAsia"/>
                <w:szCs w:val="21"/>
              </w:rPr>
              <w:t>3</w:t>
            </w:r>
          </w:p>
        </w:tc>
        <w:tc>
          <w:tcPr>
            <w:tcW w:w="1291" w:type="dxa"/>
            <w:vAlign w:val="center"/>
          </w:tcPr>
          <w:p>
            <w:pPr>
              <w:spacing w:line="360" w:lineRule="auto"/>
              <w:jc w:val="center"/>
              <w:rPr>
                <w:szCs w:val="21"/>
              </w:rPr>
            </w:pPr>
            <w:r>
              <w:rPr>
                <w:szCs w:val="21"/>
              </w:rPr>
              <w:t>设备维护</w:t>
            </w:r>
          </w:p>
        </w:tc>
        <w:tc>
          <w:tcPr>
            <w:tcW w:w="719" w:type="dxa"/>
            <w:vAlign w:val="center"/>
          </w:tcPr>
          <w:p>
            <w:pPr>
              <w:spacing w:line="360" w:lineRule="auto"/>
              <w:jc w:val="center"/>
              <w:rPr>
                <w:szCs w:val="21"/>
              </w:rPr>
            </w:pPr>
            <w:r>
              <w:rPr>
                <w:rFonts w:hint="eastAsia"/>
                <w:szCs w:val="21"/>
              </w:rPr>
              <w:t>1人</w:t>
            </w:r>
          </w:p>
        </w:tc>
        <w:tc>
          <w:tcPr>
            <w:tcW w:w="3689" w:type="dxa"/>
            <w:vAlign w:val="center"/>
          </w:tcPr>
          <w:p>
            <w:pPr>
              <w:spacing w:line="360" w:lineRule="auto"/>
              <w:jc w:val="left"/>
              <w:rPr>
                <w:szCs w:val="21"/>
              </w:rPr>
            </w:pPr>
            <w:r>
              <w:rPr>
                <w:rFonts w:hint="eastAsia" w:ascii="宋体" w:hAnsi="宋体" w:cs="宋体"/>
                <w:szCs w:val="21"/>
              </w:rPr>
              <w:t>楼内公共区域内的门、窗、锁、给排水设施、空调、供暖检修，高低压配电室、弱电间、保证设备正常运行。统一着装，佩戴统一标牌</w:t>
            </w:r>
            <w:r>
              <w:rPr>
                <w:rFonts w:hint="eastAsia" w:ascii="宋体" w:hAnsi="宋体" w:cs="宋体"/>
                <w:szCs w:val="21"/>
                <w:highlight w:val="none"/>
              </w:rPr>
              <w:t>且整洁,工程维修人员需持《特种作业操作证（低压电工作业）》、《中华人民共和国特种作业操作证(焊接与热切割)》、《特种作业操作证（高处作业）》和《特种设备作业人员证（电梯作业）》（项目代号T）</w:t>
            </w:r>
            <w:r>
              <w:rPr>
                <w:rFonts w:hint="eastAsia" w:ascii="宋体" w:hAnsi="宋体" w:cs="宋体"/>
                <w:szCs w:val="21"/>
                <w:highlight w:val="none"/>
                <w:lang w:eastAsia="zh-CN"/>
              </w:rPr>
              <w:t>，</w:t>
            </w:r>
            <w:r>
              <w:rPr>
                <w:rFonts w:hint="eastAsia" w:ascii="宋体" w:hAnsi="宋体" w:cs="宋体"/>
                <w:szCs w:val="21"/>
                <w:highlight w:val="none"/>
              </w:rPr>
              <w:t>年龄25-45岁。</w:t>
            </w:r>
          </w:p>
        </w:tc>
        <w:tc>
          <w:tcPr>
            <w:tcW w:w="1121" w:type="dxa"/>
            <w:vAlign w:val="center"/>
          </w:tcPr>
          <w:p>
            <w:pPr>
              <w:spacing w:line="360" w:lineRule="auto"/>
              <w:jc w:val="center"/>
              <w:rPr>
                <w:szCs w:val="21"/>
              </w:rPr>
            </w:pPr>
            <w:r>
              <w:rPr>
                <w:rFonts w:hint="eastAsia"/>
                <w:szCs w:val="21"/>
              </w:rPr>
              <w:t>否</w:t>
            </w:r>
          </w:p>
        </w:tc>
        <w:tc>
          <w:tcPr>
            <w:tcW w:w="1135" w:type="dxa"/>
            <w:vAlign w:val="center"/>
          </w:tcPr>
          <w:p>
            <w:pPr>
              <w:spacing w:line="360" w:lineRule="auto"/>
              <w:jc w:val="center"/>
              <w:rPr>
                <w:szCs w:val="21"/>
              </w:rPr>
            </w:pPr>
            <w:r>
              <w:rPr>
                <w:rFonts w:hint="eastAsia"/>
                <w:szCs w:val="21"/>
              </w:rPr>
              <w:t>工作每天8小时，每周五天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szCs w:val="21"/>
              </w:rPr>
            </w:pPr>
            <w:r>
              <w:rPr>
                <w:rFonts w:hint="eastAsia"/>
                <w:szCs w:val="21"/>
              </w:rPr>
              <w:t>4</w:t>
            </w:r>
          </w:p>
        </w:tc>
        <w:tc>
          <w:tcPr>
            <w:tcW w:w="1291" w:type="dxa"/>
            <w:vAlign w:val="center"/>
          </w:tcPr>
          <w:p>
            <w:pPr>
              <w:spacing w:line="360" w:lineRule="auto"/>
              <w:jc w:val="center"/>
              <w:rPr>
                <w:szCs w:val="21"/>
              </w:rPr>
            </w:pPr>
            <w:r>
              <w:rPr>
                <w:szCs w:val="21"/>
              </w:rPr>
              <w:t>秩序维护</w:t>
            </w:r>
          </w:p>
        </w:tc>
        <w:tc>
          <w:tcPr>
            <w:tcW w:w="719" w:type="dxa"/>
            <w:vAlign w:val="center"/>
          </w:tcPr>
          <w:p>
            <w:pPr>
              <w:spacing w:line="360" w:lineRule="auto"/>
              <w:jc w:val="center"/>
              <w:rPr>
                <w:szCs w:val="21"/>
              </w:rPr>
            </w:pPr>
            <w:r>
              <w:rPr>
                <w:rFonts w:hint="eastAsia"/>
                <w:szCs w:val="21"/>
              </w:rPr>
              <w:t>4人</w:t>
            </w:r>
          </w:p>
        </w:tc>
        <w:tc>
          <w:tcPr>
            <w:tcW w:w="3689" w:type="dxa"/>
            <w:vAlign w:val="center"/>
          </w:tcPr>
          <w:p>
            <w:pPr>
              <w:spacing w:line="360" w:lineRule="auto"/>
              <w:jc w:val="left"/>
              <w:rPr>
                <w:szCs w:val="21"/>
              </w:rPr>
            </w:pPr>
            <w:r>
              <w:rPr>
                <w:rFonts w:hint="eastAsia" w:ascii="宋体" w:hAnsi="宋体" w:cs="宋体"/>
                <w:szCs w:val="21"/>
              </w:rPr>
              <w:t>24小时值守，楼内外安全巡视，车辆疏导、公共秩序维护等；统一着装，佩戴统一标牌且整洁，形象气质佳；全部持有公安部门颁发的保安员证，至少2人同时持有《职业资格证书（建（构）筑物消防员或消防设施操作员）》，至少2人30岁以下。</w:t>
            </w:r>
          </w:p>
        </w:tc>
        <w:tc>
          <w:tcPr>
            <w:tcW w:w="1121" w:type="dxa"/>
            <w:vAlign w:val="center"/>
          </w:tcPr>
          <w:p>
            <w:pPr>
              <w:spacing w:line="360" w:lineRule="auto"/>
              <w:jc w:val="center"/>
              <w:rPr>
                <w:szCs w:val="21"/>
              </w:rPr>
            </w:pPr>
            <w:r>
              <w:rPr>
                <w:rFonts w:hint="eastAsia"/>
                <w:szCs w:val="21"/>
              </w:rPr>
              <w:t>否</w:t>
            </w:r>
          </w:p>
        </w:tc>
        <w:tc>
          <w:tcPr>
            <w:tcW w:w="1135" w:type="dxa"/>
            <w:vAlign w:val="center"/>
          </w:tcPr>
          <w:p>
            <w:pPr>
              <w:spacing w:line="360" w:lineRule="auto"/>
              <w:jc w:val="center"/>
              <w:rPr>
                <w:szCs w:val="21"/>
              </w:rPr>
            </w:pPr>
            <w:r>
              <w:rPr>
                <w:rFonts w:hint="eastAsia"/>
                <w:szCs w:val="21"/>
              </w:rPr>
              <w:t>工作每天8小时“四班三运转”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szCs w:val="21"/>
              </w:rPr>
            </w:pPr>
            <w:r>
              <w:rPr>
                <w:rFonts w:hint="eastAsia"/>
                <w:szCs w:val="21"/>
              </w:rPr>
              <w:t>5</w:t>
            </w:r>
          </w:p>
        </w:tc>
        <w:tc>
          <w:tcPr>
            <w:tcW w:w="1291" w:type="dxa"/>
            <w:vAlign w:val="center"/>
          </w:tcPr>
          <w:p>
            <w:pPr>
              <w:spacing w:line="360" w:lineRule="auto"/>
              <w:jc w:val="center"/>
              <w:rPr>
                <w:szCs w:val="21"/>
              </w:rPr>
            </w:pPr>
            <w:r>
              <w:rPr>
                <w:szCs w:val="21"/>
              </w:rPr>
              <w:t>保洁</w:t>
            </w:r>
          </w:p>
        </w:tc>
        <w:tc>
          <w:tcPr>
            <w:tcW w:w="719" w:type="dxa"/>
            <w:vAlign w:val="center"/>
          </w:tcPr>
          <w:p>
            <w:pPr>
              <w:spacing w:line="360" w:lineRule="auto"/>
              <w:jc w:val="center"/>
              <w:rPr>
                <w:szCs w:val="21"/>
              </w:rPr>
            </w:pPr>
            <w:r>
              <w:rPr>
                <w:rFonts w:hint="eastAsia"/>
                <w:szCs w:val="21"/>
              </w:rPr>
              <w:t>5人</w:t>
            </w:r>
          </w:p>
        </w:tc>
        <w:tc>
          <w:tcPr>
            <w:tcW w:w="3689" w:type="dxa"/>
            <w:vAlign w:val="center"/>
          </w:tcPr>
          <w:p>
            <w:pPr>
              <w:spacing w:line="360" w:lineRule="auto"/>
              <w:jc w:val="left"/>
              <w:rPr>
                <w:szCs w:val="21"/>
              </w:rPr>
            </w:pPr>
            <w:r>
              <w:rPr>
                <w:rFonts w:hint="eastAsia" w:ascii="宋体" w:hAnsi="宋体" w:cs="宋体"/>
                <w:szCs w:val="21"/>
              </w:rPr>
              <w:t>全楼公共区域保洁及门前三包区域保洁；统一着装，佩戴统一标牌且整洁。至少3人同时持有《特种作业操作证（高处作业）》、天津市爱国卫生运动委员会办公室颁发的《天津市病媒生物防制培训证书》和和卫生防疫部门或医疗机构颁发的健康证。</w:t>
            </w:r>
          </w:p>
        </w:tc>
        <w:tc>
          <w:tcPr>
            <w:tcW w:w="1121" w:type="dxa"/>
            <w:vAlign w:val="center"/>
          </w:tcPr>
          <w:p>
            <w:pPr>
              <w:spacing w:line="360" w:lineRule="auto"/>
              <w:jc w:val="center"/>
              <w:rPr>
                <w:szCs w:val="21"/>
              </w:rPr>
            </w:pPr>
            <w:r>
              <w:rPr>
                <w:rFonts w:hint="eastAsia"/>
                <w:szCs w:val="21"/>
              </w:rPr>
              <w:t>否</w:t>
            </w:r>
          </w:p>
        </w:tc>
        <w:tc>
          <w:tcPr>
            <w:tcW w:w="1135" w:type="dxa"/>
            <w:vAlign w:val="center"/>
          </w:tcPr>
          <w:p>
            <w:pPr>
              <w:spacing w:line="360" w:lineRule="auto"/>
              <w:jc w:val="left"/>
              <w:rPr>
                <w:szCs w:val="21"/>
              </w:rPr>
            </w:pPr>
            <w:r>
              <w:rPr>
                <w:rFonts w:hint="eastAsia"/>
                <w:szCs w:val="21"/>
              </w:rPr>
              <w:t>工作每天8小时，每周五天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gridSpan w:val="2"/>
            <w:vAlign w:val="center"/>
          </w:tcPr>
          <w:p>
            <w:pPr>
              <w:spacing w:line="360" w:lineRule="auto"/>
              <w:jc w:val="center"/>
              <w:rPr>
                <w:szCs w:val="21"/>
              </w:rPr>
            </w:pPr>
            <w:r>
              <w:rPr>
                <w:rFonts w:hint="eastAsia"/>
                <w:szCs w:val="21"/>
              </w:rPr>
              <w:t>合计人数</w:t>
            </w:r>
          </w:p>
        </w:tc>
        <w:tc>
          <w:tcPr>
            <w:tcW w:w="6664" w:type="dxa"/>
            <w:gridSpan w:val="4"/>
            <w:vAlign w:val="center"/>
          </w:tcPr>
          <w:p>
            <w:pPr>
              <w:spacing w:line="360" w:lineRule="auto"/>
              <w:jc w:val="center"/>
              <w:rPr>
                <w:szCs w:val="21"/>
              </w:rPr>
            </w:pPr>
            <w:r>
              <w:rPr>
                <w:rFonts w:hint="eastAsia"/>
                <w:szCs w:val="21"/>
              </w:rPr>
              <w:t>13人</w:t>
            </w:r>
          </w:p>
        </w:tc>
      </w:tr>
    </w:tbl>
    <w:p>
      <w:pPr>
        <w:spacing w:line="360" w:lineRule="auto"/>
        <w:rPr>
          <w:b/>
          <w:sz w:val="24"/>
          <w:szCs w:val="24"/>
        </w:rPr>
      </w:pPr>
      <w:r>
        <w:rPr>
          <w:rFonts w:hint="eastAsia"/>
          <w:b/>
          <w:sz w:val="24"/>
          <w:szCs w:val="24"/>
        </w:rPr>
        <w:t>三、</w:t>
      </w:r>
      <w:r>
        <w:rPr>
          <w:rFonts w:hint="eastAsia" w:ascii="Calibri" w:hAnsi="Calibri"/>
          <w:b/>
          <w:color w:val="000000"/>
          <w:sz w:val="24"/>
          <w:szCs w:val="24"/>
        </w:rPr>
        <w:t>各岗位人员具体工作内容、职责及服务标准</w:t>
      </w:r>
    </w:p>
    <w:p>
      <w:pPr>
        <w:spacing w:line="360" w:lineRule="auto"/>
        <w:ind w:firstLine="448" w:firstLineChars="200"/>
        <w:rPr>
          <w:rFonts w:ascii="宋体" w:hAnsi="宋体" w:cs="宋体"/>
          <w:sz w:val="24"/>
          <w:szCs w:val="24"/>
        </w:rPr>
      </w:pPr>
      <w:r>
        <w:rPr>
          <w:rFonts w:hint="eastAsia" w:ascii="宋体" w:hAnsi="宋体" w:cs="宋体"/>
          <w:sz w:val="24"/>
          <w:szCs w:val="24"/>
          <w:lang w:val="zh-TW"/>
        </w:rPr>
        <w:t>主要工作内容与要求</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1、整体建筑、公共设施设备的维修保养工作</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每年应定期对房屋共用部位、共用设施设备等进行一次全面检查。建立巡检记录，发现问题及时向天津市滨海新区规划编制研究中心（以下简称编制中心）报告，根据编制中心委托，安排专项修理。遇紧急情况时，宜采取必要的紧急处理措施。制订年度和月度保养计划，并组织人员实施。</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2、物业管理区域内楼宇的日常维修、养护和管理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（1）对楼体建筑（包括基础、墙体、柱、梁、楼板、屋顶）进行日常巡查，发现问题及时处理上报。</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（2）楼体内外公共区域墙面、地面、楼梯、台阶、门窗等的日常维修养护，发现损坏部位及时修理上报。</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（3）楼内区域的小维修服务。</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 xml:space="preserve">要求：维修人员应具有相应的上岗专业资质，能准确判断所出问题的根源并采取妥善方法及时解决问题。实操年限不低于一年。      </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3、物业管理区域内动力、照明系统的维护、维修</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 每天巡检电气设备柜，路灯、大堂、电梯厅、楼道等公共部位应保持95%以上的亮灯率，如有缺损，应及时更换确保责任范围内的设施设备能正常运行。</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 节约能源，灯泡、灯管使用得当，维修及时。</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（3）关于配电室管理：要求工程人员定点巡视检查</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要求：上岗人员需具有相应的上岗专业资质，实操年限不低于一年。</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4、物业管理区域内消防、监控系统的管理维护和保养</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（1）灭火器材、消防栓箱按月检查，手提灭火器按有关要求，每年检修一次，保证100%完好率。</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（2）安全出口灯蓄电池定期充放电，灯管及时更换。</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（3）熟练使用监控设备，日常维护得当，误报率低，应急处理及时。</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要求：监控室值班人员必须具有相应的上岗专业资质，实操年限不低于二年。</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5、物业管理区域内给排水、供暖系统的维护、维修和保养</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（1）做好给排水系统的日常维护保养，保证运行通畅，不淤水、不涌水，不跑冒滴漏。</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（2）做好供暖系统日常维护保养，供暖期前暖气管路的排气、放水，热交换站的设备调试，保证供暖期间的室内正常温度以及平时的暖气日常维护。</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要求：物业维修保养部门应负责小修项目，非重大问题应在2小时内修复；对大、中修项目做出合理计划，并及时报业主单位。</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6、物业管理区内电梯系统的运行管理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（1）保证电梯正常使用，做好日常安全、运行管理。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（2）督促、监管厂商的维护、维修工作，出现问题及时报修。</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 xml:space="preserve">要求：管理人员应具有出现突发安全问题能进行应急处理的能力。  </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7、应急维修</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水、电等重要设备设施在正常运行管理与维护的基础上，物业工程部要在晚间、双休日、节假日安排专门的技术人员负责应急维修。</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8、物业管理区域内的安全保卫工作</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（1）进入敏感和涉及保密要求的三楼办公区域进行服务时，要有两人同时在场，负责人要进行事前和事后检查，并进行相关记录存档，确保服务过程安全有序。</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对外来人员（来访、参观、施工、送货等）实行进出登记管理；对来访客人用语规范，必要时引导至电梯厅或指定区域；非办公时间拒绝非办公人员进入办公楼；对物品进出实施分类管理，实行大件物品进出审验制度，拒绝危险品进入。</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办公楼的监视监控设施应24小时开通，至少保持完整的七天监控记录，保证对办公楼安全出入口、内部重点区域的安全监控、录像；监控中心收到火情、险情及其他异常情况报警信号后，应及时报警，并安排保安人员及时赶到现场进行前期处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4）定期对消防设备设施进行巡视、检查和维护，保持其完整、完好，能正常使用；消防带圈绕均匀，灭火器材保险栓及喷嘴外壳良好，压力指示在区域线范围内，器材不超过有效期；检查记录详细，如发现消防系统或器材有异常情况，应及时向编制中心报告，进行调换或维修。</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（5）楼内重大活动的秩序维护，场地管理。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（6）各类紧急情况及突发事件的处理。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（7）临时安排的其他事务。</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要求：保安人员训练有素（参加过正规的保安训练）、在熟悉楼内环境和有关设备的情况下才能独立上岗。身体健康、反应灵敏、坚持原则、服务热情。</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9、物业管理区域内的保洁管理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 xml:space="preserve">（1）三楼办公区域必须在上午8：15前完成清洁工作。 </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（2）走廊、门厅、电梯厅、楼梯地表面、角落、边线等处洁净，地面干净，无垃圾、杂物、灰尘、污迹等现象。</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（3）扶手、栏杆、门框、窗框、窗台、金属件表面无灰尘、无污渍。</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（4）门中轴、门框、部位无痕迹、无灰尘，门把手干净、无痕迹。</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（5）天花板、空调出风口无灰尘、无污迹。</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（6）卫生间大小便池保持无异味、无污迹、无垃圾、无水迹，面盆无水锈。镜子明镜、无水渍、无擦痕、镜框边缘无灰尘，保持空气清新、无异味；垃圾箱表面无污迹、无灰尘、无异味。</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（7）垃圾收集点周围地面无散落垃圾、无污水、无污迹、无异味、干净整洁。</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 xml:space="preserve">要求：保洁主管要经过专业培训，熟悉各种保洁用品的特性，有较高的保洁专业技能，实操年限不低于三年，同时持有《特种作业操作证（高处作业）》和天津市爱国卫生运动委员会办公室颁发的《天津市病媒生物防制培训证书》。 </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10、物业管理日常接待服务</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（1）物业应提供24小时响应服务。客户报修、投诉及时处理。</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（2）日常信件的收发工作，保证投递及时、准确，无丢失。</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（3） 前台接待负责往来人员的来访登记。</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 xml:space="preserve">（4）会议接待及会场布置。 </w:t>
      </w:r>
    </w:p>
    <w:p>
      <w:pPr>
        <w:tabs>
          <w:tab w:val="left" w:pos="705"/>
        </w:tabs>
        <w:spacing w:after="120" w:line="360" w:lineRule="auto"/>
        <w:ind w:left="388" w:leftChars="200" w:firstLine="74" w:firstLineChars="33"/>
        <w:jc w:val="left"/>
        <w:rPr>
          <w:rFonts w:ascii="宋体" w:hAnsi="宋体" w:cs="宋体"/>
          <w:bCs/>
          <w:sz w:val="24"/>
          <w:szCs w:val="24"/>
        </w:rPr>
      </w:pPr>
      <w:r>
        <w:rPr>
          <w:rFonts w:hint="eastAsia" w:ascii="宋体" w:hAnsi="宋体" w:cs="宋体"/>
          <w:bCs/>
          <w:sz w:val="24"/>
          <w:szCs w:val="24"/>
        </w:rPr>
        <w:t>11、其他委托事项</w:t>
      </w:r>
    </w:p>
    <w:p>
      <w:pPr>
        <w:tabs>
          <w:tab w:val="left" w:pos="705"/>
        </w:tabs>
        <w:spacing w:after="120" w:line="360" w:lineRule="auto"/>
        <w:ind w:left="388" w:leftChars="200" w:firstLine="420"/>
        <w:jc w:val="left"/>
        <w:rPr>
          <w:rFonts w:ascii="宋体" w:hAnsi="宋体" w:cs="宋体"/>
          <w:bCs/>
          <w:sz w:val="24"/>
          <w:szCs w:val="24"/>
        </w:rPr>
      </w:pPr>
      <w:r>
        <w:rPr>
          <w:rFonts w:hint="eastAsia" w:ascii="宋体" w:hAnsi="宋体" w:cs="宋体"/>
          <w:bCs/>
          <w:sz w:val="24"/>
          <w:szCs w:val="24"/>
        </w:rPr>
        <w:t>（1）负责定期和空调、监控系统安装维保单位进行沟通，检查保养情况，跟踪协调各类设备故障和问题；空调和监控系统在保修期满后甲乙双方另行商谈维保补充合同。</w:t>
      </w:r>
    </w:p>
    <w:p>
      <w:pPr>
        <w:tabs>
          <w:tab w:val="left" w:pos="705"/>
        </w:tabs>
        <w:spacing w:after="120" w:line="360" w:lineRule="auto"/>
        <w:ind w:left="388" w:leftChars="200" w:firstLine="420"/>
        <w:rPr>
          <w:rFonts w:ascii="宋体" w:hAnsi="宋体" w:cs="宋体"/>
          <w:bCs/>
          <w:sz w:val="24"/>
          <w:szCs w:val="24"/>
        </w:rPr>
      </w:pPr>
      <w:r>
        <w:rPr>
          <w:rFonts w:hint="eastAsia" w:ascii="宋体" w:hAnsi="宋体" w:cs="宋体"/>
          <w:bCs/>
          <w:sz w:val="24"/>
          <w:szCs w:val="24"/>
        </w:rPr>
        <w:t>（2）负责电梯的日常巡视和安全检查。</w:t>
      </w:r>
    </w:p>
    <w:p>
      <w:pPr>
        <w:tabs>
          <w:tab w:val="left" w:pos="705"/>
        </w:tabs>
        <w:spacing w:after="120" w:line="360" w:lineRule="auto"/>
        <w:ind w:left="388" w:leftChars="200" w:firstLine="420"/>
        <w:rPr>
          <w:rFonts w:ascii="宋体" w:hAnsi="宋体" w:cs="宋体"/>
          <w:bCs/>
          <w:sz w:val="24"/>
          <w:szCs w:val="24"/>
        </w:rPr>
      </w:pPr>
      <w:r>
        <w:rPr>
          <w:rFonts w:hint="eastAsia" w:ascii="宋体" w:hAnsi="宋体" w:cs="宋体"/>
          <w:bCs/>
          <w:sz w:val="24"/>
          <w:szCs w:val="24"/>
        </w:rPr>
        <w:t>（3）配电系统、消防系统定期安全检查，跟踪协调各类设备故障和问题。</w:t>
      </w:r>
    </w:p>
    <w:p>
      <w:pPr>
        <w:tabs>
          <w:tab w:val="left" w:pos="705"/>
        </w:tabs>
        <w:spacing w:after="120" w:line="360" w:lineRule="auto"/>
        <w:ind w:left="388" w:leftChars="200" w:firstLine="420"/>
        <w:rPr>
          <w:rFonts w:ascii="宋体" w:hAnsi="宋体" w:cs="宋体"/>
          <w:bCs/>
          <w:sz w:val="24"/>
          <w:szCs w:val="24"/>
        </w:rPr>
      </w:pPr>
      <w:r>
        <w:rPr>
          <w:rFonts w:hint="eastAsia" w:ascii="宋体" w:hAnsi="宋体" w:cs="宋体"/>
          <w:bCs/>
          <w:sz w:val="24"/>
          <w:szCs w:val="24"/>
        </w:rPr>
        <w:t>（4）负责物业区域内室外绿化、三楼露台绿化的日常养护事宜。</w:t>
      </w:r>
    </w:p>
    <w:p>
      <w:pPr>
        <w:tabs>
          <w:tab w:val="left" w:pos="705"/>
        </w:tabs>
        <w:spacing w:after="120" w:line="360" w:lineRule="auto"/>
        <w:ind w:left="388" w:leftChars="200" w:firstLine="420"/>
        <w:rPr>
          <w:rFonts w:ascii="宋体" w:hAnsi="宋体" w:cs="宋体"/>
          <w:bCs/>
          <w:sz w:val="24"/>
          <w:szCs w:val="24"/>
        </w:rPr>
      </w:pPr>
      <w:r>
        <w:rPr>
          <w:rFonts w:hint="eastAsia" w:ascii="宋体" w:hAnsi="宋体" w:cs="宋体"/>
          <w:bCs/>
          <w:sz w:val="24"/>
          <w:szCs w:val="24"/>
        </w:rPr>
        <w:t>（5）室内绿植的租、摆、养护事宜，物业协助。</w:t>
      </w:r>
    </w:p>
    <w:p>
      <w:pPr>
        <w:spacing w:line="360" w:lineRule="auto"/>
        <w:ind w:firstLine="448" w:firstLineChars="200"/>
        <w:rPr>
          <w:sz w:val="24"/>
          <w:szCs w:val="24"/>
        </w:rPr>
      </w:pPr>
      <w:r>
        <w:rPr>
          <w:rFonts w:hint="eastAsia" w:ascii="宋体" w:hAnsi="宋体" w:cs="宋体"/>
          <w:bCs/>
          <w:sz w:val="24"/>
          <w:szCs w:val="24"/>
        </w:rPr>
        <w:t>12、物业管理有关未定事宜，与中标方再协商解决。</w:t>
      </w:r>
    </w:p>
    <w:p>
      <w:pPr>
        <w:spacing w:line="360" w:lineRule="auto"/>
        <w:rPr>
          <w:b/>
          <w:sz w:val="24"/>
          <w:szCs w:val="24"/>
        </w:rPr>
      </w:pPr>
      <w:r>
        <w:rPr>
          <w:rFonts w:hint="eastAsia"/>
          <w:b/>
          <w:sz w:val="24"/>
          <w:szCs w:val="24"/>
        </w:rPr>
        <w:t>四、应急服务要求</w:t>
      </w:r>
    </w:p>
    <w:p>
      <w:pPr>
        <w:spacing w:line="360" w:lineRule="auto"/>
        <w:ind w:firstLine="448" w:firstLineChars="200"/>
        <w:rPr>
          <w:sz w:val="24"/>
          <w:szCs w:val="24"/>
        </w:rPr>
      </w:pPr>
      <w:r>
        <w:rPr>
          <w:rFonts w:hint="eastAsia"/>
          <w:sz w:val="24"/>
          <w:szCs w:val="24"/>
        </w:rPr>
        <w:t>供应商应制定应急管理预案，当出现不可预知紧急情况时（例如停水、停电、火情、极端天气、群体事件、治安事件、自然灾害等），通过增配人员、临时调集设备、现有人员岗位职责临时增加等方式保证编制中心及物业服务的正常运转。</w:t>
      </w:r>
    </w:p>
    <w:p>
      <w:pPr>
        <w:spacing w:line="360" w:lineRule="auto"/>
        <w:rPr>
          <w:b/>
          <w:sz w:val="24"/>
          <w:szCs w:val="24"/>
        </w:rPr>
      </w:pPr>
      <w:r>
        <w:rPr>
          <w:rFonts w:hint="eastAsia"/>
          <w:b/>
          <w:sz w:val="24"/>
          <w:szCs w:val="24"/>
        </w:rPr>
        <w:t>五、人员保密要求</w:t>
      </w:r>
    </w:p>
    <w:p>
      <w:pPr>
        <w:spacing w:line="360" w:lineRule="auto"/>
        <w:ind w:firstLine="448" w:firstLineChars="200"/>
        <w:rPr>
          <w:sz w:val="24"/>
          <w:szCs w:val="24"/>
        </w:rPr>
      </w:pPr>
      <w:r>
        <w:rPr>
          <w:rFonts w:hint="eastAsia"/>
          <w:sz w:val="24"/>
          <w:szCs w:val="24"/>
        </w:rPr>
        <w:t>供应商应制定人员保密管理方案：保密制度、服务人员保密培训、重点岗位双人服务、泄密惩罚办法等，进入办公敏感区域要有相关的记录及存档。</w:t>
      </w:r>
    </w:p>
    <w:p>
      <w:pPr>
        <w:spacing w:line="360" w:lineRule="auto"/>
        <w:rPr>
          <w:b/>
          <w:sz w:val="24"/>
          <w:szCs w:val="24"/>
        </w:rPr>
      </w:pPr>
      <w:r>
        <w:rPr>
          <w:rFonts w:hint="eastAsia"/>
          <w:b/>
          <w:sz w:val="24"/>
          <w:szCs w:val="24"/>
        </w:rPr>
        <w:t>六、人员稳定性要求</w:t>
      </w:r>
    </w:p>
    <w:p>
      <w:pPr>
        <w:spacing w:line="360" w:lineRule="auto"/>
        <w:ind w:firstLine="448" w:firstLineChars="200"/>
        <w:rPr>
          <w:sz w:val="24"/>
          <w:szCs w:val="24"/>
        </w:rPr>
      </w:pPr>
      <w:r>
        <w:rPr>
          <w:rFonts w:hint="eastAsia"/>
          <w:sz w:val="24"/>
          <w:szCs w:val="24"/>
        </w:rPr>
        <w:t>在整个服务期内，人员更换率不得超过</w:t>
      </w:r>
      <w:r>
        <w:rPr>
          <w:rFonts w:hint="eastAsia"/>
          <w:sz w:val="24"/>
          <w:szCs w:val="24"/>
          <w:u w:val="single"/>
        </w:rPr>
        <w:t>15</w:t>
      </w:r>
      <w:r>
        <w:rPr>
          <w:rFonts w:hint="eastAsia"/>
          <w:sz w:val="24"/>
          <w:szCs w:val="24"/>
        </w:rPr>
        <w:t>%，更换人员不得低于采购需求，且应经采购人同意。</w:t>
      </w:r>
    </w:p>
    <w:p>
      <w:pPr>
        <w:spacing w:line="360" w:lineRule="auto"/>
        <w:rPr>
          <w:b/>
          <w:sz w:val="24"/>
          <w:szCs w:val="24"/>
        </w:rPr>
      </w:pPr>
      <w:r>
        <w:rPr>
          <w:rFonts w:hint="eastAsia"/>
          <w:b/>
          <w:sz w:val="24"/>
          <w:szCs w:val="24"/>
        </w:rPr>
        <w:t>七、进驻和接管要求</w:t>
      </w:r>
    </w:p>
    <w:p>
      <w:pPr>
        <w:spacing w:line="360" w:lineRule="auto"/>
        <w:ind w:firstLine="448" w:firstLineChars="200"/>
        <w:rPr>
          <w:sz w:val="24"/>
          <w:szCs w:val="24"/>
        </w:rPr>
      </w:pPr>
      <w:r>
        <w:rPr>
          <w:rFonts w:hint="eastAsia"/>
          <w:sz w:val="24"/>
          <w:szCs w:val="24"/>
        </w:rPr>
        <w:t>中标（成交）后，及时配齐所需人员、工具、设备等，在15日内保证全体服务人员按时进场服务，如果为新任服务公司，则还需与前任公司进行交接，保留相关记录，做到服务平稳过渡，对采购人工作无不良影响。</w:t>
      </w:r>
    </w:p>
    <w:p>
      <w:pPr>
        <w:spacing w:line="360" w:lineRule="auto"/>
        <w:rPr>
          <w:b/>
          <w:sz w:val="24"/>
          <w:szCs w:val="24"/>
        </w:rPr>
      </w:pPr>
      <w:r>
        <w:rPr>
          <w:rFonts w:hint="eastAsia"/>
          <w:b/>
          <w:sz w:val="24"/>
          <w:szCs w:val="24"/>
        </w:rPr>
        <w:t>八、费用分割</w:t>
      </w:r>
    </w:p>
    <w:p>
      <w:pPr>
        <w:spacing w:line="360" w:lineRule="auto"/>
        <w:ind w:firstLine="448" w:firstLineChars="200"/>
        <w:rPr>
          <w:sz w:val="24"/>
          <w:szCs w:val="24"/>
        </w:rPr>
      </w:pPr>
      <w:r>
        <w:rPr>
          <w:rFonts w:hint="eastAsia"/>
          <w:sz w:val="24"/>
          <w:szCs w:val="24"/>
        </w:rPr>
        <w:t>服务人员的服装、工具、耗材及维修费用为200元以下的零配件由中标企业提供。</w:t>
      </w:r>
    </w:p>
    <w:p>
      <w:pPr>
        <w:spacing w:line="360" w:lineRule="auto"/>
        <w:ind w:firstLine="448" w:firstLineChars="200"/>
        <w:rPr>
          <w:sz w:val="24"/>
          <w:szCs w:val="24"/>
        </w:rPr>
      </w:pPr>
      <w:r>
        <w:rPr>
          <w:rFonts w:hint="eastAsia"/>
          <w:sz w:val="24"/>
          <w:szCs w:val="24"/>
        </w:rPr>
        <w:t>保洁服务过程中的工具耗材（洗地机、笤帚、簸箕、墩布、清洁液、消毒水、卫生间纸巾、垃圾袋、洗手液等）；设备运行维修200元以下耗材、零配件；秩序巡逻对讲机、巡更设备、灭火器、水带、枪头等物品由中标企业提供。</w:t>
      </w:r>
    </w:p>
    <w:p>
      <w:pPr>
        <w:spacing w:line="360" w:lineRule="auto"/>
        <w:ind w:firstLine="448" w:firstLineChars="200"/>
        <w:rPr>
          <w:sz w:val="24"/>
          <w:szCs w:val="24"/>
        </w:rPr>
      </w:pPr>
      <w:r>
        <w:rPr>
          <w:rFonts w:hint="eastAsia"/>
          <w:sz w:val="24"/>
          <w:szCs w:val="24"/>
        </w:rPr>
        <w:t>采购人不提供供应商人员食宿。</w:t>
      </w:r>
    </w:p>
    <w:p>
      <w:pPr>
        <w:spacing w:line="360" w:lineRule="auto"/>
        <w:ind w:firstLine="448" w:firstLineChars="200"/>
        <w:rPr>
          <w:color w:val="C00000"/>
          <w:sz w:val="24"/>
          <w:szCs w:val="24"/>
        </w:rPr>
      </w:pPr>
      <w:r>
        <w:rPr>
          <w:rFonts w:hint="eastAsia"/>
          <w:sz w:val="24"/>
          <w:szCs w:val="24"/>
        </w:rPr>
        <w:t>采购人提供物业用房面积80平方米，不提供物业办公家具及办公设备。</w:t>
      </w:r>
    </w:p>
    <w:p>
      <w:pPr>
        <w:spacing w:line="360" w:lineRule="auto"/>
        <w:rPr>
          <w:b/>
          <w:sz w:val="24"/>
          <w:szCs w:val="24"/>
        </w:rPr>
      </w:pPr>
      <w:r>
        <w:rPr>
          <w:rFonts w:hint="eastAsia"/>
          <w:b/>
          <w:sz w:val="24"/>
          <w:szCs w:val="24"/>
        </w:rPr>
        <w:t>九、服务过程中，对中标供应商评价考核验收标准</w:t>
      </w:r>
    </w:p>
    <w:p>
      <w:pPr>
        <w:spacing w:line="360" w:lineRule="auto"/>
        <w:ind w:firstLine="448" w:firstLineChars="200"/>
        <w:rPr>
          <w:bCs/>
          <w:sz w:val="24"/>
          <w:szCs w:val="24"/>
        </w:rPr>
      </w:pPr>
      <w:r>
        <w:rPr>
          <w:rFonts w:hint="eastAsia"/>
          <w:bCs/>
          <w:sz w:val="24"/>
          <w:szCs w:val="24"/>
        </w:rPr>
        <w:t>以服务合同标准要求执行</w:t>
      </w:r>
    </w:p>
    <w:p>
      <w:pPr>
        <w:spacing w:line="360" w:lineRule="auto"/>
        <w:rPr>
          <w:b/>
          <w:sz w:val="24"/>
          <w:szCs w:val="24"/>
        </w:rPr>
      </w:pPr>
      <w:r>
        <w:rPr>
          <w:rFonts w:hint="eastAsia"/>
          <w:b/>
          <w:sz w:val="24"/>
          <w:szCs w:val="24"/>
        </w:rPr>
        <w:t>十、服务过程中须执行的国家相关标准、行业标准、地方标准或其他标准、规范</w:t>
      </w:r>
    </w:p>
    <w:p>
      <w:pPr>
        <w:spacing w:line="360" w:lineRule="auto"/>
        <w:ind w:firstLine="448" w:firstLineChars="200"/>
        <w:rPr>
          <w:bCs/>
          <w:sz w:val="24"/>
          <w:szCs w:val="24"/>
        </w:rPr>
      </w:pPr>
      <w:r>
        <w:rPr>
          <w:rFonts w:hint="eastAsia"/>
          <w:bCs/>
          <w:sz w:val="24"/>
          <w:szCs w:val="24"/>
        </w:rPr>
        <w:t>服务过程中须执行的国家相关标准、行业标准、地方标准或其他标准、规范有：</w:t>
      </w:r>
    </w:p>
    <w:p>
      <w:pPr>
        <w:spacing w:line="360" w:lineRule="auto"/>
        <w:ind w:firstLine="448" w:firstLineChars="200"/>
        <w:rPr>
          <w:bCs/>
          <w:sz w:val="24"/>
          <w:szCs w:val="24"/>
        </w:rPr>
      </w:pPr>
      <w:r>
        <w:rPr>
          <w:rFonts w:hint="eastAsia"/>
          <w:bCs/>
          <w:sz w:val="24"/>
          <w:szCs w:val="24"/>
        </w:rPr>
        <w:t>《中华人民共和国民法典》</w:t>
      </w:r>
    </w:p>
    <w:p>
      <w:pPr>
        <w:spacing w:line="360" w:lineRule="auto"/>
        <w:ind w:firstLine="448" w:firstLineChars="200"/>
        <w:rPr>
          <w:bCs/>
          <w:sz w:val="24"/>
          <w:szCs w:val="24"/>
        </w:rPr>
      </w:pPr>
      <w:r>
        <w:rPr>
          <w:rFonts w:hint="eastAsia"/>
          <w:bCs/>
          <w:sz w:val="24"/>
          <w:szCs w:val="24"/>
        </w:rPr>
        <w:t>《中华人民共和国物业管理条例》</w:t>
      </w:r>
    </w:p>
    <w:p>
      <w:pPr>
        <w:spacing w:line="360" w:lineRule="auto"/>
        <w:ind w:firstLine="448" w:firstLineChars="200"/>
        <w:rPr>
          <w:bCs/>
          <w:sz w:val="24"/>
          <w:szCs w:val="24"/>
        </w:rPr>
      </w:pPr>
      <w:r>
        <w:rPr>
          <w:rFonts w:hint="eastAsia"/>
          <w:bCs/>
          <w:sz w:val="24"/>
          <w:szCs w:val="24"/>
        </w:rPr>
        <w:t>《中华人民共和国消防法》</w:t>
      </w:r>
    </w:p>
    <w:p>
      <w:pPr>
        <w:spacing w:line="360" w:lineRule="auto"/>
        <w:ind w:firstLine="448" w:firstLineChars="200"/>
        <w:rPr>
          <w:bCs/>
          <w:sz w:val="24"/>
          <w:szCs w:val="24"/>
        </w:rPr>
      </w:pPr>
      <w:r>
        <w:rPr>
          <w:rFonts w:hint="eastAsia"/>
          <w:bCs/>
          <w:sz w:val="24"/>
          <w:szCs w:val="24"/>
        </w:rPr>
        <w:t>《中华人民共和国安全生产法》</w:t>
      </w:r>
    </w:p>
    <w:p>
      <w:pPr>
        <w:spacing w:line="360" w:lineRule="auto"/>
        <w:ind w:firstLine="448" w:firstLineChars="200"/>
        <w:rPr>
          <w:bCs/>
          <w:sz w:val="24"/>
          <w:szCs w:val="24"/>
        </w:rPr>
      </w:pPr>
      <w:r>
        <w:rPr>
          <w:rFonts w:hint="eastAsia"/>
          <w:bCs/>
          <w:sz w:val="24"/>
          <w:szCs w:val="24"/>
        </w:rPr>
        <w:t>《国务院办公厅关于印发消防安全责任制实施办法的通知》</w:t>
      </w:r>
    </w:p>
    <w:p>
      <w:pPr>
        <w:spacing w:line="360" w:lineRule="auto"/>
        <w:ind w:firstLine="448" w:firstLineChars="200"/>
        <w:rPr>
          <w:bCs/>
          <w:sz w:val="24"/>
          <w:szCs w:val="24"/>
        </w:rPr>
      </w:pPr>
      <w:r>
        <w:rPr>
          <w:rFonts w:hint="eastAsia"/>
          <w:bCs/>
          <w:sz w:val="24"/>
          <w:szCs w:val="24"/>
        </w:rPr>
        <w:t>《天津市物业管理条例》</w:t>
      </w:r>
    </w:p>
    <w:p>
      <w:pPr>
        <w:spacing w:line="360" w:lineRule="auto"/>
        <w:ind w:firstLine="448" w:firstLineChars="200"/>
        <w:rPr>
          <w:bCs/>
          <w:sz w:val="24"/>
          <w:szCs w:val="24"/>
        </w:rPr>
      </w:pPr>
      <w:r>
        <w:rPr>
          <w:rFonts w:hint="eastAsia"/>
          <w:bCs/>
          <w:sz w:val="24"/>
          <w:szCs w:val="24"/>
        </w:rPr>
        <w:t>《天津市消防条例》</w:t>
      </w:r>
    </w:p>
    <w:p>
      <w:pPr>
        <w:adjustRightInd w:val="0"/>
        <w:spacing w:line="360" w:lineRule="auto"/>
        <w:textAlignment w:val="baseline"/>
        <w:rPr>
          <w:b/>
          <w:sz w:val="24"/>
          <w:szCs w:val="24"/>
        </w:rPr>
      </w:pPr>
      <w:r>
        <w:rPr>
          <w:rFonts w:hint="eastAsia"/>
          <w:b/>
          <w:sz w:val="24"/>
          <w:szCs w:val="24"/>
        </w:rPr>
        <w:t>十一、其他要求</w:t>
      </w:r>
    </w:p>
    <w:p>
      <w:pPr>
        <w:adjustRightInd w:val="0"/>
        <w:spacing w:line="360" w:lineRule="auto"/>
        <w:textAlignment w:val="baseline"/>
        <w:rPr>
          <w:bCs/>
          <w:sz w:val="24"/>
          <w:szCs w:val="24"/>
        </w:rPr>
      </w:pPr>
      <w:r>
        <w:rPr>
          <w:rFonts w:hint="eastAsia"/>
          <w:bCs/>
          <w:sz w:val="24"/>
          <w:szCs w:val="24"/>
        </w:rPr>
        <w:t xml:space="preserve">   在服务期限内，未经采购方同意，物业项目经理不得更换。</w:t>
      </w:r>
    </w:p>
    <w:p>
      <w:pPr>
        <w:pStyle w:val="6"/>
      </w:pPr>
      <w:r>
        <w:rPr>
          <w:rFonts w:hint="eastAsia"/>
          <w:bCs/>
          <w:sz w:val="24"/>
          <w:szCs w:val="24"/>
        </w:rPr>
        <w:t xml:space="preserve">   中标供应商须购买物业公众责任保险。</w:t>
      </w:r>
    </w:p>
    <w:p/>
    <w:p/>
    <w:p>
      <w:pPr>
        <w:widowControl/>
        <w:jc w:val="left"/>
        <w:rPr>
          <w:rFonts w:hAnsiTheme="minorEastAsia"/>
          <w:b/>
          <w:bCs/>
          <w:kern w:val="28"/>
          <w:sz w:val="32"/>
          <w:szCs w:val="32"/>
        </w:rPr>
      </w:pPr>
      <w:r>
        <w:rPr>
          <w:rFonts w:hAnsiTheme="minorEastAsia"/>
          <w:b/>
          <w:bCs/>
          <w:kern w:val="28"/>
          <w:sz w:val="32"/>
          <w:szCs w:val="32"/>
        </w:rPr>
        <w:br w:type="page"/>
      </w:r>
    </w:p>
    <w:p>
      <w:pPr>
        <w:pStyle w:val="15"/>
        <w:rPr>
          <w:rFonts w:ascii="Times New Roman" w:hAnsi="Times New Roman"/>
        </w:rPr>
      </w:pPr>
      <w:r>
        <w:rPr>
          <w:rFonts w:ascii="Times New Roman" w:hAnsiTheme="minorEastAsia"/>
        </w:rPr>
        <w:t>第三部分投标须知</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A  </w:t>
      </w:r>
      <w:r>
        <w:rPr>
          <w:rFonts w:ascii="Times New Roman" w:eastAsia="宋体" w:cs="Times New Roman" w:hAnsiTheme="minorEastAsia"/>
          <w:color w:val="auto"/>
        </w:rPr>
        <w:t>说明</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 </w:t>
      </w:r>
      <w:r>
        <w:rPr>
          <w:rFonts w:ascii="Times New Roman" w:eastAsia="宋体" w:cs="Times New Roman" w:hAnsiTheme="minorEastAsia"/>
          <w:color w:val="auto"/>
        </w:rPr>
        <w:t>概述</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 </w:t>
      </w:r>
      <w:r>
        <w:rPr>
          <w:rFonts w:ascii="Times New Roman" w:eastAsia="宋体" w:cs="Times New Roman" w:hAnsiTheme="minorEastAsia"/>
          <w:color w:val="auto"/>
        </w:rPr>
        <w:t>根据《中华人民共和国政府采购法》、《中华人民共和国政府采购法实施条例》《中华人民共和国招标投标法》等有关法律、法规和规章的规定，本采购项目已具备招标条件。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eastAsia="宋体" w:cs="Times New Roman" w:hAnsiTheme="minorEastAsia"/>
          <w:color w:val="auto"/>
        </w:rPr>
        <w:t>本招标文件仅适用于投标邀请函中所叙述项目货物和服务的采购。</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 </w:t>
      </w:r>
      <w:r>
        <w:rPr>
          <w:rFonts w:ascii="Times New Roman" w:eastAsia="宋体" w:cs="Times New Roman" w:hAnsiTheme="minorEastAsia"/>
          <w:color w:val="auto"/>
        </w:rPr>
        <w:t>参与招标投标活动的所有各方，对在参与招标投标过程中获悉的国家、商业和技术秘密以及其它依法应当保密的内容，均负有保密义务，违者应对由此造成的后果承担全部法律责任。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ascii="Times New Roman" w:eastAsia="宋体" w:cs="Times New Roman" w:hAnsiTheme="minorEastAsia"/>
          <w:color w:val="auto"/>
        </w:rPr>
        <w:t>定义</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w:t>
      </w:r>
      <w:r>
        <w:rPr>
          <w:rFonts w:ascii="Times New Roman" w:eastAsia="宋体" w:cs="Times New Roman" w:hAnsiTheme="minorEastAsia"/>
          <w:color w:val="auto"/>
        </w:rPr>
        <w:t>采购人</w:t>
      </w:r>
      <w:r>
        <w:rPr>
          <w:rFonts w:ascii="Times New Roman" w:hAnsi="Times New Roman" w:eastAsia="宋体" w:cs="Times New Roman"/>
          <w:color w:val="auto"/>
        </w:rPr>
        <w:t>”</w:t>
      </w:r>
      <w:r>
        <w:rPr>
          <w:rFonts w:ascii="Times New Roman" w:eastAsia="宋体" w:cs="Times New Roman" w:hAnsiTheme="minorEastAsia"/>
          <w:color w:val="auto"/>
        </w:rPr>
        <w:t>和</w:t>
      </w:r>
      <w:r>
        <w:rPr>
          <w:rFonts w:ascii="Times New Roman" w:hAnsi="Times New Roman" w:eastAsia="宋体" w:cs="Times New Roman"/>
          <w:color w:val="auto"/>
        </w:rPr>
        <w:t>“</w:t>
      </w:r>
      <w:r>
        <w:rPr>
          <w:rFonts w:ascii="Times New Roman" w:eastAsia="宋体" w:cs="Times New Roman" w:hAnsiTheme="minorEastAsia"/>
          <w:color w:val="auto"/>
        </w:rPr>
        <w:t>招标人</w:t>
      </w:r>
      <w:r>
        <w:rPr>
          <w:rFonts w:ascii="Times New Roman" w:hAnsi="Times New Roman" w:eastAsia="宋体" w:cs="Times New Roman"/>
          <w:color w:val="auto"/>
        </w:rPr>
        <w:t>”</w:t>
      </w:r>
      <w:r>
        <w:rPr>
          <w:rFonts w:ascii="Times New Roman" w:eastAsia="宋体" w:cs="Times New Roman" w:hAnsiTheme="minorEastAsia"/>
          <w:color w:val="auto"/>
        </w:rPr>
        <w:t>系指本次招标活动的采购单位。</w:t>
      </w:r>
      <w:r>
        <w:rPr>
          <w:rFonts w:ascii="Times New Roman" w:hAnsi="Times New Roman" w:eastAsia="宋体" w:cs="Times New Roman"/>
          <w:color w:val="auto"/>
        </w:rPr>
        <w:t>“</w:t>
      </w:r>
      <w:r>
        <w:rPr>
          <w:rFonts w:ascii="Times New Roman" w:eastAsia="宋体" w:cs="Times New Roman" w:hAnsiTheme="minorEastAsia"/>
          <w:color w:val="auto"/>
        </w:rPr>
        <w:t>采购代理机构</w:t>
      </w:r>
      <w:r>
        <w:rPr>
          <w:rFonts w:ascii="Times New Roman" w:hAnsi="Times New Roman" w:eastAsia="宋体" w:cs="Times New Roman"/>
          <w:color w:val="auto"/>
        </w:rPr>
        <w:t>”</w:t>
      </w:r>
      <w:r>
        <w:rPr>
          <w:rFonts w:ascii="Times New Roman" w:eastAsia="宋体" w:cs="Times New Roman" w:hAnsiTheme="minorEastAsia"/>
          <w:color w:val="auto"/>
        </w:rPr>
        <w:t>系指组织本次招标活动的机构，即</w:t>
      </w:r>
      <w:r>
        <w:rPr>
          <w:rFonts w:ascii="Times New Roman" w:hAnsi="Times New Roman" w:eastAsia="宋体" w:cs="Times New Roman"/>
          <w:color w:val="auto"/>
        </w:rPr>
        <w:t>“</w:t>
      </w:r>
      <w:r>
        <w:rPr>
          <w:rFonts w:ascii="Times New Roman" w:eastAsia="宋体" w:cs="Times New Roman" w:hAnsiTheme="minorEastAsia"/>
          <w:color w:val="auto"/>
        </w:rPr>
        <w:t>天津市滨海新区政府采购中心</w:t>
      </w:r>
      <w:r>
        <w:rPr>
          <w:rFonts w:ascii="Times New Roman" w:hAnsi="Times New Roman" w:eastAsia="宋体" w:cs="Times New Roman"/>
          <w:color w:val="auto"/>
        </w:rPr>
        <w:t>”</w:t>
      </w:r>
      <w:r>
        <w:rPr>
          <w:rFonts w:ascii="Times New Roman" w:eastAsia="宋体" w:cs="Times New Roman" w:hAnsiTheme="minorEastAsia"/>
          <w:color w:val="auto"/>
        </w:rPr>
        <w:t>。</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w:t>
      </w:r>
      <w:r>
        <w:rPr>
          <w:rFonts w:ascii="Times New Roman" w:eastAsia="宋体" w:cs="Times New Roman" w:hAnsiTheme="minorEastAsia"/>
          <w:color w:val="auto"/>
        </w:rPr>
        <w:t>投标人</w:t>
      </w:r>
      <w:r>
        <w:rPr>
          <w:rFonts w:ascii="Times New Roman" w:hAnsi="Times New Roman" w:eastAsia="宋体" w:cs="Times New Roman"/>
          <w:color w:val="auto"/>
        </w:rPr>
        <w:t>”</w:t>
      </w:r>
      <w:r>
        <w:rPr>
          <w:rFonts w:ascii="Times New Roman" w:eastAsia="宋体" w:cs="Times New Roman" w:hAnsiTheme="minorEastAsia"/>
          <w:color w:val="auto"/>
        </w:rPr>
        <w:t>系指</w:t>
      </w:r>
      <w:r>
        <w:rPr>
          <w:rFonts w:hint="eastAsia" w:ascii="Times New Roman" w:eastAsia="宋体" w:cs="Times New Roman" w:hAnsiTheme="minorEastAsia"/>
          <w:color w:val="auto"/>
        </w:rPr>
        <w:t>响应招标、参加投标竞争的法人、其他组织或者自然人。</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w:t>
      </w:r>
      <w:r>
        <w:rPr>
          <w:rFonts w:ascii="Times New Roman" w:eastAsia="宋体" w:cs="Times New Roman" w:hAnsiTheme="minorEastAsia"/>
          <w:color w:val="auto"/>
        </w:rPr>
        <w:t>服务</w:t>
      </w:r>
      <w:r>
        <w:rPr>
          <w:rFonts w:ascii="Times New Roman" w:hAnsi="Times New Roman" w:eastAsia="宋体" w:cs="Times New Roman"/>
          <w:color w:val="auto"/>
        </w:rPr>
        <w:t>”</w:t>
      </w:r>
      <w:r>
        <w:rPr>
          <w:rFonts w:ascii="Times New Roman" w:eastAsia="宋体" w:cs="Times New Roman" w:hAnsiTheme="minorEastAsia"/>
          <w:color w:val="auto"/>
          <w:szCs w:val="21"/>
        </w:rPr>
        <w:t>系指招标文件规定的投标人为完成采购项目所需承担的全部义务。</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 </w:t>
      </w:r>
      <w:r>
        <w:rPr>
          <w:rFonts w:ascii="Times New Roman" w:eastAsia="宋体" w:cs="Times New Roman" w:hAnsiTheme="minorEastAsia"/>
          <w:color w:val="auto"/>
        </w:rPr>
        <w:t>解释权</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 </w:t>
      </w:r>
      <w:r>
        <w:rPr>
          <w:rFonts w:ascii="Times New Roman" w:eastAsia="宋体" w:cs="Times New Roman" w:hAnsiTheme="minorEastAsia"/>
          <w:color w:val="auto"/>
        </w:rPr>
        <w:t>本次招投标的最终解释权归为采购人、采购代理机构。</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 </w:t>
      </w:r>
      <w:r>
        <w:rPr>
          <w:rFonts w:ascii="Times New Roman" w:eastAsia="宋体" w:cs="Times New Roman" w:hAnsiTheme="minorEastAsia"/>
          <w:color w:val="auto"/>
        </w:rPr>
        <w:t>本文件未作须知明示，而又有相关法律、法规规定的，采购人、采购代理机构将对此解释为依据有关法律、法规的规定。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 </w:t>
      </w:r>
      <w:r>
        <w:rPr>
          <w:rFonts w:ascii="Times New Roman" w:eastAsia="宋体" w:cs="Times New Roman" w:hAnsiTheme="minorEastAsia"/>
          <w:color w:val="auto"/>
        </w:rPr>
        <w:t>合格的投标人</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4.1 </w:t>
      </w:r>
      <w:r>
        <w:rPr>
          <w:rFonts w:ascii="Times New Roman" w:eastAsia="宋体" w:cs="Times New Roman" w:hAnsiTheme="minorEastAsia"/>
          <w:color w:val="auto"/>
        </w:rPr>
        <w:t>符合《中华人民共和国政府采购法》第二十二条供应商参加政府采购活动应当具备的条件及其他有关法律、法规关于供应商的有关规定，有能力提供招标采购服务的供应商。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4.2 </w:t>
      </w:r>
      <w:r>
        <w:rPr>
          <w:rFonts w:ascii="Times New Roman" w:eastAsia="宋体" w:cs="Times New Roman" w:hAnsiTheme="minorEastAsia"/>
          <w:color w:val="auto"/>
        </w:rPr>
        <w:t>符合《投标邀请函》中关于供应商资格要求（实质性要求）的规定。</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4.3 </w:t>
      </w:r>
      <w:r>
        <w:rPr>
          <w:rFonts w:ascii="Times New Roman" w:eastAsia="宋体" w:cs="Times New Roman" w:hAnsiTheme="minorEastAsia"/>
          <w:color w:val="auto"/>
        </w:rPr>
        <w:t>关于联合体投标</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若</w:t>
      </w:r>
      <w:r>
        <w:rPr>
          <w:rFonts w:ascii="Times New Roman" w:eastAsia="宋体" w:cs="Times New Roman" w:hAnsiTheme="minorEastAsia"/>
          <w:color w:val="auto"/>
        </w:rPr>
        <w:t>《投标邀请函》接受联合体投标的：</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）两个以上的自然人、法人或者其他组织可以组成一个联合体，以一个供应商的身份共同参加政府采购。</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eastAsia="宋体" w:cs="Times New Roman" w:hAnsiTheme="minorEastAsia"/>
          <w:color w:val="auto"/>
        </w:rPr>
        <w:t>要求</w:t>
      </w:r>
      <w:r>
        <w:rPr>
          <w:rFonts w:ascii="Times New Roman" w:eastAsia="宋体" w:cs="Times New Roman" w:hAnsiTheme="minorEastAsia"/>
          <w:color w:val="auto"/>
        </w:rPr>
        <w:t>）。</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4</w:t>
      </w:r>
      <w:r>
        <w:rPr>
          <w:rFonts w:ascii="Times New Roman" w:eastAsia="宋体" w:cs="Times New Roman" w:hAnsiTheme="minorEastAsia"/>
          <w:color w:val="auto"/>
        </w:rPr>
        <w:t>）</w:t>
      </w:r>
      <w:r>
        <w:rPr>
          <w:rFonts w:hint="eastAsia" w:ascii="Times New Roman" w:eastAsia="宋体" w:hAnsiTheme="minorEastAsia"/>
          <w:color w:val="auto"/>
        </w:rPr>
        <w:t>下载招标文件</w:t>
      </w:r>
      <w:r>
        <w:rPr>
          <w:rFonts w:ascii="Times New Roman" w:eastAsia="宋体" w:hAnsiTheme="minorEastAsia"/>
          <w:color w:val="auto"/>
        </w:rPr>
        <w:t>时，应以联合体协议中确定的主体方名义</w:t>
      </w:r>
      <w:r>
        <w:rPr>
          <w:rFonts w:hint="eastAsia" w:ascii="Times New Roman" w:eastAsia="宋体" w:hAnsiTheme="minorEastAsia"/>
          <w:color w:val="auto"/>
        </w:rPr>
        <w:t>下载</w:t>
      </w:r>
      <w:r>
        <w:rPr>
          <w:rFonts w:ascii="Times New Roman" w:eastAsia="宋体" w:hAnsiTheme="minorEastAsia"/>
          <w:color w:val="auto"/>
        </w:rPr>
        <w:t>。</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5</w:t>
      </w:r>
      <w:r>
        <w:rPr>
          <w:rFonts w:ascii="Times New Roman" w:eastAsia="宋体" w:cs="Times New Roman" w:hAnsiTheme="minorEastAsia"/>
          <w:color w:val="auto"/>
        </w:rPr>
        <w:t>）联合体投标的，应以主体方名义提交投标保证金（如有），对联合体各方均具有约束力。</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6</w:t>
      </w:r>
      <w:r>
        <w:rPr>
          <w:rFonts w:ascii="Times New Roman" w:eastAsia="宋体" w:cs="Times New Roman" w:hAnsiTheme="minor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（7）联合体中任意一方为中小企业的，该方应提供《中小企业声明函》。</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8</w:t>
      </w:r>
      <w:r>
        <w:rPr>
          <w:rFonts w:ascii="Times New Roman" w:eastAsia="宋体" w:cs="Times New Roman" w:hAnsiTheme="minorEastAsia"/>
          <w:color w:val="auto"/>
        </w:rPr>
        <w:t>）联合体各方应当共同与采购人签订采购合同，就采购合同约定的事项对采购人承担连带责任。</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4.4 </w:t>
      </w:r>
      <w:r>
        <w:rPr>
          <w:rFonts w:ascii="Times New Roman" w:eastAsia="宋体" w:cs="Times New Roman" w:hAnsiTheme="minorEastAsia"/>
          <w:color w:val="auto"/>
        </w:rPr>
        <w:t>关于关联企业</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除联合体外，法定代表人或单位负责人为同一个人或者存在直接控股、管理关系的不同供应商，不得同时参加同一项目或同一子项目的投标。如同时参加，则评审时将同时被拒绝。</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4.5 </w:t>
      </w:r>
      <w:r>
        <w:rPr>
          <w:rFonts w:ascii="Times New Roman" w:eastAsia="宋体" w:cs="Times New Roman" w:hAnsiTheme="minorEastAsia"/>
          <w:color w:val="auto"/>
        </w:rPr>
        <w:t>关于中小微企业投标</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w:t>
      </w:r>
      <w:r>
        <w:rPr>
          <w:rFonts w:ascii="Times New Roman" w:hAnsi="Times New Roman" w:eastAsia="宋体" w:cs="Times New Roman"/>
          <w:color w:val="auto"/>
        </w:rPr>
        <w:t>[2020]46</w:t>
      </w:r>
      <w:r>
        <w:rPr>
          <w:rFonts w:hint="eastAsia" w:ascii="Times New Roman" w:hAnsi="Times New Roman" w:eastAsia="宋体" w:cs="Times New Roman"/>
          <w:color w:val="auto"/>
        </w:rPr>
        <w:t>号）规定的供应商。中小微企业参与投标应提供《中小企业声明函》。</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根据财库〔</w:t>
      </w:r>
      <w:r>
        <w:rPr>
          <w:rFonts w:ascii="Times New Roman" w:hAnsi="Times New Roman" w:eastAsia="宋体" w:cs="Times New Roman"/>
          <w:color w:val="auto"/>
        </w:rPr>
        <w:t>2014</w:t>
      </w:r>
      <w:r>
        <w:rPr>
          <w:rFonts w:ascii="Times New Roman" w:eastAsia="宋体" w:cs="Times New Roman" w:hAnsiTheme="minorEastAsia"/>
          <w:color w:val="auto"/>
        </w:rPr>
        <w:t>〕</w:t>
      </w:r>
      <w:r>
        <w:rPr>
          <w:rFonts w:ascii="Times New Roman" w:hAnsi="Times New Roman" w:eastAsia="宋体" w:cs="Times New Roman"/>
          <w:color w:val="auto"/>
        </w:rPr>
        <w:t>68</w:t>
      </w:r>
      <w:r>
        <w:rPr>
          <w:rFonts w:ascii="Times New Roman" w:eastAsia="宋体" w:cs="Times New Roman" w:hAnsiTheme="minor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hAnsi="Times New Roman" w:eastAsia="宋体" w:cs="Times New Roman"/>
          <w:color w:val="auto"/>
        </w:rPr>
        <w:t>(</w:t>
      </w:r>
      <w:r>
        <w:rPr>
          <w:rFonts w:ascii="Times New Roman" w:eastAsia="宋体" w:cs="Times New Roman" w:hAnsiTheme="minorEastAsia"/>
          <w:color w:val="auto"/>
        </w:rPr>
        <w:t>设区的市</w:t>
      </w:r>
      <w:r>
        <w:rPr>
          <w:rFonts w:ascii="Times New Roman" w:hAnsi="Times New Roman" w:eastAsia="宋体" w:cs="Times New Roman"/>
          <w:color w:val="auto"/>
        </w:rPr>
        <w:t>)</w:t>
      </w:r>
      <w:r>
        <w:rPr>
          <w:rFonts w:ascii="Times New Roman" w:eastAsia="宋体" w:cs="Times New Roman" w:hAnsiTheme="minor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szCs w:val="21"/>
        </w:rPr>
        <w:t>根据《财政部民政部中国残疾人联合会关于促进残疾人就业政府采购政策的通知》（财库〔</w:t>
      </w:r>
      <w:r>
        <w:rPr>
          <w:rFonts w:ascii="Times New Roman" w:hAnsi="Times New Roman" w:eastAsia="宋体" w:cs="Times New Roman"/>
          <w:color w:val="auto"/>
          <w:szCs w:val="21"/>
        </w:rPr>
        <w:t>2017</w:t>
      </w:r>
      <w:r>
        <w:rPr>
          <w:rFonts w:ascii="Times New Roman" w:eastAsia="宋体" w:cs="Times New Roman" w:hAnsiTheme="minorEastAsia"/>
          <w:color w:val="auto"/>
          <w:szCs w:val="21"/>
        </w:rPr>
        <w:t>〕</w:t>
      </w:r>
      <w:r>
        <w:rPr>
          <w:rFonts w:ascii="Times New Roman" w:hAnsi="Times New Roman" w:eastAsia="宋体" w:cs="Times New Roman"/>
          <w:color w:val="auto"/>
          <w:szCs w:val="21"/>
        </w:rPr>
        <w:t>141</w:t>
      </w:r>
      <w:r>
        <w:rPr>
          <w:rFonts w:ascii="Times New Roman" w:eastAsia="宋体" w:cs="Times New Roman" w:hAnsiTheme="minorEastAsia"/>
          <w:color w:val="auto"/>
          <w:szCs w:val="21"/>
        </w:rPr>
        <w:t>号）的规定，残疾人福利性单位视同为小型、微型企业。</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w:t>
      </w:r>
      <w:r>
        <w:rPr>
          <w:rFonts w:hint="eastAsia" w:ascii="Times New Roman" w:eastAsia="宋体" w:cs="Times New Roman" w:hAnsiTheme="minorEastAsia"/>
          <w:color w:val="auto"/>
        </w:rPr>
        <w:t>关于分公司投标</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根据国务院《</w:t>
      </w:r>
      <w:bookmarkStart w:id="6" w:name="OLE_LINK6"/>
      <w:bookmarkStart w:id="7" w:name="OLE_LINK5"/>
      <w:r>
        <w:rPr>
          <w:rFonts w:hint="eastAsia" w:ascii="Times New Roman" w:eastAsia="宋体" w:cs="Times New Roman" w:hAnsiTheme="minorEastAsia"/>
          <w:color w:val="auto"/>
        </w:rPr>
        <w:t>物业管理条例</w:t>
      </w:r>
      <w:bookmarkEnd w:id="6"/>
      <w:bookmarkEnd w:id="7"/>
      <w:r>
        <w:rPr>
          <w:rFonts w:hint="eastAsia" w:ascii="Times New Roman" w:eastAsia="宋体" w:cs="Times New Roman" w:hAnsiTheme="minorEastAsia"/>
          <w:color w:val="auto"/>
        </w:rPr>
        <w:t>》第三十二条的规定</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从事物业管理活动的企业应当具有独立的法人资格</w:t>
      </w:r>
      <w:r>
        <w:rPr>
          <w:rFonts w:hint="eastAsia" w:ascii="Times New Roman" w:hAnsi="Times New Roman" w:eastAsia="宋体" w:cs="Times New Roman"/>
          <w:color w:val="auto"/>
        </w:rPr>
        <w:t>”</w:t>
      </w:r>
      <w:r>
        <w:rPr>
          <w:rFonts w:hint="eastAsia" w:ascii="Times New Roman" w:eastAsia="宋体" w:cs="Times New Roman" w:hAnsiTheme="minorEastAsia"/>
          <w:color w:val="auto"/>
        </w:rPr>
        <w:t>，因此本项目不接受分公司投标。</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w:t>
      </w:r>
      <w:r>
        <w:rPr>
          <w:rFonts w:hint="eastAsia" w:ascii="Times New Roman" w:eastAsia="宋体" w:cs="Times New Roman" w:hAnsiTheme="minorEastAsia"/>
          <w:color w:val="auto"/>
        </w:rPr>
        <w:t>关于提供前期服务的供应商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为采购项目提供整体设计、规范编制或者项目管理、监理、检测等服务的供应商，不得再参加该采购项目的其他采购活动。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5. </w:t>
      </w:r>
      <w:r>
        <w:rPr>
          <w:rFonts w:ascii="Times New Roman" w:eastAsia="宋体" w:cs="Times New Roman" w:hAnsiTheme="minorEastAsia"/>
          <w:color w:val="auto"/>
        </w:rPr>
        <w:t>合格的服务</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5.1 </w:t>
      </w:r>
      <w:r>
        <w:rPr>
          <w:rFonts w:ascii="Times New Roman" w:eastAsia="宋体" w:cs="Times New Roman" w:hAnsiTheme="minorEastAsia"/>
          <w:color w:val="auto"/>
        </w:rPr>
        <w:t>投标人所提供的服务应当没有侵犯任何第三方的知识产权、技术秘密等合法权利。</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5.2 </w:t>
      </w:r>
      <w:r>
        <w:rPr>
          <w:rFonts w:ascii="Times New Roman" w:eastAsia="宋体" w:cs="Times New Roman" w:hAnsiTheme="minorEastAsia"/>
          <w:color w:val="auto"/>
        </w:rPr>
        <w:t>投标人提供的服务应当符合招标文件的要求，并且其质量完全符合国家标准、行业标准或地方标准。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w:t>
      </w:r>
      <w:r>
        <w:rPr>
          <w:rFonts w:hint="eastAsia" w:ascii="Times New Roman" w:eastAsia="宋体" w:cs="Times New Roman" w:hAnsiTheme="minorEastAsia"/>
          <w:color w:val="auto"/>
        </w:rPr>
        <w:t>系统软件、通用软件必须是具有在中国境内的合法使用权或版权的正版软件，涉及到第三方提出侵权或知识产权的起诉及支付版税等费用由投标人承担所有责任及费用。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6. </w:t>
      </w:r>
      <w:r>
        <w:rPr>
          <w:rFonts w:ascii="Times New Roman" w:eastAsia="宋体" w:cs="Times New Roman" w:hAnsiTheme="minorEastAsia"/>
          <w:color w:val="auto"/>
        </w:rPr>
        <w:t>投标费用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6.1 </w:t>
      </w:r>
      <w:r>
        <w:rPr>
          <w:rFonts w:ascii="Times New Roman" w:eastAsia="宋体" w:cs="Times New Roman" w:hAnsiTheme="minorEastAsia"/>
          <w:color w:val="auto"/>
        </w:rPr>
        <w:t>本项目不收取招标代理服务费。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6.2 </w:t>
      </w:r>
      <w:r>
        <w:rPr>
          <w:rFonts w:ascii="Times New Roman" w:eastAsia="宋体" w:cs="Times New Roman" w:hAnsiTheme="minorEastAsia"/>
          <w:color w:val="auto"/>
        </w:rPr>
        <w:t>无论投标过程中的做法和结果如何，投标人自行承担所有与参加投标有关的费用。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7. </w:t>
      </w:r>
      <w:r>
        <w:rPr>
          <w:rFonts w:ascii="Times New Roman" w:eastAsia="宋体" w:cs="Times New Roman" w:hAnsiTheme="minorEastAsia"/>
          <w:color w:val="auto"/>
        </w:rPr>
        <w:t>信息发布</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本项目需要公开的有关信息，包括招标公告、更正公告、中标公告、终止公告等与招标活动有关的通知，采购人、采购代理机构均将通过</w:t>
      </w:r>
      <w:r>
        <w:rPr>
          <w:rFonts w:ascii="Times New Roman" w:hAnsi="Times New Roman" w:eastAsia="宋体" w:cs="Times New Roman"/>
          <w:color w:val="auto"/>
        </w:rPr>
        <w:t>“天津政府采购网（</w:t>
      </w:r>
      <w:r>
        <w:fldChar w:fldCharType="begin"/>
      </w:r>
      <w:r>
        <w:instrText xml:space="preserve"> HYPERLINK "http://tjgp.cz.tj.gov.cn" </w:instrText>
      </w:r>
      <w:r>
        <w:fldChar w:fldCharType="separate"/>
      </w:r>
      <w:r>
        <w:rPr>
          <w:rStyle w:val="25"/>
          <w:rFonts w:ascii="Times New Roman" w:hAnsi="Times New Roman" w:eastAsia="宋体" w:cs="Times New Roman"/>
        </w:rPr>
        <w:t>http://tjgp.cz.tj.gov.cn</w:t>
      </w:r>
      <w:r>
        <w:rPr>
          <w:rStyle w:val="25"/>
          <w:rFonts w:ascii="Times New Roman" w:hAnsi="Times New Roman" w:eastAsia="宋体" w:cs="Times New Roman"/>
        </w:rPr>
        <w:fldChar w:fldCharType="end"/>
      </w:r>
      <w:r>
        <w:rPr>
          <w:rFonts w:ascii="Times New Roman" w:hAnsi="Times New Roman" w:eastAsia="宋体" w:cs="Times New Roman"/>
          <w:color w:val="auto"/>
        </w:rPr>
        <w:t>）”和“天津政府采购中心网（</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ascii="Times New Roman" w:hAnsi="Times New Roman" w:eastAsia="宋体" w:cs="Times New Roman"/>
          <w:color w:val="auto"/>
        </w:rPr>
        <w:t>）”</w:t>
      </w:r>
      <w:r>
        <w:rPr>
          <w:rFonts w:ascii="Times New Roman" w:eastAsia="宋体" w:cs="Times New Roman" w:hAnsiTheme="minorEastAsia"/>
          <w:color w:val="auto"/>
        </w:rPr>
        <w:t>公开发布。投标人在参与本采购项目招投标活动期间，请及时关注上述媒体和天津市政府采购中心招投标系统</w:t>
      </w:r>
      <w:r>
        <w:rPr>
          <w:rFonts w:ascii="Times New Roman" w:hAnsi="Times New Roman" w:eastAsia="宋体" w:cs="Times New Roman"/>
          <w:color w:val="auto"/>
        </w:rPr>
        <w:t>“</w:t>
      </w:r>
      <w:r>
        <w:rPr>
          <w:rFonts w:ascii="Times New Roman" w:eastAsia="宋体" w:cs="Times New Roman" w:hAnsiTheme="minorEastAsia"/>
          <w:color w:val="auto"/>
        </w:rPr>
        <w:t>查看项目文件</w:t>
      </w:r>
      <w:r>
        <w:rPr>
          <w:rFonts w:ascii="Times New Roman" w:hAnsi="Times New Roman" w:eastAsia="宋体" w:cs="Times New Roman"/>
          <w:color w:val="auto"/>
        </w:rPr>
        <w:t>”</w:t>
      </w:r>
      <w:r>
        <w:rPr>
          <w:rFonts w:ascii="Times New Roman" w:eastAsia="宋体" w:cs="Times New Roman" w:hAnsiTheme="minorEastAsia"/>
          <w:color w:val="auto"/>
        </w:rPr>
        <w:t>的相关信息。因没有及时关注而未能如期获取相关信息，投标人自行承担由此可能产生的风险。</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8. </w:t>
      </w:r>
      <w:r>
        <w:rPr>
          <w:rFonts w:hint="eastAsia" w:ascii="Times New Roman" w:eastAsia="宋体" w:cs="Times New Roman" w:hAnsiTheme="minorEastAsia"/>
          <w:color w:val="auto"/>
        </w:rPr>
        <w:t>询问与质疑</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滨海新区政府采购中心提出。</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8.2 </w:t>
      </w:r>
      <w:r>
        <w:rPr>
          <w:rFonts w:hint="eastAsia" w:ascii="Times New Roman" w:eastAsia="宋体" w:cs="Times New Roman" w:hAnsiTheme="minorEastAsia"/>
          <w:color w:val="auto"/>
        </w:rPr>
        <w:t>询问</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1</w:t>
      </w:r>
      <w:r>
        <w:rPr>
          <w:rFonts w:hint="eastAsia" w:ascii="Times New Roman" w:eastAsia="宋体" w:cs="Times New Roman" w:hAnsiTheme="minorEastAsia"/>
          <w:color w:val="auto"/>
        </w:rPr>
        <w:t>）询问可以采取电话、当面或书面等形式。</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2</w:t>
      </w:r>
      <w:r>
        <w:rPr>
          <w:rFonts w:hint="eastAsia" w:ascii="Times New Roman" w:eastAsia="宋体" w:cs="Times New Roman" w:hAnsiTheme="minorEastAsia"/>
          <w:color w:val="auto"/>
        </w:rPr>
        <w:t>）采购人应当自收到供应商询问之日起</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个工作日内作出答复，但答复的内容不得涉及商业秘密或者依法应当保密的内容。</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8.3 </w:t>
      </w:r>
      <w:r>
        <w:rPr>
          <w:rFonts w:hint="eastAsia" w:ascii="Times New Roman" w:eastAsia="宋体" w:cs="Times New Roman" w:hAnsiTheme="minorEastAsia"/>
          <w:color w:val="auto"/>
        </w:rPr>
        <w:t>质疑</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1</w:t>
      </w:r>
      <w:r>
        <w:rPr>
          <w:rFonts w:hint="eastAsia" w:ascii="Times New Roman" w:eastAsia="宋体" w:cs="Times New Roman" w:hAnsiTheme="minorEastAsia"/>
          <w:color w:val="auto"/>
        </w:rPr>
        <w:t>）提出质疑的供应商应当是参与所质疑项目采购活动的供应商。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w:t>
      </w:r>
      <w:r>
        <w:fldChar w:fldCharType="begin"/>
      </w:r>
      <w:r>
        <w:instrText xml:space="preserve"> HYPERLINK "http://tjgp.cz.tj.gov.cn" </w:instrText>
      </w:r>
      <w:r>
        <w:fldChar w:fldCharType="separate"/>
      </w:r>
      <w:r>
        <w:rPr>
          <w:rStyle w:val="25"/>
          <w:rFonts w:hint="eastAsia" w:ascii="Times New Roman" w:hAnsi="Times New Roman" w:eastAsia="宋体" w:cs="Times New Roman"/>
        </w:rPr>
        <w:t>http://tjgp.cz.tj.gov.cn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下载专区”中的“质疑函格式文本”）。质疑函应当明确阐述采购文件、采购过程、采购结果使自己的合法权益受到损害的法律依据、事实依据、相关证明材料及证据来源，以便于有关单位调查、答复和处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4</w:t>
      </w:r>
      <w:r>
        <w:rPr>
          <w:rFonts w:hint="eastAsia" w:ascii="Times New Roman" w:eastAsia="宋体" w:cs="Times New Roman" w:hAnsiTheme="minor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滨海新区政府采购中心有权将质疑函转发质疑事项各关联方，请其作出解释说明。对捏造事实、滥用维权扰乱采购秩序的恶意质疑者，将上报天津市滨海新区财政局政府采购办公室依法处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8.4 </w:t>
      </w:r>
      <w:r>
        <w:rPr>
          <w:rFonts w:hint="eastAsia" w:ascii="Times New Roman" w:eastAsia="宋体" w:cs="Times New Roman" w:hAnsiTheme="minorEastAsia"/>
          <w:color w:val="auto"/>
        </w:rPr>
        <w:t>针对询问或质疑的答复内容需要修改采购文件的，其修改内容应当以天津市政府采购网发布的更正公告为准。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9. </w:t>
      </w:r>
      <w:r>
        <w:rPr>
          <w:rFonts w:ascii="Times New Roman" w:eastAsia="宋体" w:cs="Times New Roman" w:hAnsiTheme="minorEastAsia"/>
          <w:color w:val="auto"/>
        </w:rPr>
        <w:t>其他</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本《投标须知》的条款如与《投标邀请函》、《招标项目需求》就同一内容的表述不一致的，以《投标邀请函》、《招标项目需求》中规定的内容为准。</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B  </w:t>
      </w:r>
      <w:r>
        <w:rPr>
          <w:rFonts w:ascii="Times New Roman" w:eastAsia="宋体" w:cs="Times New Roman" w:hAnsiTheme="minorEastAsia"/>
          <w:color w:val="auto"/>
        </w:rPr>
        <w:t>招标文件说明</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10. </w:t>
      </w:r>
      <w:r>
        <w:rPr>
          <w:rFonts w:ascii="Times New Roman" w:eastAsia="宋体" w:cs="Times New Roman" w:hAnsiTheme="minorEastAsia"/>
          <w:color w:val="auto"/>
        </w:rPr>
        <w:t>招标文件的构成</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w:t>
      </w:r>
      <w:r>
        <w:rPr>
          <w:rFonts w:ascii="Times New Roman" w:eastAsia="宋体" w:cs="Times New Roman" w:hAnsiTheme="minorEastAsia"/>
          <w:color w:val="auto"/>
        </w:rPr>
        <w:t>招标文件由下述部分组成：</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）投标邀请函</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）招标项目需求</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）投标须知</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4</w:t>
      </w:r>
      <w:r>
        <w:rPr>
          <w:rFonts w:ascii="Times New Roman" w:eastAsia="宋体" w:cs="Times New Roman" w:hAnsiTheme="minorEastAsia"/>
          <w:color w:val="auto"/>
        </w:rPr>
        <w:t>）合同条款</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5</w:t>
      </w:r>
      <w:r>
        <w:rPr>
          <w:rFonts w:ascii="Times New Roman" w:eastAsia="宋体" w:cs="Times New Roman" w:hAnsiTheme="minorEastAsia"/>
          <w:color w:val="auto"/>
        </w:rPr>
        <w:t>）投标文件格式</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6</w:t>
      </w:r>
      <w:r>
        <w:rPr>
          <w:rFonts w:ascii="Times New Roman" w:eastAsia="宋体" w:cs="Times New Roman" w:hAnsiTheme="minorEastAsia"/>
          <w:color w:val="auto"/>
        </w:rPr>
        <w:t>）本项目招标文件的更正公告内容（如有）</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10.2 </w:t>
      </w:r>
      <w:r>
        <w:rPr>
          <w:rFonts w:ascii="Times New Roman" w:eastAsia="宋体" w:cs="Times New Roman" w:hAnsiTheme="minorEastAsia"/>
          <w:color w:val="auto"/>
        </w:rPr>
        <w:t>除非有特殊要求，招标文件不单独提供招标项目使用地的自然环境、气候条件、公用设施等情况，投标人被视为熟悉上述与履行合同有关的一切情况。</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w:t>
      </w:r>
      <w:r>
        <w:rPr>
          <w:rFonts w:hint="eastAsia" w:ascii="Times New Roman" w:eastAsia="宋体" w:cs="Times New Roman" w:hAnsiTheme="minorEastAsia"/>
          <w:color w:val="auto"/>
        </w:rPr>
        <w:t>加注</w:t>
      </w:r>
      <w:r>
        <w:rPr>
          <w:rFonts w:hint="eastAsia" w:ascii="Times New Roman" w:hAnsi="Times New Roman" w:eastAsia="宋体" w:cs="Times New Roman"/>
          <w:color w:val="auto"/>
        </w:rPr>
        <w:t>“</w:t>
      </w:r>
      <w:r>
        <w:rPr>
          <w:rFonts w:hint="eastAsia" w:ascii="Times New Roman" w:eastAsia="宋体" w:cs="Times New Roman" w:hAnsiTheme="minorEastAsia"/>
          <w:color w:val="auto"/>
        </w:rPr>
        <w:t>★</w:t>
      </w:r>
      <w:r>
        <w:rPr>
          <w:rFonts w:hint="eastAsia" w:ascii="Times New Roman" w:hAnsi="Times New Roman" w:eastAsia="宋体" w:cs="Times New Roman"/>
          <w:color w:val="auto"/>
        </w:rPr>
        <w:t>”</w:t>
      </w:r>
      <w:r>
        <w:rPr>
          <w:rFonts w:hint="eastAsia" w:ascii="Times New Roman" w:eastAsia="宋体" w:cs="Times New Roman" w:hAnsiTheme="minorEastAsia"/>
          <w:color w:val="auto"/>
        </w:rPr>
        <w:t>号条款为实质性条款，不得出现负偏离，发生负偏离即做无效标处理。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10.4 </w:t>
      </w:r>
      <w:r>
        <w:rPr>
          <w:rFonts w:ascii="Times New Roman" w:eastAsia="宋体" w:cs="Times New Roman" w:hAnsiTheme="minorEastAsia"/>
          <w:color w:val="auto"/>
        </w:rPr>
        <w:t>招标文件中涉及的参照品牌、型号仅起说明作用，并没有任何限制性，投标人在投标中可以选用其他替代品牌或型号，但这些替代要实质上优于或相当于招标要求。</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 </w:t>
      </w:r>
      <w:r>
        <w:rPr>
          <w:rFonts w:ascii="Times New Roman" w:eastAsia="宋体" w:cs="Times New Roman" w:hAnsiTheme="minorEastAsia"/>
          <w:color w:val="auto"/>
        </w:rPr>
        <w:t>招标文件的澄清和修改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11.1 </w:t>
      </w:r>
      <w:r>
        <w:rPr>
          <w:rFonts w:ascii="Times New Roman" w:eastAsia="宋体" w:cs="Times New Roman" w:hAnsiTheme="minorEastAsia"/>
          <w:color w:val="auto"/>
        </w:rPr>
        <w:t>投标截止前，采购人、采购代理机构需要对招标文件进行补充或修改的，采购人、采购代理机构将会通过</w:t>
      </w:r>
      <w:r>
        <w:rPr>
          <w:rFonts w:ascii="Times New Roman" w:hAnsi="Times New Roman" w:eastAsia="宋体" w:cs="Times New Roman"/>
          <w:color w:val="auto"/>
        </w:rPr>
        <w:t>“</w:t>
      </w:r>
      <w:r>
        <w:rPr>
          <w:rFonts w:ascii="Times New Roman" w:eastAsia="宋体" w:cs="Times New Roman" w:hAnsiTheme="minorEastAsia"/>
          <w:color w:val="auto"/>
        </w:rPr>
        <w:t>天津市政府采购网</w:t>
      </w:r>
      <w:r>
        <w:rPr>
          <w:rFonts w:ascii="Times New Roman" w:hAnsi="Times New Roman" w:eastAsia="宋体" w:cs="Times New Roman"/>
          <w:color w:val="auto"/>
        </w:rPr>
        <w:t>”</w:t>
      </w:r>
      <w:r>
        <w:rPr>
          <w:rFonts w:ascii="Times New Roman" w:eastAsia="宋体" w:cs="Times New Roman" w:hAnsiTheme="minorEastAsia"/>
          <w:color w:val="auto"/>
        </w:rPr>
        <w:t>、</w:t>
      </w:r>
      <w:r>
        <w:rPr>
          <w:rFonts w:ascii="Times New Roman" w:hAnsi="Times New Roman" w:eastAsia="宋体" w:cs="Times New Roman"/>
          <w:color w:val="auto"/>
        </w:rPr>
        <w:t>“</w:t>
      </w:r>
      <w:r>
        <w:rPr>
          <w:rFonts w:ascii="Times New Roman" w:eastAsia="宋体" w:cs="Times New Roman" w:hAnsiTheme="minorEastAsia"/>
          <w:color w:val="auto"/>
        </w:rPr>
        <w:t>天津市政府采购中心网</w:t>
      </w:r>
      <w:r>
        <w:rPr>
          <w:rFonts w:ascii="Times New Roman" w:hAnsi="Times New Roman" w:eastAsia="宋体" w:cs="Times New Roman"/>
          <w:color w:val="auto"/>
        </w:rPr>
        <w:t>”</w:t>
      </w:r>
      <w:r>
        <w:rPr>
          <w:rFonts w:ascii="Times New Roman" w:eastAsia="宋体" w:cs="Times New Roman" w:hAnsiTheme="minorEastAsia"/>
          <w:color w:val="auto"/>
        </w:rPr>
        <w:t>以更正公告形式发布。</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11.2 </w:t>
      </w:r>
      <w:r>
        <w:rPr>
          <w:rFonts w:ascii="Times New Roman" w:eastAsia="宋体" w:cs="Times New Roman" w:hAnsiTheme="minorEastAsia"/>
          <w:color w:val="auto"/>
        </w:rPr>
        <w:t>更正公告一经在</w:t>
      </w:r>
      <w:r>
        <w:rPr>
          <w:rFonts w:ascii="Times New Roman" w:hAnsi="Times New Roman" w:eastAsia="宋体" w:cs="Times New Roman"/>
          <w:color w:val="auto"/>
        </w:rPr>
        <w:t>“</w:t>
      </w:r>
      <w:r>
        <w:rPr>
          <w:rFonts w:ascii="Times New Roman" w:eastAsia="宋体" w:cs="Times New Roman" w:hAnsiTheme="minorEastAsia"/>
          <w:color w:val="auto"/>
        </w:rPr>
        <w:t>天津市政府采购网</w:t>
      </w:r>
      <w:r>
        <w:rPr>
          <w:rFonts w:ascii="Times New Roman" w:hAnsi="Times New Roman" w:eastAsia="宋体" w:cs="Times New Roman"/>
          <w:color w:val="auto"/>
        </w:rPr>
        <w:t>”</w:t>
      </w:r>
      <w:r>
        <w:rPr>
          <w:rFonts w:ascii="Times New Roman" w:eastAsia="宋体" w:cs="Times New Roman" w:hAnsiTheme="minorEastAsia"/>
          <w:color w:val="auto"/>
        </w:rPr>
        <w:t>、</w:t>
      </w:r>
      <w:r>
        <w:rPr>
          <w:rFonts w:ascii="Times New Roman" w:hAnsi="Times New Roman" w:eastAsia="宋体" w:cs="Times New Roman"/>
          <w:color w:val="auto"/>
        </w:rPr>
        <w:t>“</w:t>
      </w:r>
      <w:r>
        <w:rPr>
          <w:rFonts w:ascii="Times New Roman" w:eastAsia="宋体" w:cs="Times New Roman" w:hAnsiTheme="minorEastAsia"/>
          <w:color w:val="auto"/>
        </w:rPr>
        <w:t>天津市政府采购中心网</w:t>
      </w:r>
      <w:r>
        <w:rPr>
          <w:rFonts w:ascii="Times New Roman" w:hAnsi="Times New Roman" w:eastAsia="宋体" w:cs="Times New Roman"/>
          <w:color w:val="auto"/>
        </w:rPr>
        <w:t>”</w:t>
      </w:r>
      <w:r>
        <w:rPr>
          <w:rFonts w:ascii="Times New Roman" w:eastAsia="宋体" w:cs="Times New Roman" w:hAnsiTheme="minorEastAsia"/>
          <w:color w:val="auto"/>
        </w:rPr>
        <w:t>发布，天津市政府采购中心招投标系统将自动发送通知至已报名供应商的</w:t>
      </w:r>
      <w:r>
        <w:rPr>
          <w:rFonts w:ascii="Times New Roman" w:hAnsi="Times New Roman" w:eastAsia="宋体" w:cs="Times New Roman"/>
          <w:color w:val="auto"/>
        </w:rPr>
        <w:t>“</w:t>
      </w:r>
      <w:r>
        <w:rPr>
          <w:rFonts w:ascii="Times New Roman" w:eastAsia="宋体" w:cs="Times New Roman" w:hAnsiTheme="minorEastAsia"/>
          <w:color w:val="auto"/>
        </w:rPr>
        <w:t>查看项目文件</w:t>
      </w:r>
      <w:r>
        <w:rPr>
          <w:rFonts w:ascii="Times New Roman" w:hAnsi="Times New Roman" w:eastAsia="宋体" w:cs="Times New Roman"/>
          <w:color w:val="auto"/>
        </w:rPr>
        <w:t>”</w:t>
      </w:r>
      <w:r>
        <w:rPr>
          <w:rFonts w:ascii="Times New Roman" w:eastAsia="宋体" w:cs="Times New Roman" w:hAnsiTheme="minorEastAsia"/>
          <w:color w:val="auto"/>
        </w:rPr>
        <w:t>，视同已书面通知所有招标文件的收受人。请参与项目的供应商及时关注更正公告，由此导致的风险由投标人自行承担，采购人、采购代理机构不承担任何责任。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11.3 </w:t>
      </w:r>
      <w:r>
        <w:rPr>
          <w:rFonts w:ascii="Times New Roman" w:eastAsia="宋体" w:cs="Times New Roman" w:hAnsiTheme="minorEastAsia"/>
          <w:color w:val="auto"/>
        </w:rPr>
        <w:t>更正公告的内容为招标文件的组成部分。当招标文件与更正公告就同一内容的表述不一致时，以最后发出的更正公告内容为准。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11.4 </w:t>
      </w:r>
      <w:r>
        <w:rPr>
          <w:rFonts w:ascii="Times New Roman" w:eastAsia="宋体" w:cs="Times New Roman" w:hAnsiTheme="minor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eastAsia="宋体" w:cs="Times New Roman" w:hAnsiTheme="minorEastAsia"/>
          <w:color w:val="auto"/>
        </w:rPr>
        <w:t>答疑会和踏勘现场</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12.1 </w:t>
      </w:r>
      <w:r>
        <w:rPr>
          <w:rFonts w:ascii="Times New Roman" w:eastAsia="宋体" w:cs="Times New Roman" w:hAnsiTheme="minorEastAsia"/>
          <w:color w:val="auto"/>
        </w:rPr>
        <w:t>采购人、采购代理机构召开答疑会的，所有投标人应按《投标邀请函》规定的时间、地点参加答疑会。投标人如不参加，其风险由投标人自行承担，采购人、采购代理机构不承担任何责任。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12.2 </w:t>
      </w:r>
      <w:r>
        <w:rPr>
          <w:rFonts w:ascii="Times New Roman" w:eastAsia="宋体" w:cs="Times New Roman" w:hAnsiTheme="minorEastAsia"/>
          <w:color w:val="auto"/>
        </w:rPr>
        <w:t>采购人、采购代理机构组织踏勘现场的，所有投标人按《投标邀请函》规定的时间、地点参加踏勘现场活动。投标人如不参加，其风险由投标人自行承担，采购人、采购代理机构不承担任何责任。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12.3 </w:t>
      </w:r>
      <w:r>
        <w:rPr>
          <w:rFonts w:ascii="Times New Roman" w:eastAsia="宋体" w:cs="Times New Roman" w:hAnsiTheme="minorEastAsia"/>
          <w:color w:val="auto"/>
        </w:rPr>
        <w:t>采购人、采购代理机构在答疑会或踏勘现场中口头介绍的情况，除经</w:t>
      </w:r>
      <w:r>
        <w:rPr>
          <w:rFonts w:ascii="Times New Roman" w:hAnsi="Times New Roman" w:eastAsia="宋体" w:cs="Times New Roman"/>
          <w:color w:val="auto"/>
        </w:rPr>
        <w:t>“</w:t>
      </w:r>
      <w:r>
        <w:rPr>
          <w:rFonts w:ascii="Times New Roman" w:eastAsia="宋体" w:cs="Times New Roman" w:hAnsiTheme="minorEastAsia"/>
          <w:color w:val="auto"/>
        </w:rPr>
        <w:t>天津市政府采购网</w:t>
      </w:r>
      <w:r>
        <w:rPr>
          <w:rFonts w:ascii="Times New Roman" w:hAnsi="Times New Roman" w:eastAsia="宋体" w:cs="Times New Roman"/>
          <w:color w:val="auto"/>
        </w:rPr>
        <w:t>”</w:t>
      </w:r>
      <w:r>
        <w:rPr>
          <w:rFonts w:ascii="Times New Roman" w:eastAsia="宋体" w:cs="Times New Roman" w:hAnsiTheme="minorEastAsia"/>
          <w:color w:val="auto"/>
        </w:rPr>
        <w:t>、</w:t>
      </w:r>
      <w:r>
        <w:rPr>
          <w:rFonts w:ascii="Times New Roman" w:hAnsi="Times New Roman" w:eastAsia="宋体" w:cs="Times New Roman"/>
          <w:color w:val="auto"/>
        </w:rPr>
        <w:t>“</w:t>
      </w:r>
      <w:r>
        <w:rPr>
          <w:rFonts w:ascii="Times New Roman" w:eastAsia="宋体" w:cs="Times New Roman" w:hAnsiTheme="minorEastAsia"/>
          <w:color w:val="auto"/>
        </w:rPr>
        <w:t>天津市政府采购中心网</w:t>
      </w:r>
      <w:r>
        <w:rPr>
          <w:rFonts w:ascii="Times New Roman" w:hAnsi="Times New Roman" w:eastAsia="宋体" w:cs="Times New Roman"/>
          <w:color w:val="auto"/>
        </w:rPr>
        <w:t>”</w:t>
      </w:r>
      <w:r>
        <w:rPr>
          <w:rFonts w:ascii="Times New Roman" w:eastAsia="宋体" w:cs="Times New Roman" w:hAnsiTheme="minorEastAsia"/>
          <w:color w:val="auto"/>
        </w:rPr>
        <w:t>以更正公告的形式发布外，不构成对招标文件的修改，不作为投标人编制投标文件的依据。</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C  </w:t>
      </w:r>
      <w:r>
        <w:rPr>
          <w:rFonts w:ascii="Times New Roman" w:eastAsia="宋体" w:cs="Times New Roman" w:hAnsiTheme="minorEastAsia"/>
          <w:color w:val="auto"/>
        </w:rPr>
        <w:t>投标文件的编制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 </w:t>
      </w:r>
      <w:r>
        <w:rPr>
          <w:rFonts w:ascii="Times New Roman" w:eastAsia="宋体" w:cs="Times New Roman" w:hAnsiTheme="minorEastAsia"/>
          <w:color w:val="auto"/>
        </w:rPr>
        <w:t>要求</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13.1 </w:t>
      </w:r>
      <w:r>
        <w:rPr>
          <w:rFonts w:ascii="Times New Roman" w:eastAsia="宋体" w:cs="Times New Roman" w:hAnsiTheme="minorEastAsia"/>
          <w:color w:val="auto"/>
        </w:rPr>
        <w:t>投标人应仔细阅读招标文件的所有内容，按招标文件要求编制投标文件，以使其投标对招标文件做出实质性响应。否则，其投标文件可能被拒绝，投标人须自行承担由此引起的风险和责任。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13.2 </w:t>
      </w:r>
      <w:r>
        <w:rPr>
          <w:rFonts w:ascii="Times New Roman" w:eastAsia="宋体" w:cs="Times New Roman" w:hAnsiTheme="minorEastAsia"/>
          <w:color w:val="auto"/>
        </w:rPr>
        <w:t>投标人应根据招标项目需求和投标文件格式编制投标文件，保证其真实有效，并承担相应的法律责任。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13.3 </w:t>
      </w:r>
      <w:r>
        <w:rPr>
          <w:rFonts w:ascii="Times New Roman" w:eastAsia="宋体" w:cs="Times New Roman" w:hAnsiTheme="minor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14. </w:t>
      </w:r>
      <w:r>
        <w:rPr>
          <w:rFonts w:ascii="Times New Roman" w:eastAsia="宋体" w:cs="Times New Roman" w:hAnsiTheme="minorEastAsia"/>
          <w:color w:val="auto"/>
        </w:rPr>
        <w:t>投标语言及计量单位</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14.1 </w:t>
      </w:r>
      <w:r>
        <w:rPr>
          <w:rFonts w:ascii="Times New Roman" w:eastAsia="宋体" w:cs="Times New Roman" w:hAnsiTheme="minor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14.2 </w:t>
      </w:r>
      <w:r>
        <w:rPr>
          <w:rFonts w:ascii="Times New Roman" w:eastAsia="宋体" w:cs="Times New Roman" w:hAnsiTheme="minorEastAsia"/>
          <w:color w:val="auto"/>
        </w:rPr>
        <w:t>除在招标文件中另有规定，投标文件所使用的计量单位均应使用中华人民共和国法定计量单位。</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15. </w:t>
      </w:r>
      <w:r>
        <w:rPr>
          <w:rFonts w:ascii="Times New Roman" w:eastAsia="宋体" w:cs="Times New Roman" w:hAnsiTheme="minorEastAsia"/>
          <w:color w:val="auto"/>
        </w:rPr>
        <w:t>投标文件格式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15.1 </w:t>
      </w:r>
      <w:r>
        <w:rPr>
          <w:rFonts w:ascii="Times New Roman" w:eastAsia="宋体" w:cs="Times New Roman" w:hAnsiTheme="minorEastAsia"/>
          <w:color w:val="auto"/>
        </w:rPr>
        <w:t>投标人应按招标文件中提供的投标文件格式完整填写。因不按要求编制而引起系统无法检索、读取相关信息时，其后果由投标人自行承担。</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15.2 </w:t>
      </w:r>
      <w:r>
        <w:rPr>
          <w:rFonts w:ascii="Times New Roman" w:eastAsia="宋体" w:cs="Times New Roman" w:hAnsiTheme="minorEastAsia"/>
          <w:color w:val="auto"/>
        </w:rPr>
        <w:t>投标人可对本招标文件</w:t>
      </w:r>
      <w:r>
        <w:rPr>
          <w:rFonts w:ascii="Times New Roman" w:hAnsi="Times New Roman" w:eastAsia="宋体" w:cs="Times New Roman"/>
          <w:color w:val="auto"/>
        </w:rPr>
        <w:t>“</w:t>
      </w:r>
      <w:r>
        <w:rPr>
          <w:rFonts w:ascii="Times New Roman" w:eastAsia="宋体" w:cs="Times New Roman" w:hAnsiTheme="minorEastAsia"/>
          <w:color w:val="auto"/>
        </w:rPr>
        <w:t>招标项目要求</w:t>
      </w:r>
      <w:r>
        <w:rPr>
          <w:rFonts w:ascii="Times New Roman" w:hAnsi="Times New Roman" w:eastAsia="宋体" w:cs="Times New Roman"/>
          <w:color w:val="auto"/>
        </w:rPr>
        <w:t>”</w:t>
      </w:r>
      <w:r>
        <w:rPr>
          <w:rFonts w:ascii="Times New Roman" w:eastAsia="宋体" w:cs="Times New Roman" w:hAnsiTheme="minorEastAsia"/>
          <w:color w:val="auto"/>
        </w:rPr>
        <w:t>所列的所有服务进行投标，也可只对其中一包或几包的服务投标；若无特殊说明，每一包的内容不得分项投标，采购人原则上按照整包确定中标供应商。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15.3 </w:t>
      </w:r>
      <w:r>
        <w:rPr>
          <w:rFonts w:hint="eastAsia" w:ascii="Times New Roman" w:eastAsia="宋体" w:cs="Times New Roman" w:hAnsiTheme="minor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eastAsia="宋体" w:cs="Times New Roman" w:hAnsiTheme="minorEastAsia"/>
          <w:color w:val="auto"/>
        </w:rPr>
        <w:t>如投标多个包的，要求按包分别独立制作投标文件。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eastAsia="宋体" w:cs="Times New Roman" w:hAnsiTheme="minorEastAsia"/>
          <w:color w:val="auto"/>
        </w:rPr>
        <w:t>投标文件（包括封面和目录）的每一页，从封面开始按阿拉伯数字</w:t>
      </w:r>
      <w:r>
        <w:rPr>
          <w:rFonts w:ascii="Times New Roman" w:hAnsi="Times New Roman" w:eastAsia="宋体" w:cs="Times New Roman"/>
          <w:color w:val="auto"/>
        </w:rPr>
        <w:t>1</w:t>
      </w: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顺序编制页码。</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16. </w:t>
      </w:r>
      <w:r>
        <w:rPr>
          <w:rFonts w:ascii="Times New Roman" w:eastAsia="宋体" w:cs="Times New Roman" w:hAnsiTheme="minorEastAsia"/>
          <w:color w:val="auto"/>
        </w:rPr>
        <w:t>投标报价</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16.1 </w:t>
      </w:r>
      <w:r>
        <w:rPr>
          <w:rFonts w:ascii="Times New Roman" w:eastAsia="宋体" w:cs="Times New Roman" w:hAnsiTheme="minorEastAsia"/>
          <w:color w:val="auto"/>
        </w:rPr>
        <w:t>投标书、开标一览表等各表中的报价，若无特殊说明应采用人民币填报。</w:t>
      </w:r>
    </w:p>
    <w:p>
      <w:pPr>
        <w:pStyle w:val="31"/>
        <w:ind w:firstLine="446"/>
        <w:rPr>
          <w:rFonts w:ascii="Times New Roman" w:hAnsi="Times New Roman" w:eastAsia="宋体"/>
        </w:rPr>
      </w:pPr>
      <w:r>
        <w:rPr>
          <w:rFonts w:ascii="Times New Roman" w:hAnsi="Times New Roman" w:eastAsia="宋体" w:cs="Times New Roman"/>
          <w:color w:val="auto"/>
        </w:rPr>
        <w:t>16.2</w:t>
      </w:r>
      <w:r>
        <w:rPr>
          <w:rFonts w:ascii="Times New Roman" w:eastAsia="宋体" w:hAnsiTheme="minorEastAsia"/>
        </w:rPr>
        <w:t>投标报价是为完成招标文件规定的一切工作所需的全部费用的最终优惠价格。</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16.3 </w:t>
      </w:r>
      <w:r>
        <w:rPr>
          <w:rFonts w:ascii="Times New Roman" w:eastAsia="宋体" w:cs="Times New Roman" w:hAnsiTheme="minorEastAsia"/>
          <w:color w:val="auto"/>
        </w:rPr>
        <w:t>除《招标项目需求》中说明并允许外，投标的每一个货物、服务的单项报价以及采购项目的投标总价均只允许有一个报价，任何有选择的报价，采购人、采购代理机构均将予以拒绝。</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17. </w:t>
      </w:r>
      <w:r>
        <w:rPr>
          <w:rFonts w:ascii="Times New Roman" w:eastAsia="宋体" w:cs="Times New Roman" w:hAnsiTheme="minorEastAsia"/>
          <w:color w:val="auto"/>
        </w:rPr>
        <w:t>投标人资格证明文件</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投标人必须提交证明其有资格进行投标和有能力履行合同的文件，作为投标文件的一部分。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）《投标邀请函》中规定的供应商资格要求（实质性要求）证明文件；</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）若国家及行业对投标项目有特殊资格要求的，还须提供特殊资格证明文件；</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）涉及本须知中</w:t>
      </w:r>
      <w:r>
        <w:rPr>
          <w:rFonts w:ascii="Times New Roman" w:hAnsi="Times New Roman" w:eastAsia="宋体" w:cs="Times New Roman"/>
          <w:color w:val="auto"/>
        </w:rPr>
        <w:t xml:space="preserve">“4. </w:t>
      </w:r>
      <w:r>
        <w:rPr>
          <w:rFonts w:ascii="Times New Roman" w:eastAsia="宋体" w:cs="Times New Roman" w:hAnsiTheme="minorEastAsia"/>
          <w:color w:val="auto"/>
        </w:rPr>
        <w:t>合格的投标人</w:t>
      </w:r>
      <w:r>
        <w:rPr>
          <w:rFonts w:ascii="Times New Roman" w:hAnsi="Times New Roman" w:eastAsia="宋体" w:cs="Times New Roman"/>
          <w:color w:val="auto"/>
        </w:rPr>
        <w:t>”</w:t>
      </w:r>
      <w:r>
        <w:rPr>
          <w:rFonts w:ascii="Times New Roman" w:eastAsia="宋体" w:cs="Times New Roman" w:hAnsiTheme="minorEastAsia"/>
          <w:color w:val="auto"/>
        </w:rPr>
        <w:t>相关要求的，按其要求执行。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18. </w:t>
      </w:r>
      <w:r>
        <w:rPr>
          <w:rFonts w:ascii="Times New Roman" w:eastAsia="宋体" w:cs="Times New Roman" w:hAnsiTheme="minorEastAsia"/>
          <w:color w:val="auto"/>
        </w:rPr>
        <w:t>技术响应文件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18.1 </w:t>
      </w:r>
      <w:r>
        <w:rPr>
          <w:rFonts w:ascii="Times New Roman" w:eastAsia="宋体" w:cs="Times New Roman" w:hAnsiTheme="minorEastAsia"/>
          <w:color w:val="auto"/>
        </w:rPr>
        <w:t>投标人须提交证明其拟提供的服务符合招标文件规定的技术响应文件，作为投标文件的一部分。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18.2 </w:t>
      </w:r>
      <w:r>
        <w:rPr>
          <w:rFonts w:ascii="Times New Roman" w:eastAsia="宋体" w:cs="Times New Roman" w:hAnsiTheme="minorEastAsia"/>
          <w:color w:val="auto"/>
        </w:rPr>
        <w:t>上述技术响应文件可以是文字资料、图纸或数据，</w:t>
      </w:r>
      <w:r>
        <w:rPr>
          <w:rFonts w:ascii="Times New Roman" w:eastAsia="宋体" w:cs="Times New Roman" w:hAnsiTheme="minorEastAsia"/>
          <w:color w:val="auto"/>
          <w:szCs w:val="21"/>
        </w:rPr>
        <w:t>其内容应包括但不限于人力、物力等资源的投入以及服务内容、方式、手段、措施、质量保证及建议等。</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19. </w:t>
      </w:r>
      <w:r>
        <w:rPr>
          <w:rFonts w:ascii="Times New Roman" w:eastAsia="宋体" w:cs="Times New Roman" w:hAnsiTheme="minorEastAsia"/>
          <w:color w:val="auto"/>
        </w:rPr>
        <w:t>投标保证金</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19.1 </w:t>
      </w:r>
      <w:r>
        <w:rPr>
          <w:rFonts w:ascii="Times New Roman" w:eastAsia="宋体" w:cs="Times New Roman" w:hAnsiTheme="minorEastAsia"/>
          <w:color w:val="auto"/>
        </w:rPr>
        <w:t>按照《招标项目要求》要求执行。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19.2 </w:t>
      </w:r>
      <w:r>
        <w:rPr>
          <w:rFonts w:ascii="Times New Roman" w:eastAsia="宋体" w:cs="Times New Roman" w:hAnsiTheme="minorEastAsia"/>
          <w:color w:val="auto"/>
        </w:rPr>
        <w:t>符合《政府采购货物和服务招标投标管理办法》和《政府采购法实施条例》相关规定。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20. </w:t>
      </w:r>
      <w:r>
        <w:rPr>
          <w:rFonts w:ascii="Times New Roman" w:eastAsia="宋体" w:cs="Times New Roman" w:hAnsiTheme="minorEastAsia"/>
          <w:color w:val="auto"/>
        </w:rPr>
        <w:t>投标有效期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20.1 </w:t>
      </w:r>
      <w:r>
        <w:rPr>
          <w:rFonts w:ascii="Times New Roman" w:eastAsia="宋体" w:cs="Times New Roman" w:hAnsiTheme="minorEastAsia"/>
          <w:color w:val="auto"/>
        </w:rPr>
        <w:t>投标有效期为</w:t>
      </w:r>
      <w:r>
        <w:rPr>
          <w:rFonts w:hint="eastAsia" w:ascii="Times New Roman" w:eastAsia="宋体" w:cs="Times New Roman" w:hAnsiTheme="minorEastAsia"/>
          <w:color w:val="auto"/>
        </w:rPr>
        <w:t>提交投标文件的截止之日</w:t>
      </w:r>
      <w:r>
        <w:rPr>
          <w:rFonts w:ascii="Times New Roman" w:eastAsia="宋体" w:cs="Times New Roman" w:hAnsiTheme="minorEastAsia"/>
          <w:color w:val="auto"/>
        </w:rPr>
        <w:t>起</w:t>
      </w:r>
      <w:r>
        <w:rPr>
          <w:rFonts w:ascii="Times New Roman" w:hAnsi="Times New Roman" w:eastAsia="宋体" w:cs="Times New Roman"/>
          <w:color w:val="auto"/>
        </w:rPr>
        <w:t>60</w:t>
      </w:r>
      <w:r>
        <w:rPr>
          <w:rFonts w:ascii="Times New Roman" w:eastAsia="宋体" w:cs="Times New Roman" w:hAnsiTheme="minorEastAsia"/>
          <w:color w:val="auto"/>
        </w:rPr>
        <w:t>天。投标书中规定的有效期短于招标文件规定的，其投标将被拒绝。</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20.2 </w:t>
      </w:r>
      <w:r>
        <w:rPr>
          <w:rFonts w:ascii="Times New Roman" w:eastAsia="宋体" w:cs="Times New Roman" w:hAnsiTheme="minor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w:t>
      </w:r>
      <w:r>
        <w:rPr>
          <w:rFonts w:ascii="Times New Roman" w:eastAsia="宋体" w:cs="Times New Roman" w:hAnsiTheme="minorEastAsia"/>
          <w:color w:val="auto"/>
        </w:rPr>
        <w:t>投标文件的签署及规定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21.1 </w:t>
      </w:r>
      <w:r>
        <w:rPr>
          <w:rFonts w:ascii="Times New Roman" w:eastAsia="宋体" w:cs="Times New Roman" w:hAnsiTheme="minor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21.2 </w:t>
      </w:r>
      <w:r>
        <w:rPr>
          <w:rFonts w:hint="eastAsia" w:ascii="Times New Roman" w:eastAsia="宋体" w:cs="Times New Roman" w:hAnsiTheme="minorEastAsia"/>
          <w:color w:val="auto"/>
        </w:rPr>
        <w:t>投标人按照《投标邀请函》的要求提交网上应答并</w:t>
      </w:r>
      <w:r>
        <w:rPr>
          <w:rFonts w:hint="eastAsia" w:ascii="Times New Roman" w:eastAsia="宋体" w:cs="Times New Roman" w:hAnsiTheme="minorEastAsia"/>
          <w:color w:val="auto"/>
          <w:szCs w:val="32"/>
        </w:rPr>
        <w:t>上传</w:t>
      </w:r>
      <w:r>
        <w:rPr>
          <w:rFonts w:hint="eastAsia" w:ascii="Times New Roman" w:eastAsia="宋体" w:cs="Times New Roman" w:hAnsiTheme="minorEastAsia"/>
          <w:color w:val="auto"/>
        </w:rPr>
        <w:t>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21.3 </w:t>
      </w:r>
      <w:r>
        <w:rPr>
          <w:rFonts w:ascii="Times New Roman" w:eastAsia="宋体" w:cs="Times New Roman" w:hAnsiTheme="minorEastAsia"/>
          <w:color w:val="auto"/>
        </w:rPr>
        <w:t>若有修改须于规定时间内重新提交电子投标文件。投标文件因模糊不清或表达不清所引起的后果由投标人自负。</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D  </w:t>
      </w:r>
      <w:r>
        <w:rPr>
          <w:rFonts w:ascii="Times New Roman" w:eastAsia="宋体" w:cs="Times New Roman" w:hAnsiTheme="minorEastAsia"/>
          <w:color w:val="auto"/>
        </w:rPr>
        <w:t>投标文件的网上应答和提交</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 </w:t>
      </w:r>
      <w:r>
        <w:rPr>
          <w:rFonts w:hint="eastAsia" w:ascii="Times New Roman" w:eastAsia="宋体" w:cs="Times New Roman" w:hAnsiTheme="minorEastAsia"/>
          <w:color w:val="auto"/>
        </w:rPr>
        <w:t>投标人须按《投标邀请函》规定提交网上应答并上传加盖投标人电子签章的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格式电子投标文件（以通过天津公共资源电子签章客户端正确读取签章信息为准）。具体方式：</w:t>
      </w:r>
      <w:r>
        <w:rPr>
          <w:rFonts w:ascii="Times New Roman" w:eastAsia="宋体" w:cs="Times New Roman" w:hAnsiTheme="minorEastAsia"/>
          <w:color w:val="auto"/>
        </w:rPr>
        <w:t>使用天津市中环认证服务有限公司发出的CA数字证书（原天津市电子认证中心发出尚在有效期内的CA数字证书仍可使用）登陆</w:t>
      </w:r>
      <w:r>
        <w:rPr>
          <w:rFonts w:hint="eastAsia" w:ascii="Times New Roman" w:eastAsia="宋体" w:cs="Times New Roman" w:hAnsiTheme="minorEastAsia"/>
          <w:color w:val="auto"/>
        </w:rPr>
        <w:t>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提交网上应答并上传加盖投标人电子签章的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格式电子投标文件（以通过天津公共资源电子签章客户端正确读取签章信息为准）。如有需要，投标人可于工作时间且在招标文件规定的截止时间前到天津市河东区红星路</w:t>
      </w:r>
      <w:r>
        <w:rPr>
          <w:rFonts w:hint="eastAsia" w:ascii="Times New Roman" w:hAnsi="Times New Roman" w:eastAsia="宋体" w:cs="Times New Roman"/>
          <w:color w:val="auto"/>
        </w:rPr>
        <w:t>79</w:t>
      </w:r>
      <w:r>
        <w:rPr>
          <w:rFonts w:hint="eastAsia" w:ascii="Times New Roman" w:eastAsia="宋体" w:cs="Times New Roman" w:hAnsiTheme="minorEastAsia"/>
          <w:color w:val="auto"/>
        </w:rPr>
        <w:t>号天津市政府采购中心窗口完成上述操作。</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23. </w:t>
      </w:r>
      <w:r>
        <w:rPr>
          <w:rFonts w:hint="eastAsia" w:ascii="Times New Roman" w:eastAsia="宋体" w:cs="Times New Roman" w:hAnsiTheme="minorEastAsia"/>
          <w:color w:val="auto"/>
        </w:rPr>
        <w:t>制作和上传电子投标文件要求</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23.1 </w:t>
      </w:r>
      <w:r>
        <w:rPr>
          <w:rFonts w:hint="eastAsia" w:ascii="Times New Roman" w:eastAsia="宋体" w:cs="Times New Roman" w:hAnsiTheme="minorEastAsia"/>
          <w:color w:val="auto"/>
        </w:rPr>
        <w:t>投标人须下载天津市政府采购中心网</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下载中心</w:t>
      </w:r>
      <w:r>
        <w:rPr>
          <w:rFonts w:hint="eastAsia" w:ascii="Times New Roman" w:hAnsi="Times New Roman" w:eastAsia="宋体" w:cs="Times New Roman"/>
          <w:color w:val="auto"/>
        </w:rPr>
        <w:t>-</w:t>
      </w:r>
      <w:r>
        <w:rPr>
          <w:rFonts w:hint="eastAsia" w:ascii="Times New Roman" w:eastAsia="宋体" w:cs="Times New Roman" w:hAnsiTheme="minorEastAsia"/>
          <w:color w:val="auto"/>
        </w:rPr>
        <w:t>《远程招投标电子签章客户端用户使用说明及安装程序》。</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23.2 </w:t>
      </w:r>
      <w:r>
        <w:rPr>
          <w:rFonts w:hint="eastAsia" w:ascii="Times New Roman" w:eastAsia="宋体" w:cs="Times New Roman" w:hAnsiTheme="minor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格式电子投标文件（以通过天津公共资源电子签章客户端正确读取签章信息为准），并于投标截止时间前上传至天津市政府采购中心招投标系统。</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特别提醒：</w:t>
      </w:r>
    </w:p>
    <w:p>
      <w:pPr>
        <w:pStyle w:val="31"/>
        <w:spacing w:line="360" w:lineRule="auto"/>
        <w:ind w:firstLine="448" w:firstLineChars="20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31"/>
        <w:spacing w:line="360" w:lineRule="auto"/>
        <w:ind w:firstLine="448" w:firstLineChars="20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23.3 </w:t>
      </w:r>
      <w:r>
        <w:rPr>
          <w:rFonts w:hint="eastAsia" w:ascii="Times New Roman" w:eastAsia="宋体" w:cs="Times New Roman" w:hAnsiTheme="minorEastAsia"/>
          <w:color w:val="auto"/>
        </w:rPr>
        <w:t>投标人须保证电子投标文件清晰，便于识别，如因上传、扫描、格式等原因导致评审时受到影响，由投标人自行承担相应责任。</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24. </w:t>
      </w:r>
      <w:r>
        <w:rPr>
          <w:rFonts w:ascii="Times New Roman" w:eastAsia="宋体" w:cs="Times New Roman" w:hAnsiTheme="minorEastAsia"/>
          <w:color w:val="auto"/>
        </w:rPr>
        <w:t>投标人须承诺接受电子投标的方式，并自行承担由此带来的废标、无效投标的风险。</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25. </w:t>
      </w:r>
      <w:r>
        <w:rPr>
          <w:rFonts w:hint="eastAsia" w:ascii="Times New Roman" w:eastAsia="宋体" w:cs="Times New Roman" w:hAnsiTheme="minorEastAsia"/>
          <w:color w:val="auto"/>
        </w:rPr>
        <w:t>未按招标文件的规定提交网上应答和上传加盖投标人电子签章的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格式电子投标文件（以通过天津公共资源电子签章客户端正确读取签章信息为准）的投标将被拒绝。</w:t>
      </w:r>
    </w:p>
    <w:p>
      <w:pPr>
        <w:pStyle w:val="31"/>
        <w:spacing w:line="360" w:lineRule="auto"/>
        <w:ind w:firstLine="448" w:firstLineChars="200"/>
        <w:jc w:val="both"/>
        <w:rPr>
          <w:rFonts w:ascii="Times New Roman" w:hAnsi="Times New Roman" w:eastAsia="宋体" w:cs="Times New Roman"/>
          <w:color w:val="auto"/>
        </w:rPr>
      </w:pP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E  </w:t>
      </w:r>
      <w:r>
        <w:rPr>
          <w:rFonts w:ascii="Times New Roman" w:eastAsia="宋体" w:cs="Times New Roman" w:hAnsiTheme="minorEastAsia"/>
          <w:color w:val="auto"/>
        </w:rPr>
        <w:t>开标和评标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 </w:t>
      </w:r>
      <w:r>
        <w:rPr>
          <w:rFonts w:hint="eastAsia" w:ascii="Times New Roman" w:eastAsia="宋体" w:cs="Times New Roman" w:hAnsiTheme="minorEastAsia"/>
          <w:color w:val="auto"/>
        </w:rPr>
        <w:t>开标解密和资格审查</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26.1 </w:t>
      </w:r>
      <w:r>
        <w:rPr>
          <w:rFonts w:hint="eastAsia" w:ascii="Times New Roman" w:eastAsia="宋体" w:cs="Times New Roman" w:hAnsiTheme="minorEastAsia"/>
          <w:color w:val="auto"/>
        </w:rPr>
        <w:t>投标人须于《投标邀请函》中规定的时间内使用天津市中环认证服务有限公司发出的CA数字证书（原天津市电子认证中心发出尚在有效期内的CA数字证书仍可使用）登陆天津市政府采购中心网（网址：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完成开标解密。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26.2 </w:t>
      </w:r>
      <w:r>
        <w:rPr>
          <w:rFonts w:ascii="Times New Roman" w:eastAsia="宋体" w:cs="Times New Roman" w:hAnsiTheme="minorEastAsia"/>
          <w:color w:val="auto"/>
        </w:rPr>
        <w:t>由于投标人原因，没有在规定时间内进行网上开标解密，视为无效投标。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26.3 </w:t>
      </w:r>
      <w:r>
        <w:rPr>
          <w:rFonts w:ascii="Times New Roman" w:eastAsia="宋体" w:cs="Times New Roman" w:hAnsiTheme="minorEastAsia"/>
          <w:color w:val="auto"/>
        </w:rPr>
        <w:t>开标解密后，对开标结果进行网上公示，投标人报价为空、为零的将被视为无效投标。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26.4 </w:t>
      </w:r>
      <w:r>
        <w:rPr>
          <w:rFonts w:ascii="Times New Roman" w:eastAsia="宋体" w:cs="Times New Roman" w:hAnsiTheme="minorEastAsia"/>
          <w:color w:val="auto"/>
        </w:rPr>
        <w:t>开标解密后，投标代表人应保持电话畅通并具备相应的网络环境，随时准备接受评委的网上询标。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26.5 </w:t>
      </w:r>
      <w:r>
        <w:rPr>
          <w:rFonts w:ascii="Times New Roman" w:eastAsia="宋体" w:cs="Times New Roman" w:hAnsiTheme="minorEastAsia"/>
          <w:color w:val="auto"/>
        </w:rPr>
        <w:t>投标人须于规定时间内通过天津市政府采购中心招投标系统</w:t>
      </w:r>
      <w:r>
        <w:rPr>
          <w:rFonts w:ascii="Times New Roman" w:hAnsi="Times New Roman" w:eastAsia="宋体" w:cs="Times New Roman"/>
          <w:color w:val="auto"/>
        </w:rPr>
        <w:t>“</w:t>
      </w:r>
      <w:r>
        <w:rPr>
          <w:rFonts w:ascii="Times New Roman" w:eastAsia="宋体" w:cs="Times New Roman" w:hAnsiTheme="minorEastAsia"/>
          <w:color w:val="auto"/>
        </w:rPr>
        <w:t>询标解答</w:t>
      </w:r>
      <w:r>
        <w:rPr>
          <w:rFonts w:ascii="Times New Roman" w:hAnsi="Times New Roman" w:eastAsia="宋体" w:cs="Times New Roman"/>
          <w:color w:val="auto"/>
        </w:rPr>
        <w:t>”</w:t>
      </w:r>
      <w:r>
        <w:rPr>
          <w:rFonts w:ascii="Times New Roman" w:eastAsia="宋体" w:cs="Times New Roman" w:hAnsiTheme="minorEastAsia"/>
          <w:color w:val="auto"/>
        </w:rPr>
        <w:t>对评委的网上询标予以解答。如投标代表人被要求到评审现场答疑时，须携带身份证等有效证件原件，以备查验。</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26.6 </w:t>
      </w:r>
      <w:r>
        <w:rPr>
          <w:rFonts w:hint="eastAsia" w:ascii="Times New Roman" w:eastAsia="宋体" w:cs="Times New Roman" w:hAnsiTheme="minorEastAsia"/>
          <w:color w:val="auto"/>
        </w:rPr>
        <w:t>投标截止时间后，投标人不足</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家的，不得开标。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26.7 </w:t>
      </w:r>
      <w:r>
        <w:rPr>
          <w:rFonts w:hint="eastAsia" w:ascii="Times New Roman" w:eastAsia="宋体" w:cs="Times New Roman" w:hAnsiTheme="minorEastAsia"/>
          <w:color w:val="auto"/>
        </w:rPr>
        <w:t>开标解密后，采购人或采购代理机构应当依法对投标人的资格进行审查。资格审查合格的投标人不足</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家的，不得评标。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ascii="Times New Roman" w:eastAsia="宋体" w:cs="Times New Roman" w:hAnsiTheme="minorEastAsia"/>
          <w:color w:val="auto"/>
        </w:rPr>
        <w:t>评标委员会</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27.1 </w:t>
      </w:r>
      <w:r>
        <w:rPr>
          <w:rFonts w:hint="eastAsia" w:ascii="Times New Roman" w:eastAsia="宋体" w:cs="Times New Roman" w:hAnsiTheme="minorEastAsia"/>
          <w:color w:val="auto"/>
        </w:rPr>
        <w:t>评标委员会成员由采购人代表和评审专家组成，成员人数应当为</w:t>
      </w:r>
      <w:r>
        <w:rPr>
          <w:rFonts w:hint="eastAsia" w:ascii="Times New Roman" w:hAnsi="Times New Roman" w:eastAsia="宋体" w:cs="Times New Roman"/>
          <w:color w:val="auto"/>
        </w:rPr>
        <w:t>5</w:t>
      </w:r>
      <w:r>
        <w:rPr>
          <w:rFonts w:hint="eastAsia" w:ascii="Times New Roman" w:eastAsia="宋体" w:cs="Times New Roman" w:hAnsiTheme="minorEastAsia"/>
          <w:color w:val="auto"/>
        </w:rPr>
        <w:t>人以上单数，其中评审专家不得少于成员总数的三分之二。</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27.2 </w:t>
      </w:r>
      <w:r>
        <w:rPr>
          <w:rFonts w:hint="eastAsia" w:ascii="Times New Roman" w:eastAsia="宋体" w:cs="Times New Roman" w:hAnsiTheme="minorEastAsia"/>
          <w:color w:val="auto"/>
        </w:rPr>
        <w:t>评标委员会负责审查投标文件是否符合招标文件的要求，并进行审查、询标、评估和比较。评标委员会认为必要时，可向投标人进行询标。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27.3 </w:t>
      </w:r>
      <w:r>
        <w:rPr>
          <w:rFonts w:hint="eastAsia" w:ascii="Times New Roman" w:eastAsia="宋体" w:cs="Times New Roman" w:hAnsiTheme="minor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27.4 </w:t>
      </w:r>
      <w:r>
        <w:rPr>
          <w:rFonts w:hint="eastAsia" w:ascii="Times New Roman" w:eastAsia="宋体" w:cs="Times New Roman" w:hAnsiTheme="minorEastAsia"/>
          <w:color w:val="auto"/>
        </w:rPr>
        <w:t>评标委员会负责完成全部评标工作，向采购人提出经评标委员会签字的书面评标报告。</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28. </w:t>
      </w:r>
      <w:r>
        <w:rPr>
          <w:rFonts w:ascii="Times New Roman" w:eastAsia="宋体" w:cs="Times New Roman" w:hAnsiTheme="minorEastAsia"/>
          <w:color w:val="auto"/>
        </w:rPr>
        <w:t>对投标文件的审查和响应性的确定</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28.1 </w:t>
      </w:r>
      <w:r>
        <w:rPr>
          <w:rFonts w:hint="eastAsia" w:ascii="Times New Roman" w:eastAsia="宋体" w:cs="Times New Roman" w:hAnsiTheme="minor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28.2 </w:t>
      </w:r>
      <w:r>
        <w:rPr>
          <w:rFonts w:hint="eastAsia" w:ascii="Times New Roman" w:eastAsia="宋体" w:cs="Times New Roman" w:hAnsiTheme="minorEastAsia"/>
          <w:color w:val="auto"/>
        </w:rPr>
        <w:t>投标截止时间后，除评标委员会要求提供外，不接受投标人及与投标人有关的任何一方递交的材料。</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eastAsia="宋体" w:cs="Times New Roman" w:hAnsiTheme="minorEastAsia"/>
          <w:color w:val="auto"/>
        </w:rPr>
        <w:t>实质上没有响应招标文件要求的投标文件，将被拒绝。投标人不得通过修改或撤回不符合要求的重大偏离而使其投标成为响应性的投标。如出现下列情况之一的，其投标将被拒绝或中标无效：</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）投标文件未按招标文件的要求加盖电子签章的；</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2</w:t>
      </w:r>
      <w:r>
        <w:rPr>
          <w:rFonts w:ascii="Times New Roman" w:eastAsia="宋体" w:cs="Times New Roman" w:hAnsiTheme="minorEastAsia"/>
          <w:color w:val="auto"/>
        </w:rPr>
        <w:t>）投标有效期短于招标文件要求的；</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3</w:t>
      </w:r>
      <w:r>
        <w:rPr>
          <w:rFonts w:ascii="Times New Roman" w:eastAsia="宋体" w:cs="Times New Roman" w:hAnsiTheme="minorEastAsia"/>
          <w:color w:val="auto"/>
        </w:rPr>
        <w:t>）投标文件中提供虚假或失实资料的；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（4）不能满足招标文件中任何一条实质性要求或加注“★”号条款出现负偏离或经评标委员会认定未实质性响应招标文件要求的或投标内容不符合相关强制性规定的；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（5）未按时进行网上解密或电子投标文件损坏、无效的；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（6）投标报价超出采购预算或最高限价；</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（7）存在串通情形的；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（8）单位负责人或法定代表人为同一人，或者存在控股、管理关系的不同供应商，参加同一包或者未划分包的同一项目投标的，相关投标均无效；</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（9）其他法定投标无效的情形。</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28.4 </w:t>
      </w:r>
      <w:r>
        <w:rPr>
          <w:rFonts w:hint="eastAsia" w:ascii="Times New Roman" w:eastAsia="宋体" w:cs="Times New Roman" w:hAnsiTheme="minorEastAsia"/>
          <w:color w:val="auto"/>
        </w:rPr>
        <w:t>评标委员会对确定为实质上响应的投标进行审核，</w:t>
      </w:r>
      <w:r>
        <w:rPr>
          <w:rFonts w:ascii="Times New Roman" w:eastAsia="宋体" w:cs="Times New Roman" w:hAnsiTheme="minorEastAsia"/>
          <w:color w:val="auto"/>
        </w:rPr>
        <w:t>投标文件报价出现前后不一致的</w:t>
      </w:r>
      <w:r>
        <w:rPr>
          <w:rFonts w:hint="eastAsia" w:ascii="Times New Roman" w:eastAsia="宋体" w:cs="Times New Roman" w:hAnsiTheme="minorEastAsia"/>
          <w:color w:val="auto"/>
        </w:rPr>
        <w:t>，修改错误的原则如下：</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1</w:t>
      </w:r>
      <w:r>
        <w:rPr>
          <w:rFonts w:hint="eastAsia" w:ascii="Times New Roman" w:eastAsia="宋体" w:cs="Times New Roman" w:hAnsiTheme="minorEastAsia"/>
          <w:color w:val="auto"/>
        </w:rPr>
        <w:t>）投标文件中开标一览表（报价表）内容与投标文件中相应内容不一致的，以开标一览表（报价表）为准；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2</w:t>
      </w:r>
      <w:r>
        <w:rPr>
          <w:rFonts w:hint="eastAsia" w:ascii="Times New Roman" w:eastAsia="宋体" w:cs="Times New Roman" w:hAnsiTheme="minorEastAsia"/>
          <w:color w:val="auto"/>
        </w:rPr>
        <w:t>）大写金额和小写金额不一致的，以大写金额为准；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）单价金额小数点或者百分比有明显错位的，以开标一览表的总价为准，并修改单价；</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4</w:t>
      </w:r>
      <w:r>
        <w:rPr>
          <w:rFonts w:hint="eastAsia" w:ascii="Times New Roman" w:eastAsia="宋体" w:cs="Times New Roman" w:hAnsiTheme="minorEastAsia"/>
          <w:color w:val="auto"/>
        </w:rPr>
        <w:t>）总价金额与按单价汇总金额不一致的，以单价金额计算结果为准。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5</w:t>
      </w:r>
      <w:r>
        <w:rPr>
          <w:rFonts w:hint="eastAsia" w:ascii="Times New Roman" w:eastAsia="宋体" w:cs="Times New Roman" w:hAnsiTheme="minorEastAsia"/>
          <w:color w:val="auto"/>
        </w:rPr>
        <w:t>）同时出现两种以上不一致的，按照前款规定的顺序修正。修正后的报价经投标人确认后产生约束力，投标人不确认的，其投标无效。</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 xml:space="preserve">5 </w:t>
      </w:r>
      <w:r>
        <w:rPr>
          <w:rFonts w:ascii="Times New Roman" w:eastAsia="宋体" w:cs="Times New Roman" w:hAnsiTheme="minorEastAsia"/>
          <w:color w:val="auto"/>
        </w:rPr>
        <w:t>评标委员会将要求投标人按上述修改错误的方法调整投标报价，投标人同意后，调整后的报价对投标人起约束作用。如果投标人不接受修改后的报价，其投标将被拒绝。</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 </w:t>
      </w:r>
      <w:r>
        <w:rPr>
          <w:rFonts w:ascii="Times New Roman" w:eastAsia="宋体" w:cs="Times New Roman" w:hAnsiTheme="minorEastAsia"/>
          <w:color w:val="auto"/>
        </w:rPr>
        <w:t>投标文件的澄清</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29.1 </w:t>
      </w:r>
      <w:r>
        <w:rPr>
          <w:rFonts w:ascii="Times New Roman" w:eastAsia="宋体" w:cs="Times New Roman" w:hAnsiTheme="minor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29.2 </w:t>
      </w:r>
      <w:r>
        <w:rPr>
          <w:rFonts w:ascii="Times New Roman" w:eastAsia="宋体" w:cs="Times New Roman" w:hAnsiTheme="minorEastAsia"/>
          <w:color w:val="auto"/>
        </w:rPr>
        <w:t>投标人澄清、说明、答复或者补充的内容须为</w:t>
      </w:r>
      <w:r>
        <w:rPr>
          <w:rFonts w:ascii="Times New Roman" w:hAnsi="Times New Roman" w:eastAsia="宋体" w:cs="Times New Roman"/>
          <w:color w:val="auto"/>
        </w:rPr>
        <w:t>PDF</w:t>
      </w:r>
      <w:r>
        <w:rPr>
          <w:rFonts w:ascii="Times New Roman" w:eastAsia="宋体" w:cs="Times New Roman" w:hAnsiTheme="minorEastAsia"/>
          <w:color w:val="auto"/>
        </w:rPr>
        <w:t>格式并加盖电子签章后上传至天津市政府采购中心招投标系统。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29.3 </w:t>
      </w:r>
      <w:r>
        <w:rPr>
          <w:rFonts w:ascii="Times New Roman" w:eastAsia="宋体" w:cs="Times New Roman" w:hAnsiTheme="minorEastAsia"/>
          <w:color w:val="auto"/>
        </w:rPr>
        <w:t>投标人的澄清、说明、答复或者补充应在规定的时间内完成，并不得超出投标文件的范围或对投标内容进行实质性的修改。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29.4 </w:t>
      </w:r>
      <w:r>
        <w:rPr>
          <w:rFonts w:ascii="Times New Roman" w:eastAsia="宋体" w:cs="Times New Roman" w:hAnsiTheme="minorEastAsia"/>
          <w:color w:val="auto"/>
        </w:rPr>
        <w:t>澄清文件将作为投标文件的一部分，与投标文件具有同等的法律效力。</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30. </w:t>
      </w:r>
      <w:r>
        <w:rPr>
          <w:rFonts w:ascii="Times New Roman" w:eastAsia="宋体" w:cs="Times New Roman" w:hAnsiTheme="minorEastAsia"/>
          <w:color w:val="auto"/>
        </w:rPr>
        <w:t>投标的评估和比较</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评标委员会将根据招标文件确定的评标原则和评标方法对确定为实质上响应招标文件要求的投标进行评估和比较。</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 </w:t>
      </w:r>
      <w:r>
        <w:rPr>
          <w:rFonts w:ascii="Times New Roman" w:eastAsia="宋体" w:cs="Times New Roman" w:hAnsiTheme="minorEastAsia"/>
          <w:color w:val="auto"/>
        </w:rPr>
        <w:t>评标原则和评标方法</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31.1 </w:t>
      </w:r>
      <w:r>
        <w:rPr>
          <w:rFonts w:ascii="Times New Roman" w:eastAsia="宋体" w:cs="Times New Roman" w:hAnsiTheme="minorEastAsia"/>
          <w:color w:val="auto"/>
        </w:rPr>
        <w:t>评标原则</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）评标委员会应当按照客观、公正、审慎的原则，根据招标文件规定的评审程序、评审方法和评审标准进行独立评审。</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2</w:t>
      </w:r>
      <w:r>
        <w:rPr>
          <w:rFonts w:hint="eastAsia" w:ascii="Times New Roman" w:eastAsia="宋体" w:cs="Times New Roman" w:hAnsiTheme="minorEastAsia"/>
          <w:color w:val="auto"/>
        </w:rPr>
        <w:t>）</w:t>
      </w:r>
      <w:r>
        <w:rPr>
          <w:rFonts w:ascii="Times New Roman" w:eastAsia="宋体" w:cs="Times New Roman" w:hAnsiTheme="minorEastAsia"/>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）对招标文件中描述有歧义或前后不一致的地方，</w:t>
      </w:r>
      <w:r>
        <w:rPr>
          <w:rFonts w:hint="eastAsia" w:ascii="Times New Roman" w:eastAsia="宋体" w:cs="Times New Roman" w:hAnsiTheme="minorEastAsia"/>
          <w:color w:val="auto"/>
        </w:rPr>
        <w:t>但不影响项目评审的，</w:t>
      </w:r>
      <w:r>
        <w:rPr>
          <w:rFonts w:ascii="Times New Roman" w:eastAsia="宋体" w:cs="Times New Roman" w:hAnsiTheme="minorEastAsia"/>
          <w:color w:val="auto"/>
        </w:rPr>
        <w:t>评标委员会有权进行评判，但对同一条款的评判应适用于每个投标人。</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4</w:t>
      </w:r>
      <w:r>
        <w:rPr>
          <w:rFonts w:hint="eastAsia" w:ascii="Times New Roman" w:eastAsia="宋体" w:cs="Times New Roman" w:hAnsiTheme="minor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31.2 </w:t>
      </w:r>
      <w:r>
        <w:rPr>
          <w:rFonts w:ascii="Times New Roman" w:eastAsia="宋体" w:cs="Times New Roman" w:hAnsiTheme="minorEastAsia"/>
          <w:color w:val="auto"/>
        </w:rPr>
        <w:t>评标方法</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）采用</w:t>
      </w:r>
      <w:r>
        <w:rPr>
          <w:rFonts w:ascii="Times New Roman" w:hAnsi="Times New Roman" w:eastAsia="宋体" w:cs="Times New Roman"/>
          <w:color w:val="auto"/>
        </w:rPr>
        <w:t>“</w:t>
      </w:r>
      <w:r>
        <w:rPr>
          <w:rFonts w:ascii="Times New Roman" w:eastAsia="宋体" w:cs="Times New Roman" w:hAnsiTheme="minorEastAsia"/>
          <w:color w:val="auto"/>
        </w:rPr>
        <w:t>综合评分法</w:t>
      </w:r>
      <w:r>
        <w:rPr>
          <w:rFonts w:ascii="Times New Roman" w:hAnsi="Times New Roman" w:eastAsia="宋体" w:cs="Times New Roman"/>
          <w:color w:val="auto"/>
        </w:rPr>
        <w:t>”</w:t>
      </w:r>
      <w:r>
        <w:rPr>
          <w:rFonts w:ascii="Times New Roman" w:eastAsia="宋体" w:cs="Times New Roman" w:hAnsiTheme="minorEastAsia"/>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）根据《中华人民共和国政府采购法实施条例》和《关于进一步规范政府采购评审工作有关问题的通知》（财库〔</w:t>
      </w:r>
      <w:r>
        <w:rPr>
          <w:rFonts w:ascii="Times New Roman" w:hAnsi="Times New Roman" w:eastAsia="宋体" w:cs="Times New Roman"/>
          <w:color w:val="auto"/>
        </w:rPr>
        <w:t>2012</w:t>
      </w:r>
      <w:r>
        <w:rPr>
          <w:rFonts w:ascii="Times New Roman" w:eastAsia="宋体" w:cs="Times New Roman" w:hAnsiTheme="minorEastAsia"/>
          <w:color w:val="auto"/>
        </w:rPr>
        <w:t>〕</w:t>
      </w:r>
      <w:r>
        <w:rPr>
          <w:rFonts w:ascii="Times New Roman" w:hAnsi="Times New Roman" w:eastAsia="宋体" w:cs="Times New Roman"/>
          <w:color w:val="auto"/>
        </w:rPr>
        <w:t>69</w:t>
      </w:r>
      <w:r>
        <w:rPr>
          <w:rFonts w:ascii="Times New Roman" w:eastAsia="宋体" w:cs="Times New Roman" w:hAnsiTheme="minor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ascii="Times New Roman" w:hAnsi="Times New Roman" w:eastAsia="宋体" w:cs="Times New Roman"/>
          <w:color w:val="auto"/>
        </w:rPr>
        <w:t>4</w:t>
      </w:r>
      <w:r>
        <w:rPr>
          <w:rFonts w:ascii="Times New Roman" w:eastAsia="宋体" w:cs="Times New Roman" w:hAnsiTheme="minor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hint="eastAsia" w:ascii="Times New Roman" w:eastAsia="宋体" w:cs="Times New Roman" w:hAnsiTheme="minorEastAsia"/>
          <w:color w:val="auto"/>
        </w:rPr>
        <w:t>采购人或评标委员会经采购人授权后按中标候选供应商顺序确定中标供应商。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5</w:t>
      </w:r>
      <w:r>
        <w:rPr>
          <w:rFonts w:ascii="Times New Roman" w:eastAsia="宋体" w:cs="Times New Roman" w:hAnsiTheme="minorEastAsia"/>
          <w:color w:val="auto"/>
        </w:rPr>
        <w:t>）根据《政府采购货物和服务招标投标管理办法》（</w:t>
      </w:r>
      <w:r>
        <w:rPr>
          <w:rFonts w:hint="eastAsia" w:ascii="Times New Roman" w:eastAsia="宋体" w:cs="Times New Roman" w:hAnsiTheme="minorEastAsia"/>
          <w:color w:val="auto"/>
        </w:rPr>
        <w:t>财政部</w:t>
      </w:r>
      <w:r>
        <w:rPr>
          <w:rFonts w:ascii="Times New Roman" w:eastAsia="宋体" w:cs="Times New Roman" w:hAnsiTheme="minorEastAsia"/>
          <w:color w:val="auto"/>
        </w:rPr>
        <w:t>令第</w:t>
      </w:r>
      <w:r>
        <w:rPr>
          <w:rFonts w:hint="eastAsia" w:ascii="Times New Roman" w:hAnsi="Times New Roman" w:eastAsia="宋体" w:cs="Times New Roman"/>
          <w:color w:val="auto"/>
        </w:rPr>
        <w:t>87</w:t>
      </w:r>
      <w:r>
        <w:rPr>
          <w:rFonts w:ascii="Times New Roman" w:eastAsia="宋体" w:cs="Times New Roman" w:hAnsiTheme="minorEastAsia"/>
          <w:color w:val="auto"/>
        </w:rPr>
        <w:t>号）第</w:t>
      </w:r>
      <w:r>
        <w:rPr>
          <w:rFonts w:ascii="Times New Roman" w:hAnsi="Times New Roman" w:eastAsia="宋体" w:cs="Times New Roman"/>
          <w:color w:val="auto"/>
        </w:rPr>
        <w:t>43</w:t>
      </w:r>
      <w:r>
        <w:rPr>
          <w:rFonts w:ascii="Times New Roman" w:eastAsia="宋体" w:cs="Times New Roman" w:hAnsiTheme="minorEastAsia"/>
          <w:color w:val="auto"/>
        </w:rPr>
        <w:t>条规定，如评审现场经财政部门批准本项目转为其他采购方式的，按相应采购方式程序执行。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 </w:t>
      </w:r>
      <w:r>
        <w:rPr>
          <w:rFonts w:ascii="Times New Roman" w:eastAsia="宋体" w:cs="Times New Roman" w:hAnsiTheme="minorEastAsia"/>
          <w:color w:val="auto"/>
        </w:rPr>
        <w:t>其他注意事项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32.1 </w:t>
      </w:r>
      <w:r>
        <w:rPr>
          <w:rFonts w:ascii="Times New Roman" w:eastAsia="宋体" w:cs="Times New Roman" w:hAnsiTheme="minorEastAsia"/>
          <w:color w:val="auto"/>
        </w:rPr>
        <w:t>在开标、投标期间，投标人不得向评标委员会成员或采购代理机构询问评标情况、施加任何影响，不得进行旨在影响评标结果的活动。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32.2 </w:t>
      </w:r>
      <w:r>
        <w:rPr>
          <w:rFonts w:ascii="Times New Roman" w:eastAsia="宋体" w:cs="Times New Roman" w:hAnsiTheme="minor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32. 3 </w:t>
      </w:r>
      <w:r>
        <w:rPr>
          <w:rFonts w:ascii="Times New Roman" w:eastAsia="宋体" w:cs="Times New Roman" w:hAnsiTheme="minorEastAsia"/>
          <w:color w:val="auto"/>
        </w:rPr>
        <w:t>本项目不接受赠品、回扣或者与采购无关的其他商品、服务。</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F  </w:t>
      </w:r>
      <w:r>
        <w:rPr>
          <w:rFonts w:ascii="Times New Roman" w:eastAsia="宋体" w:cs="Times New Roman" w:hAnsiTheme="minorEastAsia"/>
          <w:color w:val="auto"/>
        </w:rPr>
        <w:t>授予合同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 </w:t>
      </w:r>
      <w:r>
        <w:rPr>
          <w:rFonts w:ascii="Times New Roman" w:eastAsia="宋体" w:cs="Times New Roman" w:hAnsiTheme="minorEastAsia"/>
          <w:color w:val="auto"/>
        </w:rPr>
        <w:t>中标供应商的产生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33.1 </w:t>
      </w:r>
      <w:r>
        <w:rPr>
          <w:rFonts w:ascii="Times New Roman" w:eastAsia="宋体" w:cs="Times New Roman" w:hAnsiTheme="minorEastAsia"/>
          <w:color w:val="auto"/>
        </w:rPr>
        <w:t>采购人可以事先授权评标委员会直接确定中标供应商。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33.2 </w:t>
      </w:r>
      <w:r>
        <w:rPr>
          <w:rFonts w:ascii="Times New Roman" w:eastAsia="宋体" w:cs="Times New Roman" w:hAnsiTheme="minorEastAsia"/>
          <w:color w:val="auto"/>
        </w:rPr>
        <w:t>采购人也可以按照《政府采购法》及其实施条例等法律法规的规定和招标文件的要求确认中标供应商。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34. </w:t>
      </w:r>
      <w:r>
        <w:rPr>
          <w:rFonts w:hint="eastAsia" w:ascii="Times New Roman" w:eastAsia="宋体" w:cs="Times New Roman" w:hAnsiTheme="minorEastAsia"/>
          <w:color w:val="auto"/>
        </w:rPr>
        <w:t>中标通知</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34.1 </w:t>
      </w:r>
      <w:r>
        <w:rPr>
          <w:rFonts w:hint="eastAsia" w:ascii="Times New Roman" w:eastAsia="宋体" w:cs="Times New Roman" w:hAnsiTheme="minorEastAsia"/>
          <w:color w:val="auto"/>
        </w:rPr>
        <w:t>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，并从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查看项目文件</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中获取）。《中标通知书》一经发出即发生法律效力。</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35. </w:t>
      </w:r>
      <w:r>
        <w:rPr>
          <w:rFonts w:hint="eastAsia" w:ascii="Times New Roman" w:eastAsia="宋体" w:cs="Times New Roman" w:hAnsiTheme="minorEastAsia"/>
          <w:color w:val="auto"/>
        </w:rPr>
        <w:t>投标人可使用天津市中环认证服务有限公司发出的CA数字证书（原天津市电子认证中心发出尚在有效期内的CA数字证书仍可使用）登陆天津市政府采购中心网（网址：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，并从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查看项目文件</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中获取未通过资格审查的原因或从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查看排序和得分</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中获取未中标人本人的评审得分与排序。</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36. </w:t>
      </w:r>
      <w:r>
        <w:rPr>
          <w:rFonts w:hint="eastAsia" w:ascii="Times New Roman" w:eastAsia="宋体" w:cs="Times New Roman" w:hAnsiTheme="minorEastAsia"/>
          <w:color w:val="auto"/>
        </w:rPr>
        <w:t>签订合同</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36.1 </w:t>
      </w:r>
      <w:r>
        <w:rPr>
          <w:rFonts w:hint="eastAsia" w:ascii="Times New Roman" w:eastAsia="宋体" w:cs="Times New Roman" w:hAnsiTheme="minorEastAsia"/>
          <w:color w:val="auto"/>
        </w:rPr>
        <w:t>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，并从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合同</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36.2 </w:t>
      </w:r>
      <w:r>
        <w:rPr>
          <w:rFonts w:hint="eastAsia" w:ascii="Times New Roman" w:eastAsia="宋体" w:cs="Times New Roman" w:hAnsiTheme="minorEastAsia"/>
          <w:color w:val="auto"/>
        </w:rPr>
        <w:t>招标文件、中标供应商的投标文件及其澄清文件等，均为签订合同的依据，且为合同的组成部分。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37. </w:t>
      </w:r>
      <w:r>
        <w:rPr>
          <w:rFonts w:hint="eastAsia" w:ascii="Times New Roman" w:eastAsia="宋体" w:cs="Times New Roman" w:hAnsiTheme="minorEastAsia"/>
          <w:color w:val="auto"/>
        </w:rPr>
        <w:t>履约保证金</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37.1 </w:t>
      </w:r>
      <w:r>
        <w:rPr>
          <w:rFonts w:hint="eastAsia" w:ascii="Times New Roman" w:eastAsia="宋体" w:cs="Times New Roman" w:hAnsiTheme="minorEastAsia"/>
          <w:color w:val="auto"/>
        </w:rPr>
        <w:t>若《招标项目要求》规定须提交履约保证金的，合同签订前，中标供应商须按照规定要求提交履约保证金，履约保证金的有效期至货到并最终验收合格之日。</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37.2 </w:t>
      </w:r>
      <w:r>
        <w:rPr>
          <w:rFonts w:hint="eastAsia" w:ascii="Times New Roman" w:eastAsia="宋体" w:cs="Times New Roman" w:hAnsiTheme="minorEastAsia"/>
          <w:color w:val="auto"/>
        </w:rPr>
        <w:t>中标供应商未能按合同规定履行其义务，采购人有权没收其履约保证金。</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38. </w:t>
      </w:r>
      <w:r>
        <w:rPr>
          <w:rFonts w:hint="eastAsia" w:ascii="Times New Roman" w:eastAsia="宋体" w:cs="Times New Roman" w:hAnsiTheme="minorEastAsia"/>
          <w:color w:val="auto"/>
        </w:rPr>
        <w:t>中标供应商拒绝与采购人签订合同的，采购人可以按照评审报告推荐的中标候选人名单排序，确定下一候选人为中标供应商，也可以重新开展政府采购活动。</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39. </w:t>
      </w:r>
      <w:r>
        <w:rPr>
          <w:rFonts w:hint="eastAsia" w:ascii="Times New Roman" w:eastAsia="宋体" w:cs="Times New Roman" w:hAnsiTheme="minorEastAsia"/>
          <w:color w:val="auto"/>
        </w:rPr>
        <w:t>合同分包</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39.1 </w:t>
      </w:r>
      <w:r>
        <w:rPr>
          <w:rFonts w:hint="eastAsia" w:ascii="Times New Roman" w:eastAsia="宋体" w:cs="Times New Roman" w:hAnsiTheme="minorEastAsia"/>
          <w:color w:val="auto"/>
        </w:rPr>
        <w:t>未经采购人同意，中标供应商不得分包合同。</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hAnsi="Times New Roman" w:eastAsia="宋体" w:cs="Times New Roman"/>
          <w:color w:val="auto"/>
        </w:rPr>
        <w:t xml:space="preserve">39.2 </w:t>
      </w:r>
      <w:r>
        <w:rPr>
          <w:rFonts w:hint="eastAsia" w:ascii="Times New Roman" w:eastAsia="宋体" w:cs="Times New Roman" w:hAnsiTheme="minorEastAsia"/>
          <w:color w:val="auto"/>
        </w:rPr>
        <w:t>政府采购合同分包履行的，中标供应商就采购项目和分包项目向采购人负责，分包供应商就分包项目承担责任。</w:t>
      </w:r>
    </w:p>
    <w:p>
      <w:pPr>
        <w:pStyle w:val="31"/>
        <w:spacing w:line="360" w:lineRule="auto"/>
        <w:ind w:firstLine="448" w:firstLineChars="200"/>
        <w:jc w:val="center"/>
        <w:rPr>
          <w:rFonts w:ascii="Times New Roman" w:eastAsia="宋体" w:cs="Times New Roman" w:hAnsiTheme="minorEastAsia"/>
          <w:color w:val="auto"/>
        </w:rPr>
      </w:pPr>
      <w:r>
        <w:rPr>
          <w:rFonts w:hint="eastAsia" w:ascii="Times New Roman" w:eastAsia="宋体" w:cs="Times New Roman" w:hAnsiTheme="minorEastAsia"/>
          <w:color w:val="auto"/>
        </w:rPr>
        <w:t>G 政府采购“明白纸”</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40.1政府采购支持中小企业政策“明白纸”</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区财政局区发展改革委区住房建设委区交通运输局区水务局区政务服务办关于进一步贯彻落实政府采购支持中小企业政策的通知》（津滨财采[2022]8号）（以下简称通知）提出了哪些进一步支持中小企业的措施？</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一是阶段性提高政府采购工程面向中小企业预留份额。400万元以下的工程采购项目适宜由中小企业提供的应专门面向中小企业采购。超过400万元的工程采购项目中适宜由中小企业提供的，2022年下半年面向中小企业的预留份额由30%以上阶段性提高至40%以上。</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二是调整对小微企业的价格评审优惠幅度。货物服务采购项目给予小微企业的价格扣除优惠，由6%-10%提高至10-%20%。大中型企业与小微企业组成联合体或者大中型企业向小微企业分包的，评审优惠幅度由2%-3%提高至4%-6%。货物、服务采购项目适宜由中小企业提供的，以及大中型企业与小微企业组成联合体或者大中型企业向小微企业分包的，对小微企业给予价格扣除优惠时按照上述比例区间上限执行。</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2</w:t>
      </w:r>
      <w:r>
        <w:rPr>
          <w:rFonts w:ascii="Times New Roman" w:eastAsia="宋体" w:cs="Times New Roman" w:hAnsiTheme="minorEastAsia"/>
          <w:color w:val="auto"/>
        </w:rPr>
        <w:t>）《通知》是如何降低中小企业参与政府采购成本的？</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《通知》在保证金收取、资金支付、合同融资等方面对支持中小企业也作出了规定，多措并举降低中小企业参与政府采购成本。</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一是明确政府采购项目不得在法律法规允许的收费项目及收费幅度之外收取任何保证金及其他费用。依法收取的保证金，应当允许以支票、汇票、本票、保函等非现金形式缴纳或提交。二是鼓励采购人、代理机构向供应商免费提供采购文件，政府集中采购机构应当免费提供采购文件。三是要求采购人严格按照合同约定和有关规定及时支付采购资金。四是鼓励建立预付款制度并提高预付款比例。五是要求采购人按照规定及时完整准确公开政府采购合同，积极配合中小企业开展合同融资。</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3</w:t>
      </w:r>
      <w:r>
        <w:rPr>
          <w:rFonts w:ascii="Times New Roman" w:eastAsia="宋体" w:cs="Times New Roman" w:hAnsiTheme="minorEastAsia"/>
          <w:color w:val="auto"/>
        </w:rPr>
        <w:t>）怎样确保政策落实到位？</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一是强化政策宣传。政策印发后，新区财政局制定政府采购支持中小企业政策“明白纸”，细致解读政策内容，通过开展线上腾讯会议营商环境大讲堂对政策进行宣讲解读，提高中小企业政策知晓率。</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二是形成监督合力，新区财政、发展改革、住房城乡建设、交通运输、水务、政务服务等部门根据各自职责分工，积极调整完善执行工程招投标领域有关标准文本、评标制度等规定和做法，广泛开展政策宣贯，确保预留份额、评审优惠等政策措施在全口径政府采购工程项目中得到有效贯彻执行，提高中小企业合同规模。</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4</w:t>
      </w:r>
      <w:r>
        <w:rPr>
          <w:rFonts w:ascii="Times New Roman" w:eastAsia="宋体" w:cs="Times New Roman" w:hAnsiTheme="minorEastAsia"/>
          <w:color w:val="auto"/>
        </w:rPr>
        <w:t>）中小企业怎样知晓采购项目是否面向中小企业？</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《政府采购促进中小企业发展管理办法》明确采购项目涉及中小企业采购的，预留份额、价格扣除比例或价格加分比例等内容应当在采购文件中明确。因此，中小企业可在采购文件中获取相关信息。</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5</w:t>
      </w:r>
      <w:r>
        <w:rPr>
          <w:rFonts w:ascii="Times New Roman" w:eastAsia="宋体" w:cs="Times New Roman" w:hAnsiTheme="minorEastAsia"/>
          <w:color w:val="auto"/>
        </w:rPr>
        <w:t>）中小企业享受扶持政策应提供什么份证明材料？</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中小企业参与政府采购活动、享受扶持政策，只需要出具《中小企业声明函》作为中小企业身份证明文件，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6</w:t>
      </w:r>
      <w:r>
        <w:rPr>
          <w:rFonts w:ascii="Times New Roman" w:eastAsia="宋体" w:cs="Times New Roman" w:hAnsiTheme="minorEastAsia"/>
          <w:color w:val="auto"/>
        </w:rPr>
        <w:t>）企业不清楚自身是否为中小企业，怎么办？</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关于企业标准的判定，参与政府采购的企业可根据《中小企业划型标准规定》（工信部联企业〔2011〕300号）要求判定是否为中小企业。此外，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40.2 滨海新区财政局</w:t>
      </w:r>
      <w:r>
        <w:rPr>
          <w:rFonts w:hint="eastAsia" w:ascii="Times New Roman" w:hAnsi="Times New Roman" w:eastAsia="宋体" w:cs="Times New Roman"/>
          <w:color w:val="auto"/>
        </w:rPr>
        <w:t>“政采贷”</w:t>
      </w:r>
      <w:r>
        <w:rPr>
          <w:rFonts w:hint="eastAsia" w:ascii="Times New Roman" w:eastAsia="宋体" w:cs="Times New Roman" w:hAnsiTheme="minorEastAsia"/>
          <w:color w:val="auto"/>
        </w:rPr>
        <w:t>明白纸</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中小企业是建设现代化经济体系、实现经济高质量发展的重要基础，财政部、市财政局及新区财政局先后出台多项政府采购政策、办法扶持中小企业。为进一步支持中小企业参与政府采购活动，促进中小企业良性发展，新区财政局印发了《滨海新区财政局关于进一步优化政府采购营商环境的通知》，鼓励中小企业在签署政府采购合同前明确融资需求，在采购合同中细化收款账号等融资信息，切实缓解参与政府采购活动的中小企业资金周转压力。本“政采贷”明白纸遵循“市场主导、银企自愿、风险自担”原则，旨在向政府采购中有融资需求的潜在中标、成交供应商介绍“政采贷”业务。</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一、“政采贷”概念</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政采贷”即政府采购合同融资的简称，是金融机构以中小企业的诚信考量和信用审查为基础，基于其取得并提供的政府采购合同，按优惠贷款利率直接向中小企业发放贷款的一种融资方式。政采贷能有效减轻企业融资成本和负担，助力解决民营企业、中小企业“融资难、融资贵、资金不足”的困难。</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二、“政采贷”基本流程介绍</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“企业申请”-“银行接受申请”-“获取政采业务数据、订单信息、合同信息等”-“线下尽调、审核资质”-“银行风控评估”-“预授信”-“放款、提款”</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三、我市主要金融机构开通“政采贷”情况</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目前“政采贷”业务已经逐步在各大商业金融机构上线，未来我市主要金融机构“政采贷”业务将实现全覆盖，中标供应商可以根据自身情况自行选择。其中部分金融机构及咨询电话见下表(后续将持续更新)：</w:t>
      </w:r>
    </w:p>
    <w:tbl>
      <w:tblPr>
        <w:tblStyle w:val="19"/>
        <w:tblW w:w="8519" w:type="dxa"/>
        <w:tblInd w:w="93" w:type="dxa"/>
        <w:tblLayout w:type="fixed"/>
        <w:tblCellMar>
          <w:top w:w="0" w:type="dxa"/>
          <w:left w:w="108" w:type="dxa"/>
          <w:bottom w:w="0" w:type="dxa"/>
          <w:right w:w="108" w:type="dxa"/>
        </w:tblCellMar>
      </w:tblPr>
      <w:tblGrid>
        <w:gridCol w:w="492"/>
        <w:gridCol w:w="1001"/>
        <w:gridCol w:w="1292"/>
        <w:gridCol w:w="964"/>
        <w:gridCol w:w="3384"/>
        <w:gridCol w:w="1386"/>
      </w:tblGrid>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序号</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金融机构名称</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参考利率及额度</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现阶段面向范围</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申请条件</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咨询电话</w:t>
            </w:r>
          </w:p>
        </w:tc>
      </w:tr>
      <w:tr>
        <w:tblPrEx>
          <w:tblCellMar>
            <w:top w:w="0" w:type="dxa"/>
            <w:left w:w="108" w:type="dxa"/>
            <w:bottom w:w="0" w:type="dxa"/>
            <w:right w:w="108" w:type="dxa"/>
          </w:tblCellMar>
        </w:tblPrEx>
        <w:trPr>
          <w:trHeight w:val="312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1</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中国银行</w:t>
            </w:r>
          </w:p>
        </w:tc>
        <w:tc>
          <w:tcPr>
            <w:tcW w:w="1292" w:type="dxa"/>
            <w:tcBorders>
              <w:top w:val="single" w:color="000000" w:sz="4" w:space="0"/>
              <w:left w:val="single" w:color="000000" w:sz="4" w:space="0"/>
              <w:bottom w:val="single" w:color="000000" w:sz="4" w:space="0"/>
              <w:right w:val="single" w:color="000000" w:sz="4" w:space="0"/>
            </w:tcBorders>
            <w:vAlign w:val="bottom"/>
          </w:tcPr>
          <w:p>
            <w:pPr>
              <w:widowControl/>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textAlignment w:val="center"/>
              <w:rPr>
                <w:rFonts w:ascii="宋体" w:hAnsi="宋体" w:cs="宋体"/>
                <w:color w:val="000000"/>
                <w:kern w:val="0"/>
                <w:sz w:val="19"/>
                <w:szCs w:val="19"/>
              </w:rPr>
            </w:pPr>
            <w:r>
              <w:rPr>
                <w:rFonts w:hint="eastAsia" w:ascii="宋体" w:hAnsi="宋体" w:cs="宋体"/>
                <w:color w:val="000000"/>
                <w:kern w:val="0"/>
                <w:sz w:val="19"/>
                <w:szCs w:val="19"/>
              </w:rPr>
              <w:t>根据当期lpr进行综合核定，原则上不3.85%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textAlignment w:val="center"/>
              <w:rPr>
                <w:rFonts w:ascii="宋体" w:hAnsi="宋体" w:cs="宋体"/>
                <w:color w:val="000000"/>
                <w:sz w:val="19"/>
                <w:szCs w:val="19"/>
              </w:rPr>
            </w:pPr>
            <w:r>
              <w:rPr>
                <w:rFonts w:hint="eastAsia" w:ascii="宋体" w:hAnsi="宋体" w:cs="宋体"/>
                <w:color w:val="000000"/>
                <w:kern w:val="0"/>
                <w:sz w:val="19"/>
                <w:szCs w:val="19"/>
              </w:rPr>
              <w:t>小微企业不超过1000万元,大中型企业具体以政府采购金额为测算依据，无金额限制</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1、在政府采购中无不良履约记录；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2、企业及其实际控制人、法定代表人、受益所有人等关联人员不存在涉及洗钱、恐怖融资、金融诈骗、偷逃税、侵犯知识产权等违法犯罪行为或违反制裁规定的行为；</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3、政府采购的参与主体、内容、程序、实施和管理机制及相关合同应符合国务院、财政部、银保监会等相关部门对于政府债务、融资平台、政府采购、政府预算管理等相关法律法规要求。</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 xml:space="preserve">27106030 </w:t>
            </w:r>
          </w:p>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吴楠</w:t>
            </w:r>
          </w:p>
        </w:tc>
      </w:tr>
      <w:tr>
        <w:tblPrEx>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2</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邮储银行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约4.95%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不超过200万元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企业经营满一年以上，有一年以上政府中标历史记录，当前有生效政府中标订单，企业及法定代表人征信记录良好</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13820988723</w:t>
            </w:r>
            <w:r>
              <w:rPr>
                <w:rFonts w:hint="eastAsia" w:ascii="宋体" w:hAnsi="宋体" w:cs="宋体"/>
                <w:color w:val="000000"/>
                <w:kern w:val="0"/>
                <w:sz w:val="19"/>
                <w:szCs w:val="19"/>
              </w:rPr>
              <w:t>张日超</w:t>
            </w:r>
          </w:p>
        </w:tc>
      </w:tr>
      <w:tr>
        <w:tblPrEx>
          <w:tblCellMar>
            <w:top w:w="0" w:type="dxa"/>
            <w:left w:w="108" w:type="dxa"/>
            <w:bottom w:w="0" w:type="dxa"/>
            <w:right w:w="108" w:type="dxa"/>
          </w:tblCellMar>
        </w:tblPrEx>
        <w:trPr>
          <w:trHeight w:val="9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3</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光大银行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约4%</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不超过1000万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1.具有独立承担民事责任的能力，有固定经营场所，将我行账户作为政府采购合同唯一回款账户。</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2.企业成立1年以上，且实际控制人具有3年以上的实际行业经验，具有良好的纳税记录、工商登记记录；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3.企业具有履行合同所必须的设备和服务能力；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4.生产经营符合国家法律法规，产业政策和环境保护要求，符合我行信贷政策；</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5.人行征信信息查询系统查询显示借款人、实际控制人无重大不良记录，政府采购履约无不良记录。</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18722110192谢凝 </w:t>
            </w:r>
            <w:r>
              <w:rPr>
                <w:rFonts w:hint="eastAsia" w:ascii="宋体" w:hAnsi="宋体" w:cs="宋体"/>
                <w:color w:val="000000"/>
                <w:kern w:val="0"/>
                <w:sz w:val="19"/>
                <w:szCs w:val="19"/>
              </w:rPr>
              <w:t>18622858578</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马嵘</w:t>
            </w:r>
          </w:p>
        </w:tc>
      </w:tr>
      <w:tr>
        <w:tblPrEx>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4</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浦发银行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约3.8%</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融资额度：不超过500万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1、申请人不得有失信记录；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2、订单对应的政府采购部门在天津市，中标企业注册地在天津。</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13612152218</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刘扬</w:t>
            </w:r>
          </w:p>
        </w:tc>
      </w:tr>
      <w:tr>
        <w:tblPrEx>
          <w:tblCellMar>
            <w:top w:w="0" w:type="dxa"/>
            <w:left w:w="108" w:type="dxa"/>
            <w:bottom w:w="0" w:type="dxa"/>
            <w:right w:w="108" w:type="dxa"/>
          </w:tblCellMar>
        </w:tblPrEx>
        <w:trPr>
          <w:trHeight w:val="192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5</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齐鲁银行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4.50%起</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不超过1000万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1、获得政府采购订单，中标信息可在公开网站查询。如无法查询，可出示国家扶持政策内不公开中标信息文件。</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2、采购合同回款账户为齐鲁银行，并做质押登记。</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3、符合我行客户准入要求（同上一条）。</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022-23271885</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朱怡璇</w:t>
            </w:r>
          </w:p>
        </w:tc>
      </w:tr>
      <w:tr>
        <w:tblPrEx>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6</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天津银行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不低于3.85%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不超过1000万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1、连续从事政府采购活动一年以上，或主要股东从事政府采购活动两年以上，且交易及信用记录良好；</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2、持有政府采购中标通知书、签订政府采购合同等资料。</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28405397</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王小一</w:t>
            </w:r>
          </w:p>
        </w:tc>
      </w:tr>
      <w:tr>
        <w:tblPrEx>
          <w:tblCellMar>
            <w:top w:w="0" w:type="dxa"/>
            <w:left w:w="108" w:type="dxa"/>
            <w:bottom w:w="0" w:type="dxa"/>
            <w:right w:w="108" w:type="dxa"/>
          </w:tblCellMar>
        </w:tblPrEx>
        <w:trPr>
          <w:trHeight w:val="216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7</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天津农商银行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结合借款人经营规模、偿债能力、营运效率等因素合理确定</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不超过5000万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1、中标供应商财务状况良好，记录良好，有资质且具有1年(含)以上与天津市各类政府采购成功经验；</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2、生产经营符合国家政策；</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3、无违法、违约、不良信用记录，未发生过政府采购业务纠纷等；</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4、银行要求的其他条件。</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022-83872249</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林向宇</w:t>
            </w:r>
          </w:p>
        </w:tc>
      </w:tr>
      <w:tr>
        <w:tblPrEx>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8</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天津滨海农商银行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致电咨询</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融资额度：100-5000万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1、具有2年(含)以上连续经营记录；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2、有固定生产经营场所；本行要求的其他条件。</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 xml:space="preserve">13612141823高飞     </w:t>
            </w:r>
          </w:p>
        </w:tc>
      </w:tr>
      <w:tr>
        <w:tblPrEx>
          <w:tblCellMar>
            <w:top w:w="0" w:type="dxa"/>
            <w:left w:w="108" w:type="dxa"/>
            <w:bottom w:w="0" w:type="dxa"/>
            <w:right w:w="108" w:type="dxa"/>
          </w:tblCellMar>
        </w:tblPrEx>
        <w:trPr>
          <w:trHeight w:val="2651"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9</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民生银行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最低4%</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信用额度最高1000万</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信用+担保额度最高3000万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1、企业成立满一年，经营良好、征信良好；</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2、实控人25-65周岁，征信良好；</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3、近12个月有政府采购中标且正常履约、回款</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18102027371</w:t>
            </w:r>
          </w:p>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陈宗山 </w:t>
            </w:r>
          </w:p>
        </w:tc>
      </w:tr>
      <w:tr>
        <w:tblPrEx>
          <w:tblCellMar>
            <w:top w:w="0" w:type="dxa"/>
            <w:left w:w="108" w:type="dxa"/>
            <w:bottom w:w="0" w:type="dxa"/>
            <w:right w:w="108" w:type="dxa"/>
          </w:tblCellMar>
        </w:tblPrEx>
        <w:trPr>
          <w:trHeight w:val="2938"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10</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9"/>
                <w:szCs w:val="19"/>
              </w:rPr>
            </w:pPr>
            <w:r>
              <w:rPr>
                <w:rFonts w:hint="eastAsia" w:ascii="宋体" w:hAnsi="宋体" w:cs="宋体"/>
                <w:color w:val="000000"/>
                <w:kern w:val="0"/>
                <w:sz w:val="19"/>
                <w:szCs w:val="19"/>
              </w:rPr>
              <w:t>平安银行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约6.00%</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jc w:val="left"/>
              <w:rPr>
                <w:rFonts w:ascii="宋体" w:hAnsi="宋体" w:cs="宋体"/>
                <w:color w:val="000000"/>
                <w:sz w:val="19"/>
                <w:szCs w:val="19"/>
              </w:rPr>
            </w:pPr>
            <w:r>
              <w:rPr>
                <w:rFonts w:hint="eastAsia" w:ascii="宋体" w:hAnsi="宋体" w:cs="宋体"/>
                <w:color w:val="000000"/>
                <w:kern w:val="0"/>
                <w:sz w:val="19"/>
                <w:szCs w:val="19"/>
              </w:rPr>
              <w:t>最高200万元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2632" w:type="dxa"/>
                  <w:shd w:val="clear" w:color="auto" w:fill="FFFFFF"/>
                  <w:tcMar>
                    <w:top w:w="150" w:type="dxa"/>
                    <w:left w:w="0" w:type="dxa"/>
                    <w:bottom w:w="150" w:type="dxa"/>
                    <w:right w:w="0" w:type="dxa"/>
                  </w:tcMar>
                </w:tcPr>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申请人为企业法定代表人或第一大自然人股东，通过微信申请； </w:t>
                  </w:r>
                </w:p>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企业及申请人信用记录良好，无不良、违法行为； </w:t>
                  </w:r>
                </w:p>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企业为天津市政府部门、事业单位的供应商； </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4、企业有政府采购历史合作记录（近24个月2次，合计50万以上订单记录）且交易记录良好</w:t>
                  </w:r>
                </w:p>
              </w:tc>
            </w:tr>
          </w:tbl>
          <w:p>
            <w:pPr>
              <w:jc w:val="left"/>
              <w:rPr>
                <w:rFonts w:ascii="宋体" w:hAnsi="宋体" w:cs="宋体"/>
                <w:color w:val="00000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r>
              <w:rPr>
                <w:rFonts w:hint="eastAsia" w:ascii="宋体" w:hAnsi="宋体" w:cs="宋体"/>
                <w:color w:val="000000"/>
                <w:kern w:val="0"/>
                <w:sz w:val="19"/>
                <w:szCs w:val="19"/>
              </w:rPr>
              <w:t xml:space="preserve">18698167095张伟 </w:t>
            </w:r>
          </w:p>
        </w:tc>
      </w:tr>
      <w:tr>
        <w:tblPrEx>
          <w:tblCellMar>
            <w:top w:w="0" w:type="dxa"/>
            <w:left w:w="108" w:type="dxa"/>
            <w:bottom w:w="0" w:type="dxa"/>
            <w:right w:w="108" w:type="dxa"/>
          </w:tblCellMar>
        </w:tblPrEx>
        <w:trPr>
          <w:trHeight w:val="273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11</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渤海银行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年化约3.85%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jc w:val="left"/>
              <w:rPr>
                <w:rFonts w:ascii="宋体" w:hAnsi="宋体" w:cs="宋体"/>
                <w:color w:val="000000"/>
                <w:sz w:val="19"/>
                <w:szCs w:val="19"/>
              </w:rPr>
            </w:pPr>
            <w:r>
              <w:rPr>
                <w:rFonts w:hint="eastAsia" w:ascii="宋体" w:hAnsi="宋体" w:cs="宋体"/>
                <w:color w:val="000000"/>
                <w:kern w:val="0"/>
                <w:sz w:val="19"/>
                <w:szCs w:val="19"/>
              </w:rPr>
              <w:t>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2632" w:type="dxa"/>
                  <w:shd w:val="clear" w:color="auto" w:fill="FFFFFF"/>
                  <w:tcMar>
                    <w:top w:w="150" w:type="dxa"/>
                    <w:left w:w="0" w:type="dxa"/>
                    <w:bottom w:w="150" w:type="dxa"/>
                    <w:right w:w="0" w:type="dxa"/>
                  </w:tcMar>
                </w:tcPr>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有固定的经营场所，企业划型符合小微企业； </w:t>
                  </w:r>
                </w:p>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信用记录良好，无不良、违法行为； </w:t>
                  </w:r>
                </w:p>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持续经营2年以上或实际控制人从业3年以上； 具备政府采购投标资格且交易记录良好； </w:t>
                  </w:r>
                </w:p>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采购项目符合国家产业政策和资源环保政策要求；</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022-58879322</w:t>
            </w:r>
          </w:p>
          <w:p>
            <w:pPr>
              <w:ind w:firstLine="174" w:firstLineChars="100"/>
              <w:jc w:val="left"/>
              <w:rPr>
                <w:rFonts w:ascii="宋体" w:hAnsi="宋体" w:cs="宋体"/>
                <w:color w:val="000000"/>
                <w:kern w:val="0"/>
                <w:sz w:val="19"/>
                <w:szCs w:val="19"/>
              </w:rPr>
            </w:pPr>
            <w:r>
              <w:rPr>
                <w:rFonts w:hint="eastAsia" w:ascii="宋体" w:hAnsi="宋体" w:cs="宋体"/>
                <w:color w:val="000000"/>
                <w:kern w:val="0"/>
                <w:sz w:val="19"/>
                <w:szCs w:val="19"/>
              </w:rPr>
              <w:t xml:space="preserve">  姚斌 </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12</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中国建设银行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参考利率：4.00%-5.00%</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jc w:val="left"/>
              <w:rPr>
                <w:rFonts w:ascii="宋体" w:hAnsi="宋体" w:cs="宋体"/>
                <w:color w:val="000000"/>
                <w:kern w:val="0"/>
                <w:sz w:val="19"/>
                <w:szCs w:val="19"/>
              </w:rPr>
            </w:pPr>
            <w:r>
              <w:rPr>
                <w:rFonts w:hint="eastAsia" w:ascii="宋体" w:hAnsi="宋体" w:cs="宋体"/>
                <w:color w:val="000000"/>
                <w:kern w:val="0"/>
                <w:sz w:val="19"/>
                <w:szCs w:val="19"/>
              </w:rPr>
              <w:t>最高2000万元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2632" w:type="dxa"/>
                  <w:shd w:val="clear" w:color="auto" w:fill="FFFFFF"/>
                  <w:tcMar>
                    <w:top w:w="150" w:type="dxa"/>
                    <w:left w:w="0" w:type="dxa"/>
                    <w:bottom w:w="150" w:type="dxa"/>
                    <w:right w:w="0" w:type="dxa"/>
                  </w:tcMar>
                </w:tcPr>
                <w:p>
                  <w:pPr>
                    <w:widowControl/>
                    <w:numPr>
                      <w:ilvl w:val="0"/>
                      <w:numId w:val="5"/>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企业已获得政府采购中标通知，并与集中采购机构、采购代理机构或采购人签订采购合同，企业不得采用分包或转包方式履行政府采购合同。政府采购合同明确了《合同法》规定的基本要素并符合商业惯例和行业规范，政府采购履约期限和付款期限距贷款申请日均在1年（含）以内。 </w:t>
                  </w:r>
                </w:p>
                <w:p>
                  <w:pPr>
                    <w:widowControl/>
                    <w:numPr>
                      <w:ilvl w:val="0"/>
                      <w:numId w:val="5"/>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应收账款融资模式下，企业已按政府采购合同的约定履行了交货、工程施工或提供服务等主要义务并且无任何违约行为。 </w:t>
                  </w:r>
                </w:p>
                <w:p>
                  <w:pPr>
                    <w:widowControl/>
                    <w:numPr>
                      <w:ilvl w:val="0"/>
                      <w:numId w:val="5"/>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采购合同融资模式下，企业在政府采购活动中与政府成功合作2年（含）以上，且近2年政府采购供应量、工程量或服务量均不低于100万元（含）。 </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4、（四）企业向政府提供的货物、工程或服务质量稳定，与政府合作历史中未产生纠纷，与上、下游客户未发生重大债权、债务纠纷，近三年未被政府采购部门列入不良记录名单</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kern w:val="0"/>
                <w:sz w:val="19"/>
                <w:szCs w:val="19"/>
              </w:rPr>
            </w:pPr>
            <w:r>
              <w:rPr>
                <w:rFonts w:hint="eastAsia" w:ascii="宋体" w:hAnsi="宋体" w:cs="宋体"/>
                <w:color w:val="000000"/>
                <w:kern w:val="0"/>
                <w:sz w:val="19"/>
                <w:szCs w:val="19"/>
              </w:rPr>
              <w:t xml:space="preserve">58751595 </w:t>
            </w:r>
          </w:p>
          <w:p>
            <w:pPr>
              <w:jc w:val="center"/>
              <w:rPr>
                <w:rFonts w:ascii="宋体" w:hAnsi="宋体" w:cs="宋体"/>
                <w:color w:val="000000"/>
                <w:kern w:val="0"/>
                <w:sz w:val="19"/>
                <w:szCs w:val="19"/>
              </w:rPr>
            </w:pPr>
            <w:r>
              <w:rPr>
                <w:rFonts w:hint="eastAsia" w:ascii="宋体" w:hAnsi="宋体" w:cs="宋体"/>
                <w:color w:val="000000"/>
                <w:kern w:val="0"/>
                <w:sz w:val="19"/>
                <w:szCs w:val="19"/>
              </w:rPr>
              <w:t xml:space="preserve"> 赵望宇 </w:t>
            </w:r>
          </w:p>
          <w:p>
            <w:pPr>
              <w:jc w:val="center"/>
              <w:rPr>
                <w:rFonts w:ascii="宋体" w:hAnsi="宋体" w:cs="宋体"/>
                <w:color w:val="000000"/>
                <w:kern w:val="0"/>
                <w:sz w:val="19"/>
                <w:szCs w:val="19"/>
              </w:rPr>
            </w:pPr>
            <w:r>
              <w:rPr>
                <w:rFonts w:hint="eastAsia" w:ascii="宋体" w:hAnsi="宋体" w:cs="宋体"/>
                <w:color w:val="000000"/>
                <w:kern w:val="0"/>
                <w:sz w:val="19"/>
                <w:szCs w:val="19"/>
              </w:rPr>
              <w:t>58750209</w:t>
            </w:r>
          </w:p>
          <w:p>
            <w:pPr>
              <w:jc w:val="center"/>
              <w:rPr>
                <w:rFonts w:ascii="宋体" w:hAnsi="宋体" w:cs="宋体"/>
                <w:color w:val="000000"/>
                <w:kern w:val="0"/>
                <w:sz w:val="19"/>
                <w:szCs w:val="19"/>
              </w:rPr>
            </w:pPr>
            <w:r>
              <w:rPr>
                <w:rFonts w:hint="eastAsia" w:ascii="宋体" w:hAnsi="宋体" w:cs="宋体"/>
                <w:color w:val="000000"/>
                <w:kern w:val="0"/>
                <w:sz w:val="19"/>
                <w:szCs w:val="19"/>
              </w:rPr>
              <w:t xml:space="preserve">肖毅 </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13</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中国农业银行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约4%</w:t>
            </w:r>
          </w:p>
          <w:p>
            <w:pPr>
              <w:jc w:val="left"/>
              <w:rPr>
                <w:rFonts w:ascii="宋体" w:hAnsi="宋体" w:cs="宋体"/>
                <w:color w:val="000000"/>
                <w:kern w:val="0"/>
                <w:sz w:val="19"/>
                <w:szCs w:val="19"/>
              </w:rPr>
            </w:pP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3007" w:type="dxa"/>
                  <w:shd w:val="clear" w:color="auto" w:fill="FFFFFF"/>
                  <w:tcMar>
                    <w:top w:w="150" w:type="dxa"/>
                    <w:left w:w="0" w:type="dxa"/>
                    <w:bottom w:w="150" w:type="dxa"/>
                    <w:right w:w="0" w:type="dxa"/>
                  </w:tcMa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1、公司成立1年（含）以上，属于政采中标供应商,履约记录良好。 </w:t>
                  </w:r>
                </w:p>
                <w:p>
                  <w:pPr>
                    <w:widowControl/>
                    <w:numPr>
                      <w:ilvl w:val="0"/>
                      <w:numId w:val="6"/>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在我行开立账户，自愿接受农业银行信用监督和结算监管。 </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3、法定代表人年满18周岁且不超过65周岁，非港、澳、台及外籍人士。 注：具体开办的业务种类及办理程序、办理条件等以中国农业银行当地分行有关规定为准。</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13920727755</w:t>
            </w:r>
          </w:p>
          <w:p>
            <w:pPr>
              <w:jc w:val="center"/>
              <w:rPr>
                <w:rFonts w:ascii="宋体" w:hAnsi="宋体" w:cs="宋体"/>
                <w:color w:val="000000"/>
                <w:kern w:val="0"/>
                <w:sz w:val="19"/>
                <w:szCs w:val="19"/>
              </w:rPr>
            </w:pPr>
            <w:r>
              <w:rPr>
                <w:rFonts w:hint="eastAsia" w:ascii="宋体" w:hAnsi="宋体" w:cs="宋体"/>
                <w:color w:val="000000"/>
                <w:kern w:val="0"/>
                <w:sz w:val="19"/>
                <w:szCs w:val="19"/>
              </w:rPr>
              <w:t>李倩</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14</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招商银行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一般性贷款利率</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融资额度：最高3000万元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3007" w:type="dxa"/>
                  <w:shd w:val="clear" w:color="auto" w:fill="FFFFFF"/>
                  <w:tcMar>
                    <w:top w:w="150" w:type="dxa"/>
                    <w:left w:w="0" w:type="dxa"/>
                    <w:bottom w:w="150" w:type="dxa"/>
                    <w:right w:w="0" w:type="dxa"/>
                  </w:tcMar>
                </w:tcPr>
                <w:p>
                  <w:pPr>
                    <w:widowControl/>
                    <w:jc w:val="left"/>
                    <w:textAlignment w:val="top"/>
                    <w:rPr>
                      <w:rFonts w:ascii="����" w:hAnsi="����" w:eastAsia="����" w:cs="����"/>
                      <w:color w:val="333333"/>
                      <w:sz w:val="24"/>
                      <w:szCs w:val="24"/>
                    </w:rPr>
                  </w:pPr>
                  <w:r>
                    <w:rPr>
                      <w:rFonts w:hint="eastAsia" w:ascii="宋体" w:hAnsi="宋体" w:cs="宋体"/>
                      <w:color w:val="000000"/>
                      <w:kern w:val="0"/>
                      <w:sz w:val="19"/>
                      <w:szCs w:val="19"/>
                    </w:rPr>
                    <w:t>1、企业及实际控制人征信及各项社会记录较好。</w:t>
                  </w:r>
                </w:p>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2、企业成立两年以上或实际控制人本行业经营两年以上。</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3、财务报表未出现连续两年经营亏损。</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kern w:val="0"/>
                <w:sz w:val="19"/>
                <w:szCs w:val="19"/>
              </w:rPr>
            </w:pPr>
            <w:r>
              <w:rPr>
                <w:rFonts w:hint="eastAsia" w:ascii="宋体" w:hAnsi="宋体" w:cs="宋体"/>
                <w:color w:val="000000"/>
                <w:kern w:val="0"/>
                <w:sz w:val="19"/>
                <w:szCs w:val="19"/>
              </w:rPr>
              <w:t>28301244</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16</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广发银行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贷款利率最低Lpr</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rPr>
                <w:trHeight w:val="2992" w:hRule="atLeast"/>
              </w:trPr>
              <w:tc>
                <w:tcPr>
                  <w:tcW w:w="3168" w:type="dxa"/>
                  <w:shd w:val="clear" w:color="auto" w:fill="FFFFFF"/>
                  <w:tcMar>
                    <w:top w:w="150" w:type="dxa"/>
                    <w:left w:w="0" w:type="dxa"/>
                    <w:bottom w:w="150" w:type="dxa"/>
                    <w:right w:w="0" w:type="dxa"/>
                  </w:tcMa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1、供应商至少有一次政府采购订单履约记录；</w:t>
                  </w:r>
                </w:p>
                <w:p>
                  <w:pPr>
                    <w:widowControl/>
                    <w:numPr>
                      <w:ilvl w:val="0"/>
                      <w:numId w:val="6"/>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在我行内部信用评级不低于BB+；3、近三年至少有一期营业利润或净利润或上年度经营性现金流净额为正（任选其一即可）；</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4、资产负债率不超过85%；企业主含实际控制人/主要股东或其配偶拥有本地户口或房产或在本地有连续一年含以上的社保缴交记录（满足其一即可）</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13820640544</w:t>
            </w:r>
          </w:p>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胡小宁</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17</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浙商银行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3007" w:type="dxa"/>
                  <w:shd w:val="clear" w:color="auto" w:fill="FFFFFF"/>
                  <w:tcMar>
                    <w:top w:w="150" w:type="dxa"/>
                    <w:left w:w="0" w:type="dxa"/>
                    <w:bottom w:w="150" w:type="dxa"/>
                    <w:right w:w="0" w:type="dxa"/>
                  </w:tcMa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1、符合我行小企业授信客户界定标准的小型、微型企业；</w:t>
                  </w:r>
                </w:p>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2、须连续经营2年及以上或实际控制人有3年及以上相关行业从业经验，经营状况良好，信用记录良好；3、与采购人无关联关系，行业相关证照齐全；</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4、借款人须在本行开立单位结算账户或保证金账户，并将该账户指定为采购活动项下应收账款的唯一回款账户。</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23271307</w:t>
            </w:r>
          </w:p>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刘粲</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18</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中信银行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3.75%-3.95%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7"/>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借款企业持续经营1年（含）以上或在本行业持续经营2年（含）以上；</w:t>
            </w:r>
          </w:p>
          <w:p>
            <w:pPr>
              <w:widowControl/>
              <w:numPr>
                <w:ilvl w:val="0"/>
                <w:numId w:val="7"/>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借款企业实际控制人年龄在18周岁（含）至65周岁（含）之间；</w:t>
            </w:r>
          </w:p>
          <w:p>
            <w:pPr>
              <w:widowControl/>
              <w:numPr>
                <w:ilvl w:val="0"/>
                <w:numId w:val="7"/>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采购品类为货物类或服务类；</w:t>
            </w:r>
          </w:p>
          <w:p>
            <w:pPr>
              <w:widowControl/>
              <w:numPr>
                <w:ilvl w:val="0"/>
                <w:numId w:val="7"/>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借款企业政采合作月数不少于6个月；</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13767182800</w:t>
            </w:r>
          </w:p>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唐朝</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19</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后续持续更新</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p>
        </w:tc>
      </w:tr>
    </w:tbl>
    <w:p>
      <w:pPr>
        <w:pStyle w:val="31"/>
        <w:spacing w:line="360" w:lineRule="auto"/>
        <w:ind w:firstLine="448" w:firstLineChars="200"/>
        <w:jc w:val="both"/>
        <w:rPr>
          <w:rFonts w:ascii="Times New Roman" w:eastAsia="宋体" w:cs="Times New Roman" w:hAnsiTheme="minorEastAsia"/>
          <w:color w:val="auto"/>
        </w:rPr>
      </w:pP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以上内容均为当前政策内容，未来不排除各大金融机构针对政采贷业务的相关政策会有修改和变动，本“政采贷”明白纸仅供参考，详情请自行致电咨询。</w:t>
      </w:r>
    </w:p>
    <w:p>
      <w:pPr>
        <w:widowControl/>
        <w:jc w:val="left"/>
        <w:rPr>
          <w:b/>
          <w:bCs/>
          <w:kern w:val="28"/>
          <w:sz w:val="32"/>
          <w:szCs w:val="32"/>
        </w:rPr>
      </w:pPr>
      <w:r>
        <w:br w:type="page"/>
      </w:r>
    </w:p>
    <w:p>
      <w:pPr>
        <w:pStyle w:val="15"/>
        <w:ind w:left="386"/>
        <w:rPr>
          <w:rFonts w:ascii="Times New Roman" w:hAnsi="Times New Roman"/>
        </w:rPr>
      </w:pPr>
      <w:r>
        <w:rPr>
          <w:rFonts w:ascii="Times New Roman" w:hAnsiTheme="minorEastAsia"/>
        </w:rPr>
        <w:t>第四部分合同条款</w:t>
      </w:r>
    </w:p>
    <w:p>
      <w:pPr>
        <w:snapToGrid w:val="0"/>
        <w:spacing w:line="360" w:lineRule="auto"/>
        <w:ind w:firstLine="448" w:firstLineChars="200"/>
        <w:rPr>
          <w:sz w:val="24"/>
          <w:szCs w:val="24"/>
        </w:rPr>
      </w:pPr>
      <w:r>
        <w:rPr>
          <w:rFonts w:hAnsiTheme="minorEastAsia"/>
          <w:b/>
          <w:bCs/>
          <w:sz w:val="24"/>
          <w:szCs w:val="24"/>
        </w:rPr>
        <w:t>采购人（甲方）：</w:t>
      </w:r>
    </w:p>
    <w:p>
      <w:pPr>
        <w:snapToGrid w:val="0"/>
        <w:spacing w:line="360" w:lineRule="auto"/>
        <w:ind w:firstLine="448" w:firstLineChars="200"/>
        <w:rPr>
          <w:sz w:val="24"/>
          <w:szCs w:val="24"/>
        </w:rPr>
      </w:pPr>
      <w:r>
        <w:rPr>
          <w:rFonts w:hAnsiTheme="minorEastAsia"/>
          <w:b/>
          <w:bCs/>
          <w:sz w:val="24"/>
          <w:szCs w:val="24"/>
        </w:rPr>
        <w:t>供应商（乙方）：</w:t>
      </w:r>
    </w:p>
    <w:p>
      <w:pPr>
        <w:spacing w:line="480" w:lineRule="exact"/>
        <w:ind w:firstLine="448" w:firstLineChars="200"/>
        <w:rPr>
          <w:sz w:val="24"/>
          <w:szCs w:val="24"/>
        </w:rPr>
      </w:pPr>
      <w:r>
        <w:rPr>
          <w:rFonts w:hAnsiTheme="minorEastAsia"/>
          <w:sz w:val="24"/>
          <w:szCs w:val="24"/>
        </w:rPr>
        <w:t>甲、乙双方根据项目（项目编号：）的政府采购结果和招标文件（或采购文件）的要求，并经双方协商一致，达成本合同：</w:t>
      </w:r>
    </w:p>
    <w:p>
      <w:pPr>
        <w:spacing w:line="480" w:lineRule="exact"/>
        <w:ind w:firstLine="448" w:firstLineChars="200"/>
        <w:rPr>
          <w:sz w:val="24"/>
          <w:szCs w:val="24"/>
        </w:rPr>
      </w:pPr>
      <w:r>
        <w:rPr>
          <w:rFonts w:hAnsiTheme="minorEastAsia"/>
          <w:sz w:val="24"/>
          <w:szCs w:val="24"/>
        </w:rPr>
        <w:t>第一条委托物业的基本情况</w:t>
      </w:r>
    </w:p>
    <w:p>
      <w:pPr>
        <w:spacing w:line="360" w:lineRule="auto"/>
        <w:ind w:firstLine="452" w:firstLineChars="202"/>
        <w:rPr>
          <w:sz w:val="24"/>
          <w:szCs w:val="24"/>
        </w:rPr>
      </w:pPr>
      <w:r>
        <w:rPr>
          <w:rFonts w:hAnsiTheme="minorEastAsia"/>
          <w:sz w:val="24"/>
          <w:szCs w:val="24"/>
        </w:rPr>
        <w:t>物业名称：</w:t>
      </w:r>
    </w:p>
    <w:p>
      <w:pPr>
        <w:spacing w:line="360" w:lineRule="auto"/>
        <w:ind w:firstLine="452" w:firstLineChars="202"/>
        <w:rPr>
          <w:sz w:val="24"/>
          <w:szCs w:val="24"/>
        </w:rPr>
      </w:pPr>
      <w:r>
        <w:rPr>
          <w:rFonts w:hAnsiTheme="minorEastAsia"/>
          <w:sz w:val="24"/>
          <w:szCs w:val="24"/>
        </w:rPr>
        <w:t>物业类型：</w:t>
      </w:r>
    </w:p>
    <w:p>
      <w:pPr>
        <w:spacing w:line="360" w:lineRule="auto"/>
        <w:ind w:firstLine="452" w:firstLineChars="202"/>
        <w:rPr>
          <w:sz w:val="24"/>
          <w:szCs w:val="24"/>
        </w:rPr>
      </w:pPr>
      <w:r>
        <w:rPr>
          <w:rFonts w:hint="eastAsia" w:hAnsiTheme="minorEastAsia"/>
          <w:sz w:val="24"/>
          <w:szCs w:val="24"/>
        </w:rPr>
        <w:t>坐落</w:t>
      </w:r>
      <w:r>
        <w:rPr>
          <w:rFonts w:hAnsiTheme="minorEastAsia"/>
          <w:sz w:val="24"/>
          <w:szCs w:val="24"/>
        </w:rPr>
        <w:t>位置：</w:t>
      </w:r>
    </w:p>
    <w:p>
      <w:pPr>
        <w:spacing w:line="360" w:lineRule="auto"/>
        <w:ind w:firstLine="452" w:firstLineChars="202"/>
        <w:rPr>
          <w:sz w:val="24"/>
          <w:szCs w:val="24"/>
        </w:rPr>
      </w:pPr>
      <w:r>
        <w:rPr>
          <w:rFonts w:hAnsiTheme="minorEastAsia"/>
          <w:sz w:val="24"/>
          <w:szCs w:val="24"/>
        </w:rPr>
        <w:t>物业管理区域四至：</w:t>
      </w:r>
    </w:p>
    <w:p>
      <w:pPr>
        <w:spacing w:line="360" w:lineRule="auto"/>
        <w:ind w:firstLine="452" w:firstLineChars="202"/>
        <w:rPr>
          <w:sz w:val="24"/>
          <w:szCs w:val="24"/>
        </w:rPr>
      </w:pPr>
      <w:r>
        <w:rPr>
          <w:rFonts w:hAnsiTheme="minorEastAsia"/>
          <w:sz w:val="24"/>
          <w:szCs w:val="24"/>
        </w:rPr>
        <w:t>东至：南至：</w:t>
      </w:r>
    </w:p>
    <w:p>
      <w:pPr>
        <w:spacing w:line="360" w:lineRule="auto"/>
        <w:ind w:firstLine="452" w:firstLineChars="202"/>
        <w:rPr>
          <w:sz w:val="24"/>
          <w:szCs w:val="24"/>
        </w:rPr>
      </w:pPr>
      <w:r>
        <w:rPr>
          <w:rFonts w:hAnsiTheme="minorEastAsia"/>
          <w:sz w:val="24"/>
          <w:szCs w:val="24"/>
        </w:rPr>
        <w:t>西至：北至：</w:t>
      </w:r>
    </w:p>
    <w:p>
      <w:pPr>
        <w:spacing w:line="360" w:lineRule="auto"/>
        <w:ind w:firstLine="452" w:firstLineChars="202"/>
        <w:rPr>
          <w:sz w:val="24"/>
          <w:szCs w:val="24"/>
        </w:rPr>
      </w:pPr>
      <w:r>
        <w:rPr>
          <w:rFonts w:hAnsiTheme="minorEastAsia"/>
          <w:sz w:val="24"/>
          <w:szCs w:val="24"/>
        </w:rPr>
        <w:t>占地面积：大楼总建筑面积：</w:t>
      </w:r>
    </w:p>
    <w:p>
      <w:pPr>
        <w:spacing w:line="360" w:lineRule="auto"/>
        <w:ind w:firstLine="452" w:firstLineChars="202"/>
        <w:rPr>
          <w:sz w:val="24"/>
          <w:szCs w:val="24"/>
        </w:rPr>
      </w:pPr>
      <w:r>
        <w:rPr>
          <w:rFonts w:hAnsiTheme="minorEastAsia"/>
          <w:sz w:val="24"/>
          <w:szCs w:val="24"/>
        </w:rPr>
        <w:t>其中：地上面积：平方米</w:t>
      </w:r>
    </w:p>
    <w:p>
      <w:pPr>
        <w:spacing w:line="360" w:lineRule="auto"/>
        <w:ind w:firstLine="452" w:firstLineChars="202"/>
        <w:rPr>
          <w:sz w:val="24"/>
          <w:szCs w:val="24"/>
        </w:rPr>
      </w:pPr>
      <w:r>
        <w:rPr>
          <w:rFonts w:hAnsiTheme="minorEastAsia"/>
          <w:sz w:val="24"/>
          <w:szCs w:val="24"/>
        </w:rPr>
        <w:t>地下面积：平方米</w:t>
      </w:r>
    </w:p>
    <w:p>
      <w:pPr>
        <w:spacing w:line="360" w:lineRule="auto"/>
        <w:ind w:firstLine="452" w:firstLineChars="202"/>
        <w:rPr>
          <w:sz w:val="24"/>
          <w:szCs w:val="24"/>
        </w:rPr>
      </w:pPr>
      <w:r>
        <w:rPr>
          <w:rFonts w:hAnsiTheme="minorEastAsia"/>
          <w:sz w:val="24"/>
          <w:szCs w:val="24"/>
        </w:rPr>
        <w:t>标准层面积：平方米</w:t>
      </w:r>
    </w:p>
    <w:p>
      <w:pPr>
        <w:spacing w:line="360" w:lineRule="auto"/>
        <w:ind w:firstLine="452" w:firstLineChars="202"/>
        <w:rPr>
          <w:sz w:val="24"/>
          <w:szCs w:val="24"/>
        </w:rPr>
      </w:pPr>
      <w:r>
        <w:rPr>
          <w:rFonts w:hAnsiTheme="minorEastAsia"/>
          <w:sz w:val="24"/>
          <w:szCs w:val="24"/>
        </w:rPr>
        <w:t>人防建筑面积：平方米</w:t>
      </w:r>
    </w:p>
    <w:p>
      <w:pPr>
        <w:spacing w:line="360" w:lineRule="auto"/>
        <w:ind w:firstLine="452" w:firstLineChars="202"/>
        <w:rPr>
          <w:sz w:val="24"/>
          <w:szCs w:val="24"/>
        </w:rPr>
      </w:pPr>
      <w:r>
        <w:rPr>
          <w:rFonts w:hAnsiTheme="minorEastAsia"/>
          <w:sz w:val="24"/>
          <w:szCs w:val="24"/>
        </w:rPr>
        <w:t>建筑层数：地上层，地下层</w:t>
      </w:r>
    </w:p>
    <w:p>
      <w:pPr>
        <w:spacing w:line="360" w:lineRule="auto"/>
        <w:ind w:firstLine="452" w:firstLineChars="202"/>
        <w:rPr>
          <w:sz w:val="24"/>
          <w:szCs w:val="24"/>
        </w:rPr>
      </w:pPr>
      <w:r>
        <w:rPr>
          <w:rFonts w:hAnsiTheme="minorEastAsia"/>
          <w:sz w:val="24"/>
          <w:szCs w:val="24"/>
        </w:rPr>
        <w:t>建筑尺寸：长：米，宽：米，高：米</w:t>
      </w:r>
    </w:p>
    <w:p>
      <w:pPr>
        <w:spacing w:line="360" w:lineRule="auto"/>
        <w:ind w:firstLine="452" w:firstLineChars="202"/>
        <w:rPr>
          <w:sz w:val="24"/>
          <w:szCs w:val="24"/>
        </w:rPr>
      </w:pPr>
      <w:r>
        <w:rPr>
          <w:rFonts w:hAnsiTheme="minorEastAsia"/>
          <w:sz w:val="24"/>
          <w:szCs w:val="24"/>
        </w:rPr>
        <w:t>建筑层高：</w:t>
      </w:r>
    </w:p>
    <w:p>
      <w:pPr>
        <w:spacing w:line="360" w:lineRule="auto"/>
        <w:ind w:firstLine="452" w:firstLineChars="202"/>
        <w:rPr>
          <w:sz w:val="24"/>
          <w:szCs w:val="24"/>
        </w:rPr>
      </w:pPr>
      <w:r>
        <w:rPr>
          <w:rFonts w:hAnsiTheme="minorEastAsia"/>
          <w:sz w:val="24"/>
          <w:szCs w:val="24"/>
        </w:rPr>
        <w:t>建筑结构：</w:t>
      </w:r>
    </w:p>
    <w:p>
      <w:pPr>
        <w:spacing w:line="480" w:lineRule="exact"/>
        <w:ind w:firstLine="448" w:firstLineChars="200"/>
        <w:rPr>
          <w:sz w:val="24"/>
          <w:szCs w:val="24"/>
        </w:rPr>
      </w:pPr>
      <w:r>
        <w:rPr>
          <w:rFonts w:hAnsiTheme="minorEastAsia"/>
          <w:sz w:val="24"/>
          <w:szCs w:val="24"/>
        </w:rPr>
        <w:t>第二条物业服务内容及标准</w:t>
      </w:r>
    </w:p>
    <w:p>
      <w:pPr>
        <w:spacing w:line="480" w:lineRule="exact"/>
        <w:ind w:firstLine="448" w:firstLineChars="200"/>
        <w:rPr>
          <w:spacing w:val="-20"/>
          <w:sz w:val="24"/>
          <w:szCs w:val="24"/>
          <w:bdr w:val="single" w:color="auto" w:sz="4" w:space="0"/>
        </w:rPr>
      </w:pPr>
      <w:r>
        <w:rPr>
          <w:rFonts w:hAnsiTheme="minorEastAsia"/>
          <w:sz w:val="24"/>
          <w:szCs w:val="24"/>
        </w:rPr>
        <w:t>（一）房屋本体和共用部位的维修、养护和管理：</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（二）共用设施设备运行、维修、养护：</w:t>
      </w:r>
    </w:p>
    <w:p>
      <w:pPr>
        <w:spacing w:line="480" w:lineRule="exact"/>
        <w:ind w:firstLine="448" w:firstLineChars="200"/>
        <w:rPr>
          <w:sz w:val="24"/>
          <w:szCs w:val="24"/>
        </w:rPr>
      </w:pPr>
      <w:r>
        <w:rPr>
          <w:sz w:val="24"/>
          <w:szCs w:val="24"/>
        </w:rPr>
        <w:t>1.</w:t>
      </w:r>
      <w:r>
        <w:rPr>
          <w:rFonts w:hAnsiTheme="minorEastAsia"/>
          <w:sz w:val="24"/>
          <w:szCs w:val="24"/>
        </w:rPr>
        <w:t>供、配电设施设备</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2.</w:t>
      </w:r>
      <w:r>
        <w:rPr>
          <w:rFonts w:hAnsiTheme="minorEastAsia"/>
          <w:sz w:val="24"/>
          <w:szCs w:val="24"/>
        </w:rPr>
        <w:t>给、排水设施设备</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3.</w:t>
      </w:r>
      <w:r>
        <w:rPr>
          <w:rFonts w:hAnsiTheme="minorEastAsia"/>
          <w:sz w:val="24"/>
          <w:szCs w:val="24"/>
        </w:rPr>
        <w:t>升降系统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4.</w:t>
      </w:r>
      <w:r>
        <w:rPr>
          <w:rFonts w:hAnsiTheme="minorEastAsia"/>
          <w:sz w:val="24"/>
          <w:szCs w:val="24"/>
        </w:rPr>
        <w:t>消防系统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5.</w:t>
      </w:r>
      <w:r>
        <w:rPr>
          <w:rFonts w:hAnsiTheme="minorEastAsia"/>
          <w:sz w:val="24"/>
          <w:szCs w:val="24"/>
        </w:rPr>
        <w:t>空气调节系统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6.</w:t>
      </w:r>
      <w:r>
        <w:rPr>
          <w:rFonts w:hAnsiTheme="minorEastAsia"/>
          <w:sz w:val="24"/>
          <w:szCs w:val="24"/>
        </w:rPr>
        <w:t>智能化系统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7.</w:t>
      </w:r>
      <w:r>
        <w:rPr>
          <w:rFonts w:hAnsiTheme="minorEastAsia"/>
          <w:sz w:val="24"/>
          <w:szCs w:val="24"/>
        </w:rPr>
        <w:t>楼宇自动化系统（通讯系统等）</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8.</w:t>
      </w:r>
      <w:r>
        <w:rPr>
          <w:rFonts w:hAnsiTheme="minorEastAsia"/>
          <w:sz w:val="24"/>
          <w:szCs w:val="24"/>
        </w:rPr>
        <w:t>停车场管理系统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9.</w:t>
      </w:r>
      <w:r>
        <w:rPr>
          <w:rFonts w:hAnsiTheme="minorEastAsia"/>
          <w:sz w:val="24"/>
          <w:szCs w:val="24"/>
        </w:rPr>
        <w:t>其他</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（三）共用部位和共用场地的环境保洁和绿化养护：</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（四）物业装饰装修的管理：</w:t>
      </w:r>
    </w:p>
    <w:p>
      <w:pPr>
        <w:spacing w:line="480" w:lineRule="exact"/>
        <w:ind w:firstLine="368" w:firstLineChars="200"/>
        <w:rPr>
          <w:spacing w:val="-20"/>
          <w:sz w:val="24"/>
          <w:szCs w:val="24"/>
          <w:u w:val="single"/>
        </w:rPr>
      </w:pPr>
    </w:p>
    <w:p>
      <w:pPr>
        <w:spacing w:line="480" w:lineRule="exact"/>
        <w:ind w:firstLine="448" w:firstLineChars="200"/>
        <w:rPr>
          <w:sz w:val="24"/>
          <w:szCs w:val="24"/>
          <w:bdr w:val="single" w:color="auto" w:sz="4" w:space="0"/>
        </w:rPr>
      </w:pPr>
      <w:r>
        <w:rPr>
          <w:rFonts w:hAnsiTheme="minorEastAsia"/>
          <w:sz w:val="24"/>
          <w:szCs w:val="24"/>
        </w:rPr>
        <w:t>（五）车辆行驶和停放秩序的服务、管理：</w:t>
      </w:r>
    </w:p>
    <w:p>
      <w:pPr>
        <w:spacing w:line="480" w:lineRule="exact"/>
        <w:ind w:firstLine="368" w:firstLineChars="200"/>
        <w:rPr>
          <w:spacing w:val="-20"/>
          <w:sz w:val="24"/>
          <w:szCs w:val="24"/>
          <w:u w:val="single"/>
        </w:rPr>
      </w:pPr>
    </w:p>
    <w:p>
      <w:pPr>
        <w:spacing w:line="480" w:lineRule="exact"/>
        <w:ind w:firstLine="448" w:firstLineChars="200"/>
        <w:rPr>
          <w:sz w:val="24"/>
          <w:szCs w:val="24"/>
          <w:bdr w:val="single" w:color="auto" w:sz="4" w:space="0"/>
        </w:rPr>
      </w:pPr>
      <w:r>
        <w:rPr>
          <w:rFonts w:hAnsiTheme="minorEastAsia"/>
          <w:sz w:val="24"/>
          <w:szCs w:val="24"/>
        </w:rPr>
        <w:t>（六）物业管理区域内公共秩序的维护和消防管理：</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（七）物业档案的建立、保管和使用：</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（八）其他委托事项：</w:t>
      </w:r>
    </w:p>
    <w:p>
      <w:pPr>
        <w:spacing w:line="480" w:lineRule="exact"/>
        <w:ind w:firstLine="448" w:firstLineChars="200"/>
        <w:rPr>
          <w:sz w:val="24"/>
          <w:szCs w:val="24"/>
        </w:rPr>
      </w:pPr>
      <w:r>
        <w:rPr>
          <w:sz w:val="24"/>
          <w:szCs w:val="24"/>
        </w:rPr>
        <w:t>1</w:t>
      </w:r>
      <w:r>
        <w:rPr>
          <w:rFonts w:hAnsiTheme="minorEastAsia"/>
          <w:sz w:val="24"/>
          <w:szCs w:val="24"/>
        </w:rPr>
        <w:t>、</w:t>
      </w:r>
    </w:p>
    <w:p>
      <w:pPr>
        <w:spacing w:line="480" w:lineRule="exact"/>
        <w:ind w:firstLine="448" w:firstLineChars="200"/>
        <w:rPr>
          <w:sz w:val="24"/>
          <w:szCs w:val="24"/>
        </w:rPr>
      </w:pPr>
      <w:r>
        <w:rPr>
          <w:sz w:val="24"/>
          <w:szCs w:val="24"/>
        </w:rPr>
        <w:t>2</w:t>
      </w:r>
      <w:r>
        <w:rPr>
          <w:rFonts w:hAnsiTheme="minorEastAsia"/>
          <w:sz w:val="24"/>
          <w:szCs w:val="24"/>
        </w:rPr>
        <w:t>、</w:t>
      </w:r>
    </w:p>
    <w:p>
      <w:pPr>
        <w:spacing w:line="480" w:lineRule="exact"/>
        <w:ind w:firstLine="448" w:firstLineChars="200"/>
        <w:rPr>
          <w:sz w:val="24"/>
          <w:szCs w:val="24"/>
          <w:u w:val="single"/>
        </w:rPr>
      </w:pPr>
      <w:r>
        <w:rPr>
          <w:sz w:val="24"/>
          <w:szCs w:val="24"/>
        </w:rPr>
        <w:t>3</w:t>
      </w:r>
      <w:r>
        <w:rPr>
          <w:rFonts w:hAnsiTheme="minorEastAsia"/>
          <w:sz w:val="24"/>
          <w:szCs w:val="24"/>
        </w:rPr>
        <w:t>、</w:t>
      </w:r>
    </w:p>
    <w:p>
      <w:pPr>
        <w:spacing w:line="480" w:lineRule="exact"/>
        <w:ind w:firstLine="448" w:firstLineChars="200"/>
        <w:rPr>
          <w:sz w:val="24"/>
          <w:szCs w:val="24"/>
        </w:rPr>
      </w:pPr>
      <w:r>
        <w:rPr>
          <w:rFonts w:hAnsiTheme="minorEastAsia"/>
          <w:sz w:val="24"/>
          <w:szCs w:val="24"/>
        </w:rPr>
        <w:t>第三条物业服务合同期限</w:t>
      </w:r>
    </w:p>
    <w:p>
      <w:pPr>
        <w:spacing w:line="480" w:lineRule="exact"/>
        <w:ind w:firstLine="448" w:firstLineChars="200"/>
        <w:rPr>
          <w:color w:val="FF0000"/>
          <w:sz w:val="24"/>
          <w:szCs w:val="24"/>
        </w:rPr>
      </w:pPr>
      <w:r>
        <w:rPr>
          <w:rFonts w:hAnsiTheme="minorEastAsia"/>
          <w:sz w:val="24"/>
          <w:szCs w:val="24"/>
        </w:rPr>
        <w:t>物业服务合同期限为年。</w:t>
      </w:r>
    </w:p>
    <w:p>
      <w:pPr>
        <w:spacing w:line="480" w:lineRule="exact"/>
        <w:ind w:firstLine="448" w:firstLineChars="200"/>
        <w:rPr>
          <w:sz w:val="24"/>
          <w:szCs w:val="24"/>
        </w:rPr>
      </w:pPr>
      <w:r>
        <w:rPr>
          <w:rFonts w:hAnsiTheme="minorEastAsia"/>
          <w:sz w:val="24"/>
          <w:szCs w:val="24"/>
        </w:rPr>
        <w:t>自年月日起至年月日终止。</w:t>
      </w:r>
    </w:p>
    <w:p>
      <w:pPr>
        <w:spacing w:line="480" w:lineRule="exact"/>
        <w:ind w:firstLine="448" w:firstLineChars="200"/>
        <w:rPr>
          <w:sz w:val="24"/>
          <w:szCs w:val="24"/>
        </w:rPr>
      </w:pPr>
      <w:r>
        <w:rPr>
          <w:rFonts w:hAnsiTheme="minorEastAsia"/>
          <w:sz w:val="24"/>
          <w:szCs w:val="24"/>
        </w:rPr>
        <w:t>第四条甲方权利义务</w:t>
      </w:r>
    </w:p>
    <w:p>
      <w:pPr>
        <w:spacing w:line="480" w:lineRule="exact"/>
        <w:ind w:firstLine="448" w:firstLineChars="200"/>
        <w:rPr>
          <w:sz w:val="24"/>
          <w:szCs w:val="24"/>
        </w:rPr>
      </w:pPr>
      <w:r>
        <w:rPr>
          <w:rFonts w:hAnsiTheme="minorEastAsia"/>
          <w:sz w:val="24"/>
          <w:szCs w:val="24"/>
        </w:rPr>
        <w:t>（一）代表和维护采购人所有人员在物业管理服务活动中的合法权益；</w:t>
      </w:r>
    </w:p>
    <w:p>
      <w:pPr>
        <w:spacing w:line="480" w:lineRule="exact"/>
        <w:ind w:firstLine="448" w:firstLineChars="200"/>
        <w:rPr>
          <w:sz w:val="24"/>
          <w:szCs w:val="24"/>
        </w:rPr>
      </w:pPr>
      <w:r>
        <w:rPr>
          <w:rFonts w:hAnsiTheme="minorEastAsia"/>
          <w:sz w:val="24"/>
          <w:szCs w:val="24"/>
        </w:rPr>
        <w:t>（二）制定、修改管理规约，监督采购人所有人员遵守管理规约；</w:t>
      </w:r>
    </w:p>
    <w:p>
      <w:pPr>
        <w:spacing w:line="480" w:lineRule="exact"/>
        <w:ind w:firstLine="448" w:firstLineChars="200"/>
        <w:rPr>
          <w:sz w:val="24"/>
          <w:szCs w:val="24"/>
        </w:rPr>
      </w:pPr>
      <w:r>
        <w:rPr>
          <w:rFonts w:hAnsiTheme="minorEastAsia"/>
          <w:sz w:val="24"/>
          <w:szCs w:val="24"/>
        </w:rPr>
        <w:t>（三）审定物业服务合同内容，选聘、解聘物业服务企业；</w:t>
      </w:r>
    </w:p>
    <w:p>
      <w:pPr>
        <w:spacing w:line="480" w:lineRule="exact"/>
        <w:ind w:firstLine="448" w:firstLineChars="200"/>
        <w:rPr>
          <w:sz w:val="24"/>
          <w:szCs w:val="24"/>
        </w:rPr>
      </w:pPr>
      <w:r>
        <w:rPr>
          <w:rFonts w:hAnsiTheme="minorEastAsia"/>
          <w:sz w:val="24"/>
          <w:szCs w:val="24"/>
        </w:rPr>
        <w:t>（四）审定乙方提出的物业管理服务年度计划及管理制度，监督并配合乙方管理服务工作的实施及制度的执行；</w:t>
      </w:r>
    </w:p>
    <w:p>
      <w:pPr>
        <w:spacing w:line="480" w:lineRule="exact"/>
        <w:ind w:firstLine="448" w:firstLineChars="200"/>
        <w:rPr>
          <w:sz w:val="24"/>
          <w:szCs w:val="24"/>
        </w:rPr>
      </w:pPr>
      <w:r>
        <w:rPr>
          <w:rFonts w:hAnsi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sz w:val="24"/>
          <w:szCs w:val="24"/>
        </w:rPr>
      </w:pPr>
      <w:r>
        <w:rPr>
          <w:rFonts w:hAnsiTheme="minorEastAsia"/>
          <w:sz w:val="24"/>
          <w:szCs w:val="24"/>
        </w:rPr>
        <w:t>（六）负责提供物业管理服务所需相关文件和资料；</w:t>
      </w:r>
    </w:p>
    <w:p>
      <w:pPr>
        <w:spacing w:line="480" w:lineRule="exact"/>
        <w:ind w:firstLine="448" w:firstLineChars="200"/>
        <w:rPr>
          <w:sz w:val="24"/>
          <w:szCs w:val="24"/>
        </w:rPr>
      </w:pPr>
      <w:r>
        <w:rPr>
          <w:rFonts w:hAnsiTheme="minorEastAsia"/>
          <w:sz w:val="24"/>
          <w:szCs w:val="24"/>
        </w:rPr>
        <w:t>（七）其他：</w:t>
      </w:r>
    </w:p>
    <w:p>
      <w:pPr>
        <w:spacing w:line="480" w:lineRule="exact"/>
        <w:ind w:firstLine="448" w:firstLineChars="200"/>
        <w:rPr>
          <w:sz w:val="24"/>
          <w:szCs w:val="24"/>
        </w:rPr>
      </w:pPr>
      <w:r>
        <w:rPr>
          <w:sz w:val="24"/>
          <w:szCs w:val="24"/>
        </w:rPr>
        <w:t>1</w:t>
      </w:r>
      <w:r>
        <w:rPr>
          <w:rFonts w:hAnsiTheme="minorEastAsia"/>
          <w:sz w:val="24"/>
          <w:szCs w:val="24"/>
        </w:rPr>
        <w:t>、</w:t>
      </w:r>
    </w:p>
    <w:p>
      <w:pPr>
        <w:spacing w:line="480" w:lineRule="exact"/>
        <w:ind w:firstLine="448" w:firstLineChars="200"/>
        <w:rPr>
          <w:sz w:val="24"/>
          <w:szCs w:val="24"/>
          <w:u w:val="single"/>
        </w:rPr>
      </w:pPr>
      <w:r>
        <w:rPr>
          <w:sz w:val="24"/>
          <w:szCs w:val="24"/>
        </w:rPr>
        <w:t>2</w:t>
      </w:r>
      <w:r>
        <w:rPr>
          <w:rFonts w:hAnsiTheme="minorEastAsia"/>
          <w:sz w:val="24"/>
          <w:szCs w:val="24"/>
        </w:rPr>
        <w:t>、</w:t>
      </w:r>
    </w:p>
    <w:p>
      <w:pPr>
        <w:spacing w:line="480" w:lineRule="exact"/>
        <w:ind w:firstLine="448" w:firstLineChars="200"/>
        <w:rPr>
          <w:sz w:val="24"/>
          <w:szCs w:val="24"/>
          <w:bdr w:val="single" w:color="auto" w:sz="4" w:space="0"/>
        </w:rPr>
      </w:pPr>
      <w:r>
        <w:rPr>
          <w:sz w:val="24"/>
          <w:szCs w:val="24"/>
        </w:rPr>
        <w:t>3</w:t>
      </w:r>
      <w:r>
        <w:rPr>
          <w:rFonts w:hAnsiTheme="minorEastAsia"/>
          <w:sz w:val="24"/>
          <w:szCs w:val="24"/>
        </w:rPr>
        <w:t>、</w:t>
      </w:r>
    </w:p>
    <w:p>
      <w:pPr>
        <w:spacing w:line="480" w:lineRule="exact"/>
        <w:ind w:firstLine="448" w:firstLineChars="200"/>
        <w:rPr>
          <w:sz w:val="24"/>
          <w:szCs w:val="24"/>
        </w:rPr>
      </w:pPr>
      <w:r>
        <w:rPr>
          <w:rFonts w:hAnsiTheme="minorEastAsia"/>
          <w:sz w:val="24"/>
          <w:szCs w:val="24"/>
        </w:rPr>
        <w:t>第五条乙方权利义务</w:t>
      </w:r>
    </w:p>
    <w:p>
      <w:pPr>
        <w:spacing w:line="480" w:lineRule="exact"/>
        <w:ind w:firstLine="448" w:firstLineChars="200"/>
        <w:rPr>
          <w:sz w:val="24"/>
          <w:szCs w:val="24"/>
        </w:rPr>
      </w:pPr>
      <w:r>
        <w:rPr>
          <w:rFonts w:hAnsi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sz w:val="24"/>
          <w:szCs w:val="24"/>
        </w:rPr>
      </w:pPr>
      <w:r>
        <w:rPr>
          <w:rFonts w:hAnsiTheme="minorEastAsia"/>
          <w:sz w:val="24"/>
          <w:szCs w:val="24"/>
        </w:rPr>
        <w:t>（二）在本物业管理区域内的显著位置，将服务内容、服务标准和收费项目、收费标准等有关情况进行公示；</w:t>
      </w:r>
    </w:p>
    <w:p>
      <w:pPr>
        <w:spacing w:line="480" w:lineRule="exact"/>
        <w:ind w:firstLine="448" w:firstLineChars="200"/>
        <w:rPr>
          <w:sz w:val="24"/>
          <w:szCs w:val="24"/>
        </w:rPr>
      </w:pPr>
      <w:r>
        <w:rPr>
          <w:rFonts w:hAnsiTheme="minorEastAsia"/>
          <w:sz w:val="24"/>
          <w:szCs w:val="24"/>
        </w:rPr>
        <w:t>（三）依照本合同约定向采购人收取物业管理服务费；</w:t>
      </w:r>
    </w:p>
    <w:p>
      <w:pPr>
        <w:spacing w:line="480" w:lineRule="exact"/>
        <w:ind w:firstLine="448" w:firstLineChars="200"/>
        <w:rPr>
          <w:sz w:val="24"/>
          <w:szCs w:val="24"/>
        </w:rPr>
      </w:pPr>
      <w:r>
        <w:rPr>
          <w:rFonts w:hAnsiTheme="minorEastAsia"/>
          <w:sz w:val="24"/>
          <w:szCs w:val="24"/>
        </w:rPr>
        <w:t>（四）建立物业项目的管理档案；</w:t>
      </w:r>
    </w:p>
    <w:p>
      <w:pPr>
        <w:spacing w:line="480" w:lineRule="exact"/>
        <w:ind w:firstLine="448" w:firstLineChars="200"/>
        <w:rPr>
          <w:sz w:val="24"/>
          <w:szCs w:val="24"/>
        </w:rPr>
      </w:pPr>
      <w:r>
        <w:rPr>
          <w:rFonts w:hAnsi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sz w:val="24"/>
          <w:szCs w:val="24"/>
        </w:rPr>
      </w:pPr>
      <w:r>
        <w:rPr>
          <w:rFonts w:hAnsiTheme="minorEastAsia"/>
          <w:sz w:val="24"/>
          <w:szCs w:val="24"/>
        </w:rPr>
        <w:t>（六）对侵害物业共用部位、共用设施设备的行为要求责任人停止侵害、排除妨害、恢复原状；</w:t>
      </w:r>
    </w:p>
    <w:p>
      <w:pPr>
        <w:spacing w:line="480" w:lineRule="exact"/>
        <w:ind w:firstLine="448" w:firstLineChars="200"/>
        <w:rPr>
          <w:sz w:val="24"/>
          <w:szCs w:val="24"/>
        </w:rPr>
      </w:pPr>
      <w:r>
        <w:rPr>
          <w:rFonts w:hAnsiTheme="minorEastAsia"/>
          <w:sz w:val="24"/>
          <w:szCs w:val="24"/>
        </w:rPr>
        <w:t>（七）不得将物业项目全部委托给他人管理，但可以将专项服务委托专业公司承担；</w:t>
      </w:r>
    </w:p>
    <w:p>
      <w:pPr>
        <w:spacing w:line="480" w:lineRule="exact"/>
        <w:ind w:firstLine="448" w:firstLineChars="200"/>
        <w:rPr>
          <w:sz w:val="24"/>
          <w:szCs w:val="24"/>
        </w:rPr>
      </w:pPr>
      <w:r>
        <w:rPr>
          <w:rFonts w:hAnsiTheme="minorEastAsia"/>
          <w:sz w:val="24"/>
          <w:szCs w:val="24"/>
        </w:rPr>
        <w:t>（八）负责编制物业的年度维修养护计划，并组织实施；</w:t>
      </w:r>
    </w:p>
    <w:p>
      <w:pPr>
        <w:spacing w:line="480" w:lineRule="exact"/>
        <w:ind w:firstLine="448" w:firstLineChars="200"/>
        <w:rPr>
          <w:sz w:val="24"/>
          <w:szCs w:val="24"/>
        </w:rPr>
      </w:pPr>
      <w:r>
        <w:rPr>
          <w:rFonts w:hAnsi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sz w:val="24"/>
          <w:szCs w:val="24"/>
        </w:rPr>
      </w:pPr>
      <w:r>
        <w:rPr>
          <w:rFonts w:hAnsiTheme="minorEastAsia"/>
          <w:sz w:val="24"/>
          <w:szCs w:val="24"/>
        </w:rPr>
        <w:t>（十）负责编制物业服务年度计划；</w:t>
      </w:r>
    </w:p>
    <w:p>
      <w:pPr>
        <w:spacing w:line="480" w:lineRule="exact"/>
        <w:ind w:firstLine="448" w:firstLineChars="200"/>
        <w:rPr>
          <w:sz w:val="24"/>
          <w:szCs w:val="24"/>
        </w:rPr>
      </w:pPr>
      <w:r>
        <w:rPr>
          <w:rFonts w:hAnsi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sz w:val="24"/>
          <w:szCs w:val="24"/>
          <w:bdr w:val="single" w:color="auto" w:sz="4" w:space="0"/>
        </w:rPr>
      </w:pPr>
      <w:r>
        <w:rPr>
          <w:rFonts w:hAnsi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sz w:val="24"/>
          <w:szCs w:val="24"/>
        </w:rPr>
      </w:pPr>
      <w:r>
        <w:rPr>
          <w:sz w:val="24"/>
          <w:szCs w:val="24"/>
        </w:rPr>
        <w:t>1</w:t>
      </w:r>
      <w:r>
        <w:rPr>
          <w:rFonts w:hAnsiTheme="minorEastAsia"/>
          <w:sz w:val="24"/>
          <w:szCs w:val="24"/>
        </w:rPr>
        <w:t>、预收的物业管理服务费等收益余额；</w:t>
      </w:r>
    </w:p>
    <w:p>
      <w:pPr>
        <w:spacing w:line="480" w:lineRule="exact"/>
        <w:ind w:firstLine="448" w:firstLineChars="200"/>
        <w:rPr>
          <w:sz w:val="24"/>
          <w:szCs w:val="24"/>
        </w:rPr>
      </w:pPr>
      <w:r>
        <w:rPr>
          <w:sz w:val="24"/>
          <w:szCs w:val="24"/>
        </w:rPr>
        <w:t>2</w:t>
      </w:r>
      <w:r>
        <w:rPr>
          <w:rFonts w:hAnsiTheme="minorEastAsia"/>
          <w:sz w:val="24"/>
          <w:szCs w:val="24"/>
        </w:rPr>
        <w:t>、物业管理项目的档案资料；</w:t>
      </w:r>
    </w:p>
    <w:p>
      <w:pPr>
        <w:spacing w:line="480" w:lineRule="exact"/>
        <w:ind w:firstLine="448" w:firstLineChars="200"/>
        <w:rPr>
          <w:sz w:val="24"/>
          <w:szCs w:val="24"/>
        </w:rPr>
      </w:pPr>
      <w:r>
        <w:rPr>
          <w:sz w:val="24"/>
          <w:szCs w:val="24"/>
        </w:rPr>
        <w:t>3</w:t>
      </w:r>
      <w:r>
        <w:rPr>
          <w:rFonts w:hAnsiTheme="minorEastAsia"/>
          <w:sz w:val="24"/>
          <w:szCs w:val="24"/>
        </w:rPr>
        <w:t>、物业管理用房和属于采购人的场地、设施设备。</w:t>
      </w:r>
    </w:p>
    <w:p>
      <w:pPr>
        <w:spacing w:line="480" w:lineRule="exact"/>
        <w:ind w:firstLine="448" w:firstLineChars="200"/>
        <w:rPr>
          <w:sz w:val="24"/>
          <w:szCs w:val="24"/>
        </w:rPr>
      </w:pPr>
      <w:r>
        <w:rPr>
          <w:rFonts w:hAnsi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sz w:val="24"/>
          <w:szCs w:val="24"/>
        </w:rPr>
      </w:pPr>
      <w:r>
        <w:rPr>
          <w:rFonts w:hAnsiTheme="minorEastAsia"/>
          <w:sz w:val="24"/>
          <w:szCs w:val="24"/>
        </w:rPr>
        <w:t>（十四）接受采购人的监督；</w:t>
      </w:r>
    </w:p>
    <w:p>
      <w:pPr>
        <w:spacing w:line="480" w:lineRule="exact"/>
        <w:ind w:firstLine="448" w:firstLineChars="200"/>
        <w:rPr>
          <w:sz w:val="24"/>
          <w:szCs w:val="24"/>
        </w:rPr>
      </w:pPr>
      <w:r>
        <w:rPr>
          <w:rFonts w:hAnsiTheme="minorEastAsia"/>
          <w:sz w:val="24"/>
          <w:szCs w:val="24"/>
        </w:rPr>
        <w:t>（十五）接受物业管理行政主管部门的监督指导；</w:t>
      </w:r>
    </w:p>
    <w:p>
      <w:pPr>
        <w:spacing w:line="480" w:lineRule="exact"/>
        <w:ind w:firstLine="448" w:firstLineChars="200"/>
        <w:rPr>
          <w:sz w:val="24"/>
          <w:szCs w:val="24"/>
        </w:rPr>
      </w:pPr>
      <w:r>
        <w:rPr>
          <w:rFonts w:hAnsiTheme="minorEastAsia"/>
          <w:sz w:val="24"/>
          <w:szCs w:val="24"/>
        </w:rPr>
        <w:t>（十六）其他：</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第六条物业管理服务费用</w:t>
      </w:r>
    </w:p>
    <w:p>
      <w:pPr>
        <w:spacing w:line="480" w:lineRule="exact"/>
        <w:ind w:firstLine="448" w:firstLineChars="200"/>
        <w:rPr>
          <w:sz w:val="24"/>
          <w:szCs w:val="24"/>
        </w:rPr>
      </w:pPr>
      <w:r>
        <w:rPr>
          <w:rFonts w:hAnsiTheme="minorEastAsia"/>
          <w:sz w:val="24"/>
          <w:szCs w:val="24"/>
        </w:rPr>
        <w:t>本物业管理区域内的物业管理服务费采取包干制的形式，年服务费用为大写：（小写：）。</w:t>
      </w:r>
    </w:p>
    <w:p>
      <w:pPr>
        <w:spacing w:line="480" w:lineRule="exact"/>
        <w:ind w:firstLine="448" w:firstLineChars="200"/>
        <w:rPr>
          <w:sz w:val="24"/>
          <w:szCs w:val="24"/>
        </w:rPr>
      </w:pPr>
      <w:r>
        <w:rPr>
          <w:rFonts w:hAnsi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spacing w:val="-20"/>
          <w:sz w:val="24"/>
          <w:szCs w:val="24"/>
          <w:u w:val="single"/>
        </w:rPr>
      </w:pPr>
      <w:r>
        <w:rPr>
          <w:rFonts w:hAnsiTheme="minorEastAsia"/>
          <w:sz w:val="24"/>
          <w:szCs w:val="24"/>
        </w:rPr>
        <w:t>付款方式如下：</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第七条物业管理用房</w:t>
      </w:r>
    </w:p>
    <w:p>
      <w:pPr>
        <w:spacing w:line="480" w:lineRule="exact"/>
        <w:ind w:firstLine="448" w:firstLineChars="200"/>
        <w:rPr>
          <w:sz w:val="24"/>
          <w:szCs w:val="24"/>
        </w:rPr>
      </w:pPr>
      <w:r>
        <w:rPr>
          <w:rFonts w:hAnsi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sz w:val="24"/>
          <w:szCs w:val="24"/>
        </w:rPr>
      </w:pPr>
      <w:r>
        <w:rPr>
          <w:rFonts w:hAnsiTheme="minorEastAsia"/>
          <w:sz w:val="24"/>
          <w:szCs w:val="24"/>
        </w:rPr>
        <w:t>第八条物业及物业管理交接</w:t>
      </w:r>
    </w:p>
    <w:p>
      <w:pPr>
        <w:spacing w:line="480" w:lineRule="exact"/>
        <w:ind w:firstLine="448" w:firstLineChars="200"/>
        <w:rPr>
          <w:sz w:val="24"/>
          <w:szCs w:val="24"/>
        </w:rPr>
      </w:pPr>
      <w:r>
        <w:rPr>
          <w:rFonts w:hAnsiTheme="minorEastAsia"/>
          <w:sz w:val="24"/>
          <w:szCs w:val="24"/>
        </w:rPr>
        <w:t>自本合同生效之日起，由甲方向乙方移交下列资金、物品和资料：</w:t>
      </w:r>
    </w:p>
    <w:p>
      <w:pPr>
        <w:spacing w:line="480" w:lineRule="exact"/>
        <w:ind w:firstLine="448" w:firstLineChars="200"/>
        <w:rPr>
          <w:sz w:val="24"/>
          <w:szCs w:val="24"/>
        </w:rPr>
      </w:pPr>
      <w:r>
        <w:rPr>
          <w:rFonts w:hAnsiTheme="minorEastAsia"/>
          <w:sz w:val="24"/>
          <w:szCs w:val="24"/>
        </w:rPr>
        <w:t>（一）竣工总平面图，单体建筑、结构、设备的竣工图，附属配套设施、地下管网工程竣工图等资料；</w:t>
      </w:r>
    </w:p>
    <w:p>
      <w:pPr>
        <w:spacing w:line="480" w:lineRule="exact"/>
        <w:ind w:firstLine="448" w:firstLineChars="200"/>
        <w:rPr>
          <w:sz w:val="24"/>
          <w:szCs w:val="24"/>
        </w:rPr>
      </w:pPr>
      <w:r>
        <w:rPr>
          <w:rFonts w:hAnsiTheme="minorEastAsia"/>
          <w:sz w:val="24"/>
          <w:szCs w:val="24"/>
        </w:rPr>
        <w:t>（二）物业竣工验收资料；</w:t>
      </w:r>
    </w:p>
    <w:p>
      <w:pPr>
        <w:spacing w:line="480" w:lineRule="exact"/>
        <w:ind w:firstLine="448" w:firstLineChars="200"/>
        <w:rPr>
          <w:sz w:val="24"/>
          <w:szCs w:val="24"/>
        </w:rPr>
      </w:pPr>
      <w:r>
        <w:rPr>
          <w:rFonts w:hAnsiTheme="minorEastAsia"/>
          <w:sz w:val="24"/>
          <w:szCs w:val="24"/>
        </w:rPr>
        <w:t>（三）共用设施设备安装、使用、维护和保养技术资料；</w:t>
      </w:r>
    </w:p>
    <w:p>
      <w:pPr>
        <w:spacing w:line="480" w:lineRule="exact"/>
        <w:ind w:firstLine="448" w:firstLineChars="200"/>
        <w:rPr>
          <w:sz w:val="24"/>
          <w:szCs w:val="24"/>
        </w:rPr>
      </w:pPr>
      <w:r>
        <w:rPr>
          <w:rFonts w:hAnsiTheme="minorEastAsia"/>
          <w:sz w:val="24"/>
          <w:szCs w:val="24"/>
        </w:rPr>
        <w:t>（四）物业质量保证书和使用说明书；</w:t>
      </w:r>
    </w:p>
    <w:p>
      <w:pPr>
        <w:spacing w:line="480" w:lineRule="exact"/>
        <w:ind w:firstLine="448" w:firstLineChars="200"/>
        <w:rPr>
          <w:sz w:val="24"/>
          <w:szCs w:val="24"/>
        </w:rPr>
      </w:pPr>
      <w:r>
        <w:rPr>
          <w:rFonts w:hAnsiTheme="minorEastAsia"/>
          <w:sz w:val="24"/>
          <w:szCs w:val="24"/>
        </w:rPr>
        <w:t>（五）物业管理服务费等余额；</w:t>
      </w:r>
    </w:p>
    <w:p>
      <w:pPr>
        <w:spacing w:line="480" w:lineRule="exact"/>
        <w:ind w:firstLine="448" w:firstLineChars="200"/>
        <w:rPr>
          <w:sz w:val="24"/>
          <w:szCs w:val="24"/>
        </w:rPr>
      </w:pPr>
      <w:r>
        <w:rPr>
          <w:rFonts w:hAnsiTheme="minorEastAsia"/>
          <w:sz w:val="24"/>
          <w:szCs w:val="24"/>
        </w:rPr>
        <w:t>（六）物业管理需要的其他资料；</w:t>
      </w:r>
    </w:p>
    <w:p>
      <w:pPr>
        <w:spacing w:line="480" w:lineRule="exact"/>
        <w:ind w:firstLine="448" w:firstLineChars="200"/>
        <w:rPr>
          <w:sz w:val="24"/>
          <w:szCs w:val="24"/>
        </w:rPr>
      </w:pPr>
      <w:r>
        <w:rPr>
          <w:rFonts w:hAnsiTheme="minorEastAsia"/>
          <w:sz w:val="24"/>
          <w:szCs w:val="24"/>
        </w:rPr>
        <w:t>（七）物业管理用房和属于采购人的场地、设施设备。</w:t>
      </w:r>
    </w:p>
    <w:p>
      <w:pPr>
        <w:spacing w:line="480" w:lineRule="exact"/>
        <w:ind w:firstLine="448" w:firstLineChars="200"/>
        <w:rPr>
          <w:sz w:val="24"/>
          <w:szCs w:val="24"/>
        </w:rPr>
      </w:pPr>
      <w:r>
        <w:rPr>
          <w:rFonts w:hAnsiTheme="minorEastAsia"/>
          <w:sz w:val="24"/>
          <w:szCs w:val="24"/>
        </w:rPr>
        <w:t>第九条采购人装饰装修房屋，应当遵守国家和本市有关规定。</w:t>
      </w:r>
    </w:p>
    <w:p>
      <w:pPr>
        <w:spacing w:line="480" w:lineRule="exact"/>
        <w:ind w:firstLine="448" w:firstLineChars="200"/>
        <w:rPr>
          <w:sz w:val="24"/>
          <w:szCs w:val="24"/>
        </w:rPr>
      </w:pPr>
      <w:r>
        <w:rPr>
          <w:rFonts w:hAnsi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sz w:val="24"/>
          <w:szCs w:val="24"/>
        </w:rPr>
      </w:pPr>
      <w:r>
        <w:rPr>
          <w:rFonts w:hAnsiTheme="minorEastAsia"/>
          <w:sz w:val="24"/>
          <w:szCs w:val="24"/>
        </w:rPr>
        <w:t>第十条违约责任</w:t>
      </w:r>
    </w:p>
    <w:p>
      <w:pPr>
        <w:spacing w:line="480" w:lineRule="exact"/>
        <w:ind w:firstLine="448" w:firstLineChars="200"/>
        <w:rPr>
          <w:sz w:val="24"/>
          <w:szCs w:val="24"/>
        </w:rPr>
      </w:pPr>
      <w:r>
        <w:rPr>
          <w:rFonts w:hAnsi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sz w:val="24"/>
          <w:szCs w:val="24"/>
        </w:rPr>
      </w:pPr>
      <w:r>
        <w:rPr>
          <w:rFonts w:hAnsi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sz w:val="24"/>
          <w:szCs w:val="24"/>
        </w:rPr>
      </w:pPr>
      <w:r>
        <w:rPr>
          <w:rFonts w:hAnsi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sz w:val="24"/>
          <w:szCs w:val="24"/>
        </w:rPr>
      </w:pPr>
      <w:r>
        <w:rPr>
          <w:rFonts w:hAnsiTheme="minorEastAsia"/>
          <w:sz w:val="24"/>
          <w:szCs w:val="24"/>
        </w:rPr>
        <w:t>（四）合同期满，乙方未按规定时间向甲方办理移交事项，乙方向甲方支付违约金元。</w:t>
      </w:r>
    </w:p>
    <w:p>
      <w:pPr>
        <w:spacing w:line="480" w:lineRule="exact"/>
        <w:ind w:firstLine="448" w:firstLineChars="200"/>
        <w:rPr>
          <w:sz w:val="24"/>
          <w:szCs w:val="24"/>
        </w:rPr>
      </w:pPr>
      <w:r>
        <w:rPr>
          <w:rFonts w:hAnsi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sz w:val="24"/>
          <w:szCs w:val="24"/>
        </w:rPr>
      </w:pPr>
      <w:r>
        <w:rPr>
          <w:rFonts w:hAnsiTheme="minorEastAsia"/>
          <w:sz w:val="24"/>
          <w:szCs w:val="24"/>
        </w:rPr>
        <w:t>（六）甲、乙任何一方无正当理由提前终止合同的，应当向对方支付元的违约金；违约方还应当承担超过违约金部分的经济损失。</w:t>
      </w:r>
    </w:p>
    <w:p>
      <w:pPr>
        <w:spacing w:line="480" w:lineRule="exact"/>
        <w:ind w:firstLine="448" w:firstLineChars="200"/>
        <w:rPr>
          <w:sz w:val="24"/>
          <w:szCs w:val="24"/>
        </w:rPr>
      </w:pPr>
      <w:r>
        <w:rPr>
          <w:rFonts w:hAnsiTheme="minorEastAsia"/>
          <w:sz w:val="24"/>
          <w:szCs w:val="24"/>
        </w:rPr>
        <w:t>（七）其他：</w:t>
      </w:r>
    </w:p>
    <w:p>
      <w:pPr>
        <w:spacing w:line="480" w:lineRule="exact"/>
        <w:ind w:firstLine="448" w:firstLineChars="200"/>
        <w:rPr>
          <w:sz w:val="24"/>
          <w:szCs w:val="24"/>
        </w:rPr>
      </w:pPr>
    </w:p>
    <w:p>
      <w:pPr>
        <w:spacing w:line="480" w:lineRule="exact"/>
        <w:ind w:firstLine="448" w:firstLineChars="200"/>
        <w:rPr>
          <w:sz w:val="24"/>
          <w:szCs w:val="24"/>
        </w:rPr>
      </w:pPr>
      <w:r>
        <w:rPr>
          <w:rFonts w:hAnsiTheme="minorEastAsia"/>
          <w:sz w:val="24"/>
          <w:szCs w:val="24"/>
        </w:rPr>
        <w:t>第十一条质量纠纷的约定</w:t>
      </w:r>
    </w:p>
    <w:p>
      <w:pPr>
        <w:spacing w:line="480" w:lineRule="exact"/>
        <w:ind w:firstLine="448" w:firstLineChars="200"/>
        <w:rPr>
          <w:sz w:val="24"/>
          <w:szCs w:val="24"/>
        </w:rPr>
      </w:pPr>
      <w:r>
        <w:rPr>
          <w:rFonts w:hAnsi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sz w:val="24"/>
          <w:szCs w:val="24"/>
        </w:rPr>
      </w:pPr>
      <w:r>
        <w:rPr>
          <w:rFonts w:hAnsiTheme="minorEastAsia"/>
          <w:sz w:val="24"/>
          <w:szCs w:val="24"/>
        </w:rPr>
        <w:t>第十二条不可抗力的约定</w:t>
      </w:r>
    </w:p>
    <w:p>
      <w:pPr>
        <w:spacing w:line="480" w:lineRule="exact"/>
        <w:ind w:firstLine="448" w:firstLineChars="200"/>
        <w:rPr>
          <w:sz w:val="24"/>
          <w:szCs w:val="24"/>
        </w:rPr>
      </w:pPr>
      <w:r>
        <w:rPr>
          <w:rFonts w:hAnsiTheme="minorEastAsia"/>
          <w:sz w:val="24"/>
          <w:szCs w:val="24"/>
        </w:rPr>
        <w:t>本合同执行期间，如遇不可抗力，致使合同无法履行时，双方应当按有关法律规定及时协商处理。</w:t>
      </w:r>
    </w:p>
    <w:p>
      <w:pPr>
        <w:spacing w:line="480" w:lineRule="exact"/>
        <w:ind w:firstLine="448" w:firstLineChars="200"/>
        <w:rPr>
          <w:sz w:val="24"/>
          <w:szCs w:val="24"/>
        </w:rPr>
      </w:pPr>
      <w:r>
        <w:rPr>
          <w:rFonts w:hAnsiTheme="minorEastAsia"/>
          <w:sz w:val="24"/>
          <w:szCs w:val="24"/>
        </w:rPr>
        <w:t>第十三条免责条款</w:t>
      </w:r>
    </w:p>
    <w:p>
      <w:pPr>
        <w:spacing w:line="480" w:lineRule="exact"/>
        <w:ind w:firstLine="448" w:firstLineChars="200"/>
        <w:rPr>
          <w:sz w:val="24"/>
          <w:szCs w:val="24"/>
        </w:rPr>
      </w:pPr>
      <w:r>
        <w:rPr>
          <w:rFonts w:hAnsiTheme="minorEastAsia"/>
          <w:sz w:val="24"/>
          <w:szCs w:val="24"/>
        </w:rPr>
        <w:t>以下情况乙方不承担责任：</w:t>
      </w:r>
    </w:p>
    <w:p>
      <w:pPr>
        <w:spacing w:line="480" w:lineRule="exact"/>
        <w:ind w:firstLine="448" w:firstLineChars="200"/>
        <w:rPr>
          <w:sz w:val="24"/>
          <w:szCs w:val="24"/>
        </w:rPr>
      </w:pPr>
      <w:r>
        <w:rPr>
          <w:sz w:val="24"/>
          <w:szCs w:val="24"/>
        </w:rPr>
        <w:t>1</w:t>
      </w:r>
      <w:r>
        <w:rPr>
          <w:rFonts w:hAnsiTheme="minorEastAsia"/>
          <w:sz w:val="24"/>
          <w:szCs w:val="24"/>
        </w:rPr>
        <w:t>、乙方已履行本合同约定义务，但因物业本身固有瑕疵造成损失的；</w:t>
      </w:r>
    </w:p>
    <w:p>
      <w:pPr>
        <w:spacing w:line="480" w:lineRule="exact"/>
        <w:ind w:firstLine="448" w:firstLineChars="200"/>
        <w:rPr>
          <w:sz w:val="24"/>
          <w:szCs w:val="24"/>
        </w:rPr>
      </w:pPr>
      <w:r>
        <w:rPr>
          <w:sz w:val="24"/>
          <w:szCs w:val="24"/>
        </w:rPr>
        <w:t>2</w:t>
      </w:r>
      <w:r>
        <w:rPr>
          <w:rFonts w:hAnsiTheme="minorEastAsia"/>
          <w:sz w:val="24"/>
          <w:szCs w:val="24"/>
        </w:rPr>
        <w:t>、因维修养护物业共用部位、共用设施设备需要且事先已告知采购人，暂时停水、停电、停止共用设施设备使用等造成损失的；</w:t>
      </w:r>
    </w:p>
    <w:p>
      <w:pPr>
        <w:spacing w:line="480" w:lineRule="exact"/>
        <w:ind w:firstLine="448" w:firstLineChars="200"/>
        <w:rPr>
          <w:sz w:val="24"/>
          <w:szCs w:val="24"/>
        </w:rPr>
      </w:pPr>
      <w:r>
        <w:rPr>
          <w:sz w:val="24"/>
          <w:szCs w:val="24"/>
        </w:rPr>
        <w:t>3</w:t>
      </w:r>
      <w:r>
        <w:rPr>
          <w:rFonts w:hAnsiTheme="minorEastAsia"/>
          <w:sz w:val="24"/>
          <w:szCs w:val="24"/>
        </w:rPr>
        <w:t>、因非乙方责任出现供水、供电、供气、供热、通讯、有线电视及其他共用设施设备运行障碍造成损失的。</w:t>
      </w:r>
    </w:p>
    <w:p>
      <w:pPr>
        <w:spacing w:line="480" w:lineRule="exact"/>
        <w:ind w:firstLine="448" w:firstLineChars="200"/>
        <w:rPr>
          <w:sz w:val="24"/>
          <w:szCs w:val="24"/>
        </w:rPr>
      </w:pPr>
      <w:r>
        <w:rPr>
          <w:rFonts w:hAnsiTheme="minorEastAsia"/>
          <w:sz w:val="24"/>
          <w:szCs w:val="24"/>
        </w:rPr>
        <w:t>第十四条合同的解除</w:t>
      </w:r>
    </w:p>
    <w:p>
      <w:pPr>
        <w:spacing w:line="480" w:lineRule="exact"/>
        <w:ind w:firstLine="448" w:firstLineChars="200"/>
        <w:rPr>
          <w:sz w:val="24"/>
          <w:szCs w:val="24"/>
        </w:rPr>
      </w:pPr>
      <w:r>
        <w:rPr>
          <w:rFonts w:hAnsi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sz w:val="24"/>
          <w:szCs w:val="24"/>
        </w:rPr>
      </w:pPr>
      <w:r>
        <w:rPr>
          <w:rFonts w:hAnsiTheme="minorEastAsia"/>
          <w:sz w:val="24"/>
          <w:szCs w:val="24"/>
        </w:rPr>
        <w:t>合同解除后，按照有关规定办理相关交接手续。</w:t>
      </w:r>
    </w:p>
    <w:p>
      <w:pPr>
        <w:spacing w:line="480" w:lineRule="exact"/>
        <w:ind w:firstLine="448" w:firstLineChars="200"/>
        <w:rPr>
          <w:sz w:val="24"/>
          <w:szCs w:val="24"/>
        </w:rPr>
      </w:pPr>
      <w:r>
        <w:rPr>
          <w:rFonts w:hAnsiTheme="minorEastAsia"/>
          <w:sz w:val="24"/>
          <w:szCs w:val="24"/>
        </w:rPr>
        <w:t>第十五条争议处理</w:t>
      </w:r>
    </w:p>
    <w:p>
      <w:pPr>
        <w:spacing w:line="480" w:lineRule="exact"/>
        <w:ind w:firstLine="448" w:firstLineChars="200"/>
        <w:rPr>
          <w:sz w:val="24"/>
          <w:szCs w:val="24"/>
        </w:rPr>
      </w:pPr>
      <w:r>
        <w:rPr>
          <w:rFonts w:hAnsiTheme="minorEastAsia"/>
          <w:sz w:val="24"/>
          <w:szCs w:val="24"/>
        </w:rPr>
        <w:t>由于甲、乙双方在履行本合同过程中出现问题，由甲、乙双方直接交涉解决，包括采用诉诸法律的手段。</w:t>
      </w:r>
    </w:p>
    <w:p>
      <w:pPr>
        <w:spacing w:line="480" w:lineRule="exact"/>
        <w:ind w:firstLine="448" w:firstLineChars="200"/>
        <w:rPr>
          <w:sz w:val="24"/>
          <w:szCs w:val="24"/>
        </w:rPr>
      </w:pPr>
      <w:r>
        <w:rPr>
          <w:rFonts w:hAnsi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sz w:val="24"/>
          <w:szCs w:val="24"/>
        </w:rPr>
      </w:pPr>
      <w:r>
        <w:rPr>
          <w:rFonts w:hAnsiTheme="minorEastAsia"/>
          <w:sz w:val="24"/>
          <w:szCs w:val="24"/>
        </w:rPr>
        <w:t>第十六条合同附件</w:t>
      </w:r>
    </w:p>
    <w:p>
      <w:pPr>
        <w:spacing w:line="480" w:lineRule="exact"/>
        <w:ind w:firstLine="448" w:firstLineChars="200"/>
        <w:rPr>
          <w:sz w:val="24"/>
          <w:szCs w:val="24"/>
        </w:rPr>
      </w:pPr>
      <w:r>
        <w:rPr>
          <w:rFonts w:hAnsiTheme="minorEastAsia"/>
          <w:sz w:val="24"/>
          <w:szCs w:val="24"/>
        </w:rPr>
        <w:t>有关涉及本合同乙方向天津市</w:t>
      </w:r>
      <w:r>
        <w:rPr>
          <w:rFonts w:hint="eastAsia" w:hAnsiTheme="minorEastAsia"/>
          <w:sz w:val="24"/>
          <w:szCs w:val="24"/>
        </w:rPr>
        <w:t>滨海新区</w:t>
      </w:r>
      <w:r>
        <w:rPr>
          <w:rFonts w:hAnsiTheme="minorEastAsia"/>
          <w:sz w:val="24"/>
          <w:szCs w:val="24"/>
        </w:rPr>
        <w:t>政府采购中心所提交的投标文件及有关澄清资料和服务承诺均视为本合同不可分割的部分，对乙方具有约束力。</w:t>
      </w:r>
    </w:p>
    <w:p>
      <w:pPr>
        <w:spacing w:line="480" w:lineRule="exact"/>
        <w:ind w:firstLine="448" w:firstLineChars="200"/>
        <w:rPr>
          <w:sz w:val="24"/>
          <w:szCs w:val="24"/>
        </w:rPr>
      </w:pPr>
      <w:r>
        <w:rPr>
          <w:rFonts w:hAnsiTheme="minorEastAsia"/>
          <w:sz w:val="24"/>
          <w:szCs w:val="24"/>
        </w:rPr>
        <w:t>本合同及其附件和合同特殊条款中未规定的事宜，均遵照国家和本市有关法律、法规和规章执行。</w:t>
      </w:r>
    </w:p>
    <w:p>
      <w:pPr>
        <w:spacing w:line="480" w:lineRule="exact"/>
        <w:ind w:firstLine="448" w:firstLineChars="200"/>
        <w:rPr>
          <w:sz w:val="24"/>
          <w:szCs w:val="24"/>
        </w:rPr>
      </w:pPr>
      <w:r>
        <w:rPr>
          <w:rFonts w:hAnsiTheme="minorEastAsia"/>
          <w:sz w:val="24"/>
          <w:szCs w:val="24"/>
        </w:rPr>
        <w:t>第十七条合同生效</w:t>
      </w:r>
    </w:p>
    <w:p>
      <w:pPr>
        <w:spacing w:line="480" w:lineRule="exact"/>
        <w:ind w:firstLine="448" w:firstLineChars="200"/>
        <w:rPr>
          <w:sz w:val="24"/>
          <w:szCs w:val="24"/>
        </w:rPr>
      </w:pPr>
      <w:r>
        <w:rPr>
          <w:rFonts w:hAnsiTheme="minorEastAsia"/>
          <w:sz w:val="24"/>
          <w:szCs w:val="24"/>
        </w:rPr>
        <w:t>本合同一式份，甲方持份，</w:t>
      </w:r>
      <w:r>
        <w:rPr>
          <w:rFonts w:hint="eastAsia" w:hAnsiTheme="minorEastAsia"/>
          <w:sz w:val="24"/>
          <w:szCs w:val="24"/>
        </w:rPr>
        <w:t>乙</w:t>
      </w:r>
      <w:r>
        <w:rPr>
          <w:rFonts w:hAnsiTheme="minorEastAsia"/>
          <w:sz w:val="24"/>
          <w:szCs w:val="24"/>
        </w:rPr>
        <w:t>方持份，均具同等效力，签字盖章后生效。</w:t>
      </w:r>
    </w:p>
    <w:p>
      <w:pPr>
        <w:spacing w:line="480" w:lineRule="exact"/>
        <w:ind w:firstLine="448" w:firstLineChars="200"/>
        <w:rPr>
          <w:sz w:val="24"/>
          <w:szCs w:val="24"/>
        </w:rPr>
      </w:pPr>
    </w:p>
    <w:p>
      <w:pPr>
        <w:tabs>
          <w:tab w:val="left" w:pos="360"/>
        </w:tabs>
        <w:spacing w:line="516" w:lineRule="exact"/>
        <w:ind w:firstLine="448" w:firstLineChars="200"/>
        <w:rPr>
          <w:color w:val="000000"/>
          <w:sz w:val="24"/>
          <w:szCs w:val="24"/>
        </w:rPr>
      </w:pPr>
      <w:r>
        <w:rPr>
          <w:rFonts w:hAnsiTheme="minorEastAsia"/>
          <w:sz w:val="24"/>
          <w:szCs w:val="24"/>
        </w:rPr>
        <w:t>采购人</w:t>
      </w:r>
      <w:r>
        <w:rPr>
          <w:sz w:val="24"/>
          <w:szCs w:val="24"/>
        </w:rPr>
        <w:t>-</w:t>
      </w:r>
      <w:r>
        <w:rPr>
          <w:rFonts w:hAnsiTheme="minorEastAsia"/>
          <w:sz w:val="24"/>
          <w:szCs w:val="24"/>
        </w:rPr>
        <w:t>甲方（公章）</w:t>
      </w:r>
      <w:r>
        <w:rPr>
          <w:rFonts w:hAnsiTheme="minorEastAsia"/>
          <w:color w:val="000000"/>
          <w:sz w:val="24"/>
          <w:szCs w:val="24"/>
        </w:rPr>
        <w:t>：</w:t>
      </w:r>
      <w:r>
        <w:rPr>
          <w:rFonts w:hAnsiTheme="minorEastAsia"/>
          <w:sz w:val="24"/>
          <w:szCs w:val="24"/>
        </w:rPr>
        <w:t>供应商</w:t>
      </w:r>
      <w:r>
        <w:rPr>
          <w:sz w:val="24"/>
          <w:szCs w:val="24"/>
        </w:rPr>
        <w:t>-</w:t>
      </w:r>
      <w:r>
        <w:rPr>
          <w:rFonts w:hAnsiTheme="minorEastAsia"/>
          <w:sz w:val="24"/>
          <w:szCs w:val="24"/>
        </w:rPr>
        <w:t>乙方（公章）</w:t>
      </w:r>
      <w:r>
        <w:rPr>
          <w:rFonts w:hAnsiTheme="minorEastAsia"/>
          <w:color w:val="000000"/>
          <w:sz w:val="24"/>
          <w:szCs w:val="24"/>
        </w:rPr>
        <w:t>：</w:t>
      </w:r>
    </w:p>
    <w:p>
      <w:pPr>
        <w:tabs>
          <w:tab w:val="left" w:pos="0"/>
          <w:tab w:val="left" w:pos="315"/>
        </w:tabs>
        <w:spacing w:line="516" w:lineRule="exact"/>
        <w:ind w:firstLine="448" w:firstLineChars="200"/>
        <w:rPr>
          <w:color w:val="000000"/>
          <w:sz w:val="24"/>
          <w:szCs w:val="24"/>
        </w:rPr>
      </w:pPr>
      <w:r>
        <w:rPr>
          <w:rFonts w:hAnsiTheme="minorEastAsia"/>
          <w:color w:val="000000"/>
          <w:sz w:val="24"/>
          <w:szCs w:val="24"/>
        </w:rPr>
        <w:t>地址：地址：</w:t>
      </w:r>
    </w:p>
    <w:p>
      <w:pPr>
        <w:tabs>
          <w:tab w:val="left" w:pos="0"/>
          <w:tab w:val="left" w:pos="315"/>
        </w:tabs>
        <w:spacing w:line="516" w:lineRule="exact"/>
        <w:ind w:firstLine="448" w:firstLineChars="200"/>
        <w:rPr>
          <w:color w:val="000000"/>
          <w:sz w:val="24"/>
          <w:szCs w:val="24"/>
        </w:rPr>
      </w:pPr>
      <w:r>
        <w:rPr>
          <w:rFonts w:hAnsiTheme="minorEastAsia"/>
          <w:color w:val="000000"/>
          <w:sz w:val="24"/>
          <w:szCs w:val="24"/>
        </w:rPr>
        <w:t>法定代表人：法定代表人：</w:t>
      </w:r>
    </w:p>
    <w:p>
      <w:pPr>
        <w:tabs>
          <w:tab w:val="left" w:pos="360"/>
        </w:tabs>
        <w:spacing w:line="516" w:lineRule="exact"/>
        <w:ind w:firstLine="448" w:firstLineChars="200"/>
        <w:rPr>
          <w:color w:val="000000"/>
          <w:sz w:val="24"/>
          <w:szCs w:val="24"/>
        </w:rPr>
      </w:pPr>
      <w:r>
        <w:rPr>
          <w:rFonts w:hAnsiTheme="minorEastAsia"/>
          <w:color w:val="000000"/>
          <w:sz w:val="24"/>
          <w:szCs w:val="24"/>
        </w:rPr>
        <w:t>委托代理人：委托代理人：</w:t>
      </w:r>
    </w:p>
    <w:p>
      <w:pPr>
        <w:tabs>
          <w:tab w:val="left" w:pos="360"/>
        </w:tabs>
        <w:spacing w:line="516" w:lineRule="exact"/>
        <w:ind w:firstLine="448" w:firstLineChars="200"/>
        <w:rPr>
          <w:color w:val="000000"/>
          <w:sz w:val="24"/>
          <w:szCs w:val="24"/>
        </w:rPr>
      </w:pPr>
      <w:r>
        <w:rPr>
          <w:rFonts w:hAnsiTheme="minorEastAsia"/>
          <w:color w:val="000000"/>
          <w:sz w:val="24"/>
          <w:szCs w:val="24"/>
        </w:rPr>
        <w:t>电话：电话：</w:t>
      </w:r>
    </w:p>
    <w:p>
      <w:pPr>
        <w:tabs>
          <w:tab w:val="left" w:pos="360"/>
        </w:tabs>
        <w:spacing w:line="516" w:lineRule="exact"/>
        <w:ind w:firstLine="448" w:firstLineChars="200"/>
        <w:rPr>
          <w:color w:val="000000"/>
          <w:sz w:val="24"/>
          <w:szCs w:val="24"/>
        </w:rPr>
      </w:pPr>
      <w:r>
        <w:rPr>
          <w:rFonts w:hAnsiTheme="minorEastAsia"/>
          <w:color w:val="000000"/>
          <w:sz w:val="24"/>
          <w:szCs w:val="24"/>
        </w:rPr>
        <w:t>时间：年月日</w:t>
      </w:r>
    </w:p>
    <w:p>
      <w:pPr>
        <w:jc w:val="center"/>
        <w:rPr>
          <w:sz w:val="24"/>
          <w:szCs w:val="24"/>
        </w:rPr>
      </w:pPr>
    </w:p>
    <w:p>
      <w:pPr>
        <w:jc w:val="center"/>
        <w:rPr>
          <w:sz w:val="24"/>
          <w:szCs w:val="24"/>
        </w:rPr>
      </w:pPr>
    </w:p>
    <w:p>
      <w:pPr>
        <w:widowControl/>
        <w:jc w:val="center"/>
        <w:rPr>
          <w:b/>
          <w:bCs/>
          <w:sz w:val="24"/>
          <w:szCs w:val="24"/>
        </w:rPr>
      </w:pPr>
      <w:r>
        <w:rPr>
          <w:rFonts w:hAnsiTheme="minorEastAsia"/>
          <w:b/>
          <w:bCs/>
          <w:sz w:val="24"/>
          <w:szCs w:val="24"/>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rFonts w:hAnsi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rFonts w:hAnsi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5"/>
        <w:rPr>
          <w:rFonts w:ascii="Times New Roman" w:hAnsi="Times New Roman"/>
        </w:rPr>
      </w:pPr>
      <w:r>
        <w:rPr>
          <w:rFonts w:ascii="Times New Roman" w:hAnsiTheme="minorEastAsia"/>
        </w:rPr>
        <w:t>第五部分投标文件格式</w:t>
      </w:r>
    </w:p>
    <w:p>
      <w:pPr>
        <w:autoSpaceDN w:val="0"/>
        <w:spacing w:line="360" w:lineRule="auto"/>
        <w:jc w:val="center"/>
        <w:rPr>
          <w:b/>
          <w:bCs/>
          <w:sz w:val="24"/>
        </w:rPr>
      </w:pPr>
      <w:r>
        <w:rPr>
          <w:rFonts w:hAnsiTheme="minorEastAsia"/>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rFonts w:hAnsiTheme="minorEastAsia"/>
          <w:sz w:val="160"/>
          <w:szCs w:val="84"/>
        </w:rPr>
        <w:t>投标文件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rFonts w:hAnsiTheme="minorEastAsia"/>
          <w:b/>
          <w:color w:val="FF0000"/>
          <w:kern w:val="0"/>
          <w:sz w:val="24"/>
        </w:rPr>
        <w:t>（加盖电子签章）</w:t>
      </w:r>
    </w:p>
    <w:p>
      <w:pPr>
        <w:spacing w:beforeLines="30" w:afterLines="70" w:line="540" w:lineRule="exact"/>
        <w:ind w:left="582" w:leftChars="300"/>
        <w:rPr>
          <w:b/>
          <w:sz w:val="34"/>
          <w:szCs w:val="34"/>
        </w:rPr>
      </w:pPr>
      <w:r>
        <w:rPr>
          <w:rFonts w:hAnsiTheme="minorEastAsia"/>
          <w:b/>
          <w:sz w:val="34"/>
          <w:szCs w:val="34"/>
        </w:rPr>
        <w:t>项目编号：</w:t>
      </w:r>
    </w:p>
    <w:p>
      <w:pPr>
        <w:spacing w:beforeLines="30" w:afterLines="70" w:line="540" w:lineRule="exact"/>
        <w:ind w:left="2027" w:leftChars="300" w:hanging="1445" w:hangingChars="446"/>
        <w:rPr>
          <w:b/>
          <w:sz w:val="34"/>
          <w:szCs w:val="34"/>
        </w:rPr>
      </w:pPr>
      <w:r>
        <w:rPr>
          <w:rFonts w:hAnsiTheme="minorEastAsia"/>
          <w:b/>
          <w:sz w:val="34"/>
          <w:szCs w:val="34"/>
        </w:rPr>
        <w:t>项目名称：</w:t>
      </w:r>
    </w:p>
    <w:p>
      <w:pPr>
        <w:spacing w:beforeLines="30" w:afterLines="70" w:line="540" w:lineRule="exact"/>
        <w:ind w:left="2027" w:leftChars="300" w:hanging="1445" w:hangingChars="446"/>
        <w:rPr>
          <w:b/>
          <w:sz w:val="34"/>
          <w:szCs w:val="34"/>
        </w:rPr>
      </w:pPr>
      <w:r>
        <w:rPr>
          <w:rFonts w:hAnsiTheme="minorEastAsia"/>
          <w:b/>
          <w:sz w:val="34"/>
          <w:szCs w:val="34"/>
        </w:rPr>
        <w:t>投标包号：</w:t>
      </w:r>
    </w:p>
    <w:p>
      <w:pPr>
        <w:spacing w:beforeLines="30" w:afterLines="70" w:line="540" w:lineRule="exact"/>
        <w:ind w:left="582" w:leftChars="300"/>
        <w:rPr>
          <w:b/>
          <w:sz w:val="34"/>
          <w:szCs w:val="34"/>
        </w:rPr>
      </w:pPr>
      <w:r>
        <w:rPr>
          <w:rFonts w:hAnsiTheme="minorEastAsia"/>
          <w:b/>
          <w:sz w:val="34"/>
          <w:szCs w:val="34"/>
        </w:rPr>
        <w:t>投标单位名称：</w:t>
      </w:r>
    </w:p>
    <w:p>
      <w:pPr>
        <w:spacing w:beforeLines="30" w:afterLines="70" w:line="540" w:lineRule="exact"/>
        <w:ind w:left="582" w:leftChars="300"/>
        <w:rPr>
          <w:b/>
          <w:kern w:val="0"/>
          <w:sz w:val="34"/>
          <w:szCs w:val="34"/>
        </w:rPr>
      </w:pPr>
      <w:r>
        <w:rPr>
          <w:rFonts w:hint="eastAsia" w:hAnsiTheme="minor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rFonts w:hAnsiTheme="minorEastAsia"/>
          <w:b/>
          <w:sz w:val="34"/>
          <w:szCs w:val="34"/>
        </w:rPr>
        <w:t>投标日期：年月日</w:t>
      </w:r>
    </w:p>
    <w:p>
      <w:pPr>
        <w:widowControl/>
        <w:jc w:val="left"/>
        <w:rPr>
          <w:b/>
          <w:sz w:val="24"/>
        </w:rPr>
      </w:pPr>
      <w:r>
        <w:rPr>
          <w:b/>
          <w:sz w:val="24"/>
        </w:rPr>
        <w:br w:type="page"/>
      </w:r>
    </w:p>
    <w:p>
      <w:pPr>
        <w:autoSpaceDN w:val="0"/>
        <w:spacing w:line="360" w:lineRule="auto"/>
        <w:jc w:val="center"/>
        <w:rPr>
          <w:b/>
          <w:bCs/>
          <w:sz w:val="24"/>
        </w:rPr>
      </w:pPr>
      <w:r>
        <w:rPr>
          <w:rFonts w:hAnsiTheme="minorEastAsia"/>
          <w:b/>
          <w:bCs/>
          <w:sz w:val="24"/>
        </w:rPr>
        <w:t>投标文件总目录</w:t>
      </w:r>
    </w:p>
    <w:p>
      <w:pPr>
        <w:autoSpaceDN w:val="0"/>
        <w:spacing w:line="360" w:lineRule="auto"/>
        <w:jc w:val="center"/>
        <w:rPr>
          <w:b/>
          <w:bCs/>
          <w:sz w:val="24"/>
        </w:rPr>
      </w:pPr>
      <w:r>
        <w:rPr>
          <w:rFonts w:hAnsiTheme="minorEastAsia"/>
          <w:b/>
          <w:bCs/>
          <w:sz w:val="24"/>
        </w:rPr>
        <w:t>（投标人自行编制）</w:t>
      </w:r>
    </w:p>
    <w:p>
      <w:pPr>
        <w:widowControl/>
        <w:jc w:val="left"/>
        <w:rPr>
          <w:b/>
          <w:sz w:val="24"/>
        </w:rPr>
      </w:pPr>
      <w:r>
        <w:rPr>
          <w:b/>
          <w:sz w:val="24"/>
        </w:rPr>
        <w:br w:type="page"/>
      </w:r>
    </w:p>
    <w:p>
      <w:pPr>
        <w:widowControl/>
        <w:jc w:val="center"/>
        <w:rPr>
          <w:b/>
          <w:sz w:val="24"/>
        </w:rPr>
      </w:pPr>
      <w:r>
        <w:rPr>
          <w:rFonts w:hAnsiTheme="minorEastAsia"/>
          <w:b/>
          <w:sz w:val="24"/>
        </w:rPr>
        <w:t>评分因素及评标标准页码检索</w:t>
      </w:r>
    </w:p>
    <w:p>
      <w:pPr>
        <w:widowControl/>
        <w:jc w:val="center"/>
        <w:rPr>
          <w:b/>
          <w:sz w:val="24"/>
        </w:rPr>
      </w:pPr>
      <w:r>
        <w:rPr>
          <w:rFonts w:hAnsiTheme="minorEastAsia"/>
          <w:b/>
          <w:bCs/>
          <w:sz w:val="24"/>
        </w:rPr>
        <w:t>（需投标人按招标文件</w:t>
      </w:r>
      <w:r>
        <w:rPr>
          <w:b/>
          <w:bCs/>
          <w:sz w:val="24"/>
        </w:rPr>
        <w:t>“</w:t>
      </w:r>
      <w:r>
        <w:rPr>
          <w:rFonts w:hAnsiTheme="minorEastAsia"/>
          <w:b/>
          <w:bCs/>
          <w:sz w:val="24"/>
        </w:rPr>
        <w:t>评分因素及评标标准</w:t>
      </w:r>
      <w:r>
        <w:rPr>
          <w:b/>
          <w:bCs/>
          <w:sz w:val="24"/>
        </w:rPr>
        <w:t>”</w:t>
      </w:r>
      <w:r>
        <w:rPr>
          <w:rFonts w:hAnsiTheme="minorEastAsia"/>
          <w:b/>
          <w:bCs/>
          <w:sz w:val="24"/>
        </w:rPr>
        <w:t>中每个评分项逐项列明页码）</w:t>
      </w:r>
    </w:p>
    <w:p>
      <w:pPr>
        <w:widowControl/>
        <w:jc w:val="left"/>
        <w:rPr>
          <w:b/>
          <w:sz w:val="24"/>
        </w:rPr>
      </w:pPr>
    </w:p>
    <w:p>
      <w:pPr>
        <w:widowControl/>
        <w:jc w:val="left"/>
        <w:rPr>
          <w:sz w:val="24"/>
        </w:rPr>
      </w:pPr>
      <w:r>
        <w:rPr>
          <w:b/>
          <w:sz w:val="24"/>
        </w:rPr>
        <w:br w:type="page"/>
      </w:r>
      <w:r>
        <w:rPr>
          <w:rFonts w:hAnsiTheme="minorEastAsia"/>
          <w:b/>
          <w:sz w:val="24"/>
        </w:rPr>
        <w:t>附件</w:t>
      </w:r>
      <w:r>
        <w:rPr>
          <w:b/>
          <w:sz w:val="24"/>
        </w:rPr>
        <w:t>1</w:t>
      </w:r>
    </w:p>
    <w:p>
      <w:pPr>
        <w:tabs>
          <w:tab w:val="left" w:pos="360"/>
        </w:tabs>
        <w:spacing w:line="560" w:lineRule="exact"/>
        <w:jc w:val="center"/>
        <w:rPr>
          <w:b/>
          <w:sz w:val="24"/>
        </w:rPr>
      </w:pPr>
      <w:r>
        <w:rPr>
          <w:rFonts w:hAnsiTheme="minorEastAsia"/>
          <w:b/>
          <w:sz w:val="24"/>
        </w:rPr>
        <w:t>投标书</w:t>
      </w:r>
    </w:p>
    <w:p>
      <w:pPr>
        <w:spacing w:line="560" w:lineRule="exact"/>
        <w:rPr>
          <w:sz w:val="24"/>
        </w:rPr>
      </w:pPr>
      <w:r>
        <w:rPr>
          <w:rFonts w:hAnsiTheme="minorEastAsia"/>
          <w:sz w:val="24"/>
        </w:rPr>
        <w:t>致：天津市</w:t>
      </w:r>
      <w:r>
        <w:rPr>
          <w:rFonts w:hint="eastAsia" w:hAnsiTheme="minorEastAsia"/>
          <w:sz w:val="24"/>
        </w:rPr>
        <w:t>滨海新区</w:t>
      </w:r>
      <w:r>
        <w:rPr>
          <w:rFonts w:hAnsiTheme="minorEastAsia"/>
          <w:sz w:val="24"/>
        </w:rPr>
        <w:t>政府采购中心</w:t>
      </w:r>
    </w:p>
    <w:p>
      <w:pPr>
        <w:spacing w:line="360" w:lineRule="auto"/>
        <w:ind w:firstLine="448" w:firstLineChars="200"/>
        <w:rPr>
          <w:sz w:val="24"/>
        </w:rPr>
      </w:pPr>
      <w:r>
        <w:rPr>
          <w:rFonts w:hAnsiTheme="minorEastAsia"/>
          <w:sz w:val="24"/>
        </w:rPr>
        <w:t>根据贵方为项目（项目编号：）的投标邀请，投标人代表（姓名</w:t>
      </w:r>
      <w:r>
        <w:rPr>
          <w:sz w:val="24"/>
          <w:lang w:val="en-GB"/>
        </w:rPr>
        <w:t>/</w:t>
      </w:r>
      <w:r>
        <w:rPr>
          <w:rFonts w:hAnsiTheme="minorEastAsia"/>
          <w:sz w:val="24"/>
        </w:rPr>
        <w:t>职务）经正式授权并代表我公司（投标单位名称、地址）提交网上应答及上传加盖电子签章的投标文件。</w:t>
      </w:r>
    </w:p>
    <w:p>
      <w:pPr>
        <w:spacing w:line="360" w:lineRule="auto"/>
        <w:ind w:firstLine="448" w:firstLineChars="200"/>
        <w:rPr>
          <w:sz w:val="24"/>
        </w:rPr>
      </w:pPr>
      <w:r>
        <w:rPr>
          <w:rFonts w:hAnsiTheme="minorEastAsia"/>
          <w:sz w:val="24"/>
        </w:rPr>
        <w:t>据此函，投标人代表宣布同意如下：</w:t>
      </w:r>
    </w:p>
    <w:p>
      <w:pPr>
        <w:spacing w:line="360" w:lineRule="auto"/>
        <w:ind w:firstLine="448" w:firstLineChars="200"/>
        <w:rPr>
          <w:sz w:val="24"/>
        </w:rPr>
      </w:pPr>
      <w:r>
        <w:rPr>
          <w:sz w:val="24"/>
        </w:rPr>
        <w:t xml:space="preserve">1. </w:t>
      </w:r>
      <w:r>
        <w:rPr>
          <w:rFonts w:hAnsiTheme="minorEastAsia"/>
          <w:sz w:val="24"/>
        </w:rPr>
        <w:t>所附投标报价表中规定的应提供服务的投标总价为：</w:t>
      </w:r>
    </w:p>
    <w:p>
      <w:pPr>
        <w:spacing w:line="360" w:lineRule="auto"/>
        <w:ind w:firstLine="448" w:firstLineChars="200"/>
        <w:rPr>
          <w:sz w:val="24"/>
        </w:rPr>
      </w:pPr>
      <w:r>
        <w:rPr>
          <w:rFonts w:hAnsiTheme="minorEastAsia"/>
          <w:sz w:val="24"/>
        </w:rPr>
        <w:t>第包，￥元（人民币），大写。</w:t>
      </w:r>
    </w:p>
    <w:p>
      <w:pPr>
        <w:spacing w:line="360" w:lineRule="auto"/>
        <w:ind w:firstLine="448" w:firstLineChars="200"/>
        <w:rPr>
          <w:sz w:val="24"/>
        </w:rPr>
      </w:pPr>
      <w:r>
        <w:rPr>
          <w:sz w:val="24"/>
        </w:rPr>
        <w:t>……</w:t>
      </w:r>
    </w:p>
    <w:p>
      <w:pPr>
        <w:spacing w:line="360" w:lineRule="auto"/>
        <w:ind w:firstLine="448" w:firstLineChars="200"/>
        <w:rPr>
          <w:sz w:val="24"/>
        </w:rPr>
      </w:pPr>
      <w:r>
        <w:rPr>
          <w:sz w:val="24"/>
        </w:rPr>
        <w:t xml:space="preserve">2. </w:t>
      </w:r>
      <w:r>
        <w:rPr>
          <w:rFonts w:hAnsiTheme="minorEastAsia"/>
          <w:sz w:val="24"/>
        </w:rPr>
        <w:t>我公司将按招标文件的规定履行合同责任和义务。</w:t>
      </w:r>
    </w:p>
    <w:p>
      <w:pPr>
        <w:spacing w:line="360" w:lineRule="auto"/>
        <w:ind w:firstLine="448" w:firstLineChars="200"/>
        <w:rPr>
          <w:sz w:val="24"/>
        </w:rPr>
      </w:pPr>
      <w:r>
        <w:rPr>
          <w:sz w:val="24"/>
        </w:rPr>
        <w:t xml:space="preserve">3. </w:t>
      </w:r>
      <w:r>
        <w:rPr>
          <w:rFonts w:hAnsiTheme="minor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 xml:space="preserve">4. </w:t>
      </w:r>
      <w:r>
        <w:rPr>
          <w:rFonts w:hAnsiTheme="minorEastAsia"/>
          <w:sz w:val="24"/>
        </w:rPr>
        <w:t>我公司的投标有效期为开标之日起</w:t>
      </w:r>
      <w:r>
        <w:rPr>
          <w:sz w:val="24"/>
        </w:rPr>
        <w:t>60</w:t>
      </w:r>
      <w:r>
        <w:rPr>
          <w:rFonts w:hAnsiTheme="minorEastAsia"/>
          <w:sz w:val="24"/>
        </w:rPr>
        <w:t>天。</w:t>
      </w:r>
    </w:p>
    <w:p>
      <w:pPr>
        <w:spacing w:line="360" w:lineRule="auto"/>
        <w:ind w:firstLine="448" w:firstLineChars="200"/>
        <w:rPr>
          <w:sz w:val="24"/>
        </w:rPr>
      </w:pPr>
      <w:r>
        <w:rPr>
          <w:sz w:val="24"/>
        </w:rPr>
        <w:t xml:space="preserve">5. </w:t>
      </w:r>
      <w:r>
        <w:rPr>
          <w:rFonts w:hAnsiTheme="minorEastAsia"/>
          <w:sz w:val="24"/>
        </w:rPr>
        <w:t>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 xml:space="preserve">6. </w:t>
      </w:r>
      <w:r>
        <w:rPr>
          <w:rFonts w:hAnsiTheme="minorEastAsia"/>
          <w:sz w:val="24"/>
        </w:rPr>
        <w:t>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 xml:space="preserve">7. </w:t>
      </w:r>
      <w:r>
        <w:rPr>
          <w:rFonts w:hAnsiTheme="minor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 xml:space="preserve">8. </w:t>
      </w:r>
      <w:r>
        <w:rPr>
          <w:rFonts w:hAnsiTheme="minorEastAsia"/>
          <w:sz w:val="24"/>
        </w:rPr>
        <w:t>我公司承诺完全符合《政府采购法》、《政府采购法实施条例》等法律法规规定，并随时接受</w:t>
      </w:r>
      <w:r>
        <w:rPr>
          <w:rFonts w:hint="eastAsia" w:hAnsiTheme="minorEastAsia"/>
          <w:sz w:val="24"/>
        </w:rPr>
        <w:t>采购人、采购代理机构</w:t>
      </w:r>
      <w:r>
        <w:rPr>
          <w:rFonts w:hAnsiTheme="minorEastAsia"/>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xml:space="preserve">. </w:t>
      </w:r>
      <w:r>
        <w:rPr>
          <w:rFonts w:hAnsiTheme="minorEastAsia"/>
          <w:sz w:val="24"/>
        </w:rPr>
        <w:t>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xml:space="preserve">. </w:t>
      </w:r>
      <w:r>
        <w:rPr>
          <w:rFonts w:hAnsiTheme="minorEastAsia"/>
          <w:sz w:val="24"/>
        </w:rPr>
        <w:t>如违反上述承诺，我公司投标无效且接受相关部门依法作出的处罚，并承担通过</w:t>
      </w:r>
      <w:r>
        <w:rPr>
          <w:sz w:val="24"/>
        </w:rPr>
        <w:t>“</w:t>
      </w:r>
      <w:r>
        <w:rPr>
          <w:rFonts w:hAnsiTheme="minorEastAsia"/>
          <w:sz w:val="24"/>
        </w:rPr>
        <w:t>天津市政府采购网</w:t>
      </w:r>
      <w:r>
        <w:rPr>
          <w:sz w:val="24"/>
        </w:rPr>
        <w:t>”</w:t>
      </w:r>
      <w:r>
        <w:rPr>
          <w:rFonts w:hAnsiTheme="minorEastAsia"/>
          <w:sz w:val="24"/>
        </w:rPr>
        <w:t>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AnsiTheme="minorEastAsia"/>
          <w:sz w:val="24"/>
        </w:rPr>
        <w:t>与本投标有关的一切正式往来通讯请寄：</w:t>
      </w:r>
    </w:p>
    <w:p>
      <w:pPr>
        <w:spacing w:line="360" w:lineRule="auto"/>
        <w:ind w:firstLine="448" w:firstLineChars="200"/>
        <w:rPr>
          <w:sz w:val="24"/>
        </w:rPr>
      </w:pPr>
    </w:p>
    <w:p>
      <w:pPr>
        <w:spacing w:line="360" w:lineRule="auto"/>
        <w:ind w:firstLine="448" w:firstLineChars="200"/>
        <w:rPr>
          <w:sz w:val="24"/>
        </w:rPr>
      </w:pPr>
      <w:r>
        <w:rPr>
          <w:rFonts w:hAnsiTheme="minorEastAsia"/>
          <w:sz w:val="24"/>
        </w:rPr>
        <w:t>地址：</w:t>
      </w:r>
    </w:p>
    <w:p>
      <w:pPr>
        <w:spacing w:line="360" w:lineRule="auto"/>
        <w:ind w:firstLine="448" w:firstLineChars="200"/>
        <w:rPr>
          <w:sz w:val="24"/>
        </w:rPr>
      </w:pPr>
      <w:r>
        <w:rPr>
          <w:rFonts w:hAnsiTheme="minorEastAsia"/>
          <w:sz w:val="24"/>
        </w:rPr>
        <w:t>邮政编码：</w:t>
      </w:r>
    </w:p>
    <w:p>
      <w:pPr>
        <w:spacing w:line="360" w:lineRule="auto"/>
        <w:ind w:firstLine="448" w:firstLineChars="200"/>
        <w:rPr>
          <w:sz w:val="24"/>
        </w:rPr>
      </w:pPr>
      <w:r>
        <w:rPr>
          <w:rFonts w:hAnsiTheme="minorEastAsia"/>
          <w:sz w:val="24"/>
        </w:rPr>
        <w:t>电话：</w:t>
      </w:r>
    </w:p>
    <w:p>
      <w:pPr>
        <w:spacing w:line="360" w:lineRule="auto"/>
        <w:ind w:firstLine="448" w:firstLineChars="200"/>
        <w:rPr>
          <w:sz w:val="24"/>
        </w:rPr>
      </w:pPr>
      <w:r>
        <w:rPr>
          <w:rFonts w:hAnsiTheme="minorEastAsia"/>
          <w:sz w:val="24"/>
        </w:rPr>
        <w:t>传真：</w:t>
      </w:r>
    </w:p>
    <w:p>
      <w:pPr>
        <w:spacing w:line="360" w:lineRule="auto"/>
        <w:ind w:firstLine="3808" w:firstLineChars="1700"/>
        <w:rPr>
          <w:sz w:val="24"/>
        </w:rPr>
      </w:pPr>
      <w:r>
        <w:rPr>
          <w:rFonts w:hAnsiTheme="minorEastAsia"/>
          <w:sz w:val="24"/>
        </w:rPr>
        <w:t>投标人名称：</w:t>
      </w:r>
    </w:p>
    <w:p>
      <w:pPr>
        <w:spacing w:line="360" w:lineRule="auto"/>
        <w:ind w:firstLine="3808" w:firstLineChars="1700"/>
        <w:rPr>
          <w:sz w:val="24"/>
        </w:rPr>
      </w:pPr>
      <w:r>
        <w:rPr>
          <w:rFonts w:hAnsiTheme="minorEastAsia"/>
          <w:sz w:val="24"/>
        </w:rPr>
        <w:t>日期：年月日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rFonts w:hAnsiTheme="minorEastAsia"/>
          <w:b/>
          <w:sz w:val="24"/>
        </w:rPr>
        <w:t>附件</w:t>
      </w:r>
      <w:r>
        <w:rPr>
          <w:b/>
          <w:sz w:val="24"/>
        </w:rPr>
        <w:t>2</w:t>
      </w:r>
    </w:p>
    <w:p>
      <w:pPr>
        <w:spacing w:line="460" w:lineRule="exact"/>
        <w:rPr>
          <w:b/>
          <w:sz w:val="24"/>
        </w:rPr>
      </w:pPr>
    </w:p>
    <w:p>
      <w:pPr>
        <w:ind w:right="84" w:firstLine="420"/>
        <w:jc w:val="center"/>
        <w:rPr>
          <w:b/>
          <w:sz w:val="24"/>
        </w:rPr>
      </w:pPr>
      <w:r>
        <w:rPr>
          <w:rFonts w:hAnsiTheme="minorEastAsia"/>
          <w:b/>
          <w:sz w:val="24"/>
        </w:rPr>
        <w:t>开标一览表</w:t>
      </w:r>
    </w:p>
    <w:p>
      <w:pPr>
        <w:spacing w:line="460" w:lineRule="exact"/>
        <w:ind w:left="192"/>
        <w:rPr>
          <w:sz w:val="24"/>
        </w:rPr>
      </w:pPr>
      <w:r>
        <w:rPr>
          <w:rFonts w:hAnsiTheme="minorEastAsia"/>
          <w:sz w:val="24"/>
        </w:rPr>
        <w:t>项目名称：</w:t>
      </w:r>
    </w:p>
    <w:p>
      <w:pPr>
        <w:spacing w:line="460" w:lineRule="exact"/>
        <w:ind w:left="192"/>
        <w:rPr>
          <w:sz w:val="24"/>
        </w:rPr>
      </w:pPr>
      <w:r>
        <w:rPr>
          <w:rFonts w:hAnsiTheme="minorEastAsia"/>
          <w:sz w:val="24"/>
        </w:rPr>
        <w:t>项目编号：</w:t>
      </w:r>
    </w:p>
    <w:p>
      <w:pPr>
        <w:spacing w:line="460" w:lineRule="exact"/>
        <w:rPr>
          <w:sz w:val="24"/>
        </w:rPr>
      </w:pPr>
      <w:r>
        <w:rPr>
          <w:rFonts w:hAnsiTheme="minorEastAsia"/>
          <w:sz w:val="24"/>
        </w:rPr>
        <w:t>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rFonts w:hAnsiTheme="minorEastAsia"/>
                <w:sz w:val="24"/>
              </w:rPr>
              <w:t>包号</w:t>
            </w:r>
          </w:p>
        </w:tc>
        <w:tc>
          <w:tcPr>
            <w:tcW w:w="1278" w:type="pct"/>
            <w:vAlign w:val="center"/>
          </w:tcPr>
          <w:p>
            <w:pPr>
              <w:spacing w:line="460" w:lineRule="exact"/>
              <w:jc w:val="center"/>
              <w:rPr>
                <w:sz w:val="24"/>
              </w:rPr>
            </w:pPr>
            <w:r>
              <w:rPr>
                <w:rFonts w:hAnsiTheme="minorEastAsia"/>
                <w:sz w:val="24"/>
              </w:rPr>
              <w:t>服务名称</w:t>
            </w:r>
          </w:p>
        </w:tc>
        <w:tc>
          <w:tcPr>
            <w:tcW w:w="806" w:type="pct"/>
            <w:vAlign w:val="center"/>
          </w:tcPr>
          <w:p>
            <w:pPr>
              <w:spacing w:line="460" w:lineRule="exact"/>
              <w:jc w:val="center"/>
              <w:rPr>
                <w:sz w:val="24"/>
              </w:rPr>
            </w:pPr>
            <w:r>
              <w:rPr>
                <w:rFonts w:hAnsiTheme="minorEastAsia"/>
                <w:sz w:val="24"/>
              </w:rPr>
              <w:t>数量</w:t>
            </w:r>
          </w:p>
        </w:tc>
        <w:tc>
          <w:tcPr>
            <w:tcW w:w="1202" w:type="pct"/>
            <w:vAlign w:val="center"/>
          </w:tcPr>
          <w:p>
            <w:pPr>
              <w:spacing w:line="460" w:lineRule="exact"/>
              <w:jc w:val="center"/>
              <w:rPr>
                <w:sz w:val="24"/>
              </w:rPr>
            </w:pPr>
            <w:r>
              <w:rPr>
                <w:rFonts w:hAnsiTheme="minorEastAsia"/>
                <w:sz w:val="24"/>
              </w:rPr>
              <w:t>投标总价</w:t>
            </w:r>
          </w:p>
        </w:tc>
        <w:tc>
          <w:tcPr>
            <w:tcW w:w="984" w:type="pct"/>
            <w:vAlign w:val="center"/>
          </w:tcPr>
          <w:p>
            <w:pPr>
              <w:spacing w:line="460" w:lineRule="exact"/>
              <w:jc w:val="center"/>
              <w:rPr>
                <w:sz w:val="24"/>
              </w:rPr>
            </w:pPr>
            <w:r>
              <w:rPr>
                <w:rFonts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rFonts w:hAnsiTheme="minorEastAsia"/>
          <w:sz w:val="24"/>
        </w:rPr>
        <w:t>日期：</w:t>
      </w:r>
    </w:p>
    <w:p>
      <w:pPr>
        <w:spacing w:line="360" w:lineRule="auto"/>
        <w:ind w:right="84" w:firstLine="420"/>
        <w:rPr>
          <w:position w:val="-40"/>
          <w:sz w:val="24"/>
        </w:rPr>
      </w:pPr>
    </w:p>
    <w:p>
      <w:pPr>
        <w:spacing w:line="360" w:lineRule="auto"/>
        <w:ind w:right="84" w:firstLine="420"/>
        <w:rPr>
          <w:position w:val="-40"/>
          <w:sz w:val="24"/>
        </w:rPr>
      </w:pPr>
    </w:p>
    <w:p>
      <w:pPr>
        <w:spacing w:line="360" w:lineRule="auto"/>
        <w:ind w:right="84" w:firstLine="420"/>
        <w:rPr>
          <w:position w:val="-40"/>
          <w:sz w:val="24"/>
        </w:rPr>
      </w:pP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p>
    <w:p>
      <w:pPr>
        <w:spacing w:line="460" w:lineRule="exact"/>
        <w:ind w:left="192"/>
        <w:rPr>
          <w:sz w:val="24"/>
        </w:rPr>
      </w:pPr>
      <w:r>
        <w:rPr>
          <w:sz w:val="24"/>
        </w:rPr>
        <w:t>项目编号：</w:t>
      </w:r>
    </w:p>
    <w:p>
      <w:pPr>
        <w:spacing w:line="460" w:lineRule="exact"/>
        <w:ind w:left="192"/>
        <w:rPr>
          <w:sz w:val="24"/>
        </w:rPr>
      </w:pPr>
      <w:r>
        <w:rPr>
          <w:sz w:val="24"/>
        </w:rPr>
        <w:t>包号：</w:t>
      </w:r>
    </w:p>
    <w:p>
      <w:pPr>
        <w:spacing w:line="460" w:lineRule="exact"/>
        <w:ind w:firstLine="6496" w:firstLineChars="2900"/>
        <w:rPr>
          <w:sz w:val="24"/>
        </w:rPr>
      </w:pPr>
      <w:r>
        <w:rPr>
          <w:sz w:val="24"/>
        </w:rPr>
        <w:t>单位：元</w:t>
      </w:r>
    </w:p>
    <w:tbl>
      <w:tblPr>
        <w:tblStyle w:val="19"/>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5</w:t>
            </w:r>
          </w:p>
        </w:tc>
        <w:tc>
          <w:tcPr>
            <w:tcW w:w="2121" w:type="pct"/>
            <w:vAlign w:val="center"/>
          </w:tcPr>
          <w:p>
            <w:pPr>
              <w:jc w:val="center"/>
              <w:rPr>
                <w:szCs w:val="21"/>
              </w:rPr>
            </w:pPr>
            <w:r>
              <w:rPr>
                <w:szCs w:val="21"/>
              </w:rPr>
              <w:t>绿化养护费用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6</w:t>
            </w:r>
          </w:p>
        </w:tc>
        <w:tc>
          <w:tcPr>
            <w:tcW w:w="2121" w:type="pct"/>
            <w:vAlign w:val="center"/>
          </w:tcPr>
          <w:p>
            <w:pPr>
              <w:jc w:val="center"/>
              <w:rPr>
                <w:szCs w:val="21"/>
              </w:rPr>
            </w:pPr>
            <w:r>
              <w:rPr>
                <w:rFonts w:hint="eastAsia"/>
                <w:szCs w:val="21"/>
              </w:rPr>
              <w:t>餐费</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7</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8</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12</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sz w:val="24"/>
        </w:rPr>
      </w:pPr>
      <w:r>
        <w:rPr>
          <w:sz w:val="24"/>
        </w:rPr>
        <w:t>投标人名称：</w:t>
      </w:r>
    </w:p>
    <w:p>
      <w:pPr>
        <w:spacing w:line="360" w:lineRule="auto"/>
        <w:ind w:right="85" w:firstLine="448" w:firstLineChars="200"/>
        <w:rPr>
          <w:b/>
          <w:sz w:val="24"/>
        </w:rPr>
      </w:pPr>
      <w:r>
        <w:rPr>
          <w:sz w:val="24"/>
        </w:rPr>
        <w:t>日期：</w:t>
      </w:r>
      <w:r>
        <w:rPr>
          <w:b/>
          <w:sz w:val="24"/>
        </w:rPr>
        <w:br w:type="page"/>
      </w:r>
    </w:p>
    <w:p>
      <w:pPr>
        <w:spacing w:line="460" w:lineRule="exact"/>
        <w:rPr>
          <w:b/>
          <w:sz w:val="24"/>
        </w:rPr>
      </w:pPr>
      <w:r>
        <w:rPr>
          <w:rFonts w:hAnsiTheme="minorEastAsia"/>
          <w:b/>
          <w:sz w:val="24"/>
        </w:rPr>
        <w:t>附件</w:t>
      </w:r>
      <w:r>
        <w:rPr>
          <w:b/>
          <w:sz w:val="24"/>
        </w:rPr>
        <w:t>4</w:t>
      </w:r>
    </w:p>
    <w:p>
      <w:pPr>
        <w:tabs>
          <w:tab w:val="left" w:pos="3780"/>
          <w:tab w:val="left" w:pos="3960"/>
        </w:tabs>
        <w:spacing w:line="460" w:lineRule="exact"/>
        <w:jc w:val="center"/>
        <w:rPr>
          <w:b/>
          <w:sz w:val="24"/>
        </w:rPr>
      </w:pPr>
      <w:r>
        <w:rPr>
          <w:rFonts w:hAnsiTheme="minorEastAsia"/>
          <w:b/>
          <w:sz w:val="24"/>
        </w:rPr>
        <w:t>人员</w:t>
      </w:r>
      <w:r>
        <w:rPr>
          <w:rFonts w:hint="eastAsia" w:hAnsiTheme="minorEastAsia"/>
          <w:b/>
          <w:sz w:val="24"/>
        </w:rPr>
        <w:t>费用</w:t>
      </w:r>
      <w:r>
        <w:rPr>
          <w:rFonts w:hAnsiTheme="minorEastAsia"/>
          <w:b/>
          <w:sz w:val="24"/>
        </w:rPr>
        <w:t>分项一览表</w:t>
      </w:r>
    </w:p>
    <w:p>
      <w:pPr>
        <w:spacing w:line="460" w:lineRule="exact"/>
        <w:ind w:left="192"/>
        <w:rPr>
          <w:sz w:val="24"/>
        </w:rPr>
      </w:pPr>
      <w:r>
        <w:rPr>
          <w:rFonts w:hAnsiTheme="minorEastAsia"/>
          <w:sz w:val="24"/>
        </w:rPr>
        <w:t>项目名称：</w:t>
      </w:r>
    </w:p>
    <w:p>
      <w:pPr>
        <w:spacing w:line="460" w:lineRule="exact"/>
        <w:ind w:left="192"/>
        <w:rPr>
          <w:sz w:val="24"/>
        </w:rPr>
      </w:pPr>
      <w:r>
        <w:rPr>
          <w:rFonts w:hAnsiTheme="minorEastAsia"/>
          <w:sz w:val="24"/>
        </w:rPr>
        <w:t>项目编号：</w:t>
      </w:r>
    </w:p>
    <w:p>
      <w:pPr>
        <w:spacing w:line="460" w:lineRule="exact"/>
        <w:ind w:left="192"/>
        <w:rPr>
          <w:sz w:val="24"/>
        </w:rPr>
      </w:pPr>
      <w:r>
        <w:rPr>
          <w:rFonts w:hAnsiTheme="minorEastAsia"/>
          <w:sz w:val="24"/>
        </w:rPr>
        <w:t>包号：</w:t>
      </w:r>
    </w:p>
    <w:p>
      <w:pPr>
        <w:spacing w:line="460" w:lineRule="exact"/>
        <w:ind w:firstLine="6496" w:firstLineChars="2900"/>
        <w:rPr>
          <w:sz w:val="24"/>
        </w:rPr>
      </w:pPr>
      <w:r>
        <w:rPr>
          <w:rFonts w:hAnsiTheme="minorEastAsia"/>
          <w:sz w:val="24"/>
        </w:rPr>
        <w:t>单位：元</w:t>
      </w:r>
    </w:p>
    <w:tbl>
      <w:tblPr>
        <w:tblStyle w:val="19"/>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hAnsiTheme="minorEastAsia"/>
                <w:sz w:val="24"/>
                <w:szCs w:val="24"/>
              </w:rPr>
              <w:t>序号</w:t>
            </w:r>
          </w:p>
        </w:tc>
        <w:tc>
          <w:tcPr>
            <w:tcW w:w="1356" w:type="dxa"/>
            <w:vAlign w:val="center"/>
          </w:tcPr>
          <w:p>
            <w:pPr>
              <w:jc w:val="center"/>
              <w:rPr>
                <w:sz w:val="24"/>
                <w:szCs w:val="24"/>
              </w:rPr>
            </w:pPr>
            <w:r>
              <w:rPr>
                <w:rFonts w:hAnsiTheme="minorEastAsia"/>
                <w:sz w:val="24"/>
                <w:szCs w:val="24"/>
              </w:rPr>
              <w:t>具体岗位</w:t>
            </w:r>
          </w:p>
        </w:tc>
        <w:tc>
          <w:tcPr>
            <w:tcW w:w="1512" w:type="dxa"/>
            <w:vAlign w:val="center"/>
          </w:tcPr>
          <w:p>
            <w:pPr>
              <w:jc w:val="center"/>
              <w:rPr>
                <w:sz w:val="24"/>
                <w:szCs w:val="24"/>
              </w:rPr>
            </w:pPr>
            <w:r>
              <w:rPr>
                <w:rFonts w:hAnsiTheme="minorEastAsia"/>
                <w:sz w:val="24"/>
                <w:szCs w:val="24"/>
              </w:rPr>
              <w:t>人数（人）</w:t>
            </w:r>
          </w:p>
        </w:tc>
        <w:tc>
          <w:tcPr>
            <w:tcW w:w="1416" w:type="dxa"/>
            <w:vAlign w:val="center"/>
          </w:tcPr>
          <w:p>
            <w:pPr>
              <w:jc w:val="center"/>
              <w:rPr>
                <w:sz w:val="24"/>
                <w:szCs w:val="24"/>
              </w:rPr>
            </w:pPr>
            <w:r>
              <w:rPr>
                <w:rFonts w:hAnsiTheme="minorEastAsia"/>
                <w:sz w:val="24"/>
                <w:szCs w:val="24"/>
              </w:rPr>
              <w:t>月工资</w:t>
            </w:r>
            <w:r>
              <w:rPr>
                <w:sz w:val="24"/>
                <w:szCs w:val="24"/>
              </w:rPr>
              <w:t>/</w:t>
            </w:r>
            <w:r>
              <w:rPr>
                <w:rFonts w:hAnsiTheme="minorEastAsia"/>
                <w:sz w:val="24"/>
                <w:szCs w:val="24"/>
              </w:rPr>
              <w:t>人</w:t>
            </w:r>
          </w:p>
        </w:tc>
        <w:tc>
          <w:tcPr>
            <w:tcW w:w="1296" w:type="dxa"/>
            <w:vAlign w:val="center"/>
          </w:tcPr>
          <w:p>
            <w:pPr>
              <w:jc w:val="center"/>
              <w:rPr>
                <w:sz w:val="24"/>
                <w:szCs w:val="24"/>
              </w:rPr>
            </w:pPr>
            <w:r>
              <w:rPr>
                <w:rFonts w:hAnsiTheme="minorEastAsia"/>
                <w:sz w:val="24"/>
                <w:szCs w:val="24"/>
              </w:rPr>
              <w:t>月保险</w:t>
            </w:r>
            <w:r>
              <w:rPr>
                <w:sz w:val="24"/>
                <w:szCs w:val="24"/>
              </w:rPr>
              <w:t>/</w:t>
            </w:r>
            <w:r>
              <w:rPr>
                <w:rFonts w:hAnsiTheme="minorEastAsia"/>
                <w:sz w:val="24"/>
                <w:szCs w:val="24"/>
              </w:rPr>
              <w:t>人</w:t>
            </w:r>
          </w:p>
        </w:tc>
        <w:tc>
          <w:tcPr>
            <w:tcW w:w="1116" w:type="dxa"/>
            <w:vAlign w:val="center"/>
          </w:tcPr>
          <w:p>
            <w:pPr>
              <w:jc w:val="center"/>
              <w:rPr>
                <w:sz w:val="24"/>
                <w:szCs w:val="24"/>
              </w:rPr>
            </w:pPr>
            <w:r>
              <w:rPr>
                <w:rFonts w:hint="eastAsia" w:hAnsiTheme="minorEastAsia"/>
                <w:sz w:val="24"/>
                <w:szCs w:val="24"/>
              </w:rPr>
              <w:t>月公积金</w:t>
            </w:r>
            <w:r>
              <w:rPr>
                <w:rFonts w:hint="eastAsia"/>
                <w:sz w:val="24"/>
                <w:szCs w:val="24"/>
              </w:rPr>
              <w:t>/</w:t>
            </w:r>
            <w:r>
              <w:rPr>
                <w:rFonts w:hint="eastAsia" w:hAnsiTheme="minorEastAsia"/>
                <w:sz w:val="24"/>
                <w:szCs w:val="24"/>
              </w:rPr>
              <w:t>人</w:t>
            </w:r>
          </w:p>
        </w:tc>
        <w:tc>
          <w:tcPr>
            <w:tcW w:w="1116" w:type="dxa"/>
            <w:vAlign w:val="center"/>
          </w:tcPr>
          <w:p>
            <w:pPr>
              <w:jc w:val="center"/>
              <w:rPr>
                <w:sz w:val="24"/>
                <w:szCs w:val="24"/>
              </w:rPr>
            </w:pPr>
            <w:r>
              <w:rPr>
                <w:rFonts w:hAnsiTheme="minorEastAsia"/>
                <w:sz w:val="24"/>
                <w:szCs w:val="24"/>
              </w:rPr>
              <w:t>月小计</w:t>
            </w:r>
          </w:p>
        </w:tc>
        <w:tc>
          <w:tcPr>
            <w:tcW w:w="1968" w:type="dxa"/>
            <w:vAlign w:val="center"/>
          </w:tcPr>
          <w:p>
            <w:pPr>
              <w:jc w:val="center"/>
              <w:rPr>
                <w:sz w:val="24"/>
                <w:szCs w:val="24"/>
              </w:rPr>
            </w:pPr>
            <w:r>
              <w:rPr>
                <w:rFonts w:hAnsiTheme="minorEastAsia"/>
                <w:sz w:val="24"/>
                <w:szCs w:val="24"/>
              </w:rPr>
              <w:t>招标文件规定的服务期</w:t>
            </w:r>
            <w:r>
              <w:rPr>
                <w:rFonts w:hint="eastAsia" w:hAnsiTheme="minor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hAnsiTheme="minorEastAsia"/>
                <w:sz w:val="24"/>
                <w:szCs w:val="24"/>
              </w:rPr>
              <w:t>人员费用合计</w:t>
            </w:r>
          </w:p>
        </w:tc>
        <w:tc>
          <w:tcPr>
            <w:tcW w:w="1116" w:type="dxa"/>
            <w:vAlign w:val="center"/>
          </w:tcPr>
          <w:p>
            <w:pPr>
              <w:jc w:val="center"/>
              <w:rPr>
                <w:sz w:val="24"/>
                <w:szCs w:val="24"/>
              </w:rPr>
            </w:pPr>
          </w:p>
        </w:tc>
        <w:tc>
          <w:tcPr>
            <w:tcW w:w="1968" w:type="dxa"/>
            <w:vAlign w:val="center"/>
          </w:tcPr>
          <w:p>
            <w:pPr>
              <w:jc w:val="center"/>
              <w:rPr>
                <w:sz w:val="24"/>
                <w:szCs w:val="24"/>
              </w:rPr>
            </w:pPr>
          </w:p>
        </w:tc>
      </w:tr>
    </w:tbl>
    <w:p>
      <w:pPr>
        <w:autoSpaceDE w:val="0"/>
        <w:autoSpaceDN w:val="0"/>
        <w:adjustRightInd w:val="0"/>
        <w:spacing w:line="360" w:lineRule="auto"/>
        <w:rPr>
          <w:b/>
          <w:color w:val="000000"/>
          <w:sz w:val="24"/>
        </w:rPr>
      </w:pPr>
      <w:r>
        <w:rPr>
          <w:rFonts w:hint="eastAsia" w:hAnsiTheme="minorEastAsia"/>
          <w:b/>
          <w:color w:val="000000"/>
          <w:sz w:val="24"/>
        </w:rPr>
        <w:t>备注：</w:t>
      </w:r>
    </w:p>
    <w:p>
      <w:pPr>
        <w:autoSpaceDE w:val="0"/>
        <w:autoSpaceDN w:val="0"/>
        <w:adjustRightInd w:val="0"/>
        <w:spacing w:line="360" w:lineRule="auto"/>
        <w:ind w:firstLine="448" w:firstLineChars="200"/>
        <w:rPr>
          <w:b/>
          <w:color w:val="000000"/>
          <w:sz w:val="24"/>
        </w:rPr>
      </w:pPr>
      <w:r>
        <w:rPr>
          <w:b/>
          <w:color w:val="000000"/>
          <w:sz w:val="24"/>
        </w:rPr>
        <w:t>1</w:t>
      </w:r>
      <w:r>
        <w:rPr>
          <w:rFonts w:hAnsiTheme="minorEastAsia"/>
          <w:b/>
          <w:color w:val="000000"/>
          <w:sz w:val="24"/>
        </w:rPr>
        <w:t>、上表中工资是指在扣除劳动者个人负担的社会保险费、</w:t>
      </w:r>
      <w:r>
        <w:rPr>
          <w:rFonts w:hint="eastAsia" w:hAnsiTheme="minorEastAsia"/>
          <w:b/>
          <w:color w:val="000000"/>
          <w:sz w:val="24"/>
        </w:rPr>
        <w:t>个人负担的公积金、</w:t>
      </w:r>
      <w:r>
        <w:rPr>
          <w:rFonts w:hAnsiTheme="minorEastAsia"/>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w:t>
      </w:r>
      <w:r>
        <w:rPr>
          <w:rFonts w:hAnsiTheme="minorEastAsia"/>
          <w:b/>
          <w:color w:val="000000"/>
          <w:sz w:val="24"/>
        </w:rPr>
        <w:t>、投标人应按国家及天津市社会保险</w:t>
      </w:r>
      <w:r>
        <w:rPr>
          <w:rFonts w:hint="eastAsia" w:hAnsiTheme="minorEastAsia"/>
          <w:b/>
          <w:color w:val="000000"/>
          <w:sz w:val="24"/>
        </w:rPr>
        <w:t>、住房公积金</w:t>
      </w:r>
      <w:r>
        <w:rPr>
          <w:rFonts w:hAnsiTheme="minorEastAsia"/>
          <w:b/>
          <w:color w:val="000000"/>
          <w:sz w:val="24"/>
        </w:rPr>
        <w:t>相关规定</w:t>
      </w:r>
      <w:r>
        <w:rPr>
          <w:rFonts w:hint="eastAsia" w:hAnsiTheme="minorEastAsia"/>
          <w:b/>
          <w:color w:val="000000"/>
          <w:sz w:val="24"/>
        </w:rPr>
        <w:t>为本项目人员</w:t>
      </w:r>
      <w:r>
        <w:rPr>
          <w:rFonts w:hAnsiTheme="minorEastAsia"/>
          <w:b/>
          <w:color w:val="000000"/>
          <w:sz w:val="24"/>
        </w:rPr>
        <w:t>缴纳社会保险</w:t>
      </w:r>
      <w:r>
        <w:rPr>
          <w:rFonts w:hint="eastAsia" w:hAnsiTheme="minorEastAsia"/>
          <w:b/>
          <w:color w:val="000000"/>
          <w:sz w:val="24"/>
        </w:rPr>
        <w:t>、住房公积金</w:t>
      </w:r>
      <w:r>
        <w:rPr>
          <w:rFonts w:hAnsiTheme="minorEastAsia"/>
          <w:b/>
          <w:color w:val="000000"/>
          <w:sz w:val="24"/>
        </w:rPr>
        <w:t>，在投标文件中对人员保险</w:t>
      </w:r>
      <w:r>
        <w:rPr>
          <w:rFonts w:hint="eastAsia" w:hAnsiTheme="minorEastAsia"/>
          <w:b/>
          <w:color w:val="000000"/>
          <w:sz w:val="24"/>
        </w:rPr>
        <w:t>、公积金</w:t>
      </w:r>
      <w:r>
        <w:rPr>
          <w:rFonts w:hAnsiTheme="minorEastAsia"/>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rFonts w:hAnsiTheme="minorEastAsia"/>
          <w:b/>
          <w:color w:val="000000"/>
          <w:sz w:val="24"/>
        </w:rPr>
        <w:t>、上表中的月小计</w:t>
      </w:r>
      <w:r>
        <w:rPr>
          <w:b/>
          <w:color w:val="000000"/>
          <w:sz w:val="24"/>
        </w:rPr>
        <w:t>=</w:t>
      </w:r>
      <w:r>
        <w:rPr>
          <w:rFonts w:hAnsiTheme="minorEastAsia"/>
          <w:b/>
          <w:color w:val="000000"/>
          <w:sz w:val="24"/>
        </w:rPr>
        <w:t>人数</w:t>
      </w:r>
      <w:r>
        <w:rPr>
          <w:b/>
          <w:color w:val="000000"/>
          <w:sz w:val="24"/>
        </w:rPr>
        <w:t>*</w:t>
      </w:r>
      <w:r>
        <w:rPr>
          <w:rFonts w:hAnsiTheme="minorEastAsia"/>
          <w:b/>
          <w:color w:val="000000"/>
          <w:sz w:val="24"/>
        </w:rPr>
        <w:t>（月工资</w:t>
      </w:r>
      <w:r>
        <w:rPr>
          <w:b/>
          <w:color w:val="000000"/>
          <w:sz w:val="24"/>
        </w:rPr>
        <w:t>/</w:t>
      </w:r>
      <w:r>
        <w:rPr>
          <w:rFonts w:hAnsiTheme="minorEastAsia"/>
          <w:b/>
          <w:color w:val="000000"/>
          <w:sz w:val="24"/>
        </w:rPr>
        <w:t>人</w:t>
      </w:r>
      <w:r>
        <w:rPr>
          <w:b/>
          <w:color w:val="000000"/>
          <w:sz w:val="24"/>
        </w:rPr>
        <w:t>+</w:t>
      </w:r>
      <w:r>
        <w:rPr>
          <w:rFonts w:hAnsiTheme="minorEastAsia"/>
          <w:b/>
          <w:color w:val="000000"/>
          <w:sz w:val="24"/>
        </w:rPr>
        <w:t>月保险</w:t>
      </w:r>
      <w:r>
        <w:rPr>
          <w:b/>
          <w:color w:val="000000"/>
          <w:sz w:val="24"/>
        </w:rPr>
        <w:t>/</w:t>
      </w:r>
      <w:r>
        <w:rPr>
          <w:rFonts w:hAnsiTheme="minorEastAsia"/>
          <w:b/>
          <w:color w:val="000000"/>
          <w:sz w:val="24"/>
        </w:rPr>
        <w:t>人</w:t>
      </w:r>
      <w:r>
        <w:rPr>
          <w:rFonts w:hint="eastAsia"/>
          <w:b/>
          <w:color w:val="000000"/>
          <w:sz w:val="24"/>
        </w:rPr>
        <w:t>+</w:t>
      </w:r>
      <w:r>
        <w:rPr>
          <w:rFonts w:hint="eastAsia" w:hAnsiTheme="minorEastAsia"/>
          <w:b/>
          <w:color w:val="000000"/>
          <w:sz w:val="24"/>
        </w:rPr>
        <w:t>月公积金</w:t>
      </w:r>
      <w:r>
        <w:rPr>
          <w:rFonts w:hint="eastAsia"/>
          <w:b/>
          <w:color w:val="000000"/>
          <w:sz w:val="24"/>
        </w:rPr>
        <w:t>/</w:t>
      </w:r>
      <w:r>
        <w:rPr>
          <w:rFonts w:hint="eastAsia" w:hAnsiTheme="minorEastAsia"/>
          <w:b/>
          <w:color w:val="000000"/>
          <w:sz w:val="24"/>
        </w:rPr>
        <w:t>人</w:t>
      </w:r>
      <w:r>
        <w:rPr>
          <w:rFonts w:hAnsiTheme="minorEastAsia"/>
          <w:b/>
          <w:color w:val="000000"/>
          <w:sz w:val="24"/>
        </w:rPr>
        <w:t>），招标文件规定的服务期</w:t>
      </w:r>
      <w:r>
        <w:rPr>
          <w:rFonts w:hint="eastAsia" w:hAnsiTheme="minorEastAsia"/>
          <w:b/>
          <w:color w:val="000000"/>
          <w:sz w:val="24"/>
        </w:rPr>
        <w:t>小计</w:t>
      </w:r>
      <w:r>
        <w:rPr>
          <w:b/>
          <w:color w:val="000000"/>
          <w:sz w:val="24"/>
        </w:rPr>
        <w:t>=</w:t>
      </w:r>
      <w:r>
        <w:rPr>
          <w:rFonts w:hAnsiTheme="minorEastAsia"/>
          <w:b/>
          <w:color w:val="000000"/>
          <w:sz w:val="24"/>
        </w:rPr>
        <w:t>月小计</w:t>
      </w:r>
      <w:r>
        <w:rPr>
          <w:b/>
          <w:color w:val="000000"/>
          <w:sz w:val="24"/>
        </w:rPr>
        <w:t>*</w:t>
      </w:r>
      <w:r>
        <w:rPr>
          <w:rFonts w:hAnsiTheme="minorEastAsia"/>
          <w:b/>
          <w:color w:val="000000"/>
          <w:sz w:val="24"/>
        </w:rPr>
        <w:t>招标文件规定的服务</w:t>
      </w:r>
      <w:r>
        <w:rPr>
          <w:rFonts w:hint="eastAsia" w:hAnsiTheme="minorEastAsia"/>
          <w:b/>
          <w:color w:val="000000"/>
          <w:sz w:val="24"/>
        </w:rPr>
        <w:t>月数</w:t>
      </w:r>
    </w:p>
    <w:p>
      <w:pPr>
        <w:spacing w:line="460" w:lineRule="exact"/>
        <w:rPr>
          <w:sz w:val="24"/>
          <w:szCs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b/>
          <w:sz w:val="24"/>
        </w:rPr>
      </w:pPr>
      <w:r>
        <w:rPr>
          <w:rFonts w:hAnsiTheme="minorEastAsia"/>
          <w:sz w:val="24"/>
        </w:rPr>
        <w:t>日期：</w:t>
      </w:r>
      <w:r>
        <w:rPr>
          <w:b/>
          <w:sz w:val="24"/>
        </w:rPr>
        <w:br w:type="page"/>
      </w:r>
    </w:p>
    <w:p>
      <w:pPr>
        <w:spacing w:line="560" w:lineRule="exact"/>
        <w:rPr>
          <w:b/>
          <w:sz w:val="24"/>
        </w:rPr>
      </w:pPr>
      <w:r>
        <w:rPr>
          <w:rFonts w:hAnsiTheme="minorEastAsia"/>
          <w:b/>
          <w:sz w:val="24"/>
        </w:rPr>
        <w:t>附件</w:t>
      </w:r>
      <w:r>
        <w:rPr>
          <w:b/>
          <w:sz w:val="24"/>
        </w:rPr>
        <w:t>5</w:t>
      </w:r>
    </w:p>
    <w:p>
      <w:pPr>
        <w:autoSpaceDN w:val="0"/>
        <w:spacing w:line="360" w:lineRule="auto"/>
        <w:jc w:val="center"/>
        <w:rPr>
          <w:b/>
          <w:bCs/>
          <w:sz w:val="24"/>
        </w:rPr>
      </w:pPr>
      <w:r>
        <w:rPr>
          <w:rFonts w:hAnsiTheme="minorEastAsia"/>
          <w:b/>
          <w:bCs/>
          <w:sz w:val="24"/>
        </w:rPr>
        <w:t>商务要求点对点应答表</w:t>
      </w:r>
    </w:p>
    <w:p>
      <w:pPr>
        <w:spacing w:line="460" w:lineRule="exact"/>
        <w:rPr>
          <w:sz w:val="24"/>
        </w:rPr>
      </w:pP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p>
      <w:pPr>
        <w:spacing w:line="460" w:lineRule="exact"/>
        <w:rPr>
          <w:sz w:val="24"/>
          <w:u w:val="single"/>
        </w:rPr>
      </w:pPr>
    </w:p>
    <w:tbl>
      <w:tblPr>
        <w:tblStyle w:val="19"/>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bl>
    <w:p>
      <w:pPr>
        <w:spacing w:line="620" w:lineRule="exact"/>
        <w:rPr>
          <w:sz w:val="24"/>
        </w:rPr>
      </w:pPr>
      <w:r>
        <w:rPr>
          <w:rFonts w:hAnsiTheme="minorEastAsia"/>
          <w:sz w:val="24"/>
        </w:rPr>
        <w:t>注：</w:t>
      </w:r>
    </w:p>
    <w:p>
      <w:pPr>
        <w:spacing w:line="360" w:lineRule="auto"/>
        <w:rPr>
          <w:sz w:val="24"/>
        </w:rPr>
      </w:pPr>
      <w:r>
        <w:rPr>
          <w:sz w:val="24"/>
        </w:rPr>
        <w:t xml:space="preserve">1. </w:t>
      </w:r>
      <w:r>
        <w:rPr>
          <w:rFonts w:hAnsiTheme="minorEastAsia"/>
          <w:sz w:val="24"/>
        </w:rPr>
        <w:t>不如实填写偏离情况的投标文件将视为虚假材料。</w:t>
      </w:r>
    </w:p>
    <w:p>
      <w:pPr>
        <w:spacing w:line="360" w:lineRule="auto"/>
        <w:rPr>
          <w:sz w:val="24"/>
        </w:rPr>
      </w:pPr>
      <w:r>
        <w:rPr>
          <w:sz w:val="24"/>
        </w:rPr>
        <w:t xml:space="preserve">2. </w:t>
      </w:r>
      <w:r>
        <w:rPr>
          <w:rFonts w:hAnsiTheme="minorEastAsia"/>
          <w:sz w:val="24"/>
        </w:rPr>
        <w:t>招标要求指招标文件中规定的具体要求，投标应答指投标文件的具体内容。</w:t>
      </w:r>
    </w:p>
    <w:p>
      <w:pPr>
        <w:spacing w:line="360" w:lineRule="auto"/>
        <w:rPr>
          <w:sz w:val="24"/>
        </w:rPr>
      </w:pPr>
      <w:r>
        <w:rPr>
          <w:sz w:val="24"/>
        </w:rPr>
        <w:t xml:space="preserve">3. </w:t>
      </w:r>
      <w:r>
        <w:rPr>
          <w:rFonts w:hAnsiTheme="minorEastAsia"/>
          <w:sz w:val="24"/>
        </w:rPr>
        <w:t>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rFonts w:hAnsiTheme="minorEastAsia"/>
          <w:sz w:val="24"/>
        </w:rPr>
        <w:t>日期：</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rFonts w:hAnsiTheme="minorEastAsia"/>
          <w:b/>
          <w:sz w:val="24"/>
        </w:rPr>
        <w:t>附件</w:t>
      </w:r>
      <w:r>
        <w:rPr>
          <w:b/>
          <w:sz w:val="24"/>
        </w:rPr>
        <w:t>6</w:t>
      </w:r>
      <w:r>
        <w:rPr>
          <w:rFonts w:hint="eastAsia"/>
          <w:b/>
          <w:sz w:val="24"/>
        </w:rPr>
        <w:t>-1</w:t>
      </w:r>
    </w:p>
    <w:p>
      <w:pPr>
        <w:autoSpaceDN w:val="0"/>
        <w:spacing w:line="360" w:lineRule="auto"/>
        <w:jc w:val="center"/>
        <w:rPr>
          <w:b/>
          <w:bCs/>
          <w:sz w:val="24"/>
        </w:rPr>
      </w:pPr>
      <w:r>
        <w:rPr>
          <w:rFonts w:hAnsiTheme="minorEastAsia"/>
          <w:b/>
          <w:bCs/>
          <w:sz w:val="24"/>
        </w:rPr>
        <w:t>技术要求点对点应答表</w:t>
      </w: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tbl>
      <w:tblPr>
        <w:tblStyle w:val="19"/>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序号</w:t>
            </w:r>
          </w:p>
        </w:tc>
        <w:tc>
          <w:tcPr>
            <w:tcW w:w="4630" w:type="dxa"/>
            <w:shd w:val="clear" w:color="auto" w:fill="auto"/>
            <w:vAlign w:val="center"/>
          </w:tcPr>
          <w:p>
            <w:pPr>
              <w:widowControl/>
              <w:snapToGrid w:val="0"/>
              <w:jc w:val="center"/>
              <w:rPr>
                <w:kern w:val="0"/>
                <w:sz w:val="24"/>
                <w:szCs w:val="21"/>
              </w:rPr>
            </w:pPr>
            <w:r>
              <w:rPr>
                <w:rFonts w:hAnsiTheme="minorEastAsia"/>
                <w:kern w:val="0"/>
                <w:sz w:val="24"/>
                <w:szCs w:val="21"/>
              </w:rPr>
              <w:t>招标要求</w:t>
            </w:r>
          </w:p>
        </w:tc>
        <w:tc>
          <w:tcPr>
            <w:tcW w:w="2438" w:type="dxa"/>
            <w:shd w:val="clear" w:color="auto" w:fill="auto"/>
            <w:vAlign w:val="center"/>
          </w:tcPr>
          <w:p>
            <w:pPr>
              <w:widowControl/>
              <w:snapToGrid w:val="0"/>
              <w:jc w:val="center"/>
              <w:rPr>
                <w:kern w:val="0"/>
                <w:sz w:val="24"/>
                <w:szCs w:val="21"/>
              </w:rPr>
            </w:pPr>
            <w:r>
              <w:rPr>
                <w:rFonts w:hAnsiTheme="minorEastAsia"/>
                <w:kern w:val="0"/>
                <w:sz w:val="24"/>
                <w:szCs w:val="21"/>
              </w:rPr>
              <w:t>投标应答</w:t>
            </w:r>
          </w:p>
        </w:tc>
        <w:tc>
          <w:tcPr>
            <w:tcW w:w="1289" w:type="dxa"/>
            <w:shd w:val="clear" w:color="auto" w:fill="auto"/>
            <w:vAlign w:val="center"/>
          </w:tcPr>
          <w:p>
            <w:pPr>
              <w:widowControl/>
              <w:snapToGrid w:val="0"/>
              <w:jc w:val="center"/>
              <w:rPr>
                <w:kern w:val="0"/>
                <w:sz w:val="24"/>
                <w:szCs w:val="21"/>
              </w:rPr>
            </w:pPr>
            <w:r>
              <w:rPr>
                <w:rFonts w:hAnsiTheme="minorEastAsia"/>
                <w:kern w:val="0"/>
                <w:sz w:val="24"/>
                <w:szCs w:val="21"/>
              </w:rPr>
              <w:t>偏离说明</w:t>
            </w:r>
          </w:p>
        </w:tc>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rFonts w:hint="eastAsia" w:hAnsiTheme="minorEastAsia"/>
                <w:sz w:val="24"/>
              </w:rPr>
              <w:t>★</w:t>
            </w:r>
            <w:r>
              <w:rPr>
                <w:rFonts w:hAnsiTheme="minorEastAsia"/>
                <w:kern w:val="0"/>
                <w:sz w:val="24"/>
                <w:szCs w:val="21"/>
              </w:rPr>
              <w:t>（一）</w:t>
            </w:r>
            <w:r>
              <w:rPr>
                <w:rFonts w:hAnsiTheme="minorEastAsia"/>
                <w:sz w:val="24"/>
              </w:rPr>
              <w:t>投标人须承诺所提供的服务、人员</w:t>
            </w:r>
            <w:r>
              <w:rPr>
                <w:rFonts w:hint="eastAsia" w:hAnsiTheme="minorEastAsia"/>
                <w:sz w:val="24"/>
              </w:rPr>
              <w:t>、</w:t>
            </w:r>
            <w:r>
              <w:rPr>
                <w:rFonts w:hAnsiTheme="minorEastAsia"/>
                <w:sz w:val="24"/>
              </w:rPr>
              <w:t>设备</w:t>
            </w:r>
            <w:r>
              <w:rPr>
                <w:rFonts w:hint="eastAsia" w:hAnsiTheme="minorEastAsia"/>
                <w:sz w:val="24"/>
              </w:rPr>
              <w:t>及耗材等均</w:t>
            </w:r>
            <w:r>
              <w:rPr>
                <w:rFonts w:hAnsiTheme="minorEastAsia"/>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rFonts w:hint="eastAsia" w:hAnsiTheme="minorEastAsia"/>
                <w:sz w:val="24"/>
              </w:rPr>
              <w:t>★</w:t>
            </w:r>
            <w:r>
              <w:rPr>
                <w:rFonts w:hAnsiTheme="minorEastAsia"/>
                <w:sz w:val="24"/>
              </w:rPr>
              <w:t>（二）投标人须承诺</w:t>
            </w:r>
            <w:r>
              <w:rPr>
                <w:rFonts w:hint="eastAsia" w:hAnsiTheme="minorEastAsia"/>
                <w:sz w:val="24"/>
              </w:rPr>
              <w:t>一旦中标，</w:t>
            </w:r>
            <w:r>
              <w:rPr>
                <w:rFonts w:hAnsiTheme="minorEastAsia"/>
                <w:color w:val="000000"/>
                <w:sz w:val="24"/>
              </w:rPr>
              <w:t>根据《中华人民共和国劳动合同法》及其他法律法规的要求与服务人员签订</w:t>
            </w:r>
            <w:r>
              <w:rPr>
                <w:rFonts w:hint="eastAsia" w:hAnsiTheme="minorEastAsia"/>
                <w:color w:val="000000"/>
                <w:sz w:val="24"/>
              </w:rPr>
              <w:t>劳动</w:t>
            </w:r>
            <w:r>
              <w:rPr>
                <w:rFonts w:hAnsiTheme="minorEastAsia"/>
                <w:color w:val="000000"/>
                <w:sz w:val="24"/>
              </w:rPr>
              <w:t>合同</w:t>
            </w:r>
            <w:r>
              <w:rPr>
                <w:rFonts w:hint="eastAsia" w:hAnsiTheme="minorEastAsia"/>
                <w:color w:val="000000"/>
                <w:sz w:val="24"/>
              </w:rPr>
              <w:t>，按国家及天津市相关政策规定，支付工资、加班费和福利费、</w:t>
            </w:r>
            <w:r>
              <w:rPr>
                <w:rFonts w:hAnsiTheme="minorEastAsia"/>
                <w:color w:val="000000"/>
                <w:sz w:val="24"/>
              </w:rPr>
              <w:t>缴纳社会保险</w:t>
            </w:r>
            <w:r>
              <w:rPr>
                <w:rFonts w:hint="eastAsia" w:hAnsiTheme="minorEastAsia"/>
                <w:color w:val="000000"/>
                <w:sz w:val="24"/>
              </w:rPr>
              <w:t>及住房公积金等</w:t>
            </w:r>
            <w:r>
              <w:rPr>
                <w:rFonts w:hAnsiTheme="minorEastAsia"/>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rFonts w:hint="eastAsia" w:hAnsiTheme="minorEastAsia"/>
                <w:sz w:val="24"/>
              </w:rPr>
              <w:t>★</w:t>
            </w:r>
            <w:r>
              <w:rPr>
                <w:rFonts w:hAnsiTheme="minorEastAsia"/>
                <w:sz w:val="24"/>
              </w:rPr>
              <w:t>（三）投标人须承诺</w:t>
            </w:r>
            <w:r>
              <w:rPr>
                <w:rFonts w:hint="eastAsia" w:hAnsiTheme="minorEastAsia"/>
                <w:color w:val="000000"/>
                <w:sz w:val="24"/>
              </w:rPr>
              <w:t>相应专业</w:t>
            </w:r>
            <w:r>
              <w:rPr>
                <w:rFonts w:hAnsiTheme="minorEastAsia"/>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kern w:val="0"/>
                <w:sz w:val="24"/>
                <w:szCs w:val="21"/>
              </w:rPr>
              <w:t xml:space="preserve">4. </w:t>
            </w:r>
            <w:r>
              <w:rPr>
                <w:rFonts w:hAnsiTheme="minorEastAsia"/>
                <w:kern w:val="0"/>
                <w:sz w:val="24"/>
                <w:szCs w:val="21"/>
              </w:rPr>
              <w:t>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序号</w:t>
            </w:r>
          </w:p>
        </w:tc>
        <w:tc>
          <w:tcPr>
            <w:tcW w:w="4630" w:type="dxa"/>
            <w:shd w:val="clear" w:color="auto" w:fill="auto"/>
            <w:vAlign w:val="center"/>
          </w:tcPr>
          <w:p>
            <w:pPr>
              <w:widowControl/>
              <w:snapToGrid w:val="0"/>
              <w:jc w:val="center"/>
              <w:rPr>
                <w:kern w:val="0"/>
                <w:sz w:val="24"/>
                <w:szCs w:val="21"/>
              </w:rPr>
            </w:pPr>
            <w:r>
              <w:rPr>
                <w:rFonts w:hAnsiTheme="minorEastAsia"/>
                <w:kern w:val="0"/>
                <w:sz w:val="24"/>
                <w:szCs w:val="21"/>
              </w:rPr>
              <w:t>招标要求</w:t>
            </w:r>
          </w:p>
        </w:tc>
        <w:tc>
          <w:tcPr>
            <w:tcW w:w="2438" w:type="dxa"/>
            <w:shd w:val="clear" w:color="auto" w:fill="auto"/>
            <w:vAlign w:val="center"/>
          </w:tcPr>
          <w:p>
            <w:pPr>
              <w:widowControl/>
              <w:snapToGrid w:val="0"/>
              <w:jc w:val="center"/>
              <w:rPr>
                <w:kern w:val="0"/>
                <w:sz w:val="24"/>
                <w:szCs w:val="21"/>
              </w:rPr>
            </w:pPr>
            <w:r>
              <w:rPr>
                <w:rFonts w:hAnsiTheme="minorEastAsia"/>
                <w:kern w:val="0"/>
                <w:sz w:val="24"/>
                <w:szCs w:val="21"/>
              </w:rPr>
              <w:t>投标应答</w:t>
            </w:r>
          </w:p>
        </w:tc>
        <w:tc>
          <w:tcPr>
            <w:tcW w:w="1289" w:type="dxa"/>
            <w:shd w:val="clear" w:color="auto" w:fill="auto"/>
            <w:vAlign w:val="center"/>
          </w:tcPr>
          <w:p>
            <w:pPr>
              <w:widowControl/>
              <w:snapToGrid w:val="0"/>
              <w:jc w:val="center"/>
              <w:rPr>
                <w:kern w:val="0"/>
                <w:sz w:val="24"/>
                <w:szCs w:val="21"/>
              </w:rPr>
            </w:pPr>
            <w:r>
              <w:rPr>
                <w:rFonts w:hAnsiTheme="minorEastAsia"/>
                <w:kern w:val="0"/>
                <w:sz w:val="24"/>
                <w:szCs w:val="21"/>
              </w:rPr>
              <w:t>偏离说明</w:t>
            </w:r>
          </w:p>
        </w:tc>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rFonts w:hAnsiTheme="minorEastAsia"/>
          <w:sz w:val="24"/>
        </w:rPr>
        <w:t>注：</w:t>
      </w:r>
    </w:p>
    <w:p>
      <w:pPr>
        <w:spacing w:line="360" w:lineRule="auto"/>
        <w:rPr>
          <w:sz w:val="24"/>
        </w:rPr>
      </w:pPr>
      <w:r>
        <w:rPr>
          <w:sz w:val="24"/>
        </w:rPr>
        <w:t xml:space="preserve">1. </w:t>
      </w:r>
      <w:r>
        <w:rPr>
          <w:rFonts w:hAnsiTheme="minorEastAsia"/>
          <w:sz w:val="24"/>
        </w:rPr>
        <w:t>不如实填写偏离情况的投标文件将视为虚假材料。</w:t>
      </w:r>
    </w:p>
    <w:p>
      <w:pPr>
        <w:spacing w:line="360" w:lineRule="auto"/>
        <w:rPr>
          <w:sz w:val="24"/>
        </w:rPr>
      </w:pPr>
      <w:r>
        <w:rPr>
          <w:sz w:val="24"/>
        </w:rPr>
        <w:t xml:space="preserve">2. </w:t>
      </w:r>
      <w:r>
        <w:rPr>
          <w:rFonts w:hAnsiTheme="minorEastAsia"/>
          <w:sz w:val="24"/>
        </w:rPr>
        <w:t>招标要求指招标文件中规定的具体要求，投标应答指投标文件的具体内容。</w:t>
      </w:r>
    </w:p>
    <w:p>
      <w:pPr>
        <w:spacing w:line="360" w:lineRule="auto"/>
        <w:rPr>
          <w:sz w:val="24"/>
        </w:rPr>
      </w:pPr>
      <w:r>
        <w:rPr>
          <w:sz w:val="24"/>
        </w:rPr>
        <w:t xml:space="preserve">3. </w:t>
      </w:r>
      <w:r>
        <w:rPr>
          <w:rFonts w:hAnsiTheme="minorEastAsia"/>
          <w:sz w:val="24"/>
        </w:rPr>
        <w:t>偏离说明指招标要求与投标应答之间的不同之处。</w:t>
      </w:r>
    </w:p>
    <w:p>
      <w:pPr>
        <w:spacing w:line="360" w:lineRule="auto"/>
        <w:rPr>
          <w:sz w:val="24"/>
        </w:rPr>
      </w:pPr>
      <w:r>
        <w:rPr>
          <w:sz w:val="24"/>
        </w:rPr>
        <w:t xml:space="preserve">4. </w:t>
      </w:r>
      <w:r>
        <w:rPr>
          <w:rFonts w:hAnsiTheme="minorEastAsia"/>
          <w:sz w:val="24"/>
        </w:rPr>
        <w:t>投标人在上表</w:t>
      </w:r>
      <w:r>
        <w:rPr>
          <w:sz w:val="24"/>
        </w:rPr>
        <w:t>“</w:t>
      </w:r>
      <w:r>
        <w:rPr>
          <w:rFonts w:hAnsiTheme="minorEastAsia"/>
          <w:sz w:val="24"/>
        </w:rPr>
        <w:t>项目需求书要求</w:t>
      </w:r>
      <w:r>
        <w:rPr>
          <w:sz w:val="24"/>
        </w:rPr>
        <w:t>”</w:t>
      </w:r>
      <w:r>
        <w:rPr>
          <w:rFonts w:hAnsiTheme="minorEastAsia"/>
          <w:sz w:val="24"/>
        </w:rPr>
        <w:t>的投标应答中必须列出具体数值或内容。如投标人未应答或只注明</w:t>
      </w:r>
      <w:r>
        <w:rPr>
          <w:sz w:val="24"/>
        </w:rPr>
        <w:t>“</w:t>
      </w:r>
      <w:r>
        <w:rPr>
          <w:rFonts w:hAnsiTheme="minorEastAsia"/>
          <w:sz w:val="24"/>
        </w:rPr>
        <w:t>符合</w:t>
      </w:r>
      <w:r>
        <w:rPr>
          <w:sz w:val="24"/>
        </w:rPr>
        <w:t>”</w:t>
      </w:r>
      <w:r>
        <w:rPr>
          <w:rFonts w:hAnsiTheme="minorEastAsia"/>
          <w:sz w:val="24"/>
        </w:rPr>
        <w:t>、</w:t>
      </w:r>
      <w:r>
        <w:rPr>
          <w:sz w:val="24"/>
        </w:rPr>
        <w:t>“</w:t>
      </w:r>
      <w:r>
        <w:rPr>
          <w:rFonts w:hAnsiTheme="minorEastAsia"/>
          <w:sz w:val="24"/>
        </w:rPr>
        <w:t>满足</w:t>
      </w:r>
      <w:r>
        <w:rPr>
          <w:sz w:val="24"/>
        </w:rPr>
        <w:t>”</w:t>
      </w:r>
      <w:r>
        <w:rPr>
          <w:rFonts w:hAnsiTheme="minorEastAsia"/>
          <w:sz w:val="24"/>
        </w:rPr>
        <w:t>等类似无具体内容的表述，将被视为不符合招标文件要求。投标人自行承担由此造成的一切后果。</w:t>
      </w: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rFonts w:hAnsiTheme="minorEastAsia"/>
          <w:sz w:val="24"/>
        </w:rPr>
        <w:t>日期</w:t>
      </w:r>
    </w:p>
    <w:p>
      <w:pPr>
        <w:widowControl/>
        <w:jc w:val="left"/>
        <w:rPr>
          <w:b/>
          <w:sz w:val="24"/>
        </w:rPr>
      </w:pPr>
      <w:r>
        <w:rPr>
          <w:rFonts w:hint="eastAsia" w:hAnsiTheme="minorEastAsia"/>
          <w:b/>
          <w:sz w:val="24"/>
        </w:rPr>
        <w:t>附件</w:t>
      </w:r>
      <w:r>
        <w:rPr>
          <w:rFonts w:hint="eastAsia"/>
          <w:b/>
          <w:sz w:val="24"/>
        </w:rPr>
        <w:t>6-2</w:t>
      </w:r>
    </w:p>
    <w:p>
      <w:pPr>
        <w:widowControl/>
        <w:jc w:val="left"/>
        <w:rPr>
          <w:sz w:val="24"/>
        </w:rPr>
      </w:pPr>
    </w:p>
    <w:p>
      <w:pPr>
        <w:widowControl/>
        <w:jc w:val="center"/>
        <w:rPr>
          <w:b/>
          <w:sz w:val="24"/>
        </w:rPr>
      </w:pPr>
      <w:r>
        <w:rPr>
          <w:rFonts w:hint="eastAsia" w:hAnsiTheme="minorEastAsia"/>
          <w:b/>
          <w:sz w:val="24"/>
        </w:rPr>
        <w:t>项目人员及岗位安排</w:t>
      </w:r>
    </w:p>
    <w:p>
      <w:pPr>
        <w:widowControl/>
        <w:jc w:val="left"/>
        <w:rPr>
          <w:sz w:val="24"/>
        </w:rPr>
      </w:pP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p>
      <w:pPr>
        <w:widowControl/>
        <w:jc w:val="left"/>
        <w:rPr>
          <w:sz w:val="24"/>
        </w:rPr>
      </w:pPr>
    </w:p>
    <w:p>
      <w:pPr>
        <w:widowControl/>
        <w:jc w:val="left"/>
        <w:rPr>
          <w:sz w:val="24"/>
        </w:rPr>
      </w:pPr>
    </w:p>
    <w:tbl>
      <w:tblPr>
        <w:tblStyle w:val="20"/>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rFonts w:hAnsiTheme="minorEastAsia"/>
                <w:b/>
                <w:szCs w:val="21"/>
              </w:rPr>
              <w:t>序号</w:t>
            </w:r>
          </w:p>
        </w:tc>
        <w:tc>
          <w:tcPr>
            <w:tcW w:w="682" w:type="pct"/>
            <w:vAlign w:val="center"/>
          </w:tcPr>
          <w:p>
            <w:pPr>
              <w:spacing w:line="360" w:lineRule="auto"/>
              <w:jc w:val="center"/>
              <w:rPr>
                <w:b/>
                <w:szCs w:val="21"/>
              </w:rPr>
            </w:pPr>
            <w:r>
              <w:rPr>
                <w:rFonts w:hAnsiTheme="minorEastAsia"/>
                <w:b/>
                <w:szCs w:val="21"/>
              </w:rPr>
              <w:t>岗位名称</w:t>
            </w:r>
          </w:p>
        </w:tc>
        <w:tc>
          <w:tcPr>
            <w:tcW w:w="682" w:type="pct"/>
            <w:vAlign w:val="center"/>
          </w:tcPr>
          <w:p>
            <w:pPr>
              <w:spacing w:line="360" w:lineRule="auto"/>
              <w:jc w:val="center"/>
              <w:rPr>
                <w:b/>
                <w:szCs w:val="21"/>
              </w:rPr>
            </w:pPr>
            <w:r>
              <w:rPr>
                <w:rFonts w:hint="eastAsia" w:hAnsiTheme="minorEastAsia"/>
                <w:b/>
                <w:szCs w:val="21"/>
              </w:rPr>
              <w:t>投入</w:t>
            </w:r>
            <w:r>
              <w:rPr>
                <w:rFonts w:hAnsiTheme="minorEastAsia"/>
                <w:b/>
                <w:szCs w:val="21"/>
              </w:rPr>
              <w:t>人数</w:t>
            </w:r>
          </w:p>
        </w:tc>
        <w:tc>
          <w:tcPr>
            <w:tcW w:w="1113" w:type="pct"/>
            <w:vAlign w:val="center"/>
          </w:tcPr>
          <w:p>
            <w:pPr>
              <w:spacing w:line="360" w:lineRule="auto"/>
              <w:jc w:val="center"/>
              <w:rPr>
                <w:b/>
                <w:szCs w:val="21"/>
              </w:rPr>
            </w:pPr>
            <w:r>
              <w:rPr>
                <w:rFonts w:hint="eastAsia" w:hAnsiTheme="minorEastAsia"/>
                <w:b/>
                <w:szCs w:val="21"/>
              </w:rPr>
              <w:t>人员情况简介</w:t>
            </w:r>
          </w:p>
        </w:tc>
        <w:tc>
          <w:tcPr>
            <w:tcW w:w="652" w:type="pct"/>
            <w:vAlign w:val="center"/>
          </w:tcPr>
          <w:p>
            <w:pPr>
              <w:spacing w:line="360" w:lineRule="auto"/>
              <w:jc w:val="center"/>
              <w:rPr>
                <w:b/>
                <w:szCs w:val="21"/>
              </w:rPr>
            </w:pPr>
            <w:r>
              <w:rPr>
                <w:rFonts w:hint="eastAsia" w:hAnsiTheme="minorEastAsia"/>
                <w:b/>
                <w:szCs w:val="21"/>
              </w:rPr>
              <w:t>是否退休</w:t>
            </w:r>
          </w:p>
        </w:tc>
        <w:tc>
          <w:tcPr>
            <w:tcW w:w="723" w:type="pct"/>
            <w:vAlign w:val="center"/>
          </w:tcPr>
          <w:p>
            <w:pPr>
              <w:spacing w:line="360" w:lineRule="auto"/>
              <w:jc w:val="center"/>
              <w:rPr>
                <w:b/>
                <w:szCs w:val="21"/>
              </w:rPr>
            </w:pPr>
            <w:r>
              <w:rPr>
                <w:rFonts w:hAnsiTheme="minorEastAsia"/>
                <w:b/>
                <w:szCs w:val="21"/>
              </w:rPr>
              <w:t>工作时间</w:t>
            </w:r>
          </w:p>
        </w:tc>
        <w:tc>
          <w:tcPr>
            <w:tcW w:w="723" w:type="pct"/>
            <w:vAlign w:val="center"/>
          </w:tcPr>
          <w:p>
            <w:pPr>
              <w:spacing w:line="360" w:lineRule="auto"/>
              <w:jc w:val="center"/>
              <w:rPr>
                <w:b/>
                <w:szCs w:val="21"/>
              </w:rPr>
            </w:pPr>
            <w:r>
              <w:rPr>
                <w:rFonts w:hint="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hAnsiTheme="minor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hAnsiTheme="minor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hAnsiTheme="minorEastAsia"/>
          <w:sz w:val="24"/>
        </w:rPr>
        <w:t>按劳动法和国务院关于职工工作时间的规定，正常情况下，上述人员每日工作不超过</w:t>
      </w:r>
      <w:r>
        <w:rPr>
          <w:rFonts w:hint="eastAsia"/>
          <w:sz w:val="24"/>
        </w:rPr>
        <w:t>8</w:t>
      </w:r>
      <w:r>
        <w:rPr>
          <w:rFonts w:hint="eastAsia" w:hAnsiTheme="minorEastAsia"/>
          <w:sz w:val="24"/>
        </w:rPr>
        <w:t>小时，每周工作不超过</w:t>
      </w:r>
      <w:r>
        <w:rPr>
          <w:rFonts w:hint="eastAsia"/>
          <w:sz w:val="24"/>
        </w:rPr>
        <w:t>40</w:t>
      </w:r>
      <w:r>
        <w:rPr>
          <w:rFonts w:hint="eastAsia" w:hAnsiTheme="minorEastAsia"/>
          <w:sz w:val="24"/>
        </w:rPr>
        <w:t>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rFonts w:hAnsiTheme="minorEastAsia"/>
          <w:sz w:val="24"/>
        </w:rPr>
        <w:t>日期</w:t>
      </w:r>
    </w:p>
    <w:p>
      <w:pPr>
        <w:spacing w:line="360" w:lineRule="auto"/>
        <w:ind w:right="84" w:firstLine="224" w:firstLineChars="100"/>
        <w:rPr>
          <w:position w:val="-40"/>
          <w:sz w:val="24"/>
        </w:rPr>
      </w:pPr>
    </w:p>
    <w:p>
      <w:pPr>
        <w:spacing w:line="360" w:lineRule="auto"/>
        <w:ind w:right="84" w:firstLine="224" w:firstLineChars="100"/>
        <w:rPr>
          <w:position w:val="-40"/>
          <w:sz w:val="24"/>
        </w:rPr>
      </w:pPr>
    </w:p>
    <w:p>
      <w:pPr>
        <w:spacing w:line="620" w:lineRule="exact"/>
        <w:rPr>
          <w:b/>
          <w:sz w:val="24"/>
        </w:rPr>
      </w:pPr>
      <w:r>
        <w:rPr>
          <w:rFonts w:hAnsiTheme="minorEastAsia"/>
          <w:b/>
          <w:sz w:val="24"/>
        </w:rPr>
        <w:t>附件</w:t>
      </w:r>
      <w:r>
        <w:rPr>
          <w:b/>
          <w:sz w:val="24"/>
        </w:rPr>
        <w:t>7</w:t>
      </w:r>
    </w:p>
    <w:p>
      <w:pPr>
        <w:autoSpaceDN w:val="0"/>
        <w:spacing w:line="360" w:lineRule="auto"/>
        <w:jc w:val="center"/>
        <w:rPr>
          <w:b/>
          <w:bCs/>
          <w:sz w:val="24"/>
        </w:rPr>
      </w:pPr>
      <w:r>
        <w:rPr>
          <w:rFonts w:hAnsiTheme="minorEastAsia"/>
          <w:b/>
          <w:sz w:val="24"/>
        </w:rPr>
        <w:t>主要相关项目业绩一览表</w:t>
      </w:r>
    </w:p>
    <w:p>
      <w:pPr>
        <w:spacing w:line="460" w:lineRule="exact"/>
        <w:ind w:left="192"/>
        <w:rPr>
          <w:sz w:val="24"/>
        </w:rPr>
      </w:pP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p>
      <w:pPr>
        <w:spacing w:line="460" w:lineRule="exact"/>
        <w:ind w:left="192"/>
        <w:rPr>
          <w:sz w:val="24"/>
        </w:rPr>
      </w:pP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rFonts w:hAnsiTheme="minorEastAsia"/>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rFonts w:hAnsiTheme="minorEastAsia"/>
          <w:sz w:val="24"/>
        </w:rPr>
        <w:t>日期</w:t>
      </w:r>
      <w:r>
        <w:rPr>
          <w:b/>
          <w:sz w:val="24"/>
        </w:rPr>
        <w:br w:type="page"/>
      </w:r>
    </w:p>
    <w:p>
      <w:pPr>
        <w:spacing w:line="460" w:lineRule="exact"/>
        <w:rPr>
          <w:b/>
          <w:sz w:val="24"/>
        </w:rPr>
      </w:pPr>
      <w:r>
        <w:rPr>
          <w:rFonts w:hAnsiTheme="minorEastAsia"/>
          <w:b/>
          <w:sz w:val="24"/>
        </w:rPr>
        <w:t>附件</w:t>
      </w:r>
      <w:r>
        <w:rPr>
          <w:b/>
          <w:sz w:val="24"/>
        </w:rPr>
        <w:t>8</w:t>
      </w:r>
    </w:p>
    <w:p>
      <w:pPr>
        <w:autoSpaceDN w:val="0"/>
        <w:spacing w:line="360" w:lineRule="auto"/>
        <w:jc w:val="center"/>
        <w:rPr>
          <w:b/>
          <w:bCs/>
          <w:sz w:val="24"/>
        </w:rPr>
      </w:pPr>
      <w:r>
        <w:rPr>
          <w:b/>
          <w:bCs/>
          <w:sz w:val="24"/>
        </w:rPr>
        <w:t>法定代表人授权书</w:t>
      </w:r>
    </w:p>
    <w:p>
      <w:pPr>
        <w:spacing w:line="360" w:lineRule="auto"/>
        <w:rPr>
          <w:sz w:val="24"/>
          <w:szCs w:val="21"/>
        </w:rPr>
      </w:pPr>
    </w:p>
    <w:p>
      <w:pPr>
        <w:spacing w:line="360" w:lineRule="auto"/>
        <w:rPr>
          <w:sz w:val="24"/>
          <w:szCs w:val="21"/>
        </w:rPr>
      </w:pPr>
      <w:r>
        <w:rPr>
          <w:sz w:val="24"/>
          <w:szCs w:val="21"/>
        </w:rPr>
        <w:t>致：天津市</w:t>
      </w:r>
      <w:r>
        <w:rPr>
          <w:rFonts w:hint="eastAsia"/>
          <w:sz w:val="24"/>
          <w:szCs w:val="21"/>
        </w:rPr>
        <w:t>滨海新区</w:t>
      </w:r>
      <w:r>
        <w:rPr>
          <w:sz w:val="24"/>
          <w:szCs w:val="21"/>
        </w:rPr>
        <w:t>政府采购中心</w:t>
      </w:r>
    </w:p>
    <w:p>
      <w:pPr>
        <w:snapToGrid w:val="0"/>
        <w:spacing w:line="360" w:lineRule="auto"/>
        <w:ind w:firstLine="448" w:firstLineChars="200"/>
        <w:rPr>
          <w:sz w:val="24"/>
          <w:szCs w:val="21"/>
        </w:rPr>
      </w:pPr>
      <w:r>
        <w:rPr>
          <w:rFonts w:hint="eastAsia"/>
          <w:sz w:val="24"/>
          <w:szCs w:val="21"/>
        </w:rPr>
        <w:t>我单位授权委托在职职工</w:t>
      </w:r>
      <w:r>
        <w:rPr>
          <w:sz w:val="24"/>
          <w:szCs w:val="21"/>
        </w:rPr>
        <w:t>_______________</w:t>
      </w:r>
      <w:r>
        <w:rPr>
          <w:rFonts w:hint="eastAsia"/>
          <w:sz w:val="24"/>
          <w:szCs w:val="21"/>
        </w:rPr>
        <w:t>（姓名，职务）（身份证号码：</w:t>
      </w:r>
      <w:r>
        <w:rPr>
          <w:sz w:val="24"/>
          <w:szCs w:val="21"/>
        </w:rPr>
        <w:t>____________________</w:t>
      </w:r>
      <w:r>
        <w:rPr>
          <w:rFonts w:hint="eastAsia"/>
          <w:sz w:val="24"/>
          <w:szCs w:val="21"/>
        </w:rPr>
        <w:t>，本月社保缴纳单位：，联系电话：</w:t>
      </w:r>
      <w:r>
        <w:rPr>
          <w:sz w:val="24"/>
          <w:szCs w:val="21"/>
        </w:rPr>
        <w:t>_______________</w:t>
      </w:r>
      <w:r>
        <w:rPr>
          <w:rFonts w:hint="eastAsia"/>
          <w:sz w:val="24"/>
          <w:szCs w:val="21"/>
        </w:rPr>
        <w:t>）</w:t>
      </w:r>
      <w:r>
        <w:rPr>
          <w:sz w:val="24"/>
          <w:szCs w:val="21"/>
        </w:rPr>
        <w:t>作为投标代表人以我方的名义参加贵中心______________________项目（项目编号：_______________）的投标活动，并代表我方全权办理针对上述项目的投标、开标、投标文件澄清、</w:t>
      </w:r>
      <w:r>
        <w:rPr>
          <w:rFonts w:hint="eastAsia"/>
          <w:sz w:val="24"/>
          <w:szCs w:val="21"/>
        </w:rPr>
        <w:t>说明或者更正等一切具体事务和签署相关文件。</w:t>
      </w:r>
    </w:p>
    <w:p>
      <w:pPr>
        <w:spacing w:line="360" w:lineRule="auto"/>
        <w:ind w:firstLine="448" w:firstLineChars="200"/>
        <w:rPr>
          <w:sz w:val="24"/>
          <w:szCs w:val="21"/>
        </w:rPr>
      </w:pPr>
      <w:r>
        <w:rPr>
          <w:rFonts w:hint="eastAsia"/>
          <w:sz w:val="24"/>
          <w:szCs w:val="21"/>
        </w:rPr>
        <w:t>我方对投标代表人的签名事项负全部责任。</w:t>
      </w:r>
    </w:p>
    <w:p>
      <w:pPr>
        <w:spacing w:line="360" w:lineRule="auto"/>
        <w:ind w:firstLine="448" w:firstLineChars="200"/>
        <w:rPr>
          <w:sz w:val="24"/>
          <w:szCs w:val="21"/>
        </w:rPr>
      </w:pPr>
      <w:r>
        <w:rPr>
          <w:rFonts w:hint="eastAsia"/>
          <w:sz w:val="24"/>
          <w:szCs w:val="21"/>
        </w:rPr>
        <w:t>我单位对填写的上述授权代表的社保缴纳单位信息的真实性负责，如有不实，愿承担相应的责任。</w:t>
      </w:r>
    </w:p>
    <w:p>
      <w:pPr>
        <w:spacing w:line="360" w:lineRule="auto"/>
        <w:ind w:firstLine="448" w:firstLineChars="200"/>
        <w:rPr>
          <w:sz w:val="24"/>
          <w:szCs w:val="21"/>
        </w:rPr>
      </w:pPr>
      <w:r>
        <w:rPr>
          <w:rFonts w:hint="eastAsia"/>
          <w:sz w:val="24"/>
          <w:szCs w:val="21"/>
        </w:rPr>
        <w:t>本授权书至投标有效期结束前始终有效。</w:t>
      </w:r>
    </w:p>
    <w:p>
      <w:pPr>
        <w:spacing w:line="360" w:lineRule="auto"/>
        <w:ind w:firstLine="448" w:firstLineChars="200"/>
        <w:rPr>
          <w:sz w:val="24"/>
        </w:rPr>
      </w:pPr>
      <w:r>
        <w:rPr>
          <w:rFonts w:hint="eastAsia"/>
          <w:sz w:val="24"/>
          <w:szCs w:val="21"/>
        </w:rPr>
        <w:t>投标代表人无转委托权，特此委托。</w:t>
      </w:r>
    </w:p>
    <w:p>
      <w:pPr>
        <w:spacing w:line="360" w:lineRule="auto"/>
        <w:ind w:firstLine="448" w:firstLineChars="200"/>
        <w:rPr>
          <w:sz w:val="24"/>
        </w:rPr>
      </w:pPr>
    </w:p>
    <w:p>
      <w:pPr>
        <w:spacing w:line="480" w:lineRule="auto"/>
        <w:ind w:right="480" w:firstLine="4032" w:firstLineChars="1800"/>
        <w:rPr>
          <w:sz w:val="24"/>
        </w:rPr>
      </w:pPr>
    </w:p>
    <w:p>
      <w:pPr>
        <w:spacing w:line="480" w:lineRule="auto"/>
        <w:jc w:val="center"/>
        <w:rPr>
          <w:sz w:val="24"/>
        </w:rPr>
      </w:pPr>
      <w:r>
        <w:rPr>
          <w:sz w:val="24"/>
        </w:rPr>
        <w:t>法定代表人签字或名章：</w:t>
      </w:r>
    </w:p>
    <w:p>
      <w:pPr>
        <w:spacing w:line="480" w:lineRule="auto"/>
        <w:jc w:val="center"/>
        <w:rPr>
          <w:sz w:val="24"/>
        </w:rPr>
      </w:pPr>
      <w:r>
        <w:rPr>
          <w:sz w:val="24"/>
        </w:rPr>
        <w:t>年月日</w:t>
      </w:r>
    </w:p>
    <w:p>
      <w:pPr>
        <w:spacing w:line="360" w:lineRule="auto"/>
        <w:ind w:firstLine="4704" w:firstLineChars="2100"/>
        <w:rPr>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rPr>
          <w:sz w:val="24"/>
        </w:rPr>
      </w:pPr>
      <w:r>
        <w:rPr>
          <w:sz w:val="24"/>
        </w:rPr>
        <w:t>此授权书填写完毕后打印，由法定代表人签字或加盖名章，扫描后放入电子投标文件。</w:t>
      </w:r>
    </w:p>
    <w:p>
      <w:pPr>
        <w:widowControl/>
        <w:jc w:val="left"/>
        <w:rPr>
          <w:sz w:val="24"/>
        </w:rPr>
      </w:pPr>
      <w:r>
        <w:rPr>
          <w:sz w:val="24"/>
        </w:rPr>
        <w:br w:type="page"/>
      </w:r>
    </w:p>
    <w:p>
      <w:pPr>
        <w:spacing w:line="460" w:lineRule="exact"/>
        <w:ind w:right="444"/>
        <w:rPr>
          <w:b/>
          <w:sz w:val="24"/>
        </w:rPr>
      </w:pPr>
      <w:r>
        <w:rPr>
          <w:rFonts w:hAnsiTheme="minorEastAsia"/>
          <w:b/>
          <w:sz w:val="24"/>
        </w:rPr>
        <w:t>附件</w:t>
      </w:r>
      <w:r>
        <w:rPr>
          <w:b/>
          <w:sz w:val="24"/>
        </w:rPr>
        <w:t>9</w:t>
      </w:r>
      <w:r>
        <w:rPr>
          <w:rFonts w:hint="eastAsia"/>
          <w:b/>
          <w:sz w:val="24"/>
        </w:rPr>
        <w:t>-1</w:t>
      </w:r>
    </w:p>
    <w:p>
      <w:pPr>
        <w:autoSpaceDE w:val="0"/>
        <w:autoSpaceDN w:val="0"/>
        <w:spacing w:line="480" w:lineRule="auto"/>
        <w:jc w:val="center"/>
        <w:rPr>
          <w:sz w:val="24"/>
          <w:szCs w:val="24"/>
        </w:rPr>
      </w:pPr>
      <w:r>
        <w:rPr>
          <w:rFonts w:hint="eastAsia" w:hAnsiTheme="minorEastAsia"/>
          <w:b/>
          <w:sz w:val="24"/>
          <w:szCs w:val="24"/>
        </w:rPr>
        <w:t>中小企业声明函（服务）</w:t>
      </w:r>
    </w:p>
    <w:p>
      <w:pPr>
        <w:widowControl/>
        <w:spacing w:line="500" w:lineRule="exact"/>
        <w:ind w:firstLine="448" w:firstLineChars="200"/>
        <w:jc w:val="left"/>
        <w:rPr>
          <w:sz w:val="24"/>
          <w:szCs w:val="24"/>
        </w:rPr>
      </w:pPr>
      <w:r>
        <w:rPr>
          <w:rFonts w:hint="eastAsia" w:hAnsiTheme="minorEastAsia"/>
          <w:sz w:val="24"/>
          <w:szCs w:val="24"/>
        </w:rPr>
        <w:t>本公司（联合体）郑重声明，根据《政府采购促进中小企业发展管理办法》（财库﹝</w:t>
      </w:r>
      <w:r>
        <w:rPr>
          <w:sz w:val="24"/>
          <w:szCs w:val="24"/>
        </w:rPr>
        <w:t>2020</w:t>
      </w:r>
      <w:r>
        <w:rPr>
          <w:rFonts w:hint="eastAsia" w:hAnsiTheme="minorEastAsia"/>
          <w:sz w:val="24"/>
          <w:szCs w:val="24"/>
        </w:rPr>
        <w:t>﹞</w:t>
      </w:r>
      <w:r>
        <w:rPr>
          <w:sz w:val="24"/>
          <w:szCs w:val="24"/>
        </w:rPr>
        <w:t>46</w:t>
      </w:r>
      <w:r>
        <w:rPr>
          <w:rFonts w:hint="eastAsia" w:hAnsiTheme="minorEastAsia"/>
          <w:sz w:val="24"/>
          <w:szCs w:val="24"/>
        </w:rPr>
        <w:t>号）的规定，本公司（联合体）参加</w:t>
      </w:r>
      <w:r>
        <w:rPr>
          <w:rFonts w:hint="eastAsia" w:hAnsiTheme="minorEastAsia"/>
          <w:b/>
          <w:sz w:val="24"/>
          <w:szCs w:val="24"/>
          <w:u w:val="single"/>
        </w:rPr>
        <w:t>（请填写项目名称）</w:t>
      </w:r>
      <w:r>
        <w:rPr>
          <w:rFonts w:hint="eastAsia" w:hAnsiTheme="minorEastAsia"/>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rFonts w:hint="eastAsia" w:hAnsiTheme="minorEastAsia"/>
          <w:sz w:val="24"/>
          <w:szCs w:val="24"/>
          <w:u w:val="single"/>
        </w:rPr>
        <w:t>（</w:t>
      </w:r>
      <w:r>
        <w:rPr>
          <w:rFonts w:hint="eastAsia" w:hAnsiTheme="minorEastAsia"/>
          <w:b/>
          <w:sz w:val="24"/>
          <w:szCs w:val="24"/>
        </w:rPr>
        <w:t>请填写标的名称</w:t>
      </w:r>
      <w:r>
        <w:rPr>
          <w:rFonts w:hint="eastAsia" w:hAnsiTheme="minorEastAsia"/>
          <w:sz w:val="24"/>
          <w:szCs w:val="24"/>
        </w:rPr>
        <w:t>），属于</w:t>
      </w:r>
      <w:r>
        <w:rPr>
          <w:rFonts w:hint="eastAsia" w:hAnsiTheme="minorEastAsia"/>
          <w:b/>
          <w:sz w:val="24"/>
          <w:szCs w:val="24"/>
        </w:rPr>
        <w:t>（请填写本项目采购文件中明确的所属行业）</w:t>
      </w:r>
      <w:r>
        <w:rPr>
          <w:rFonts w:hint="eastAsia" w:hAnsiTheme="minorEastAsia"/>
          <w:sz w:val="24"/>
          <w:szCs w:val="24"/>
        </w:rPr>
        <w:t>行业；承接企业为</w:t>
      </w:r>
      <w:r>
        <w:rPr>
          <w:rFonts w:hint="eastAsia" w:hAnsiTheme="minorEastAsia"/>
          <w:sz w:val="24"/>
          <w:szCs w:val="24"/>
          <w:u w:val="single"/>
        </w:rPr>
        <w:t>（</w:t>
      </w:r>
      <w:r>
        <w:rPr>
          <w:rFonts w:hint="eastAsia" w:hAnsiTheme="minorEastAsia"/>
          <w:b/>
          <w:sz w:val="24"/>
          <w:szCs w:val="24"/>
        </w:rPr>
        <w:t>请填写承接该标的企业名称</w:t>
      </w:r>
      <w:r>
        <w:rPr>
          <w:rFonts w:hint="eastAsia" w:hAnsiTheme="minorEastAsia"/>
          <w:sz w:val="24"/>
          <w:szCs w:val="24"/>
        </w:rPr>
        <w:t>），从业人员人，营业收入为万元，资产总额为万元，属于</w:t>
      </w:r>
      <w:r>
        <w:rPr>
          <w:rFonts w:hint="eastAsia" w:hAnsiTheme="minorEastAsia"/>
          <w:sz w:val="24"/>
          <w:szCs w:val="24"/>
          <w:u w:val="single"/>
        </w:rPr>
        <w:t>（</w:t>
      </w:r>
      <w:r>
        <w:rPr>
          <w:rFonts w:hint="eastAsia" w:hAnsiTheme="minorEastAsia"/>
          <w:b/>
          <w:sz w:val="24"/>
          <w:szCs w:val="24"/>
        </w:rPr>
        <w:t>请根据中小企业划分标准填写中型企业</w:t>
      </w:r>
      <w:r>
        <w:rPr>
          <w:b/>
          <w:sz w:val="24"/>
          <w:szCs w:val="24"/>
        </w:rPr>
        <w:t>/</w:t>
      </w:r>
      <w:r>
        <w:rPr>
          <w:rFonts w:hint="eastAsia" w:hAnsiTheme="minorEastAsia"/>
          <w:b/>
          <w:sz w:val="24"/>
          <w:szCs w:val="24"/>
        </w:rPr>
        <w:t>小型企业</w:t>
      </w:r>
      <w:r>
        <w:rPr>
          <w:b/>
          <w:sz w:val="24"/>
          <w:szCs w:val="24"/>
        </w:rPr>
        <w:t>/</w:t>
      </w:r>
      <w:r>
        <w:rPr>
          <w:rFonts w:hint="eastAsia" w:hAnsiTheme="minorEastAsia"/>
          <w:b/>
          <w:sz w:val="24"/>
          <w:szCs w:val="24"/>
        </w:rPr>
        <w:t>微型企业</w:t>
      </w:r>
      <w:r>
        <w:rPr>
          <w:rFonts w:hint="eastAsia" w:hAnsiTheme="minorEastAsia"/>
          <w:sz w:val="24"/>
          <w:szCs w:val="24"/>
        </w:rPr>
        <w:t>）；</w:t>
      </w:r>
    </w:p>
    <w:p>
      <w:pPr>
        <w:autoSpaceDE w:val="0"/>
        <w:autoSpaceDN w:val="0"/>
        <w:spacing w:line="500" w:lineRule="exact"/>
        <w:ind w:firstLine="448" w:firstLineChars="200"/>
        <w:jc w:val="left"/>
        <w:rPr>
          <w:sz w:val="24"/>
          <w:szCs w:val="24"/>
        </w:rPr>
      </w:pPr>
      <w:r>
        <w:rPr>
          <w:sz w:val="24"/>
          <w:szCs w:val="24"/>
        </w:rPr>
        <w:t>2.</w:t>
      </w:r>
      <w:r>
        <w:rPr>
          <w:rFonts w:hint="eastAsia" w:hAnsiTheme="minorEastAsia"/>
          <w:sz w:val="24"/>
          <w:szCs w:val="24"/>
          <w:u w:val="single"/>
        </w:rPr>
        <w:t>（</w:t>
      </w:r>
      <w:r>
        <w:rPr>
          <w:rFonts w:hint="eastAsia" w:hAnsiTheme="minorEastAsia"/>
          <w:b/>
          <w:sz w:val="24"/>
          <w:szCs w:val="24"/>
        </w:rPr>
        <w:t>请填写标的名称</w:t>
      </w:r>
      <w:r>
        <w:rPr>
          <w:rFonts w:hint="eastAsia" w:hAnsiTheme="minorEastAsia"/>
          <w:sz w:val="24"/>
          <w:szCs w:val="24"/>
        </w:rPr>
        <w:t>），属于</w:t>
      </w:r>
      <w:r>
        <w:rPr>
          <w:rFonts w:hint="eastAsia" w:hAnsiTheme="minorEastAsia"/>
          <w:b/>
          <w:sz w:val="24"/>
          <w:szCs w:val="24"/>
        </w:rPr>
        <w:t>（请填写本项目采购文件中明确的所属行业）</w:t>
      </w:r>
      <w:r>
        <w:rPr>
          <w:rFonts w:hint="eastAsia" w:hAnsiTheme="minorEastAsia"/>
          <w:sz w:val="24"/>
          <w:szCs w:val="24"/>
        </w:rPr>
        <w:t>行业；承接企业为</w:t>
      </w:r>
      <w:r>
        <w:rPr>
          <w:rFonts w:hint="eastAsia" w:hAnsiTheme="minorEastAsia"/>
          <w:sz w:val="24"/>
          <w:szCs w:val="24"/>
          <w:u w:val="single"/>
        </w:rPr>
        <w:t>（</w:t>
      </w:r>
      <w:r>
        <w:rPr>
          <w:rFonts w:hint="eastAsia" w:hAnsiTheme="minorEastAsia"/>
          <w:b/>
          <w:sz w:val="24"/>
          <w:szCs w:val="24"/>
        </w:rPr>
        <w:t>请填写承接该标的企业名称</w:t>
      </w:r>
      <w:r>
        <w:rPr>
          <w:rFonts w:hint="eastAsia" w:hAnsiTheme="minorEastAsia"/>
          <w:sz w:val="24"/>
          <w:szCs w:val="24"/>
        </w:rPr>
        <w:t>），从业人员人，营业收入为万元，资产总额为万元，属于</w:t>
      </w:r>
      <w:r>
        <w:rPr>
          <w:rFonts w:hint="eastAsia" w:hAnsiTheme="minorEastAsia"/>
          <w:sz w:val="24"/>
          <w:szCs w:val="24"/>
          <w:u w:val="single"/>
        </w:rPr>
        <w:t>（</w:t>
      </w:r>
      <w:r>
        <w:rPr>
          <w:rFonts w:hint="eastAsia" w:hAnsiTheme="minorEastAsia"/>
          <w:b/>
          <w:sz w:val="24"/>
          <w:szCs w:val="24"/>
        </w:rPr>
        <w:t>请根据中小企业划分标准填写中型企业</w:t>
      </w:r>
      <w:r>
        <w:rPr>
          <w:b/>
          <w:sz w:val="24"/>
          <w:szCs w:val="24"/>
        </w:rPr>
        <w:t>/</w:t>
      </w:r>
      <w:r>
        <w:rPr>
          <w:rFonts w:hint="eastAsia" w:hAnsiTheme="minorEastAsia"/>
          <w:b/>
          <w:sz w:val="24"/>
          <w:szCs w:val="24"/>
        </w:rPr>
        <w:t>小型企业</w:t>
      </w:r>
      <w:r>
        <w:rPr>
          <w:b/>
          <w:sz w:val="24"/>
          <w:szCs w:val="24"/>
        </w:rPr>
        <w:t>/</w:t>
      </w:r>
      <w:r>
        <w:rPr>
          <w:rFonts w:hint="eastAsia" w:hAnsiTheme="minorEastAsia"/>
          <w:b/>
          <w:sz w:val="24"/>
          <w:szCs w:val="24"/>
        </w:rPr>
        <w:t>微型企业</w:t>
      </w:r>
      <w:r>
        <w:rPr>
          <w:rFonts w:hint="eastAsia" w:hAnsiTheme="minorEastAsia"/>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rFonts w:hint="eastAsia" w:hAnsiTheme="minorEastAsia"/>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rFonts w:hint="eastAsia" w:hAnsiTheme="minorEastAsia"/>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rFonts w:hint="eastAsia" w:hAnsiTheme="minorEastAsia"/>
          <w:sz w:val="24"/>
          <w:szCs w:val="24"/>
        </w:rPr>
        <w:t>投标人名称：</w:t>
      </w:r>
    </w:p>
    <w:p>
      <w:pPr>
        <w:autoSpaceDE w:val="0"/>
        <w:autoSpaceDN w:val="0"/>
        <w:spacing w:line="500" w:lineRule="exact"/>
        <w:ind w:left="3840"/>
        <w:jc w:val="left"/>
        <w:rPr>
          <w:sz w:val="32"/>
        </w:rPr>
      </w:pPr>
      <w:r>
        <w:rPr>
          <w:rFonts w:hint="eastAsia" w:hAnsiTheme="minorEastAsia"/>
          <w:sz w:val="24"/>
          <w:szCs w:val="24"/>
        </w:rPr>
        <w:t>日期：</w:t>
      </w:r>
    </w:p>
    <w:p>
      <w:pPr>
        <w:spacing w:line="360" w:lineRule="auto"/>
        <w:ind w:right="84" w:firstLine="224" w:firstLineChars="100"/>
        <w:rPr>
          <w:b/>
          <w:sz w:val="24"/>
          <w:szCs w:val="24"/>
        </w:rPr>
      </w:pPr>
      <w:r>
        <w:rPr>
          <w:rFonts w:hint="eastAsia" w:hAnsiTheme="minorEastAsia"/>
          <w:b/>
          <w:sz w:val="24"/>
          <w:szCs w:val="24"/>
        </w:rPr>
        <w:t>注：</w:t>
      </w:r>
    </w:p>
    <w:p>
      <w:pPr>
        <w:spacing w:line="360" w:lineRule="auto"/>
        <w:ind w:right="84" w:firstLine="224" w:firstLineChars="100"/>
        <w:rPr>
          <w:b/>
          <w:sz w:val="24"/>
          <w:szCs w:val="24"/>
        </w:rPr>
      </w:pPr>
      <w:r>
        <w:rPr>
          <w:b/>
          <w:sz w:val="24"/>
          <w:szCs w:val="24"/>
        </w:rPr>
        <w:t>1.</w:t>
      </w:r>
      <w:r>
        <w:rPr>
          <w:rFonts w:hint="eastAsia" w:hAnsiTheme="minorEastAsia"/>
          <w:b/>
          <w:sz w:val="24"/>
          <w:szCs w:val="24"/>
        </w:rPr>
        <w:t>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w:t>
      </w:r>
      <w:r>
        <w:rPr>
          <w:rFonts w:hint="eastAsia" w:hAnsiTheme="minorEastAsia"/>
          <w:b/>
          <w:sz w:val="24"/>
          <w:szCs w:val="24"/>
        </w:rPr>
        <w:t>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szCs w:val="24"/>
        </w:rPr>
      </w:pPr>
      <w:r>
        <w:rPr>
          <w:b/>
          <w:sz w:val="24"/>
          <w:szCs w:val="24"/>
        </w:rPr>
        <w:t>3.</w:t>
      </w:r>
      <w:r>
        <w:rPr>
          <w:rFonts w:hint="eastAsia" w:hAnsiTheme="minorEastAsia"/>
          <w:b/>
          <w:sz w:val="24"/>
          <w:szCs w:val="24"/>
        </w:rPr>
        <w:t>中标（成交）供应商享受中小企业扶持政策的，将随中标（成交）结果同时公告其《中小企业声明函》，接受社会监督。</w:t>
      </w:r>
    </w:p>
    <w:p>
      <w:pPr>
        <w:autoSpaceDN w:val="0"/>
        <w:spacing w:line="360" w:lineRule="auto"/>
        <w:jc w:val="center"/>
        <w:rPr>
          <w:b/>
          <w:sz w:val="24"/>
        </w:rPr>
      </w:pPr>
      <w:r>
        <w:rPr>
          <w:b/>
          <w:sz w:val="24"/>
        </w:rPr>
        <w:br w:type="page"/>
      </w:r>
    </w:p>
    <w:p>
      <w:pPr>
        <w:autoSpaceDN w:val="0"/>
        <w:spacing w:line="360" w:lineRule="auto"/>
        <w:rPr>
          <w:b/>
          <w:sz w:val="24"/>
        </w:rPr>
      </w:pPr>
      <w:r>
        <w:rPr>
          <w:rFonts w:hint="eastAsia" w:hAnsiTheme="minorEastAsia"/>
          <w:b/>
          <w:sz w:val="24"/>
        </w:rPr>
        <w:t>附件</w:t>
      </w:r>
      <w:r>
        <w:rPr>
          <w:rFonts w:hint="eastAsia"/>
          <w:b/>
          <w:sz w:val="24"/>
        </w:rPr>
        <w:t>9-2</w:t>
      </w:r>
    </w:p>
    <w:p>
      <w:pPr>
        <w:autoSpaceDN w:val="0"/>
        <w:spacing w:line="360" w:lineRule="auto"/>
        <w:rPr>
          <w:b/>
          <w:bCs/>
          <w:sz w:val="24"/>
        </w:rPr>
      </w:pPr>
      <w:r>
        <w:rPr>
          <w:rFonts w:hint="eastAsia" w:hAnsiTheme="minorEastAsia"/>
          <w:b/>
          <w:kern w:val="0"/>
          <w:sz w:val="24"/>
          <w:szCs w:val="21"/>
        </w:rPr>
        <w:t>若投标人不是残疾人福利性单位，投标文件中可不提供此声明函</w:t>
      </w:r>
    </w:p>
    <w:p>
      <w:pPr>
        <w:autoSpaceDN w:val="0"/>
        <w:spacing w:line="360" w:lineRule="auto"/>
        <w:jc w:val="center"/>
        <w:rPr>
          <w:b/>
          <w:bCs/>
          <w:sz w:val="24"/>
        </w:rPr>
      </w:pPr>
    </w:p>
    <w:p>
      <w:pPr>
        <w:autoSpaceDN w:val="0"/>
        <w:spacing w:line="360" w:lineRule="auto"/>
        <w:jc w:val="center"/>
        <w:rPr>
          <w:b/>
          <w:bCs/>
          <w:sz w:val="24"/>
        </w:rPr>
      </w:pPr>
      <w:r>
        <w:rPr>
          <w:rFonts w:hint="eastAsia" w:hAnsiTheme="minorEastAsia"/>
          <w:b/>
          <w:bCs/>
          <w:sz w:val="24"/>
        </w:rPr>
        <w:t>残疾人福利性单位声明函</w:t>
      </w:r>
    </w:p>
    <w:p>
      <w:pPr>
        <w:spacing w:line="588" w:lineRule="exact"/>
        <w:rPr>
          <w:b/>
          <w:spacing w:val="6"/>
          <w:sz w:val="30"/>
          <w:szCs w:val="30"/>
        </w:rPr>
      </w:pPr>
    </w:p>
    <w:p>
      <w:pPr>
        <w:snapToGrid w:val="0"/>
        <w:spacing w:line="360" w:lineRule="auto"/>
        <w:ind w:firstLine="448" w:firstLineChars="200"/>
        <w:rPr>
          <w:sz w:val="24"/>
          <w:szCs w:val="21"/>
        </w:rPr>
      </w:pPr>
      <w:r>
        <w:rPr>
          <w:rFonts w:hint="eastAsia" w:hAnsiTheme="minorEastAsia"/>
          <w:sz w:val="24"/>
          <w:szCs w:val="21"/>
        </w:rPr>
        <w:t>本单位郑重声明，根据《财政部民政部中国残疾人联合会关于促进残疾人就业政府采购政策的通知》（财库〔</w:t>
      </w:r>
      <w:r>
        <w:rPr>
          <w:rFonts w:hint="eastAsia"/>
          <w:sz w:val="24"/>
          <w:szCs w:val="21"/>
        </w:rPr>
        <w:t>2017</w:t>
      </w:r>
      <w:r>
        <w:rPr>
          <w:rFonts w:hint="eastAsia" w:hAnsiTheme="minorEastAsia"/>
          <w:sz w:val="24"/>
          <w:szCs w:val="21"/>
        </w:rPr>
        <w:t>〕</w:t>
      </w:r>
      <w:r>
        <w:rPr>
          <w:rFonts w:hint="eastAsia"/>
          <w:sz w:val="24"/>
          <w:szCs w:val="21"/>
        </w:rPr>
        <w:t>141</w:t>
      </w:r>
      <w:r>
        <w:rPr>
          <w:rFonts w:hint="eastAsia" w:hAnsiTheme="minorEastAsia"/>
          <w:sz w:val="24"/>
          <w:szCs w:val="21"/>
        </w:rPr>
        <w:t>号）的规定，本单位为符合条件的残疾人福利性单位，且本单位参加</w:t>
      </w:r>
      <w:r>
        <w:rPr>
          <w:rFonts w:hint="eastAsia"/>
          <w:sz w:val="24"/>
          <w:szCs w:val="21"/>
        </w:rPr>
        <w:t>______</w:t>
      </w:r>
      <w:r>
        <w:rPr>
          <w:rFonts w:hint="eastAsia" w:hAnsiTheme="minorEastAsia"/>
          <w:sz w:val="24"/>
          <w:szCs w:val="21"/>
        </w:rPr>
        <w:t>单位的</w:t>
      </w:r>
      <w:r>
        <w:rPr>
          <w:rFonts w:hint="eastAsia"/>
          <w:sz w:val="24"/>
          <w:szCs w:val="21"/>
        </w:rPr>
        <w:t>______</w:t>
      </w:r>
      <w:r>
        <w:rPr>
          <w:rFonts w:hint="eastAsia" w:hAnsiTheme="minorEastAsia"/>
          <w:sz w:val="24"/>
          <w:szCs w:val="21"/>
        </w:rPr>
        <w:t>项目采购活动提供本单位制造的货物（由本单位承担工程</w:t>
      </w:r>
      <w:r>
        <w:rPr>
          <w:rFonts w:hint="eastAsia"/>
          <w:sz w:val="24"/>
          <w:szCs w:val="21"/>
        </w:rPr>
        <w:t>/</w:t>
      </w:r>
      <w:r>
        <w:rPr>
          <w:rFonts w:hint="eastAsia" w:hAnsiTheme="minorEastAsia"/>
          <w:sz w:val="24"/>
          <w:szCs w:val="21"/>
        </w:rPr>
        <w:t>提供服务），或者提供其他残疾人福利性单位制造的货物（不包括使用非残疾人福利性单位注册商标的货物）。</w:t>
      </w:r>
    </w:p>
    <w:p>
      <w:pPr>
        <w:snapToGrid w:val="0"/>
        <w:spacing w:line="360" w:lineRule="auto"/>
        <w:ind w:firstLine="448" w:firstLineChars="200"/>
        <w:rPr>
          <w:sz w:val="24"/>
          <w:szCs w:val="21"/>
        </w:rPr>
      </w:pPr>
      <w:r>
        <w:rPr>
          <w:rFonts w:hint="eastAsia" w:hAnsiTheme="minorEastAsia"/>
          <w:sz w:val="24"/>
          <w:szCs w:val="21"/>
        </w:rPr>
        <w:t>本单位对上述声明的真实性负责。如有虚假，将依法承担相应责任。</w:t>
      </w:r>
    </w:p>
    <w:p>
      <w:pPr>
        <w:snapToGrid w:val="0"/>
        <w:spacing w:line="360" w:lineRule="auto"/>
        <w:ind w:firstLine="448" w:firstLineChars="200"/>
        <w:rPr>
          <w:sz w:val="24"/>
          <w:szCs w:val="21"/>
        </w:rPr>
      </w:pPr>
    </w:p>
    <w:p>
      <w:pPr>
        <w:snapToGrid w:val="0"/>
        <w:spacing w:line="360" w:lineRule="auto"/>
        <w:ind w:firstLine="448" w:firstLineChars="200"/>
        <w:rPr>
          <w:sz w:val="24"/>
          <w:szCs w:val="21"/>
        </w:rPr>
      </w:pPr>
    </w:p>
    <w:p>
      <w:pPr>
        <w:snapToGrid w:val="0"/>
        <w:spacing w:line="360" w:lineRule="auto"/>
        <w:ind w:firstLine="448" w:firstLineChars="200"/>
        <w:jc w:val="left"/>
        <w:rPr>
          <w:sz w:val="24"/>
          <w:szCs w:val="21"/>
        </w:rPr>
      </w:pPr>
      <w:r>
        <w:rPr>
          <w:rFonts w:hint="eastAsia" w:hAnsiTheme="minorEastAsia"/>
          <w:sz w:val="24"/>
          <w:szCs w:val="21"/>
        </w:rPr>
        <w:t>投标人名称：</w:t>
      </w:r>
    </w:p>
    <w:p>
      <w:pPr>
        <w:snapToGrid w:val="0"/>
        <w:spacing w:line="360" w:lineRule="auto"/>
        <w:ind w:firstLine="448" w:firstLineChars="200"/>
        <w:jc w:val="left"/>
        <w:rPr>
          <w:sz w:val="24"/>
          <w:szCs w:val="21"/>
        </w:rPr>
      </w:pPr>
    </w:p>
    <w:p>
      <w:pPr>
        <w:snapToGrid w:val="0"/>
        <w:spacing w:line="360" w:lineRule="auto"/>
        <w:ind w:firstLine="448" w:firstLineChars="200"/>
        <w:jc w:val="left"/>
        <w:rPr>
          <w:sz w:val="24"/>
          <w:szCs w:val="21"/>
        </w:rPr>
      </w:pPr>
      <w:r>
        <w:rPr>
          <w:rFonts w:hint="eastAsia" w:hAnsiTheme="minorEastAsia"/>
          <w:sz w:val="24"/>
          <w:szCs w:val="21"/>
        </w:rPr>
        <w:t>日期：年月日</w:t>
      </w:r>
    </w:p>
    <w:p>
      <w:pPr>
        <w:snapToGrid w:val="0"/>
        <w:spacing w:line="360" w:lineRule="auto"/>
        <w:ind w:firstLine="448" w:firstLineChars="200"/>
        <w:jc w:val="left"/>
        <w:rPr>
          <w:sz w:val="24"/>
          <w:szCs w:val="21"/>
        </w:rPr>
      </w:pP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rFonts w:hint="eastAsia" w:hAnsiTheme="minorEastAsia"/>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日期：</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联系电话</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时间</w:t>
            </w:r>
          </w:p>
        </w:tc>
        <w:tc>
          <w:tcPr>
            <w:tcW w:w="1394" w:type="dxa"/>
            <w:gridSpan w:val="2"/>
          </w:tcPr>
          <w:p>
            <w:pPr>
              <w:spacing w:line="360" w:lineRule="auto"/>
              <w:ind w:right="84"/>
              <w:jc w:val="center"/>
              <w:rPr>
                <w:position w:val="-36"/>
                <w:sz w:val="24"/>
              </w:rPr>
            </w:pPr>
            <w:r>
              <w:rPr>
                <w:position w:val="-36"/>
                <w:sz w:val="24"/>
              </w:rPr>
              <w:t>地点</w:t>
            </w:r>
          </w:p>
        </w:tc>
        <w:tc>
          <w:tcPr>
            <w:tcW w:w="1445" w:type="dxa"/>
            <w:gridSpan w:val="2"/>
          </w:tcPr>
          <w:p>
            <w:pPr>
              <w:spacing w:line="360" w:lineRule="auto"/>
              <w:ind w:right="84"/>
              <w:jc w:val="center"/>
              <w:rPr>
                <w:position w:val="-36"/>
                <w:sz w:val="24"/>
              </w:rPr>
            </w:pPr>
            <w:r>
              <w:rPr>
                <w:position w:val="-36"/>
                <w:sz w:val="24"/>
              </w:rPr>
              <w:t>单位</w:t>
            </w:r>
          </w:p>
        </w:tc>
        <w:tc>
          <w:tcPr>
            <w:tcW w:w="944" w:type="dxa"/>
            <w:gridSpan w:val="2"/>
          </w:tcPr>
          <w:p>
            <w:pPr>
              <w:spacing w:line="360" w:lineRule="auto"/>
              <w:ind w:right="84"/>
              <w:jc w:val="center"/>
              <w:rPr>
                <w:position w:val="-36"/>
                <w:sz w:val="24"/>
              </w:rPr>
            </w:pPr>
            <w:r>
              <w:rPr>
                <w:position w:val="-36"/>
                <w:sz w:val="24"/>
              </w:rPr>
              <w:t>职务</w:t>
            </w:r>
          </w:p>
        </w:tc>
        <w:tc>
          <w:tcPr>
            <w:tcW w:w="4172" w:type="dxa"/>
            <w:gridSpan w:val="5"/>
          </w:tcPr>
          <w:p>
            <w:pPr>
              <w:spacing w:line="360" w:lineRule="auto"/>
              <w:ind w:right="84"/>
              <w:jc w:val="center"/>
              <w:rPr>
                <w:position w:val="-36"/>
                <w:sz w:val="24"/>
              </w:rPr>
            </w:pPr>
            <w:r>
              <w:rPr>
                <w:position w:val="-36"/>
                <w:sz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19"/>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数量</w:t>
            </w:r>
          </w:p>
        </w:tc>
        <w:tc>
          <w:tcPr>
            <w:tcW w:w="1404" w:type="dxa"/>
            <w:vAlign w:val="center"/>
          </w:tcPr>
          <w:p>
            <w:pPr>
              <w:spacing w:line="360" w:lineRule="auto"/>
              <w:ind w:right="84"/>
              <w:jc w:val="center"/>
              <w:rPr>
                <w:position w:val="-32"/>
                <w:sz w:val="24"/>
              </w:rPr>
            </w:pPr>
            <w:r>
              <w:rPr>
                <w:position w:val="-3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名称</w:t>
            </w:r>
          </w:p>
        </w:tc>
        <w:tc>
          <w:tcPr>
            <w:tcW w:w="975" w:type="dxa"/>
            <w:tcBorders>
              <w:bottom w:val="single" w:color="auto" w:sz="4" w:space="0"/>
            </w:tcBorders>
          </w:tcPr>
          <w:p>
            <w:pPr>
              <w:tabs>
                <w:tab w:val="left" w:pos="240"/>
              </w:tabs>
              <w:jc w:val="center"/>
              <w:rPr>
                <w:position w:val="-50"/>
                <w:sz w:val="24"/>
              </w:rPr>
            </w:pPr>
            <w:r>
              <w:rPr>
                <w:position w:val="-50"/>
                <w:sz w:val="24"/>
              </w:rPr>
              <w:t>单位</w:t>
            </w:r>
          </w:p>
        </w:tc>
        <w:tc>
          <w:tcPr>
            <w:tcW w:w="996" w:type="dxa"/>
            <w:tcBorders>
              <w:bottom w:val="single" w:color="auto" w:sz="4" w:space="0"/>
            </w:tcBorders>
          </w:tcPr>
          <w:p>
            <w:pPr>
              <w:tabs>
                <w:tab w:val="left" w:pos="240"/>
              </w:tabs>
              <w:jc w:val="center"/>
              <w:rPr>
                <w:position w:val="-50"/>
                <w:sz w:val="24"/>
              </w:rPr>
            </w:pPr>
            <w:r>
              <w:rPr>
                <w:position w:val="-50"/>
                <w:sz w:val="24"/>
              </w:rPr>
              <w:t>数量</w:t>
            </w:r>
          </w:p>
        </w:tc>
        <w:tc>
          <w:tcPr>
            <w:tcW w:w="1494" w:type="dxa"/>
            <w:tcBorders>
              <w:bottom w:val="single" w:color="auto" w:sz="4" w:space="0"/>
            </w:tcBorders>
          </w:tcPr>
          <w:p>
            <w:pPr>
              <w:tabs>
                <w:tab w:val="left" w:pos="240"/>
              </w:tabs>
              <w:jc w:val="center"/>
              <w:rPr>
                <w:position w:val="-32"/>
                <w:sz w:val="24"/>
              </w:rPr>
            </w:pPr>
            <w:r>
              <w:rPr>
                <w:position w:val="-32"/>
                <w:sz w:val="24"/>
              </w:rPr>
              <w:t>是否有偿提供</w:t>
            </w:r>
          </w:p>
        </w:tc>
        <w:tc>
          <w:tcPr>
            <w:tcW w:w="2409" w:type="dxa"/>
            <w:tcBorders>
              <w:bottom w:val="single" w:color="auto" w:sz="4" w:space="0"/>
            </w:tcBorders>
          </w:tcPr>
          <w:p>
            <w:pPr>
              <w:tabs>
                <w:tab w:val="left" w:pos="240"/>
              </w:tabs>
              <w:jc w:val="center"/>
              <w:rPr>
                <w:position w:val="-50"/>
                <w:sz w:val="24"/>
              </w:rPr>
            </w:pPr>
            <w:r>
              <w:rPr>
                <w:position w:val="-50"/>
                <w:sz w:val="24"/>
              </w:rPr>
              <w:t>如有偿提供的说明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8"/>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6"/>
        <w:tabs>
          <w:tab w:val="left" w:pos="360"/>
        </w:tabs>
        <w:spacing w:line="360" w:lineRule="auto"/>
        <w:ind w:firstLine="446"/>
        <w:rPr>
          <w:sz w:val="24"/>
        </w:rPr>
      </w:pPr>
    </w:p>
    <w:p>
      <w:pPr>
        <w:pStyle w:val="36"/>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6"/>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6"/>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6"/>
        <w:tabs>
          <w:tab w:val="left" w:pos="360"/>
        </w:tabs>
        <w:spacing w:line="360" w:lineRule="auto"/>
        <w:ind w:firstLine="0" w:firstLineChars="0"/>
        <w:rPr>
          <w:sz w:val="24"/>
          <w:u w:val="single"/>
        </w:rPr>
      </w:pPr>
    </w:p>
    <w:p>
      <w:pPr>
        <w:pStyle w:val="36"/>
        <w:tabs>
          <w:tab w:val="left" w:pos="360"/>
        </w:tabs>
        <w:spacing w:line="360" w:lineRule="auto"/>
        <w:ind w:firstLine="446"/>
        <w:rPr>
          <w:sz w:val="24"/>
        </w:rPr>
      </w:pPr>
    </w:p>
    <w:p>
      <w:pPr>
        <w:pStyle w:val="36"/>
        <w:spacing w:line="360" w:lineRule="auto"/>
        <w:ind w:firstLine="0" w:firstLineChars="0"/>
        <w:jc w:val="center"/>
        <w:rPr>
          <w:b/>
          <w:sz w:val="24"/>
        </w:rPr>
      </w:pPr>
    </w:p>
    <w:p>
      <w:pPr>
        <w:pStyle w:val="36"/>
        <w:spacing w:line="360" w:lineRule="auto"/>
        <w:ind w:firstLine="0" w:firstLineChars="0"/>
        <w:jc w:val="center"/>
        <w:rPr>
          <w:b/>
          <w:sz w:val="24"/>
        </w:rPr>
      </w:pPr>
    </w:p>
    <w:p>
      <w:pPr>
        <w:pStyle w:val="36"/>
        <w:spacing w:line="360" w:lineRule="auto"/>
        <w:ind w:firstLine="0" w:firstLineChars="0"/>
        <w:jc w:val="center"/>
        <w:rPr>
          <w:b/>
          <w:sz w:val="24"/>
        </w:rPr>
      </w:pPr>
      <w:r>
        <w:rPr>
          <w:rFonts w:hint="eastAsia"/>
          <w:b/>
          <w:sz w:val="24"/>
        </w:rPr>
        <w:t>证明材料</w:t>
      </w:r>
    </w:p>
    <w:p>
      <w:pPr>
        <w:pStyle w:val="36"/>
        <w:tabs>
          <w:tab w:val="left" w:pos="360"/>
        </w:tabs>
        <w:spacing w:line="360" w:lineRule="auto"/>
        <w:ind w:firstLine="446"/>
        <w:rPr>
          <w:sz w:val="24"/>
        </w:rPr>
      </w:pPr>
    </w:p>
    <w:p>
      <w:pPr>
        <w:pStyle w:val="36"/>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6"/>
        <w:tabs>
          <w:tab w:val="left" w:pos="360"/>
        </w:tabs>
        <w:spacing w:line="360" w:lineRule="auto"/>
        <w:ind w:firstLine="446"/>
        <w:rPr>
          <w:sz w:val="24"/>
        </w:rPr>
      </w:pPr>
    </w:p>
    <w:p>
      <w:pPr>
        <w:pStyle w:val="36"/>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spacing w:line="480" w:lineRule="auto"/>
        <w:rPr>
          <w:sz w:val="24"/>
          <w:szCs w:val="21"/>
        </w:rPr>
      </w:pPr>
    </w:p>
    <w:sectPr>
      <w:footerReference r:id="rId3"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
    <w:altName w:val="宋体"/>
    <w:panose1 w:val="00000000000000000000"/>
    <w:charset w:val="86"/>
    <w:family w:val="roman"/>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0215"/>
    <w:multiLevelType w:val="singleLevel"/>
    <w:tmpl w:val="9BD00215"/>
    <w:lvl w:ilvl="0" w:tentative="0">
      <w:start w:val="1"/>
      <w:numFmt w:val="decimal"/>
      <w:suff w:val="nothing"/>
      <w:lvlText w:val="%1、"/>
      <w:lvlJc w:val="left"/>
    </w:lvl>
  </w:abstractNum>
  <w:abstractNum w:abstractNumId="1">
    <w:nsid w:val="BCF5A594"/>
    <w:multiLevelType w:val="singleLevel"/>
    <w:tmpl w:val="BCF5A594"/>
    <w:lvl w:ilvl="0" w:tentative="0">
      <w:start w:val="2"/>
      <w:numFmt w:val="decimal"/>
      <w:suff w:val="nothing"/>
      <w:lvlText w:val="%1、"/>
      <w:lvlJc w:val="left"/>
    </w:lvl>
  </w:abstractNum>
  <w:abstractNum w:abstractNumId="2">
    <w:nsid w:val="DB4A9401"/>
    <w:multiLevelType w:val="singleLevel"/>
    <w:tmpl w:val="DB4A9401"/>
    <w:lvl w:ilvl="0" w:tentative="0">
      <w:start w:val="1"/>
      <w:numFmt w:val="decimal"/>
      <w:suff w:val="nothing"/>
      <w:lvlText w:val="%1、"/>
      <w:lvlJc w:val="left"/>
    </w:lvl>
  </w:abstractNum>
  <w:abstractNum w:abstractNumId="3">
    <w:nsid w:val="DF1D2495"/>
    <w:multiLevelType w:val="singleLevel"/>
    <w:tmpl w:val="DF1D2495"/>
    <w:lvl w:ilvl="0" w:tentative="0">
      <w:start w:val="1"/>
      <w:numFmt w:val="decimal"/>
      <w:suff w:val="nothing"/>
      <w:lvlText w:val="%1、"/>
      <w:lvlJc w:val="left"/>
    </w:lvl>
  </w:abstractNum>
  <w:abstractNum w:abstractNumId="4">
    <w:nsid w:val="2E4CA392"/>
    <w:multiLevelType w:val="singleLevel"/>
    <w:tmpl w:val="2E4CA392"/>
    <w:lvl w:ilvl="0" w:tentative="0">
      <w:start w:val="1"/>
      <w:numFmt w:val="decimal"/>
      <w:suff w:val="nothing"/>
      <w:lvlText w:val="%1、"/>
      <w:lvlJc w:val="left"/>
    </w:lvl>
  </w:abstractNum>
  <w:abstractNum w:abstractNumId="5">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6"/>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6">
    <w:nsid w:val="4B66D6E9"/>
    <w:multiLevelType w:val="singleLevel"/>
    <w:tmpl w:val="4B66D6E9"/>
    <w:lvl w:ilvl="0" w:tentative="0">
      <w:start w:val="3"/>
      <w:numFmt w:val="chineseCounting"/>
      <w:suff w:val="nothing"/>
      <w:lvlText w:val="（%1）"/>
      <w:lvlJc w:val="left"/>
      <w:rPr>
        <w:rFonts w:hint="eastAsia"/>
      </w:r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NTFjZDUyMjczN2VlYmNmMGM4NjZkOTA5ZTkwNGQifQ=="/>
  </w:docVars>
  <w:rsids>
    <w:rsidRoot w:val="00325832"/>
    <w:rsid w:val="00000D09"/>
    <w:rsid w:val="00001FD1"/>
    <w:rsid w:val="00010DCF"/>
    <w:rsid w:val="00011B73"/>
    <w:rsid w:val="00013068"/>
    <w:rsid w:val="00013701"/>
    <w:rsid w:val="00017219"/>
    <w:rsid w:val="00017C2D"/>
    <w:rsid w:val="00025169"/>
    <w:rsid w:val="000279E6"/>
    <w:rsid w:val="000308AC"/>
    <w:rsid w:val="00032015"/>
    <w:rsid w:val="00034B13"/>
    <w:rsid w:val="00036A32"/>
    <w:rsid w:val="000403B6"/>
    <w:rsid w:val="0004130F"/>
    <w:rsid w:val="00042FFE"/>
    <w:rsid w:val="00045920"/>
    <w:rsid w:val="00046460"/>
    <w:rsid w:val="00050365"/>
    <w:rsid w:val="00055AED"/>
    <w:rsid w:val="00056208"/>
    <w:rsid w:val="0005643C"/>
    <w:rsid w:val="00056EF3"/>
    <w:rsid w:val="000607D4"/>
    <w:rsid w:val="00065BDD"/>
    <w:rsid w:val="00070115"/>
    <w:rsid w:val="0007081F"/>
    <w:rsid w:val="00071B4A"/>
    <w:rsid w:val="00072919"/>
    <w:rsid w:val="00074F44"/>
    <w:rsid w:val="000756A0"/>
    <w:rsid w:val="00075A17"/>
    <w:rsid w:val="00075AF1"/>
    <w:rsid w:val="00075C85"/>
    <w:rsid w:val="00076BA5"/>
    <w:rsid w:val="000826F9"/>
    <w:rsid w:val="00086439"/>
    <w:rsid w:val="00092400"/>
    <w:rsid w:val="000A260B"/>
    <w:rsid w:val="000A5CEA"/>
    <w:rsid w:val="000A62E5"/>
    <w:rsid w:val="000B1CA7"/>
    <w:rsid w:val="000B2975"/>
    <w:rsid w:val="000B4BF2"/>
    <w:rsid w:val="000B5BA1"/>
    <w:rsid w:val="000B78E8"/>
    <w:rsid w:val="000C1E8D"/>
    <w:rsid w:val="000C337F"/>
    <w:rsid w:val="000C4541"/>
    <w:rsid w:val="000C6CA8"/>
    <w:rsid w:val="000C7A3F"/>
    <w:rsid w:val="000D26D7"/>
    <w:rsid w:val="000D2F5A"/>
    <w:rsid w:val="000D321F"/>
    <w:rsid w:val="000D3C29"/>
    <w:rsid w:val="000D514E"/>
    <w:rsid w:val="000D5DE9"/>
    <w:rsid w:val="000E50F9"/>
    <w:rsid w:val="000E5380"/>
    <w:rsid w:val="000E6A76"/>
    <w:rsid w:val="000F08EE"/>
    <w:rsid w:val="000F1202"/>
    <w:rsid w:val="000F1454"/>
    <w:rsid w:val="000F48D9"/>
    <w:rsid w:val="000F4D4E"/>
    <w:rsid w:val="000F5C82"/>
    <w:rsid w:val="000F6957"/>
    <w:rsid w:val="00104B79"/>
    <w:rsid w:val="001143EC"/>
    <w:rsid w:val="001165C6"/>
    <w:rsid w:val="00121CDE"/>
    <w:rsid w:val="00123BF8"/>
    <w:rsid w:val="001256ED"/>
    <w:rsid w:val="0012609D"/>
    <w:rsid w:val="001303B1"/>
    <w:rsid w:val="00130AD2"/>
    <w:rsid w:val="00130B12"/>
    <w:rsid w:val="00132342"/>
    <w:rsid w:val="00136F51"/>
    <w:rsid w:val="001411F4"/>
    <w:rsid w:val="00141664"/>
    <w:rsid w:val="001418B8"/>
    <w:rsid w:val="00143B4D"/>
    <w:rsid w:val="0014712D"/>
    <w:rsid w:val="001524A8"/>
    <w:rsid w:val="00154813"/>
    <w:rsid w:val="001548C7"/>
    <w:rsid w:val="00155128"/>
    <w:rsid w:val="001659F0"/>
    <w:rsid w:val="00166A23"/>
    <w:rsid w:val="001704C8"/>
    <w:rsid w:val="001707F2"/>
    <w:rsid w:val="00173561"/>
    <w:rsid w:val="00176E4F"/>
    <w:rsid w:val="00181ED5"/>
    <w:rsid w:val="001834DA"/>
    <w:rsid w:val="001837F4"/>
    <w:rsid w:val="00184B7F"/>
    <w:rsid w:val="00185D85"/>
    <w:rsid w:val="00190D07"/>
    <w:rsid w:val="00193BCD"/>
    <w:rsid w:val="0019431D"/>
    <w:rsid w:val="00194FBC"/>
    <w:rsid w:val="00196A86"/>
    <w:rsid w:val="00196D6B"/>
    <w:rsid w:val="00196E07"/>
    <w:rsid w:val="001A0C29"/>
    <w:rsid w:val="001A142F"/>
    <w:rsid w:val="001A2919"/>
    <w:rsid w:val="001A3DE3"/>
    <w:rsid w:val="001A46F9"/>
    <w:rsid w:val="001A54DD"/>
    <w:rsid w:val="001A651E"/>
    <w:rsid w:val="001B1EE8"/>
    <w:rsid w:val="001B5BEA"/>
    <w:rsid w:val="001B72DA"/>
    <w:rsid w:val="001B78FF"/>
    <w:rsid w:val="001C0E64"/>
    <w:rsid w:val="001C1981"/>
    <w:rsid w:val="001C1AFF"/>
    <w:rsid w:val="001C3CB7"/>
    <w:rsid w:val="001C50CC"/>
    <w:rsid w:val="001C68F2"/>
    <w:rsid w:val="001D1850"/>
    <w:rsid w:val="001D4FB9"/>
    <w:rsid w:val="001D5102"/>
    <w:rsid w:val="001E2963"/>
    <w:rsid w:val="001E3CB7"/>
    <w:rsid w:val="001E5483"/>
    <w:rsid w:val="001F2B50"/>
    <w:rsid w:val="001F345B"/>
    <w:rsid w:val="001F4AD6"/>
    <w:rsid w:val="001F65EF"/>
    <w:rsid w:val="001F6DCF"/>
    <w:rsid w:val="002027E3"/>
    <w:rsid w:val="00206328"/>
    <w:rsid w:val="00206449"/>
    <w:rsid w:val="002113A2"/>
    <w:rsid w:val="00212E26"/>
    <w:rsid w:val="00214D65"/>
    <w:rsid w:val="00215764"/>
    <w:rsid w:val="0021638D"/>
    <w:rsid w:val="00220883"/>
    <w:rsid w:val="00230077"/>
    <w:rsid w:val="002320BD"/>
    <w:rsid w:val="00233239"/>
    <w:rsid w:val="00234778"/>
    <w:rsid w:val="002369E5"/>
    <w:rsid w:val="00240A5B"/>
    <w:rsid w:val="00243DC1"/>
    <w:rsid w:val="00244482"/>
    <w:rsid w:val="00245D22"/>
    <w:rsid w:val="0024790F"/>
    <w:rsid w:val="00247A26"/>
    <w:rsid w:val="00250531"/>
    <w:rsid w:val="002510DD"/>
    <w:rsid w:val="00251ED7"/>
    <w:rsid w:val="00253145"/>
    <w:rsid w:val="0025399D"/>
    <w:rsid w:val="00256A4A"/>
    <w:rsid w:val="00256FF5"/>
    <w:rsid w:val="002575F6"/>
    <w:rsid w:val="00261C83"/>
    <w:rsid w:val="0026461A"/>
    <w:rsid w:val="00264E8A"/>
    <w:rsid w:val="00265753"/>
    <w:rsid w:val="00265B2C"/>
    <w:rsid w:val="00266956"/>
    <w:rsid w:val="00266AAA"/>
    <w:rsid w:val="00270513"/>
    <w:rsid w:val="00274CF5"/>
    <w:rsid w:val="00275C48"/>
    <w:rsid w:val="00277AEF"/>
    <w:rsid w:val="002804EC"/>
    <w:rsid w:val="00280C49"/>
    <w:rsid w:val="00283662"/>
    <w:rsid w:val="00292BE5"/>
    <w:rsid w:val="00293728"/>
    <w:rsid w:val="00293B4A"/>
    <w:rsid w:val="002948B5"/>
    <w:rsid w:val="00294986"/>
    <w:rsid w:val="00294EAF"/>
    <w:rsid w:val="00295416"/>
    <w:rsid w:val="00295883"/>
    <w:rsid w:val="0029610C"/>
    <w:rsid w:val="00297EAE"/>
    <w:rsid w:val="002A4B3C"/>
    <w:rsid w:val="002A5E55"/>
    <w:rsid w:val="002A7AEA"/>
    <w:rsid w:val="002B3887"/>
    <w:rsid w:val="002B3BB4"/>
    <w:rsid w:val="002B3BFC"/>
    <w:rsid w:val="002B4BC0"/>
    <w:rsid w:val="002B50EF"/>
    <w:rsid w:val="002B538F"/>
    <w:rsid w:val="002C05E5"/>
    <w:rsid w:val="002C696D"/>
    <w:rsid w:val="002D09CD"/>
    <w:rsid w:val="002D17E4"/>
    <w:rsid w:val="002D1D64"/>
    <w:rsid w:val="002D5B4E"/>
    <w:rsid w:val="002E079A"/>
    <w:rsid w:val="002E1053"/>
    <w:rsid w:val="002E4551"/>
    <w:rsid w:val="002E6D18"/>
    <w:rsid w:val="002E796B"/>
    <w:rsid w:val="002F1119"/>
    <w:rsid w:val="002F245E"/>
    <w:rsid w:val="002F4792"/>
    <w:rsid w:val="002F4FD8"/>
    <w:rsid w:val="002F7120"/>
    <w:rsid w:val="002F7322"/>
    <w:rsid w:val="003036EA"/>
    <w:rsid w:val="0031086D"/>
    <w:rsid w:val="00313073"/>
    <w:rsid w:val="0031461A"/>
    <w:rsid w:val="003159EF"/>
    <w:rsid w:val="00315E02"/>
    <w:rsid w:val="00320416"/>
    <w:rsid w:val="00321DA5"/>
    <w:rsid w:val="00322EA4"/>
    <w:rsid w:val="00325832"/>
    <w:rsid w:val="00325D0D"/>
    <w:rsid w:val="00330315"/>
    <w:rsid w:val="0033138A"/>
    <w:rsid w:val="00336C99"/>
    <w:rsid w:val="00343849"/>
    <w:rsid w:val="00343BA7"/>
    <w:rsid w:val="003473CD"/>
    <w:rsid w:val="0035257E"/>
    <w:rsid w:val="00355EEA"/>
    <w:rsid w:val="003562E3"/>
    <w:rsid w:val="00357222"/>
    <w:rsid w:val="00364265"/>
    <w:rsid w:val="00367868"/>
    <w:rsid w:val="003678BC"/>
    <w:rsid w:val="0037085F"/>
    <w:rsid w:val="00371639"/>
    <w:rsid w:val="00373357"/>
    <w:rsid w:val="00373C07"/>
    <w:rsid w:val="00374D2C"/>
    <w:rsid w:val="00377781"/>
    <w:rsid w:val="003778E8"/>
    <w:rsid w:val="00381EC7"/>
    <w:rsid w:val="00381F52"/>
    <w:rsid w:val="003839AE"/>
    <w:rsid w:val="00383A58"/>
    <w:rsid w:val="003904F7"/>
    <w:rsid w:val="003918BD"/>
    <w:rsid w:val="00391FD0"/>
    <w:rsid w:val="0039235B"/>
    <w:rsid w:val="003924AE"/>
    <w:rsid w:val="003926CA"/>
    <w:rsid w:val="00394B36"/>
    <w:rsid w:val="00395727"/>
    <w:rsid w:val="003A2FCD"/>
    <w:rsid w:val="003A4245"/>
    <w:rsid w:val="003A4B1D"/>
    <w:rsid w:val="003A543A"/>
    <w:rsid w:val="003A7FEB"/>
    <w:rsid w:val="003B6D2D"/>
    <w:rsid w:val="003B78E0"/>
    <w:rsid w:val="003C71A3"/>
    <w:rsid w:val="003C7A89"/>
    <w:rsid w:val="003D28DC"/>
    <w:rsid w:val="003D2EF8"/>
    <w:rsid w:val="003E0DD8"/>
    <w:rsid w:val="003E2404"/>
    <w:rsid w:val="003E2BBE"/>
    <w:rsid w:val="003E4B1B"/>
    <w:rsid w:val="003E5355"/>
    <w:rsid w:val="003E5E39"/>
    <w:rsid w:val="003E6E8F"/>
    <w:rsid w:val="003E71CA"/>
    <w:rsid w:val="003F26E5"/>
    <w:rsid w:val="003F64B7"/>
    <w:rsid w:val="003F68DF"/>
    <w:rsid w:val="003F6B18"/>
    <w:rsid w:val="003F7025"/>
    <w:rsid w:val="0040134A"/>
    <w:rsid w:val="00402BE6"/>
    <w:rsid w:val="00403986"/>
    <w:rsid w:val="0040553A"/>
    <w:rsid w:val="004055D4"/>
    <w:rsid w:val="0040569C"/>
    <w:rsid w:val="00410A95"/>
    <w:rsid w:val="00411416"/>
    <w:rsid w:val="00412894"/>
    <w:rsid w:val="00413972"/>
    <w:rsid w:val="004153D6"/>
    <w:rsid w:val="00415D1E"/>
    <w:rsid w:val="00415D39"/>
    <w:rsid w:val="00416AFE"/>
    <w:rsid w:val="004176FC"/>
    <w:rsid w:val="00424BD8"/>
    <w:rsid w:val="00424D37"/>
    <w:rsid w:val="00424F07"/>
    <w:rsid w:val="004261C2"/>
    <w:rsid w:val="004267C9"/>
    <w:rsid w:val="00427249"/>
    <w:rsid w:val="00427F8D"/>
    <w:rsid w:val="00431536"/>
    <w:rsid w:val="00431C42"/>
    <w:rsid w:val="00432C99"/>
    <w:rsid w:val="004377AC"/>
    <w:rsid w:val="00437DB0"/>
    <w:rsid w:val="00441FDF"/>
    <w:rsid w:val="004424FE"/>
    <w:rsid w:val="00443C74"/>
    <w:rsid w:val="00445313"/>
    <w:rsid w:val="00446120"/>
    <w:rsid w:val="004519C8"/>
    <w:rsid w:val="00454160"/>
    <w:rsid w:val="004559D5"/>
    <w:rsid w:val="00455F7E"/>
    <w:rsid w:val="00457B84"/>
    <w:rsid w:val="0046017F"/>
    <w:rsid w:val="00460809"/>
    <w:rsid w:val="00461A5D"/>
    <w:rsid w:val="00462456"/>
    <w:rsid w:val="00467BBC"/>
    <w:rsid w:val="00472C82"/>
    <w:rsid w:val="004740E4"/>
    <w:rsid w:val="004748EF"/>
    <w:rsid w:val="004756C5"/>
    <w:rsid w:val="004774F3"/>
    <w:rsid w:val="00480BCD"/>
    <w:rsid w:val="004826E0"/>
    <w:rsid w:val="004833B1"/>
    <w:rsid w:val="00495ECD"/>
    <w:rsid w:val="004A0F57"/>
    <w:rsid w:val="004A18BA"/>
    <w:rsid w:val="004A1E95"/>
    <w:rsid w:val="004A3709"/>
    <w:rsid w:val="004A3B65"/>
    <w:rsid w:val="004A4E98"/>
    <w:rsid w:val="004A59B1"/>
    <w:rsid w:val="004A7516"/>
    <w:rsid w:val="004A7F72"/>
    <w:rsid w:val="004B2DBB"/>
    <w:rsid w:val="004B725D"/>
    <w:rsid w:val="004C13B0"/>
    <w:rsid w:val="004C3AC0"/>
    <w:rsid w:val="004C4386"/>
    <w:rsid w:val="004D02AD"/>
    <w:rsid w:val="004D30C6"/>
    <w:rsid w:val="004D5F22"/>
    <w:rsid w:val="004D6293"/>
    <w:rsid w:val="004D6546"/>
    <w:rsid w:val="004E0B40"/>
    <w:rsid w:val="004E3000"/>
    <w:rsid w:val="004E38E3"/>
    <w:rsid w:val="004E6148"/>
    <w:rsid w:val="004F55DE"/>
    <w:rsid w:val="004F73AC"/>
    <w:rsid w:val="004F7B5C"/>
    <w:rsid w:val="00502349"/>
    <w:rsid w:val="00502D44"/>
    <w:rsid w:val="00505330"/>
    <w:rsid w:val="00506C8E"/>
    <w:rsid w:val="00506CD1"/>
    <w:rsid w:val="005131C3"/>
    <w:rsid w:val="00513A4E"/>
    <w:rsid w:val="005152A6"/>
    <w:rsid w:val="005201BE"/>
    <w:rsid w:val="00524604"/>
    <w:rsid w:val="00525EE9"/>
    <w:rsid w:val="0053021A"/>
    <w:rsid w:val="00530D50"/>
    <w:rsid w:val="00531FCF"/>
    <w:rsid w:val="005329BE"/>
    <w:rsid w:val="0053326A"/>
    <w:rsid w:val="005334B4"/>
    <w:rsid w:val="005349D4"/>
    <w:rsid w:val="00537D63"/>
    <w:rsid w:val="005407BF"/>
    <w:rsid w:val="00542508"/>
    <w:rsid w:val="00543FCF"/>
    <w:rsid w:val="00544107"/>
    <w:rsid w:val="005449BE"/>
    <w:rsid w:val="005506BE"/>
    <w:rsid w:val="005506C7"/>
    <w:rsid w:val="005506CE"/>
    <w:rsid w:val="0055079B"/>
    <w:rsid w:val="00550B2F"/>
    <w:rsid w:val="00555DDD"/>
    <w:rsid w:val="0055739D"/>
    <w:rsid w:val="0056011E"/>
    <w:rsid w:val="00562957"/>
    <w:rsid w:val="0056453E"/>
    <w:rsid w:val="00566BB4"/>
    <w:rsid w:val="00570D6F"/>
    <w:rsid w:val="0057120E"/>
    <w:rsid w:val="00571853"/>
    <w:rsid w:val="005718A8"/>
    <w:rsid w:val="00572118"/>
    <w:rsid w:val="00572CCF"/>
    <w:rsid w:val="00572E0A"/>
    <w:rsid w:val="005737C6"/>
    <w:rsid w:val="00575DF4"/>
    <w:rsid w:val="00577B4C"/>
    <w:rsid w:val="00577CA1"/>
    <w:rsid w:val="00580546"/>
    <w:rsid w:val="005842A0"/>
    <w:rsid w:val="0058472E"/>
    <w:rsid w:val="00584D37"/>
    <w:rsid w:val="0059473B"/>
    <w:rsid w:val="005953CA"/>
    <w:rsid w:val="00595C28"/>
    <w:rsid w:val="005960BA"/>
    <w:rsid w:val="005A2314"/>
    <w:rsid w:val="005A6731"/>
    <w:rsid w:val="005B352D"/>
    <w:rsid w:val="005B4C78"/>
    <w:rsid w:val="005B631B"/>
    <w:rsid w:val="005B6420"/>
    <w:rsid w:val="005C463B"/>
    <w:rsid w:val="005C5EB1"/>
    <w:rsid w:val="005C67E5"/>
    <w:rsid w:val="005C78DB"/>
    <w:rsid w:val="005D1B17"/>
    <w:rsid w:val="005D1B86"/>
    <w:rsid w:val="005D3683"/>
    <w:rsid w:val="005D3AB2"/>
    <w:rsid w:val="005D792B"/>
    <w:rsid w:val="005E0072"/>
    <w:rsid w:val="005E2966"/>
    <w:rsid w:val="005E6149"/>
    <w:rsid w:val="005E7FF4"/>
    <w:rsid w:val="005F09CC"/>
    <w:rsid w:val="005F2890"/>
    <w:rsid w:val="005F297C"/>
    <w:rsid w:val="005F3EB2"/>
    <w:rsid w:val="006001B2"/>
    <w:rsid w:val="006014DA"/>
    <w:rsid w:val="006021BF"/>
    <w:rsid w:val="0060296A"/>
    <w:rsid w:val="006038D0"/>
    <w:rsid w:val="006044CF"/>
    <w:rsid w:val="00610C4A"/>
    <w:rsid w:val="006117A3"/>
    <w:rsid w:val="00611A86"/>
    <w:rsid w:val="00612BD3"/>
    <w:rsid w:val="00615EF2"/>
    <w:rsid w:val="00616B13"/>
    <w:rsid w:val="00620130"/>
    <w:rsid w:val="00622893"/>
    <w:rsid w:val="00625361"/>
    <w:rsid w:val="0062548D"/>
    <w:rsid w:val="00627EB6"/>
    <w:rsid w:val="00630B07"/>
    <w:rsid w:val="00631029"/>
    <w:rsid w:val="00632268"/>
    <w:rsid w:val="00632AB5"/>
    <w:rsid w:val="00633921"/>
    <w:rsid w:val="00635DAE"/>
    <w:rsid w:val="00637E05"/>
    <w:rsid w:val="00641765"/>
    <w:rsid w:val="00641801"/>
    <w:rsid w:val="00645C89"/>
    <w:rsid w:val="00647642"/>
    <w:rsid w:val="006478CA"/>
    <w:rsid w:val="00660A72"/>
    <w:rsid w:val="006633CF"/>
    <w:rsid w:val="0066588E"/>
    <w:rsid w:val="00665F3D"/>
    <w:rsid w:val="00670BE5"/>
    <w:rsid w:val="006741E5"/>
    <w:rsid w:val="006802EF"/>
    <w:rsid w:val="00685987"/>
    <w:rsid w:val="00690AD3"/>
    <w:rsid w:val="006910E6"/>
    <w:rsid w:val="00692004"/>
    <w:rsid w:val="00695302"/>
    <w:rsid w:val="00695CDD"/>
    <w:rsid w:val="006A1C8A"/>
    <w:rsid w:val="006A437D"/>
    <w:rsid w:val="006A4BDB"/>
    <w:rsid w:val="006A5D28"/>
    <w:rsid w:val="006A6F51"/>
    <w:rsid w:val="006A75E7"/>
    <w:rsid w:val="006B0EC3"/>
    <w:rsid w:val="006B52A7"/>
    <w:rsid w:val="006B5D2F"/>
    <w:rsid w:val="006C0461"/>
    <w:rsid w:val="006C12C7"/>
    <w:rsid w:val="006C23C2"/>
    <w:rsid w:val="006C4521"/>
    <w:rsid w:val="006C59A5"/>
    <w:rsid w:val="006C5D2F"/>
    <w:rsid w:val="006C7FB3"/>
    <w:rsid w:val="006D629A"/>
    <w:rsid w:val="006E0CD2"/>
    <w:rsid w:val="006E1997"/>
    <w:rsid w:val="006E2EB7"/>
    <w:rsid w:val="006E76A5"/>
    <w:rsid w:val="006F0645"/>
    <w:rsid w:val="006F1700"/>
    <w:rsid w:val="006F239F"/>
    <w:rsid w:val="006F436C"/>
    <w:rsid w:val="0070070A"/>
    <w:rsid w:val="0071193F"/>
    <w:rsid w:val="0071367F"/>
    <w:rsid w:val="007236BA"/>
    <w:rsid w:val="007238DD"/>
    <w:rsid w:val="00723D02"/>
    <w:rsid w:val="00723D84"/>
    <w:rsid w:val="00723EDE"/>
    <w:rsid w:val="00724717"/>
    <w:rsid w:val="00725838"/>
    <w:rsid w:val="0072660C"/>
    <w:rsid w:val="007268B8"/>
    <w:rsid w:val="00726F9F"/>
    <w:rsid w:val="00727446"/>
    <w:rsid w:val="00727CF8"/>
    <w:rsid w:val="00730404"/>
    <w:rsid w:val="00731AB7"/>
    <w:rsid w:val="0074180F"/>
    <w:rsid w:val="007446DE"/>
    <w:rsid w:val="00745DED"/>
    <w:rsid w:val="00746019"/>
    <w:rsid w:val="00746D3F"/>
    <w:rsid w:val="00750AB2"/>
    <w:rsid w:val="007532A0"/>
    <w:rsid w:val="00755358"/>
    <w:rsid w:val="007558DB"/>
    <w:rsid w:val="00755AB9"/>
    <w:rsid w:val="007567B6"/>
    <w:rsid w:val="00756DFF"/>
    <w:rsid w:val="00757FB9"/>
    <w:rsid w:val="00760746"/>
    <w:rsid w:val="00765303"/>
    <w:rsid w:val="00766299"/>
    <w:rsid w:val="00766870"/>
    <w:rsid w:val="00767923"/>
    <w:rsid w:val="007702C7"/>
    <w:rsid w:val="007737A3"/>
    <w:rsid w:val="007738A0"/>
    <w:rsid w:val="0077606A"/>
    <w:rsid w:val="0078146D"/>
    <w:rsid w:val="00781801"/>
    <w:rsid w:val="0078318D"/>
    <w:rsid w:val="00784C33"/>
    <w:rsid w:val="0079363C"/>
    <w:rsid w:val="00793B6E"/>
    <w:rsid w:val="0079785B"/>
    <w:rsid w:val="007A4BB5"/>
    <w:rsid w:val="007A4FB6"/>
    <w:rsid w:val="007A5AEB"/>
    <w:rsid w:val="007A6AA6"/>
    <w:rsid w:val="007B1550"/>
    <w:rsid w:val="007B1B3A"/>
    <w:rsid w:val="007B2632"/>
    <w:rsid w:val="007B4E82"/>
    <w:rsid w:val="007B5D7F"/>
    <w:rsid w:val="007B66EC"/>
    <w:rsid w:val="007B7C1E"/>
    <w:rsid w:val="007C1B8F"/>
    <w:rsid w:val="007C1D1B"/>
    <w:rsid w:val="007C5329"/>
    <w:rsid w:val="007D6EC1"/>
    <w:rsid w:val="007E0835"/>
    <w:rsid w:val="007E4CD6"/>
    <w:rsid w:val="007E634F"/>
    <w:rsid w:val="007E73D8"/>
    <w:rsid w:val="007F1574"/>
    <w:rsid w:val="007F1F0C"/>
    <w:rsid w:val="007F5589"/>
    <w:rsid w:val="007F55DE"/>
    <w:rsid w:val="007F6327"/>
    <w:rsid w:val="007F79A8"/>
    <w:rsid w:val="008005A8"/>
    <w:rsid w:val="00802CE5"/>
    <w:rsid w:val="00805098"/>
    <w:rsid w:val="00807A77"/>
    <w:rsid w:val="00814C9A"/>
    <w:rsid w:val="0081595F"/>
    <w:rsid w:val="00823A7E"/>
    <w:rsid w:val="008259FC"/>
    <w:rsid w:val="008304DA"/>
    <w:rsid w:val="00832534"/>
    <w:rsid w:val="0083284E"/>
    <w:rsid w:val="00834EDE"/>
    <w:rsid w:val="00835D1F"/>
    <w:rsid w:val="00837228"/>
    <w:rsid w:val="008444AE"/>
    <w:rsid w:val="008465BF"/>
    <w:rsid w:val="00847657"/>
    <w:rsid w:val="008503B3"/>
    <w:rsid w:val="00851B4B"/>
    <w:rsid w:val="008527D8"/>
    <w:rsid w:val="00852A19"/>
    <w:rsid w:val="00852DD8"/>
    <w:rsid w:val="00852EBB"/>
    <w:rsid w:val="008545E7"/>
    <w:rsid w:val="0085585F"/>
    <w:rsid w:val="00855FFB"/>
    <w:rsid w:val="00856C7F"/>
    <w:rsid w:val="00861293"/>
    <w:rsid w:val="00865EB1"/>
    <w:rsid w:val="0086630A"/>
    <w:rsid w:val="00872A7C"/>
    <w:rsid w:val="00873081"/>
    <w:rsid w:val="00874016"/>
    <w:rsid w:val="008763F1"/>
    <w:rsid w:val="00880769"/>
    <w:rsid w:val="00883479"/>
    <w:rsid w:val="00885DD4"/>
    <w:rsid w:val="00886809"/>
    <w:rsid w:val="0088750D"/>
    <w:rsid w:val="008879C5"/>
    <w:rsid w:val="00890051"/>
    <w:rsid w:val="00890E84"/>
    <w:rsid w:val="0089306D"/>
    <w:rsid w:val="008951B3"/>
    <w:rsid w:val="00895914"/>
    <w:rsid w:val="008A1E8A"/>
    <w:rsid w:val="008A64B8"/>
    <w:rsid w:val="008B202B"/>
    <w:rsid w:val="008B3001"/>
    <w:rsid w:val="008B3CFE"/>
    <w:rsid w:val="008B5DBC"/>
    <w:rsid w:val="008B73BC"/>
    <w:rsid w:val="008C3C92"/>
    <w:rsid w:val="008C4E8A"/>
    <w:rsid w:val="008C73D5"/>
    <w:rsid w:val="008D394D"/>
    <w:rsid w:val="008D4422"/>
    <w:rsid w:val="008D640B"/>
    <w:rsid w:val="008E3C04"/>
    <w:rsid w:val="008E56E2"/>
    <w:rsid w:val="008E57F5"/>
    <w:rsid w:val="008F35A8"/>
    <w:rsid w:val="008F46E4"/>
    <w:rsid w:val="009016E3"/>
    <w:rsid w:val="009018EF"/>
    <w:rsid w:val="009039FB"/>
    <w:rsid w:val="00905F50"/>
    <w:rsid w:val="0090766A"/>
    <w:rsid w:val="00913750"/>
    <w:rsid w:val="00913815"/>
    <w:rsid w:val="00913F09"/>
    <w:rsid w:val="00917496"/>
    <w:rsid w:val="0092151E"/>
    <w:rsid w:val="0092600D"/>
    <w:rsid w:val="00926FB8"/>
    <w:rsid w:val="00932AD3"/>
    <w:rsid w:val="0093523E"/>
    <w:rsid w:val="00935C40"/>
    <w:rsid w:val="0093630E"/>
    <w:rsid w:val="00936E99"/>
    <w:rsid w:val="00937898"/>
    <w:rsid w:val="0094212E"/>
    <w:rsid w:val="0094458A"/>
    <w:rsid w:val="0094466C"/>
    <w:rsid w:val="00945846"/>
    <w:rsid w:val="00947EC9"/>
    <w:rsid w:val="00951A8D"/>
    <w:rsid w:val="009533CE"/>
    <w:rsid w:val="00955B43"/>
    <w:rsid w:val="0095612C"/>
    <w:rsid w:val="00957036"/>
    <w:rsid w:val="00962A82"/>
    <w:rsid w:val="009662F0"/>
    <w:rsid w:val="00967BE2"/>
    <w:rsid w:val="009739A9"/>
    <w:rsid w:val="00974B43"/>
    <w:rsid w:val="009761E9"/>
    <w:rsid w:val="00977FB6"/>
    <w:rsid w:val="009809F0"/>
    <w:rsid w:val="009820A2"/>
    <w:rsid w:val="009829B0"/>
    <w:rsid w:val="00984AB0"/>
    <w:rsid w:val="0098544D"/>
    <w:rsid w:val="00987484"/>
    <w:rsid w:val="009901C6"/>
    <w:rsid w:val="009908ED"/>
    <w:rsid w:val="00994D53"/>
    <w:rsid w:val="0099688A"/>
    <w:rsid w:val="009A02C9"/>
    <w:rsid w:val="009A0D32"/>
    <w:rsid w:val="009A3371"/>
    <w:rsid w:val="009A3D6A"/>
    <w:rsid w:val="009A3F39"/>
    <w:rsid w:val="009A418D"/>
    <w:rsid w:val="009A4641"/>
    <w:rsid w:val="009A5F5B"/>
    <w:rsid w:val="009A70B1"/>
    <w:rsid w:val="009A7596"/>
    <w:rsid w:val="009B0E51"/>
    <w:rsid w:val="009B477B"/>
    <w:rsid w:val="009B50B5"/>
    <w:rsid w:val="009C0EA3"/>
    <w:rsid w:val="009C69C7"/>
    <w:rsid w:val="009D061F"/>
    <w:rsid w:val="009D187B"/>
    <w:rsid w:val="009D1E28"/>
    <w:rsid w:val="009D2385"/>
    <w:rsid w:val="009D24A0"/>
    <w:rsid w:val="009D49FE"/>
    <w:rsid w:val="009D52B6"/>
    <w:rsid w:val="009D5C8E"/>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5682"/>
    <w:rsid w:val="00A05BA7"/>
    <w:rsid w:val="00A06370"/>
    <w:rsid w:val="00A06870"/>
    <w:rsid w:val="00A06EFE"/>
    <w:rsid w:val="00A071FC"/>
    <w:rsid w:val="00A07548"/>
    <w:rsid w:val="00A11FFD"/>
    <w:rsid w:val="00A12C8D"/>
    <w:rsid w:val="00A148A6"/>
    <w:rsid w:val="00A2223B"/>
    <w:rsid w:val="00A252F0"/>
    <w:rsid w:val="00A264A9"/>
    <w:rsid w:val="00A26C90"/>
    <w:rsid w:val="00A317D9"/>
    <w:rsid w:val="00A3561D"/>
    <w:rsid w:val="00A35793"/>
    <w:rsid w:val="00A35BC5"/>
    <w:rsid w:val="00A36777"/>
    <w:rsid w:val="00A41A92"/>
    <w:rsid w:val="00A43224"/>
    <w:rsid w:val="00A440E2"/>
    <w:rsid w:val="00A45815"/>
    <w:rsid w:val="00A45D6E"/>
    <w:rsid w:val="00A5132F"/>
    <w:rsid w:val="00A5241A"/>
    <w:rsid w:val="00A53C66"/>
    <w:rsid w:val="00A54763"/>
    <w:rsid w:val="00A55CB3"/>
    <w:rsid w:val="00A57696"/>
    <w:rsid w:val="00A60795"/>
    <w:rsid w:val="00A60AF2"/>
    <w:rsid w:val="00A62455"/>
    <w:rsid w:val="00A63263"/>
    <w:rsid w:val="00A643F2"/>
    <w:rsid w:val="00A64F8F"/>
    <w:rsid w:val="00A711EB"/>
    <w:rsid w:val="00A8009D"/>
    <w:rsid w:val="00A80AAB"/>
    <w:rsid w:val="00A81A7A"/>
    <w:rsid w:val="00A90C1C"/>
    <w:rsid w:val="00A90DDC"/>
    <w:rsid w:val="00A90E13"/>
    <w:rsid w:val="00A92667"/>
    <w:rsid w:val="00A92A1A"/>
    <w:rsid w:val="00A936E7"/>
    <w:rsid w:val="00A9562A"/>
    <w:rsid w:val="00A959A5"/>
    <w:rsid w:val="00A97408"/>
    <w:rsid w:val="00A97998"/>
    <w:rsid w:val="00A979D9"/>
    <w:rsid w:val="00AA0995"/>
    <w:rsid w:val="00AA0FDA"/>
    <w:rsid w:val="00AA1865"/>
    <w:rsid w:val="00AA2CF3"/>
    <w:rsid w:val="00AA3118"/>
    <w:rsid w:val="00AA6B88"/>
    <w:rsid w:val="00AA772B"/>
    <w:rsid w:val="00AB0817"/>
    <w:rsid w:val="00AB0F96"/>
    <w:rsid w:val="00AB1AAB"/>
    <w:rsid w:val="00AB1AB2"/>
    <w:rsid w:val="00AB2E38"/>
    <w:rsid w:val="00AB472B"/>
    <w:rsid w:val="00AC04F7"/>
    <w:rsid w:val="00AC0B2F"/>
    <w:rsid w:val="00AC1550"/>
    <w:rsid w:val="00AC3AB3"/>
    <w:rsid w:val="00AC6628"/>
    <w:rsid w:val="00AC66EF"/>
    <w:rsid w:val="00AC6BDD"/>
    <w:rsid w:val="00AC7CD8"/>
    <w:rsid w:val="00AD4123"/>
    <w:rsid w:val="00AE15EA"/>
    <w:rsid w:val="00AE1773"/>
    <w:rsid w:val="00AE20C6"/>
    <w:rsid w:val="00AE2ECF"/>
    <w:rsid w:val="00AE4505"/>
    <w:rsid w:val="00AE52B0"/>
    <w:rsid w:val="00AE5C1F"/>
    <w:rsid w:val="00AE5F0C"/>
    <w:rsid w:val="00AF06D9"/>
    <w:rsid w:val="00AF3DA6"/>
    <w:rsid w:val="00AF4C34"/>
    <w:rsid w:val="00AF61C0"/>
    <w:rsid w:val="00AF65F0"/>
    <w:rsid w:val="00B0026F"/>
    <w:rsid w:val="00B012DE"/>
    <w:rsid w:val="00B05458"/>
    <w:rsid w:val="00B07152"/>
    <w:rsid w:val="00B1214A"/>
    <w:rsid w:val="00B1328E"/>
    <w:rsid w:val="00B13707"/>
    <w:rsid w:val="00B13CD0"/>
    <w:rsid w:val="00B15A83"/>
    <w:rsid w:val="00B208E4"/>
    <w:rsid w:val="00B2233E"/>
    <w:rsid w:val="00B24A31"/>
    <w:rsid w:val="00B25107"/>
    <w:rsid w:val="00B31F81"/>
    <w:rsid w:val="00B32A76"/>
    <w:rsid w:val="00B32C88"/>
    <w:rsid w:val="00B331B2"/>
    <w:rsid w:val="00B33284"/>
    <w:rsid w:val="00B37FB0"/>
    <w:rsid w:val="00B4237D"/>
    <w:rsid w:val="00B424BA"/>
    <w:rsid w:val="00B42656"/>
    <w:rsid w:val="00B443B4"/>
    <w:rsid w:val="00B45888"/>
    <w:rsid w:val="00B45B15"/>
    <w:rsid w:val="00B51D96"/>
    <w:rsid w:val="00B5317F"/>
    <w:rsid w:val="00B53BAF"/>
    <w:rsid w:val="00B53BD7"/>
    <w:rsid w:val="00B55825"/>
    <w:rsid w:val="00B558D2"/>
    <w:rsid w:val="00B56096"/>
    <w:rsid w:val="00B6637D"/>
    <w:rsid w:val="00B666EF"/>
    <w:rsid w:val="00B671A0"/>
    <w:rsid w:val="00B672EC"/>
    <w:rsid w:val="00B703FD"/>
    <w:rsid w:val="00B7176B"/>
    <w:rsid w:val="00B728F9"/>
    <w:rsid w:val="00B73509"/>
    <w:rsid w:val="00B8141F"/>
    <w:rsid w:val="00B83D1A"/>
    <w:rsid w:val="00B84566"/>
    <w:rsid w:val="00B85D52"/>
    <w:rsid w:val="00B86890"/>
    <w:rsid w:val="00B90E88"/>
    <w:rsid w:val="00B91501"/>
    <w:rsid w:val="00B919EE"/>
    <w:rsid w:val="00B92D7E"/>
    <w:rsid w:val="00BA33E7"/>
    <w:rsid w:val="00BA48C0"/>
    <w:rsid w:val="00BA4E83"/>
    <w:rsid w:val="00BB09D4"/>
    <w:rsid w:val="00BB21E1"/>
    <w:rsid w:val="00BC035C"/>
    <w:rsid w:val="00BC2979"/>
    <w:rsid w:val="00BC5201"/>
    <w:rsid w:val="00BC5D73"/>
    <w:rsid w:val="00BC6742"/>
    <w:rsid w:val="00BC7490"/>
    <w:rsid w:val="00BC74D7"/>
    <w:rsid w:val="00BC78CE"/>
    <w:rsid w:val="00BD0EA1"/>
    <w:rsid w:val="00BD11D6"/>
    <w:rsid w:val="00BD3DB6"/>
    <w:rsid w:val="00BD5A2E"/>
    <w:rsid w:val="00BD751A"/>
    <w:rsid w:val="00BE20B2"/>
    <w:rsid w:val="00BE4FFC"/>
    <w:rsid w:val="00BF1387"/>
    <w:rsid w:val="00BF27F1"/>
    <w:rsid w:val="00BF3297"/>
    <w:rsid w:val="00BF3B42"/>
    <w:rsid w:val="00BF402E"/>
    <w:rsid w:val="00BF4915"/>
    <w:rsid w:val="00BF4B96"/>
    <w:rsid w:val="00C01AD0"/>
    <w:rsid w:val="00C030CD"/>
    <w:rsid w:val="00C045E5"/>
    <w:rsid w:val="00C0504F"/>
    <w:rsid w:val="00C0765F"/>
    <w:rsid w:val="00C07C56"/>
    <w:rsid w:val="00C137F2"/>
    <w:rsid w:val="00C1421A"/>
    <w:rsid w:val="00C1584D"/>
    <w:rsid w:val="00C162F0"/>
    <w:rsid w:val="00C16CC2"/>
    <w:rsid w:val="00C21580"/>
    <w:rsid w:val="00C23D41"/>
    <w:rsid w:val="00C243BC"/>
    <w:rsid w:val="00C24668"/>
    <w:rsid w:val="00C25308"/>
    <w:rsid w:val="00C255A7"/>
    <w:rsid w:val="00C258AC"/>
    <w:rsid w:val="00C27942"/>
    <w:rsid w:val="00C337B7"/>
    <w:rsid w:val="00C352E4"/>
    <w:rsid w:val="00C37976"/>
    <w:rsid w:val="00C45B01"/>
    <w:rsid w:val="00C45D94"/>
    <w:rsid w:val="00C4698B"/>
    <w:rsid w:val="00C55371"/>
    <w:rsid w:val="00C553EC"/>
    <w:rsid w:val="00C555A4"/>
    <w:rsid w:val="00C55AB7"/>
    <w:rsid w:val="00C55ACC"/>
    <w:rsid w:val="00C6143B"/>
    <w:rsid w:val="00C637D6"/>
    <w:rsid w:val="00C64598"/>
    <w:rsid w:val="00C6657F"/>
    <w:rsid w:val="00C67013"/>
    <w:rsid w:val="00C720A2"/>
    <w:rsid w:val="00C7230E"/>
    <w:rsid w:val="00C72A5F"/>
    <w:rsid w:val="00C74859"/>
    <w:rsid w:val="00C816F8"/>
    <w:rsid w:val="00C8474B"/>
    <w:rsid w:val="00C870B6"/>
    <w:rsid w:val="00C90170"/>
    <w:rsid w:val="00C90EDD"/>
    <w:rsid w:val="00C92ED5"/>
    <w:rsid w:val="00CA05BC"/>
    <w:rsid w:val="00CA0D71"/>
    <w:rsid w:val="00CA0E37"/>
    <w:rsid w:val="00CA262C"/>
    <w:rsid w:val="00CA2A97"/>
    <w:rsid w:val="00CA3960"/>
    <w:rsid w:val="00CB0677"/>
    <w:rsid w:val="00CB1696"/>
    <w:rsid w:val="00CC3889"/>
    <w:rsid w:val="00CC3D49"/>
    <w:rsid w:val="00CC5DA5"/>
    <w:rsid w:val="00CD0B61"/>
    <w:rsid w:val="00CD214D"/>
    <w:rsid w:val="00CD4977"/>
    <w:rsid w:val="00CD4D29"/>
    <w:rsid w:val="00CD5427"/>
    <w:rsid w:val="00CE143E"/>
    <w:rsid w:val="00CE48BF"/>
    <w:rsid w:val="00CE5256"/>
    <w:rsid w:val="00CF1AAC"/>
    <w:rsid w:val="00CF31B8"/>
    <w:rsid w:val="00CF3D52"/>
    <w:rsid w:val="00CF4653"/>
    <w:rsid w:val="00CF492A"/>
    <w:rsid w:val="00CF4DE8"/>
    <w:rsid w:val="00CF6792"/>
    <w:rsid w:val="00CF6EAD"/>
    <w:rsid w:val="00D06931"/>
    <w:rsid w:val="00D12CAF"/>
    <w:rsid w:val="00D13280"/>
    <w:rsid w:val="00D13923"/>
    <w:rsid w:val="00D1698A"/>
    <w:rsid w:val="00D16A49"/>
    <w:rsid w:val="00D2261A"/>
    <w:rsid w:val="00D260FE"/>
    <w:rsid w:val="00D43D4D"/>
    <w:rsid w:val="00D57E7B"/>
    <w:rsid w:val="00D616C1"/>
    <w:rsid w:val="00D64DC5"/>
    <w:rsid w:val="00D65F9B"/>
    <w:rsid w:val="00D6662E"/>
    <w:rsid w:val="00D679E2"/>
    <w:rsid w:val="00D73247"/>
    <w:rsid w:val="00D8223A"/>
    <w:rsid w:val="00D8458A"/>
    <w:rsid w:val="00D85E87"/>
    <w:rsid w:val="00D85E94"/>
    <w:rsid w:val="00D872E5"/>
    <w:rsid w:val="00D873D6"/>
    <w:rsid w:val="00D87A4B"/>
    <w:rsid w:val="00D87A82"/>
    <w:rsid w:val="00D94293"/>
    <w:rsid w:val="00D9463C"/>
    <w:rsid w:val="00D94BC3"/>
    <w:rsid w:val="00D9515A"/>
    <w:rsid w:val="00DA1C99"/>
    <w:rsid w:val="00DA30D4"/>
    <w:rsid w:val="00DA34C5"/>
    <w:rsid w:val="00DA3B07"/>
    <w:rsid w:val="00DA44A4"/>
    <w:rsid w:val="00DA4AE5"/>
    <w:rsid w:val="00DA5924"/>
    <w:rsid w:val="00DA7E40"/>
    <w:rsid w:val="00DB1959"/>
    <w:rsid w:val="00DB32FF"/>
    <w:rsid w:val="00DB3474"/>
    <w:rsid w:val="00DB491A"/>
    <w:rsid w:val="00DB682A"/>
    <w:rsid w:val="00DB6FD4"/>
    <w:rsid w:val="00DC1E27"/>
    <w:rsid w:val="00DC5888"/>
    <w:rsid w:val="00DD1519"/>
    <w:rsid w:val="00DD1FB1"/>
    <w:rsid w:val="00DD4A57"/>
    <w:rsid w:val="00DD4D01"/>
    <w:rsid w:val="00DD66F0"/>
    <w:rsid w:val="00DD7985"/>
    <w:rsid w:val="00DE45AA"/>
    <w:rsid w:val="00DE4901"/>
    <w:rsid w:val="00DE5B26"/>
    <w:rsid w:val="00DE766C"/>
    <w:rsid w:val="00DE78D0"/>
    <w:rsid w:val="00DE790F"/>
    <w:rsid w:val="00DF03C2"/>
    <w:rsid w:val="00DF12BE"/>
    <w:rsid w:val="00DF2A97"/>
    <w:rsid w:val="00E03E6D"/>
    <w:rsid w:val="00E0438B"/>
    <w:rsid w:val="00E07B01"/>
    <w:rsid w:val="00E12E28"/>
    <w:rsid w:val="00E15D14"/>
    <w:rsid w:val="00E20F2B"/>
    <w:rsid w:val="00E227FF"/>
    <w:rsid w:val="00E22C56"/>
    <w:rsid w:val="00E25042"/>
    <w:rsid w:val="00E26969"/>
    <w:rsid w:val="00E269BA"/>
    <w:rsid w:val="00E3578B"/>
    <w:rsid w:val="00E40D53"/>
    <w:rsid w:val="00E40E5F"/>
    <w:rsid w:val="00E41D23"/>
    <w:rsid w:val="00E4390F"/>
    <w:rsid w:val="00E455E0"/>
    <w:rsid w:val="00E53369"/>
    <w:rsid w:val="00E575B1"/>
    <w:rsid w:val="00E578C5"/>
    <w:rsid w:val="00E60CAD"/>
    <w:rsid w:val="00E618AE"/>
    <w:rsid w:val="00E67265"/>
    <w:rsid w:val="00E70592"/>
    <w:rsid w:val="00E716E0"/>
    <w:rsid w:val="00E71BED"/>
    <w:rsid w:val="00E74899"/>
    <w:rsid w:val="00E753DF"/>
    <w:rsid w:val="00E77325"/>
    <w:rsid w:val="00E81B33"/>
    <w:rsid w:val="00E81D71"/>
    <w:rsid w:val="00E839EF"/>
    <w:rsid w:val="00E85C37"/>
    <w:rsid w:val="00E86E2A"/>
    <w:rsid w:val="00E902A9"/>
    <w:rsid w:val="00E92A1C"/>
    <w:rsid w:val="00E92C60"/>
    <w:rsid w:val="00E93A11"/>
    <w:rsid w:val="00E940DA"/>
    <w:rsid w:val="00E94513"/>
    <w:rsid w:val="00EA3BA2"/>
    <w:rsid w:val="00EA48B8"/>
    <w:rsid w:val="00EA6EC8"/>
    <w:rsid w:val="00EB01B6"/>
    <w:rsid w:val="00EB1F35"/>
    <w:rsid w:val="00EB2B87"/>
    <w:rsid w:val="00EB39C5"/>
    <w:rsid w:val="00EB47D5"/>
    <w:rsid w:val="00EB6C44"/>
    <w:rsid w:val="00EC07CF"/>
    <w:rsid w:val="00EC0FB5"/>
    <w:rsid w:val="00EC29FA"/>
    <w:rsid w:val="00EC2CB4"/>
    <w:rsid w:val="00EC2FAA"/>
    <w:rsid w:val="00EC36BA"/>
    <w:rsid w:val="00EC3ACA"/>
    <w:rsid w:val="00EC6E7D"/>
    <w:rsid w:val="00ED080B"/>
    <w:rsid w:val="00ED0E03"/>
    <w:rsid w:val="00ED12E8"/>
    <w:rsid w:val="00ED3B82"/>
    <w:rsid w:val="00ED3E72"/>
    <w:rsid w:val="00ED4B6D"/>
    <w:rsid w:val="00ED6893"/>
    <w:rsid w:val="00EE564B"/>
    <w:rsid w:val="00EE79D6"/>
    <w:rsid w:val="00EF0D03"/>
    <w:rsid w:val="00EF0E84"/>
    <w:rsid w:val="00EF18D1"/>
    <w:rsid w:val="00EF35FB"/>
    <w:rsid w:val="00EF5154"/>
    <w:rsid w:val="00EF5351"/>
    <w:rsid w:val="00EF7338"/>
    <w:rsid w:val="00F041C4"/>
    <w:rsid w:val="00F04FF1"/>
    <w:rsid w:val="00F06646"/>
    <w:rsid w:val="00F0691A"/>
    <w:rsid w:val="00F07FF9"/>
    <w:rsid w:val="00F1082E"/>
    <w:rsid w:val="00F22EB4"/>
    <w:rsid w:val="00F238DF"/>
    <w:rsid w:val="00F24726"/>
    <w:rsid w:val="00F25204"/>
    <w:rsid w:val="00F25935"/>
    <w:rsid w:val="00F306C7"/>
    <w:rsid w:val="00F32F05"/>
    <w:rsid w:val="00F33DDF"/>
    <w:rsid w:val="00F374A1"/>
    <w:rsid w:val="00F40389"/>
    <w:rsid w:val="00F41B8B"/>
    <w:rsid w:val="00F424B8"/>
    <w:rsid w:val="00F43200"/>
    <w:rsid w:val="00F436AA"/>
    <w:rsid w:val="00F43FF6"/>
    <w:rsid w:val="00F51AD2"/>
    <w:rsid w:val="00F53829"/>
    <w:rsid w:val="00F57097"/>
    <w:rsid w:val="00F61CAD"/>
    <w:rsid w:val="00F62AA7"/>
    <w:rsid w:val="00F643E6"/>
    <w:rsid w:val="00F66DD2"/>
    <w:rsid w:val="00F67C9D"/>
    <w:rsid w:val="00F70820"/>
    <w:rsid w:val="00F81A86"/>
    <w:rsid w:val="00F86DB5"/>
    <w:rsid w:val="00F86E3C"/>
    <w:rsid w:val="00F86E7B"/>
    <w:rsid w:val="00F9117A"/>
    <w:rsid w:val="00F92891"/>
    <w:rsid w:val="00F97162"/>
    <w:rsid w:val="00FA16EF"/>
    <w:rsid w:val="00FA4865"/>
    <w:rsid w:val="00FA4AA2"/>
    <w:rsid w:val="00FB0A47"/>
    <w:rsid w:val="00FB3025"/>
    <w:rsid w:val="00FB56AE"/>
    <w:rsid w:val="00FB5E5B"/>
    <w:rsid w:val="00FC26A7"/>
    <w:rsid w:val="00FC4DF5"/>
    <w:rsid w:val="00FC5AA6"/>
    <w:rsid w:val="00FC6823"/>
    <w:rsid w:val="00FC7BCC"/>
    <w:rsid w:val="00FC7FDF"/>
    <w:rsid w:val="00FD2929"/>
    <w:rsid w:val="00FD3118"/>
    <w:rsid w:val="00FD4590"/>
    <w:rsid w:val="00FD796D"/>
    <w:rsid w:val="00FE251C"/>
    <w:rsid w:val="00FE3329"/>
    <w:rsid w:val="00FE4A64"/>
    <w:rsid w:val="00FF00AD"/>
    <w:rsid w:val="00FF2317"/>
    <w:rsid w:val="00FF2E1D"/>
    <w:rsid w:val="00FF5553"/>
    <w:rsid w:val="00FF5906"/>
    <w:rsid w:val="01137516"/>
    <w:rsid w:val="01487DB3"/>
    <w:rsid w:val="04E377CC"/>
    <w:rsid w:val="052102F4"/>
    <w:rsid w:val="05595CE0"/>
    <w:rsid w:val="06007F0A"/>
    <w:rsid w:val="062067FE"/>
    <w:rsid w:val="078A2181"/>
    <w:rsid w:val="09424A0F"/>
    <w:rsid w:val="09F67759"/>
    <w:rsid w:val="0A9F4195"/>
    <w:rsid w:val="0B786794"/>
    <w:rsid w:val="0C3C5A14"/>
    <w:rsid w:val="0D336E17"/>
    <w:rsid w:val="0D4B4CD3"/>
    <w:rsid w:val="0E0252AE"/>
    <w:rsid w:val="0E0662D9"/>
    <w:rsid w:val="0E0F33E0"/>
    <w:rsid w:val="0EAD041A"/>
    <w:rsid w:val="0ED87BB1"/>
    <w:rsid w:val="0F91385E"/>
    <w:rsid w:val="11F823DD"/>
    <w:rsid w:val="12B502CE"/>
    <w:rsid w:val="15212E8E"/>
    <w:rsid w:val="16084170"/>
    <w:rsid w:val="168F779C"/>
    <w:rsid w:val="17233A58"/>
    <w:rsid w:val="18754787"/>
    <w:rsid w:val="187C5B16"/>
    <w:rsid w:val="19B968F6"/>
    <w:rsid w:val="1AEC4CFD"/>
    <w:rsid w:val="1B0C077D"/>
    <w:rsid w:val="1B4D72F6"/>
    <w:rsid w:val="1B6D7998"/>
    <w:rsid w:val="1C493CE1"/>
    <w:rsid w:val="1CB41B29"/>
    <w:rsid w:val="1CD203FA"/>
    <w:rsid w:val="1D3A6989"/>
    <w:rsid w:val="1D6E17A5"/>
    <w:rsid w:val="1D7C2114"/>
    <w:rsid w:val="1D7F0704"/>
    <w:rsid w:val="1F026649"/>
    <w:rsid w:val="1F122D30"/>
    <w:rsid w:val="20956C07"/>
    <w:rsid w:val="217F0425"/>
    <w:rsid w:val="21F93D33"/>
    <w:rsid w:val="23AE6D9F"/>
    <w:rsid w:val="240864B0"/>
    <w:rsid w:val="24965F69"/>
    <w:rsid w:val="2596165B"/>
    <w:rsid w:val="26031625"/>
    <w:rsid w:val="296D29C2"/>
    <w:rsid w:val="29F37C02"/>
    <w:rsid w:val="2A1E144D"/>
    <w:rsid w:val="2A7A79DB"/>
    <w:rsid w:val="2AA7296D"/>
    <w:rsid w:val="2AFC3D37"/>
    <w:rsid w:val="2BF44DCD"/>
    <w:rsid w:val="2C536736"/>
    <w:rsid w:val="2CC17B44"/>
    <w:rsid w:val="2DA27975"/>
    <w:rsid w:val="2DF30B28"/>
    <w:rsid w:val="2F917CA1"/>
    <w:rsid w:val="2F963509"/>
    <w:rsid w:val="2FA554FB"/>
    <w:rsid w:val="2FED29FE"/>
    <w:rsid w:val="31B40363"/>
    <w:rsid w:val="322C0750"/>
    <w:rsid w:val="346670F7"/>
    <w:rsid w:val="34784F8C"/>
    <w:rsid w:val="34AF7768"/>
    <w:rsid w:val="34CC3529"/>
    <w:rsid w:val="360D2669"/>
    <w:rsid w:val="367A2181"/>
    <w:rsid w:val="38B2278E"/>
    <w:rsid w:val="38CC3BE9"/>
    <w:rsid w:val="39755F3E"/>
    <w:rsid w:val="3A991BBE"/>
    <w:rsid w:val="3AFE01A6"/>
    <w:rsid w:val="3B131EB2"/>
    <w:rsid w:val="3C137C90"/>
    <w:rsid w:val="3C74072E"/>
    <w:rsid w:val="3CAD2B7D"/>
    <w:rsid w:val="3CE02894"/>
    <w:rsid w:val="3D141F11"/>
    <w:rsid w:val="3D9E451C"/>
    <w:rsid w:val="3EC11C25"/>
    <w:rsid w:val="3FCE63A8"/>
    <w:rsid w:val="40805350"/>
    <w:rsid w:val="40EF4827"/>
    <w:rsid w:val="435B549A"/>
    <w:rsid w:val="436074C4"/>
    <w:rsid w:val="438F79B8"/>
    <w:rsid w:val="43FE2FD4"/>
    <w:rsid w:val="442537E1"/>
    <w:rsid w:val="449A0F4E"/>
    <w:rsid w:val="449F0313"/>
    <w:rsid w:val="44DE20BF"/>
    <w:rsid w:val="46072613"/>
    <w:rsid w:val="46633F77"/>
    <w:rsid w:val="47D2657C"/>
    <w:rsid w:val="483416BA"/>
    <w:rsid w:val="48545755"/>
    <w:rsid w:val="48B134AD"/>
    <w:rsid w:val="4924528A"/>
    <w:rsid w:val="495C4A24"/>
    <w:rsid w:val="497B3675"/>
    <w:rsid w:val="4A1D6A8A"/>
    <w:rsid w:val="4A742241"/>
    <w:rsid w:val="4A897A9B"/>
    <w:rsid w:val="4ACE1952"/>
    <w:rsid w:val="4C3B3017"/>
    <w:rsid w:val="4D261B93"/>
    <w:rsid w:val="4D5824E1"/>
    <w:rsid w:val="4DB85903"/>
    <w:rsid w:val="4E86609F"/>
    <w:rsid w:val="4EA2112B"/>
    <w:rsid w:val="4EDA5520"/>
    <w:rsid w:val="50013B2E"/>
    <w:rsid w:val="50C80BF1"/>
    <w:rsid w:val="51616E44"/>
    <w:rsid w:val="530F6FAB"/>
    <w:rsid w:val="5362532D"/>
    <w:rsid w:val="55142657"/>
    <w:rsid w:val="556578BB"/>
    <w:rsid w:val="562B40FC"/>
    <w:rsid w:val="582D0DAF"/>
    <w:rsid w:val="587358E6"/>
    <w:rsid w:val="5A100D6E"/>
    <w:rsid w:val="5A7D0C9E"/>
    <w:rsid w:val="5AA4622B"/>
    <w:rsid w:val="5B6D2AC1"/>
    <w:rsid w:val="5C0F47B3"/>
    <w:rsid w:val="5C6343C9"/>
    <w:rsid w:val="5C92471D"/>
    <w:rsid w:val="5D1B2648"/>
    <w:rsid w:val="5D5A54FE"/>
    <w:rsid w:val="5DFC46FA"/>
    <w:rsid w:val="5E677C9B"/>
    <w:rsid w:val="5FAD45A1"/>
    <w:rsid w:val="62F45876"/>
    <w:rsid w:val="65F71905"/>
    <w:rsid w:val="66297900"/>
    <w:rsid w:val="66EA3218"/>
    <w:rsid w:val="67A27F96"/>
    <w:rsid w:val="689E075E"/>
    <w:rsid w:val="68E25001"/>
    <w:rsid w:val="696F58A5"/>
    <w:rsid w:val="6B07083C"/>
    <w:rsid w:val="6E4770F5"/>
    <w:rsid w:val="6E912A5B"/>
    <w:rsid w:val="6ED64B6A"/>
    <w:rsid w:val="6EFF5FE0"/>
    <w:rsid w:val="700510C2"/>
    <w:rsid w:val="70BC3E77"/>
    <w:rsid w:val="71C16BA1"/>
    <w:rsid w:val="71CE5047"/>
    <w:rsid w:val="73204FA1"/>
    <w:rsid w:val="733817AF"/>
    <w:rsid w:val="73571C35"/>
    <w:rsid w:val="741B0EB4"/>
    <w:rsid w:val="754E0E15"/>
    <w:rsid w:val="788C2381"/>
    <w:rsid w:val="79A90FEB"/>
    <w:rsid w:val="79D02741"/>
    <w:rsid w:val="7D1D14DB"/>
    <w:rsid w:val="7D751799"/>
    <w:rsid w:val="7DEC0EAC"/>
    <w:rsid w:val="7EE57FE3"/>
    <w:rsid w:val="7F250E39"/>
    <w:rsid w:val="7F5A46A2"/>
    <w:rsid w:val="7FB14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8"/>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List Number 2"/>
    <w:basedOn w:val="1"/>
    <w:autoRedefine/>
    <w:unhideWhenUsed/>
    <w:qFormat/>
    <w:uiPriority w:val="1"/>
    <w:pPr>
      <w:widowControl/>
      <w:numPr>
        <w:ilvl w:val="1"/>
        <w:numId w:val="1"/>
      </w:numPr>
      <w:tabs>
        <w:tab w:val="left" w:pos="360"/>
        <w:tab w:val="clear" w:pos="432"/>
      </w:tabs>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autoRedefine/>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2"/>
    <w:autoRedefine/>
    <w:semiHidden/>
    <w:unhideWhenUsed/>
    <w:qFormat/>
    <w:uiPriority w:val="99"/>
    <w:pPr>
      <w:jc w:val="left"/>
    </w:pPr>
  </w:style>
  <w:style w:type="paragraph" w:styleId="6">
    <w:name w:val="Body Text"/>
    <w:basedOn w:val="1"/>
    <w:next w:val="1"/>
    <w:link w:val="51"/>
    <w:autoRedefine/>
    <w:semiHidden/>
    <w:unhideWhenUsed/>
    <w:qFormat/>
    <w:uiPriority w:val="99"/>
    <w:pPr>
      <w:spacing w:after="120"/>
    </w:pPr>
  </w:style>
  <w:style w:type="paragraph" w:styleId="7">
    <w:name w:val="Body Text Indent"/>
    <w:basedOn w:val="1"/>
    <w:link w:val="30"/>
    <w:autoRedefine/>
    <w:qFormat/>
    <w:uiPriority w:val="0"/>
    <w:pPr>
      <w:tabs>
        <w:tab w:val="left" w:pos="480"/>
      </w:tabs>
      <w:spacing w:line="560" w:lineRule="exact"/>
      <w:ind w:firstLine="480"/>
      <w:jc w:val="left"/>
    </w:pPr>
    <w:rPr>
      <w:rFonts w:ascii="宋体" w:hAnsi="宋体"/>
      <w:sz w:val="24"/>
    </w:rPr>
  </w:style>
  <w:style w:type="paragraph" w:styleId="8">
    <w:name w:val="List Number 3"/>
    <w:basedOn w:val="1"/>
    <w:autoRedefine/>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2"/>
    <w:autoRedefine/>
    <w:qFormat/>
    <w:uiPriority w:val="0"/>
    <w:rPr>
      <w:rFonts w:ascii="宋体" w:hAnsi="Courier New"/>
    </w:rPr>
  </w:style>
  <w:style w:type="paragraph" w:styleId="10">
    <w:name w:val="List Number 4"/>
    <w:basedOn w:val="1"/>
    <w:autoRedefine/>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5"/>
    <w:autoRedefine/>
    <w:qFormat/>
    <w:uiPriority w:val="0"/>
    <w:pPr>
      <w:adjustRightInd w:val="0"/>
      <w:spacing w:line="360" w:lineRule="atLeast"/>
      <w:textAlignment w:val="baseline"/>
    </w:pPr>
    <w:rPr>
      <w:sz w:val="32"/>
    </w:rPr>
  </w:style>
  <w:style w:type="paragraph" w:styleId="12">
    <w:name w:val="Body Text Indent 2"/>
    <w:basedOn w:val="1"/>
    <w:link w:val="37"/>
    <w:autoRedefine/>
    <w:semiHidden/>
    <w:unhideWhenUsed/>
    <w:qFormat/>
    <w:uiPriority w:val="99"/>
    <w:pPr>
      <w:spacing w:after="120" w:line="480" w:lineRule="auto"/>
      <w:ind w:left="420" w:leftChars="200"/>
    </w:p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autoRedefine/>
    <w:qFormat/>
    <w:uiPriority w:val="0"/>
    <w:pPr>
      <w:spacing w:before="240" w:after="60" w:line="312" w:lineRule="auto"/>
      <w:jc w:val="center"/>
      <w:outlineLvl w:val="1"/>
    </w:pPr>
    <w:rPr>
      <w:rFonts w:ascii="Cambria" w:hAnsi="Cambria"/>
      <w:b/>
      <w:bCs/>
      <w:kern w:val="28"/>
      <w:sz w:val="32"/>
      <w:szCs w:val="32"/>
    </w:rPr>
  </w:style>
  <w:style w:type="paragraph" w:styleId="16">
    <w:name w:val="List Number 5"/>
    <w:basedOn w:val="1"/>
    <w:autoRedefine/>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7">
    <w:name w:val="Body Text Indent 3"/>
    <w:basedOn w:val="1"/>
    <w:link w:val="43"/>
    <w:autoRedefine/>
    <w:semiHidden/>
    <w:unhideWhenUsed/>
    <w:qFormat/>
    <w:uiPriority w:val="99"/>
    <w:pPr>
      <w:spacing w:after="120"/>
      <w:ind w:left="420" w:leftChars="200"/>
    </w:pPr>
    <w:rPr>
      <w:sz w:val="16"/>
      <w:szCs w:val="16"/>
    </w:rPr>
  </w:style>
  <w:style w:type="paragraph" w:styleId="18">
    <w:name w:val="Body Text 2"/>
    <w:basedOn w:val="1"/>
    <w:link w:val="39"/>
    <w:autoRedefine/>
    <w:semiHidden/>
    <w:unhideWhenUsed/>
    <w:qFormat/>
    <w:uiPriority w:val="99"/>
    <w:pPr>
      <w:spacing w:after="120" w:line="480" w:lineRule="auto"/>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bCs/>
    </w:rPr>
  </w:style>
  <w:style w:type="character" w:styleId="23">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4">
    <w:name w:val="HTML Definition"/>
    <w:basedOn w:val="21"/>
    <w:autoRedefine/>
    <w:semiHidden/>
    <w:unhideWhenUsed/>
    <w:qFormat/>
    <w:uiPriority w:val="99"/>
    <w:rPr>
      <w:i/>
      <w:iCs/>
    </w:rPr>
  </w:style>
  <w:style w:type="character" w:styleId="25">
    <w:name w:val="Hyperlink"/>
    <w:basedOn w:val="21"/>
    <w:autoRedefine/>
    <w:unhideWhenUsed/>
    <w:qFormat/>
    <w:uiPriority w:val="99"/>
    <w:rPr>
      <w:color w:val="0000FF" w:themeColor="hyperlink"/>
      <w:u w:val="single"/>
      <w14:textFill>
        <w14:solidFill>
          <w14:schemeClr w14:val="hlink"/>
        </w14:solidFill>
      </w14:textFill>
    </w:rPr>
  </w:style>
  <w:style w:type="character" w:styleId="26">
    <w:name w:val="HTML Code"/>
    <w:basedOn w:val="21"/>
    <w:autoRedefine/>
    <w:semiHidden/>
    <w:unhideWhenUsed/>
    <w:qFormat/>
    <w:uiPriority w:val="99"/>
    <w:rPr>
      <w:rFonts w:hint="default" w:ascii="Consolas" w:hAnsi="Consolas" w:eastAsia="Consolas" w:cs="Consolas"/>
      <w:color w:val="C7254E"/>
      <w:sz w:val="21"/>
      <w:szCs w:val="21"/>
      <w:shd w:val="clear" w:color="auto" w:fill="F9F2F4"/>
    </w:rPr>
  </w:style>
  <w:style w:type="character" w:styleId="27">
    <w:name w:val="HTML Cite"/>
    <w:basedOn w:val="21"/>
    <w:autoRedefine/>
    <w:semiHidden/>
    <w:unhideWhenUsed/>
    <w:qFormat/>
    <w:uiPriority w:val="99"/>
  </w:style>
  <w:style w:type="character" w:styleId="28">
    <w:name w:val="HTML Keyboard"/>
    <w:basedOn w:val="21"/>
    <w:autoRedefine/>
    <w:semiHidden/>
    <w:unhideWhenUsed/>
    <w:qFormat/>
    <w:uiPriority w:val="99"/>
    <w:rPr>
      <w:rFonts w:hint="default" w:ascii="Consolas" w:hAnsi="Consolas" w:eastAsia="Consolas" w:cs="Consolas"/>
      <w:sz w:val="21"/>
      <w:szCs w:val="21"/>
    </w:rPr>
  </w:style>
  <w:style w:type="character" w:styleId="29">
    <w:name w:val="HTML Sample"/>
    <w:basedOn w:val="21"/>
    <w:autoRedefine/>
    <w:semiHidden/>
    <w:unhideWhenUsed/>
    <w:qFormat/>
    <w:uiPriority w:val="99"/>
    <w:rPr>
      <w:rFonts w:ascii="Consolas" w:hAnsi="Consolas" w:eastAsia="Consolas" w:cs="Consolas"/>
      <w:sz w:val="21"/>
      <w:szCs w:val="21"/>
    </w:rPr>
  </w:style>
  <w:style w:type="character" w:customStyle="1" w:styleId="30">
    <w:name w:val="正文文本缩进 Char"/>
    <w:basedOn w:val="21"/>
    <w:link w:val="7"/>
    <w:autoRedefine/>
    <w:qFormat/>
    <w:uiPriority w:val="0"/>
    <w:rPr>
      <w:rFonts w:ascii="宋体" w:hAnsi="宋体" w:eastAsia="宋体" w:cs="Times New Roman"/>
      <w:sz w:val="24"/>
      <w:szCs w:val="20"/>
    </w:rPr>
  </w:style>
  <w:style w:type="paragraph" w:customStyle="1" w:styleId="31">
    <w:name w:val="Default"/>
    <w:link w:val="50"/>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2">
    <w:name w:val="副标题 Char"/>
    <w:basedOn w:val="21"/>
    <w:link w:val="15"/>
    <w:autoRedefine/>
    <w:qFormat/>
    <w:uiPriority w:val="0"/>
    <w:rPr>
      <w:rFonts w:ascii="Cambria" w:hAnsi="Cambria" w:eastAsia="宋体" w:cs="Times New Roman"/>
      <w:b/>
      <w:bCs/>
      <w:kern w:val="28"/>
      <w:sz w:val="32"/>
      <w:szCs w:val="32"/>
    </w:rPr>
  </w:style>
  <w:style w:type="character" w:customStyle="1" w:styleId="33">
    <w:name w:val="页眉 Char"/>
    <w:basedOn w:val="21"/>
    <w:link w:val="14"/>
    <w:autoRedefine/>
    <w:qFormat/>
    <w:uiPriority w:val="99"/>
    <w:rPr>
      <w:rFonts w:ascii="Times New Roman" w:hAnsi="Times New Roman" w:eastAsia="宋体" w:cs="Times New Roman"/>
      <w:sz w:val="18"/>
      <w:szCs w:val="18"/>
    </w:rPr>
  </w:style>
  <w:style w:type="character" w:customStyle="1" w:styleId="34">
    <w:name w:val="页脚 Char"/>
    <w:basedOn w:val="21"/>
    <w:link w:val="13"/>
    <w:autoRedefine/>
    <w:qFormat/>
    <w:uiPriority w:val="99"/>
    <w:rPr>
      <w:rFonts w:ascii="Times New Roman" w:hAnsi="Times New Roman" w:eastAsia="宋体" w:cs="Times New Roman"/>
      <w:sz w:val="18"/>
      <w:szCs w:val="18"/>
    </w:rPr>
  </w:style>
  <w:style w:type="character" w:customStyle="1" w:styleId="35">
    <w:name w:val="日期 Char"/>
    <w:basedOn w:val="21"/>
    <w:link w:val="11"/>
    <w:autoRedefine/>
    <w:qFormat/>
    <w:uiPriority w:val="0"/>
    <w:rPr>
      <w:rFonts w:ascii="Times New Roman" w:hAnsi="Times New Roman" w:eastAsia="宋体" w:cs="Times New Roman"/>
      <w:sz w:val="32"/>
      <w:szCs w:val="20"/>
    </w:rPr>
  </w:style>
  <w:style w:type="paragraph" w:styleId="36">
    <w:name w:val="List Paragraph"/>
    <w:basedOn w:val="1"/>
    <w:link w:val="55"/>
    <w:autoRedefine/>
    <w:qFormat/>
    <w:uiPriority w:val="34"/>
    <w:pPr>
      <w:ind w:firstLine="420" w:firstLineChars="200"/>
    </w:pPr>
  </w:style>
  <w:style w:type="character" w:customStyle="1" w:styleId="37">
    <w:name w:val="正文文本缩进 2 Char"/>
    <w:basedOn w:val="21"/>
    <w:link w:val="12"/>
    <w:autoRedefine/>
    <w:semiHidden/>
    <w:qFormat/>
    <w:uiPriority w:val="99"/>
    <w:rPr>
      <w:rFonts w:ascii="Times New Roman" w:hAnsi="Times New Roman" w:eastAsia="宋体" w:cs="Times New Roman"/>
      <w:szCs w:val="20"/>
    </w:rPr>
  </w:style>
  <w:style w:type="character" w:customStyle="1" w:styleId="38">
    <w:name w:val="标题 3 Char"/>
    <w:basedOn w:val="21"/>
    <w:link w:val="2"/>
    <w:autoRedefine/>
    <w:qFormat/>
    <w:uiPriority w:val="0"/>
    <w:rPr>
      <w:rFonts w:ascii="Times New Roman" w:hAnsi="Times New Roman" w:eastAsia="宋体" w:cs="Times New Roman"/>
      <w:b/>
      <w:bCs/>
      <w:sz w:val="32"/>
      <w:szCs w:val="32"/>
    </w:rPr>
  </w:style>
  <w:style w:type="character" w:customStyle="1" w:styleId="39">
    <w:name w:val="正文文本 2 Char"/>
    <w:basedOn w:val="21"/>
    <w:link w:val="18"/>
    <w:autoRedefine/>
    <w:semiHidden/>
    <w:qFormat/>
    <w:uiPriority w:val="99"/>
    <w:rPr>
      <w:rFonts w:ascii="Times New Roman" w:hAnsi="Times New Roman" w:eastAsia="宋体" w:cs="Times New Roman"/>
      <w:szCs w:val="20"/>
    </w:rPr>
  </w:style>
  <w:style w:type="paragraph" w:customStyle="1" w:styleId="40">
    <w:name w:val="Char"/>
    <w:basedOn w:val="1"/>
    <w:autoRedefine/>
    <w:qFormat/>
    <w:uiPriority w:val="0"/>
    <w:pPr>
      <w:tabs>
        <w:tab w:val="left" w:pos="360"/>
      </w:tabs>
    </w:pPr>
    <w:rPr>
      <w:sz w:val="24"/>
      <w:szCs w:val="24"/>
    </w:rPr>
  </w:style>
  <w:style w:type="character" w:customStyle="1" w:styleId="41">
    <w:name w:val="纯文本 Char"/>
    <w:basedOn w:val="21"/>
    <w:autoRedefine/>
    <w:semiHidden/>
    <w:qFormat/>
    <w:uiPriority w:val="99"/>
    <w:rPr>
      <w:rFonts w:ascii="宋体" w:hAnsi="Courier New" w:eastAsia="宋体" w:cs="Courier New"/>
      <w:szCs w:val="21"/>
    </w:rPr>
  </w:style>
  <w:style w:type="character" w:customStyle="1" w:styleId="42">
    <w:name w:val="纯文本 Char1"/>
    <w:link w:val="9"/>
    <w:autoRedefine/>
    <w:qFormat/>
    <w:locked/>
    <w:uiPriority w:val="0"/>
    <w:rPr>
      <w:rFonts w:ascii="宋体" w:hAnsi="Courier New" w:eastAsia="宋体" w:cs="Times New Roman"/>
      <w:szCs w:val="20"/>
    </w:rPr>
  </w:style>
  <w:style w:type="character" w:customStyle="1" w:styleId="43">
    <w:name w:val="正文文本缩进 3 Char"/>
    <w:basedOn w:val="21"/>
    <w:link w:val="17"/>
    <w:autoRedefine/>
    <w:semiHidden/>
    <w:qFormat/>
    <w:uiPriority w:val="99"/>
    <w:rPr>
      <w:rFonts w:ascii="Times New Roman" w:hAnsi="Times New Roman" w:eastAsia="宋体" w:cs="Times New Roman"/>
      <w:sz w:val="16"/>
      <w:szCs w:val="16"/>
    </w:rPr>
  </w:style>
  <w:style w:type="paragraph" w:customStyle="1" w:styleId="44">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har1"/>
    <w:basedOn w:val="1"/>
    <w:autoRedefine/>
    <w:qFormat/>
    <w:uiPriority w:val="0"/>
    <w:pPr>
      <w:tabs>
        <w:tab w:val="left" w:pos="360"/>
      </w:tabs>
    </w:pPr>
    <w:rPr>
      <w:sz w:val="24"/>
      <w:szCs w:val="24"/>
    </w:rPr>
  </w:style>
  <w:style w:type="paragraph" w:customStyle="1" w:styleId="49">
    <w:name w:val="列出段落1"/>
    <w:basedOn w:val="1"/>
    <w:autoRedefine/>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50">
    <w:name w:val="Default Char"/>
    <w:link w:val="31"/>
    <w:autoRedefine/>
    <w:qFormat/>
    <w:locked/>
    <w:uiPriority w:val="0"/>
    <w:rPr>
      <w:rFonts w:ascii="......." w:hAnsi="Calibri" w:eastAsia="......." w:cs="......."/>
      <w:color w:val="000000"/>
      <w:kern w:val="0"/>
      <w:sz w:val="24"/>
      <w:szCs w:val="24"/>
    </w:rPr>
  </w:style>
  <w:style w:type="character" w:customStyle="1" w:styleId="51">
    <w:name w:val="正文文本 Char"/>
    <w:basedOn w:val="21"/>
    <w:link w:val="6"/>
    <w:autoRedefine/>
    <w:semiHidden/>
    <w:qFormat/>
    <w:uiPriority w:val="99"/>
    <w:rPr>
      <w:rFonts w:ascii="Times New Roman" w:hAnsi="Times New Roman" w:eastAsia="宋体" w:cs="Times New Roman"/>
      <w:szCs w:val="20"/>
    </w:rPr>
  </w:style>
  <w:style w:type="character" w:customStyle="1" w:styleId="52">
    <w:name w:val="批注文字 Char"/>
    <w:basedOn w:val="21"/>
    <w:link w:val="5"/>
    <w:autoRedefine/>
    <w:semiHidden/>
    <w:qFormat/>
    <w:uiPriority w:val="99"/>
    <w:rPr>
      <w:rFonts w:ascii="Times New Roman" w:hAnsi="Times New Roman" w:eastAsia="宋体" w:cs="Times New Roman"/>
      <w:szCs w:val="20"/>
    </w:rPr>
  </w:style>
  <w:style w:type="paragraph" w:customStyle="1" w:styleId="53">
    <w:name w:val="Char2"/>
    <w:basedOn w:val="1"/>
    <w:autoRedefine/>
    <w:qFormat/>
    <w:uiPriority w:val="0"/>
    <w:pPr>
      <w:tabs>
        <w:tab w:val="left" w:pos="360"/>
      </w:tabs>
    </w:pPr>
    <w:rPr>
      <w:sz w:val="24"/>
      <w:szCs w:val="24"/>
    </w:rPr>
  </w:style>
  <w:style w:type="character" w:customStyle="1" w:styleId="54">
    <w:name w:val="NormalCharacter"/>
    <w:autoRedefine/>
    <w:semiHidden/>
    <w:qFormat/>
    <w:uiPriority w:val="0"/>
  </w:style>
  <w:style w:type="character" w:customStyle="1" w:styleId="55">
    <w:name w:val="列出段落 Char"/>
    <w:link w:val="36"/>
    <w:autoRedefine/>
    <w:qFormat/>
    <w:uiPriority w:val="34"/>
    <w:rPr>
      <w:rFonts w:ascii="Times New Roman" w:hAnsi="Times New Roman" w:eastAsia="宋体" w:cs="Times New Roman"/>
      <w:szCs w:val="20"/>
    </w:rPr>
  </w:style>
  <w:style w:type="character" w:customStyle="1" w:styleId="56">
    <w:name w:val="first-child"/>
    <w:basedOn w:val="21"/>
    <w:autoRedefine/>
    <w:qFormat/>
    <w:uiPriority w:val="0"/>
  </w:style>
  <w:style w:type="character" w:customStyle="1" w:styleId="57">
    <w:name w:val="required"/>
    <w:basedOn w:val="21"/>
    <w:autoRedefine/>
    <w:qFormat/>
    <w:uiPriority w:val="0"/>
    <w:rPr>
      <w:color w:val="FF0000"/>
    </w:rPr>
  </w:style>
  <w:style w:type="character" w:customStyle="1" w:styleId="58">
    <w:name w:val="fielderror"/>
    <w:basedOn w:val="21"/>
    <w:autoRedefine/>
    <w:qFormat/>
    <w:uiPriority w:val="0"/>
    <w:rPr>
      <w:color w:val="800000"/>
    </w:rPr>
  </w:style>
  <w:style w:type="character" w:customStyle="1" w:styleId="59">
    <w:name w:val="active"/>
    <w:basedOn w:val="21"/>
    <w:autoRedefine/>
    <w:qFormat/>
    <w:uiPriority w:val="0"/>
    <w:rPr>
      <w:color w:val="FFFFFF"/>
    </w:rPr>
  </w:style>
  <w:style w:type="character" w:customStyle="1" w:styleId="60">
    <w:name w:val="hilite5"/>
    <w:basedOn w:val="21"/>
    <w:autoRedefine/>
    <w:qFormat/>
    <w:uiPriority w:val="0"/>
    <w:rPr>
      <w:color w:val="000000"/>
    </w:rPr>
  </w:style>
  <w:style w:type="character" w:customStyle="1" w:styleId="61">
    <w:name w:val="tab2"/>
    <w:basedOn w:val="21"/>
    <w:autoRedefine/>
    <w:qFormat/>
    <w:uiPriority w:val="0"/>
    <w:rPr>
      <w:color w:val="333366"/>
    </w:rPr>
  </w:style>
  <w:style w:type="character" w:customStyle="1" w:styleId="62">
    <w:name w:val="tab1"/>
    <w:basedOn w:val="21"/>
    <w:autoRedefine/>
    <w:qFormat/>
    <w:uiPriority w:val="0"/>
  </w:style>
  <w:style w:type="character" w:customStyle="1" w:styleId="63">
    <w:name w:val="layui-this"/>
    <w:basedOn w:val="21"/>
    <w:autoRedefine/>
    <w:qFormat/>
    <w:uiPriority w:val="0"/>
    <w:rPr>
      <w:bdr w:val="single" w:color="EEEEEE" w:sz="6" w:space="0"/>
      <w:shd w:val="clear" w:color="auto" w:fill="FFFFFF"/>
    </w:rPr>
  </w:style>
  <w:style w:type="character" w:customStyle="1" w:styleId="64">
    <w:name w:val="hilite6"/>
    <w:basedOn w:val="21"/>
    <w:autoRedefine/>
    <w:qFormat/>
    <w:uiPriority w:val="0"/>
    <w:rPr>
      <w:color w:val="000000"/>
    </w:rPr>
  </w:style>
  <w:style w:type="character" w:customStyle="1" w:styleId="65">
    <w:name w:val="active6"/>
    <w:basedOn w:val="21"/>
    <w:autoRedefine/>
    <w:qFormat/>
    <w:uiPriority w:val="0"/>
    <w:rPr>
      <w:color w:val="FFFFFF"/>
    </w:rPr>
  </w:style>
  <w:style w:type="character" w:customStyle="1" w:styleId="66">
    <w:name w:val="active7"/>
    <w:basedOn w:val="21"/>
    <w:autoRedefine/>
    <w:qFormat/>
    <w:uiPriority w:val="0"/>
    <w:rPr>
      <w:color w:val="FFFFFF"/>
    </w:rPr>
  </w:style>
  <w:style w:type="character" w:customStyle="1" w:styleId="67">
    <w:name w:val="hilite4"/>
    <w:basedOn w:val="21"/>
    <w:autoRedefine/>
    <w:qFormat/>
    <w:uiPriority w:val="0"/>
    <w:rPr>
      <w:color w:val="000000"/>
    </w:rPr>
  </w:style>
  <w:style w:type="character" w:customStyle="1" w:styleId="68">
    <w:name w:val="hilite"/>
    <w:basedOn w:val="21"/>
    <w:autoRedefine/>
    <w:qFormat/>
    <w:uiPriority w:val="0"/>
    <w:rPr>
      <w:color w:val="000000"/>
    </w:rPr>
  </w:style>
  <w:style w:type="character" w:customStyle="1" w:styleId="69">
    <w:name w:val="filename"/>
    <w:basedOn w:val="21"/>
    <w:autoRedefine/>
    <w:qFormat/>
    <w:uiPriority w:val="0"/>
    <w:rPr>
      <w:color w:val="777777"/>
      <w:sz w:val="16"/>
      <w:szCs w:val="16"/>
    </w:rPr>
  </w:style>
  <w:style w:type="character" w:customStyle="1" w:styleId="70">
    <w:name w:val="l-btn-icon-left"/>
    <w:basedOn w:val="21"/>
    <w:autoRedefine/>
    <w:qFormat/>
    <w:uiPriority w:val="0"/>
  </w:style>
  <w:style w:type="character" w:customStyle="1" w:styleId="71">
    <w:name w:val="l-btn-icon-right"/>
    <w:basedOn w:val="21"/>
    <w:autoRedefine/>
    <w:qFormat/>
    <w:uiPriority w:val="0"/>
  </w:style>
  <w:style w:type="character" w:customStyle="1" w:styleId="72">
    <w:name w:val="l-btn-left"/>
    <w:basedOn w:val="21"/>
    <w:autoRedefine/>
    <w:qFormat/>
    <w:uiPriority w:val="0"/>
  </w:style>
  <w:style w:type="character" w:customStyle="1" w:styleId="73">
    <w:name w:val="l-btn-left1"/>
    <w:basedOn w:val="21"/>
    <w:autoRedefine/>
    <w:qFormat/>
    <w:uiPriority w:val="0"/>
  </w:style>
  <w:style w:type="character" w:customStyle="1" w:styleId="74">
    <w:name w:val="l-btn-left2"/>
    <w:basedOn w:val="21"/>
    <w:autoRedefine/>
    <w:qFormat/>
    <w:uiPriority w:val="0"/>
  </w:style>
  <w:style w:type="character" w:customStyle="1" w:styleId="75">
    <w:name w:val="l-btn-text"/>
    <w:basedOn w:val="21"/>
    <w:autoRedefine/>
    <w:qFormat/>
    <w:uiPriority w:val="0"/>
    <w:rPr>
      <w:sz w:val="18"/>
      <w:szCs w:val="18"/>
    </w:rPr>
  </w:style>
  <w:style w:type="character" w:customStyle="1" w:styleId="76">
    <w:name w:val="l-btn-text1"/>
    <w:basedOn w:val="21"/>
    <w:autoRedefine/>
    <w:qFormat/>
    <w:uiPriority w:val="0"/>
  </w:style>
  <w:style w:type="character" w:customStyle="1" w:styleId="77">
    <w:name w:val="l-btn-empty"/>
    <w:basedOn w:val="21"/>
    <w:autoRedefine/>
    <w:qFormat/>
    <w:uiPriority w:val="0"/>
  </w:style>
  <w:style w:type="character" w:customStyle="1" w:styleId="78">
    <w:name w:val="hover3"/>
    <w:basedOn w:val="21"/>
    <w:autoRedefine/>
    <w:qFormat/>
    <w:uiPriority w:val="0"/>
    <w:rPr>
      <w:shd w:val="clear" w:color="auto" w:fill="EEEEEE"/>
    </w:rPr>
  </w:style>
  <w:style w:type="character" w:customStyle="1" w:styleId="79">
    <w:name w:val="action"/>
    <w:basedOn w:val="21"/>
    <w:autoRedefine/>
    <w:qFormat/>
    <w:uiPriority w:val="0"/>
    <w:rPr>
      <w:b/>
      <w:bCs/>
      <w:sz w:val="16"/>
      <w:szCs w:val="16"/>
      <w:shd w:val="clear" w:color="auto" w:fill="FFFFFF"/>
    </w:rPr>
  </w:style>
  <w:style w:type="character" w:customStyle="1" w:styleId="80">
    <w:name w:val="hour_am"/>
    <w:basedOn w:val="21"/>
    <w:autoRedefine/>
    <w:qFormat/>
    <w:uiPriority w:val="0"/>
  </w:style>
  <w:style w:type="character" w:customStyle="1" w:styleId="81">
    <w:name w:val="checked"/>
    <w:basedOn w:val="21"/>
    <w:autoRedefine/>
    <w:qFormat/>
    <w:uiPriority w:val="0"/>
  </w:style>
  <w:style w:type="character" w:customStyle="1" w:styleId="82">
    <w:name w:val="checked1"/>
    <w:basedOn w:val="21"/>
    <w:autoRedefine/>
    <w:qFormat/>
    <w:uiPriority w:val="0"/>
  </w:style>
  <w:style w:type="character" w:customStyle="1" w:styleId="83">
    <w:name w:val="old"/>
    <w:basedOn w:val="21"/>
    <w:autoRedefine/>
    <w:qFormat/>
    <w:uiPriority w:val="0"/>
    <w:rPr>
      <w:color w:val="999999"/>
    </w:rPr>
  </w:style>
  <w:style w:type="character" w:customStyle="1" w:styleId="84">
    <w:name w:val="hour_pm"/>
    <w:basedOn w:val="21"/>
    <w:autoRedefine/>
    <w:qFormat/>
    <w:uiPriority w:val="0"/>
  </w:style>
  <w:style w:type="paragraph" w:customStyle="1" w:styleId="85">
    <w:name w:val="_Style 84"/>
    <w:basedOn w:val="1"/>
    <w:next w:val="1"/>
    <w:autoRedefine/>
    <w:qFormat/>
    <w:uiPriority w:val="0"/>
    <w:pPr>
      <w:pBdr>
        <w:bottom w:val="single" w:color="auto" w:sz="6" w:space="1"/>
      </w:pBdr>
      <w:jc w:val="center"/>
    </w:pPr>
    <w:rPr>
      <w:rFonts w:ascii="Arial"/>
      <w:vanish/>
      <w:sz w:val="16"/>
    </w:rPr>
  </w:style>
  <w:style w:type="paragraph" w:customStyle="1" w:styleId="86">
    <w:name w:val="_Style 85"/>
    <w:basedOn w:val="1"/>
    <w:next w:val="1"/>
    <w:autoRedefine/>
    <w:qFormat/>
    <w:uiPriority w:val="0"/>
    <w:pPr>
      <w:pBdr>
        <w:top w:val="single" w:color="auto" w:sz="6" w:space="1"/>
      </w:pBdr>
      <w:jc w:val="center"/>
    </w:pPr>
    <w:rPr>
      <w:rFonts w:ascii="Arial"/>
      <w:vanish/>
      <w:sz w:val="16"/>
    </w:rPr>
  </w:style>
  <w:style w:type="character" w:customStyle="1" w:styleId="87">
    <w:name w:val="control-label9"/>
    <w:basedOn w:val="21"/>
    <w:autoRedefine/>
    <w:qFormat/>
    <w:uiPriority w:val="0"/>
  </w:style>
  <w:style w:type="character" w:customStyle="1" w:styleId="88">
    <w:name w:val="hover"/>
    <w:basedOn w:val="21"/>
    <w:autoRedefine/>
    <w:qFormat/>
    <w:uiPriority w:val="0"/>
    <w:rPr>
      <w:shd w:val="clear" w:color="auto" w:fill="EEEEEE"/>
    </w:rPr>
  </w:style>
  <w:style w:type="character" w:customStyle="1" w:styleId="89">
    <w:name w:val="control-label6"/>
    <w:basedOn w:val="21"/>
    <w:autoRedefine/>
    <w:qFormat/>
    <w:uiPriority w:val="0"/>
  </w:style>
  <w:style w:type="table" w:customStyle="1" w:styleId="90">
    <w:name w:val="网格型4"/>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48D66-9BC6-4B5D-80F5-7565DFF2A4D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5829</Words>
  <Characters>33229</Characters>
  <Lines>276</Lines>
  <Paragraphs>77</Paragraphs>
  <TotalTime>3</TotalTime>
  <ScaleCrop>false</ScaleCrop>
  <LinksUpToDate>false</LinksUpToDate>
  <CharactersWithSpaces>38981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2017-08-03T11:19:00Z</dcterms:created>
  <dc:creator>未定义</dc:creator>
  <cp:lastModifiedBy>未定义</cp:lastModifiedBy>
  <dcterms:modified xsi:type="dcterms:W3CDTF">2024-01-25T04:26:14Z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D354EC014CB94C999F5C2DF3B5F992E2_13</vt:lpwstr>
  </property>
</Properties>
</file>