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316230</wp:posOffset>
                </wp:positionV>
                <wp:extent cx="11156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8.95pt;margin-top:24.9pt;height:0pt;width:87.85pt;z-index:251659264;mso-width-relative:page;mso-height-relative:page;" filled="f" stroked="t" coordsize="21600,21600" o:gfxdata="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uLBH&#10;1gAAAAkBAAAPAAAAAAAAAAEAIAAAACIAAABkcnMvZG93bnJldi54bWxQSwECFAAUAAAACACHTuJA&#10;tOmyIOoBAACsAwAADgAAAAAAAAABACAAAAAl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天津市交通运输委员会、</w:t>
      </w:r>
    </w:p>
    <w:p>
      <w:pPr>
        <w:ind w:right="105"/>
        <w:jc w:val="right"/>
        <w:rPr>
          <w:rFonts w:hint="eastAsia" w:eastAsia="黑体"/>
          <w:b/>
          <w:spacing w:val="40"/>
          <w:w w:val="66"/>
          <w:sz w:val="60"/>
          <w:szCs w:val="60"/>
        </w:rPr>
      </w:pPr>
      <w:r>
        <w:rPr>
          <w:rFonts w:hint="eastAsia" w:eastAsia="黑体"/>
          <w:b/>
          <w:spacing w:val="40"/>
          <w:w w:val="66"/>
          <w:sz w:val="60"/>
          <w:szCs w:val="60"/>
        </w:rPr>
        <w:t>天津市道路运输管理局</w:t>
      </w:r>
    </w:p>
    <w:p>
      <w:pPr>
        <w:ind w:right="105"/>
        <w:jc w:val="right"/>
        <w:rPr>
          <w:rFonts w:eastAsia="黑体"/>
          <w:b/>
          <w:spacing w:val="40"/>
          <w:w w:val="66"/>
          <w:sz w:val="60"/>
          <w:szCs w:val="60"/>
        </w:rPr>
      </w:pPr>
      <w:r>
        <w:rPr>
          <w:rFonts w:hint="eastAsia" w:eastAsia="黑体"/>
          <w:b/>
          <w:spacing w:val="40"/>
          <w:w w:val="66"/>
          <w:sz w:val="60"/>
          <w:szCs w:val="60"/>
        </w:rPr>
        <w:t>物业管理项目</w:t>
      </w:r>
    </w:p>
    <w:p>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TGPC-2024-D-0179</w:t>
      </w:r>
      <w:bookmarkEnd w:id="8"/>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4</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7"/>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天津市交通运输委员会、天津市道路运输管理局</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天津市交通运输委员会、天津市道路运输管理局物业管理项目</w:t>
      </w:r>
      <w:r>
        <w:rPr>
          <w:rFonts w:ascii="Times New Roman" w:hAnsi="Times New Roman" w:cs="Times New Roman" w:eastAsiaTheme="minorEastAsia"/>
          <w:color w:val="auto"/>
          <w:szCs w:val="32"/>
        </w:rPr>
        <w:t>实施政府采购。现欢迎合格的供应商参加投标。</w:t>
      </w:r>
    </w:p>
    <w:p>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天津市交通运输委员会、天津市道路运输管理局物业管理项目</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 xml:space="preserve"> TGPC-2024-D-0179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7"/>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cs="Times New Roman" w:eastAsiaTheme="minorEastAsia"/>
          <w:color w:val="auto"/>
          <w:szCs w:val="32"/>
        </w:rPr>
        <w:t>天津市交通运输委员会</w:t>
      </w:r>
      <w:r>
        <w:rPr>
          <w:rFonts w:hint="eastAsia" w:ascii="Times New Roman" w:hAnsi="Times New Roman" w:cs="Times New Roman" w:eastAsiaTheme="minorEastAsia"/>
          <w:color w:val="auto"/>
          <w:szCs w:val="32"/>
          <w:lang w:val="en-US" w:eastAsia="zh-CN"/>
        </w:rPr>
        <w:t>物业管理1项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7"/>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第二包：</w:t>
      </w:r>
      <w:r>
        <w:rPr>
          <w:rFonts w:hint="eastAsia" w:ascii="Times New Roman" w:hAnsi="Times New Roman" w:cs="Times New Roman" w:eastAsiaTheme="minorEastAsia"/>
          <w:color w:val="auto"/>
          <w:szCs w:val="32"/>
        </w:rPr>
        <w:t>天津市道路运输管理局</w:t>
      </w:r>
      <w:r>
        <w:rPr>
          <w:rFonts w:hint="eastAsia" w:ascii="Times New Roman" w:hAnsi="Times New Roman" w:cs="Times New Roman" w:eastAsiaTheme="minorEastAsia"/>
          <w:color w:val="auto"/>
          <w:szCs w:val="32"/>
          <w:lang w:val="en-US" w:eastAsia="zh-CN"/>
        </w:rPr>
        <w:t>物业管理1项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本项目投标人只能同时参加</w:t>
      </w:r>
      <w:r>
        <w:rPr>
          <w:rFonts w:hint="eastAsia" w:ascii="Times New Roman" w:hAnsi="Times New Roman" w:eastAsia="宋体" w:cs="Times New Roman"/>
          <w:color w:val="auto"/>
          <w:lang w:val="en-US" w:eastAsia="zh-CN"/>
        </w:rPr>
        <w:t>两</w:t>
      </w:r>
      <w:r>
        <w:rPr>
          <w:rFonts w:hint="eastAsia" w:ascii="Times New Roman" w:hAnsi="Times New Roman" w:eastAsia="宋体" w:cs="Times New Roman"/>
          <w:color w:val="auto"/>
        </w:rPr>
        <w:t>个采购包的投标，不能</w:t>
      </w:r>
      <w:r>
        <w:rPr>
          <w:rFonts w:hint="eastAsia" w:ascii="Times New Roman" w:hAnsi="Times New Roman" w:eastAsia="宋体" w:cs="Times New Roman"/>
          <w:color w:val="auto"/>
          <w:lang w:val="en-US" w:eastAsia="zh-CN"/>
        </w:rPr>
        <w:t>只</w:t>
      </w:r>
      <w:r>
        <w:rPr>
          <w:rFonts w:hint="eastAsia" w:ascii="Times New Roman" w:hAnsi="Times New Roman" w:eastAsia="宋体" w:cs="Times New Roman"/>
          <w:color w:val="auto"/>
        </w:rPr>
        <w:t>参与其中一个包的投标，否则视为无效投标。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rPr>
        <w:t>947000</w:t>
      </w:r>
      <w:r>
        <w:rPr>
          <w:rFonts w:hint="eastAsia" w:ascii="Times New Roman" w:hAnsi="Times New Roman" w:eastAsia="宋体" w:cs="Times New Roman"/>
          <w:color w:val="auto"/>
          <w:lang w:val="en-US" w:eastAsia="zh-CN"/>
        </w:rPr>
        <w:t>元，最高限价878800元。</w:t>
      </w:r>
    </w:p>
    <w:p>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第二包：</w:t>
      </w:r>
      <w:r>
        <w:rPr>
          <w:rFonts w:hint="eastAsia" w:ascii="Times New Roman" w:hAnsi="Times New Roman" w:eastAsia="宋体" w:cs="Times New Roman"/>
          <w:color w:val="auto"/>
        </w:rPr>
        <w:t>615000</w:t>
      </w:r>
      <w:r>
        <w:rPr>
          <w:rFonts w:hint="eastAsia" w:ascii="Times New Roman" w:hAnsi="Times New Roman" w:eastAsia="宋体" w:cs="Times New Roman"/>
          <w:color w:val="auto"/>
          <w:lang w:val="en-US" w:eastAsia="zh-CN"/>
        </w:rPr>
        <w:t>元，最高限价570700元。</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w:t>
      </w:r>
      <w:r>
        <w:rPr>
          <w:rFonts w:hint="eastAsia" w:ascii="Times New Roman" w:hAnsi="Times New Roman" w:eastAsia="宋体" w:cs="Times New Roman"/>
          <w:color w:val="auto"/>
        </w:rPr>
        <w:t>任意一包的报价超过本包的采购预算</w:t>
      </w:r>
      <w:r>
        <w:rPr>
          <w:rFonts w:hint="eastAsia" w:ascii="Times New Roman" w:hAnsi="Times New Roman" w:eastAsia="宋体" w:cs="Times New Roman"/>
          <w:color w:val="auto"/>
          <w:lang w:val="en-US" w:eastAsia="zh-CN"/>
        </w:rPr>
        <w:t>或最高限价</w:t>
      </w:r>
      <w:r>
        <w:rPr>
          <w:rFonts w:hint="eastAsia" w:ascii="Times New Roman" w:hAnsi="Times New Roman" w:eastAsia="宋体" w:cs="Times New Roman"/>
          <w:color w:val="auto"/>
        </w:rPr>
        <w:t>，整个项目均视为无效投标。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7"/>
        <w:spacing w:line="360" w:lineRule="auto"/>
        <w:ind w:firstLine="448" w:firstLineChars="200"/>
        <w:rPr>
          <w:rFonts w:hint="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1" w:name="OLE_LINK2"/>
      <w:bookmarkStart w:id="2" w:name="OLE_LINK1"/>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5. 提交具备</w:t>
      </w:r>
      <w:r>
        <w:rPr>
          <w:rFonts w:hint="eastAsia" w:ascii="Times New Roman" w:hAnsi="Times New Roman" w:eastAsia="宋体" w:cs="Times New Roman"/>
          <w:color w:val="auto"/>
          <w:highlight w:val="none"/>
        </w:rPr>
        <w:t>履行合同所必需的设备和专业技术能力证明材料。</w:t>
      </w:r>
    </w:p>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7"/>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pPr>
        <w:pStyle w:val="27"/>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7"/>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4"/>
          <w:rFonts w:hint="eastAsia" w:ascii="Times New Roman" w:hAnsi="Times New Roman" w:eastAsia="宋体" w:cs="Times New Roman"/>
        </w:rPr>
        <w:t>http://tjgpc.zwfwb.tj.gov.cn</w:t>
      </w:r>
      <w:r>
        <w:rPr>
          <w:rStyle w:val="24"/>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cs="Times New Roman" w:eastAsiaTheme="minorEastAsia"/>
          <w:color w:val="auto"/>
          <w:szCs w:val="32"/>
        </w:rPr>
        <w:t>天津市交通运输委员会、天津市道路运输管理局</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天津市河东区卫国道169号</w:t>
      </w:r>
      <w:r>
        <w:rPr>
          <w:rFonts w:ascii="Times New Roman" w:hAnsi="Times New Roman" w:eastAsia="宋体" w:cs="Times New Roman"/>
          <w:color w:val="auto"/>
        </w:rPr>
        <w:t xml:space="preserve"> </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田贺之  </w:t>
      </w:r>
      <w:r>
        <w:rPr>
          <w:rFonts w:ascii="Times New Roman" w:hAnsi="Times New Roman" w:eastAsia="宋体" w:cs="Times New Roman"/>
          <w:color w:val="auto"/>
        </w:rPr>
        <w:t xml:space="preserve">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24539100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cs="Times New Roman" w:eastAsiaTheme="minorEastAsia"/>
          <w:color w:val="auto"/>
          <w:szCs w:val="32"/>
        </w:rPr>
        <w:t>天津市交通运输委员会、天津市道路运输管理局</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天津市河东区卫国道169号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人：冯成祥 </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24539082 </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7"/>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7"/>
        <w:spacing w:line="360" w:lineRule="auto"/>
        <w:ind w:firstLine="448" w:firstLineChars="200"/>
        <w:jc w:val="both"/>
        <w:rPr>
          <w:rFonts w:ascii="Times New Roman" w:hAnsi="Times New Roman" w:eastAsia="宋体" w:cs="Times New Roman"/>
          <w:color w:val="FF0000"/>
        </w:rPr>
      </w:pP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both"/>
        <w:rPr>
          <w:rFonts w:ascii="Times New Roman" w:hAnsi="Times New Roman" w:eastAsia="宋体" w:cs="Times New Roman"/>
          <w:color w:val="auto"/>
        </w:rPr>
      </w:pPr>
    </w:p>
    <w:p>
      <w:pPr>
        <w:pStyle w:val="27"/>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日</w:t>
      </w:r>
    </w:p>
    <w:p>
      <w:pPr>
        <w:pStyle w:val="27"/>
        <w:spacing w:line="360" w:lineRule="auto"/>
        <w:ind w:right="892"/>
        <w:rPr>
          <w:rFonts w:ascii="Times New Roman" w:hAnsi="Times New Roman" w:eastAsia="宋体" w:cs="Times New Roman"/>
          <w:color w:val="FF0000"/>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b/>
          <w:bCs/>
          <w:kern w:val="28"/>
          <w:sz w:val="32"/>
          <w:szCs w:val="32"/>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rFonts w:hint="eastAsia"/>
          <w:color w:val="auto"/>
          <w:sz w:val="24"/>
        </w:rPr>
      </w:pPr>
      <w:r>
        <w:rPr>
          <w:sz w:val="24"/>
        </w:rPr>
        <w:t xml:space="preserve">1. </w:t>
      </w:r>
      <w:r>
        <w:rPr>
          <w:color w:val="auto"/>
          <w:sz w:val="24"/>
        </w:rPr>
        <w:t>投标报价以人民币填列。供应商就</w:t>
      </w:r>
      <w:r>
        <w:rPr>
          <w:rFonts w:hint="eastAsia"/>
          <w:color w:val="auto"/>
          <w:sz w:val="24"/>
          <w:lang w:val="en-US" w:eastAsia="zh-CN"/>
        </w:rPr>
        <w:t>项目需求书的</w:t>
      </w:r>
      <w:r>
        <w:rPr>
          <w:rFonts w:hint="eastAsia"/>
          <w:color w:val="auto"/>
          <w:sz w:val="24"/>
        </w:rPr>
        <w:t>全部要求给出总报价，再按以下比例计算出每个包的报价，否则视为无效投标。</w:t>
      </w:r>
    </w:p>
    <w:tbl>
      <w:tblPr>
        <w:tblStyle w:val="21"/>
        <w:tblW w:w="7247" w:type="dxa"/>
        <w:jc w:val="center"/>
        <w:tblLayout w:type="fixed"/>
        <w:tblCellMar>
          <w:top w:w="0" w:type="dxa"/>
          <w:left w:w="108" w:type="dxa"/>
          <w:bottom w:w="0" w:type="dxa"/>
          <w:right w:w="108" w:type="dxa"/>
        </w:tblCellMar>
      </w:tblPr>
      <w:tblGrid>
        <w:gridCol w:w="855"/>
        <w:gridCol w:w="4449"/>
        <w:gridCol w:w="1943"/>
      </w:tblGrid>
      <w:tr>
        <w:tblPrEx>
          <w:tblCellMar>
            <w:top w:w="0" w:type="dxa"/>
            <w:left w:w="108" w:type="dxa"/>
            <w:bottom w:w="0" w:type="dxa"/>
            <w:right w:w="108" w:type="dxa"/>
          </w:tblCellMar>
        </w:tblPrEx>
        <w:trPr>
          <w:trHeight w:val="89" w:hRule="atLeast"/>
          <w:tblHeader/>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bCs/>
                <w:color w:val="auto"/>
                <w:kern w:val="0"/>
                <w:sz w:val="24"/>
                <w:szCs w:val="24"/>
              </w:rPr>
            </w:pPr>
            <w:r>
              <w:rPr>
                <w:rStyle w:val="52"/>
                <w:rFonts w:hint="eastAsia" w:ascii="宋体" w:hAnsi="宋体" w:eastAsia="宋体" w:cs="宋体"/>
                <w:color w:val="auto"/>
                <w:sz w:val="24"/>
                <w:szCs w:val="24"/>
              </w:rPr>
              <w:t>包号</w:t>
            </w:r>
          </w:p>
        </w:tc>
        <w:tc>
          <w:tcPr>
            <w:tcW w:w="4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bCs/>
                <w:color w:val="auto"/>
                <w:kern w:val="0"/>
                <w:sz w:val="24"/>
                <w:szCs w:val="24"/>
              </w:rPr>
            </w:pPr>
            <w:r>
              <w:rPr>
                <w:rStyle w:val="52"/>
                <w:rFonts w:hint="eastAsia" w:ascii="宋体" w:hAnsi="宋体" w:eastAsia="宋体" w:cs="宋体"/>
                <w:color w:val="auto"/>
                <w:sz w:val="24"/>
                <w:szCs w:val="24"/>
              </w:rPr>
              <w:t>包名称</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b/>
                <w:bCs/>
                <w:color w:val="auto"/>
                <w:kern w:val="0"/>
                <w:sz w:val="24"/>
                <w:szCs w:val="24"/>
              </w:rPr>
            </w:pPr>
            <w:r>
              <w:rPr>
                <w:rStyle w:val="52"/>
                <w:rFonts w:hint="eastAsia" w:ascii="宋体" w:hAnsi="宋体" w:eastAsia="宋体" w:cs="宋体"/>
                <w:color w:val="auto"/>
                <w:sz w:val="24"/>
                <w:szCs w:val="24"/>
              </w:rPr>
              <w:t>报价占比</w:t>
            </w:r>
          </w:p>
        </w:tc>
      </w:tr>
      <w:tr>
        <w:tblPrEx>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sz w:val="24"/>
                <w:szCs w:val="24"/>
              </w:rPr>
              <w:t>天津市交通运输委员会</w:t>
            </w:r>
            <w:r>
              <w:rPr>
                <w:rFonts w:hint="eastAsia" w:ascii="宋体" w:hAnsi="宋体" w:cs="宋体"/>
                <w:color w:val="auto"/>
                <w:sz w:val="24"/>
                <w:szCs w:val="24"/>
                <w:lang w:val="en-US" w:eastAsia="zh-CN"/>
              </w:rPr>
              <w:t>物业管理</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47.3</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w:t>
            </w:r>
          </w:p>
        </w:tc>
      </w:tr>
      <w:tr>
        <w:tblPrEx>
          <w:tblCellMar>
            <w:top w:w="0" w:type="dxa"/>
            <w:left w:w="108" w:type="dxa"/>
            <w:bottom w:w="0" w:type="dxa"/>
            <w:right w:w="108" w:type="dxa"/>
          </w:tblCellMar>
        </w:tblPrEx>
        <w:trPr>
          <w:trHeight w:val="272"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44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天津市道路运输管理局</w:t>
            </w:r>
            <w:r>
              <w:rPr>
                <w:rFonts w:hint="eastAsia" w:ascii="宋体" w:hAnsi="宋体" w:cs="宋体"/>
                <w:color w:val="auto"/>
                <w:sz w:val="24"/>
                <w:szCs w:val="24"/>
                <w:lang w:val="en-US" w:eastAsia="zh-CN"/>
              </w:rPr>
              <w:t>物业管理</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30.72%</w:t>
            </w:r>
          </w:p>
        </w:tc>
      </w:tr>
    </w:tbl>
    <w:p>
      <w:pPr>
        <w:autoSpaceDE w:val="0"/>
        <w:autoSpaceDN w:val="0"/>
        <w:adjustRightInd w:val="0"/>
        <w:spacing w:line="360" w:lineRule="auto"/>
        <w:ind w:firstLine="448" w:firstLineChars="200"/>
        <w:rPr>
          <w:color w:val="auto"/>
          <w:sz w:val="24"/>
        </w:rPr>
      </w:pPr>
      <w:r>
        <w:rPr>
          <w:rFonts w:hint="eastAsia"/>
          <w:color w:val="auto"/>
          <w:sz w:val="24"/>
        </w:rPr>
        <w:t>任意一包的报价超过本包的采购预算</w:t>
      </w:r>
      <w:r>
        <w:rPr>
          <w:rFonts w:hint="eastAsia"/>
          <w:color w:val="auto"/>
          <w:sz w:val="24"/>
          <w:lang w:val="en-US" w:eastAsia="zh-CN"/>
        </w:rPr>
        <w:t>或最高限价</w:t>
      </w:r>
      <w:r>
        <w:rPr>
          <w:rFonts w:hint="eastAsia"/>
          <w:color w:val="auto"/>
          <w:sz w:val="24"/>
        </w:rPr>
        <w:t>，整个项目均视为无效投标。</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kern w:val="0"/>
          <w:sz w:val="24"/>
          <w:szCs w:val="24"/>
        </w:rPr>
        <w:t xml:space="preserve">4. </w:t>
      </w:r>
      <w:r>
        <w:rPr>
          <w:sz w:val="24"/>
        </w:rPr>
        <w:t>验收相</w:t>
      </w:r>
      <w:r>
        <w:rPr>
          <w:color w:val="auto"/>
          <w:sz w:val="24"/>
        </w:rPr>
        <w:t>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sz w:val="24"/>
        </w:rPr>
      </w:pPr>
      <w:r>
        <w:rPr>
          <w:sz w:val="24"/>
        </w:rPr>
        <w:t>本项目不收取投标保证金和履约保证金。</w:t>
      </w:r>
    </w:p>
    <w:p>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p>
      <w:pPr>
        <w:spacing w:line="360" w:lineRule="auto"/>
        <w:ind w:firstLine="448" w:firstLineChars="200"/>
        <w:outlineLvl w:val="0"/>
        <w:rPr>
          <w:b/>
          <w:bCs/>
          <w:sz w:val="24"/>
        </w:rPr>
      </w:pPr>
      <w:r>
        <w:rPr>
          <w:rFonts w:hint="eastAsia"/>
          <w:b/>
          <w:bCs/>
          <w:sz w:val="24"/>
        </w:rPr>
        <w:t>评标委员会就本项目</w:t>
      </w:r>
      <w:r>
        <w:rPr>
          <w:rFonts w:hint="eastAsia"/>
          <w:b/>
          <w:bCs/>
          <w:sz w:val="24"/>
          <w:lang w:val="en-US" w:eastAsia="zh-CN"/>
        </w:rPr>
        <w:t>2</w:t>
      </w:r>
      <w:r>
        <w:rPr>
          <w:rFonts w:hint="eastAsia"/>
          <w:b/>
          <w:bCs/>
          <w:sz w:val="24"/>
        </w:rPr>
        <w:t>个采购包进行统一评审，不分包评审。</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价格（20分）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（2）投标报价得分=（评标基准价/投标报价）×20</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客观分（50分）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（1）提供项目经理毕业证书扫描件，该项目经理具有大专</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以上学历的：2分，其他：0分；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（2）提供项目经理用户服务证明扫描件（加盖用户单位公章），用户服务证明能表明该项目经理具备</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或</w:t>
            </w:r>
            <w:r>
              <w:rPr>
                <w:rFonts w:hint="eastAsia" w:ascii="宋体" w:hAnsi="宋体" w:eastAsia="宋体" w:cs="宋体"/>
                <w:color w:val="auto"/>
                <w:kern w:val="0"/>
                <w:sz w:val="24"/>
                <w:szCs w:val="24"/>
              </w:rPr>
              <w:t>以上非住宅物业管理经验的：2分，其他：0分；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（3）提供项目经理身份证扫描件，该项目经理年龄在</w:t>
            </w:r>
            <w:r>
              <w:rPr>
                <w:rFonts w:hint="eastAsia" w:ascii="宋体" w:hAnsi="宋体" w:cs="宋体"/>
                <w:color w:val="auto"/>
                <w:kern w:val="0"/>
                <w:sz w:val="24"/>
                <w:szCs w:val="24"/>
                <w:lang w:val="en-US" w:eastAsia="zh-CN"/>
              </w:rPr>
              <w:t>55</w:t>
            </w:r>
            <w:r>
              <w:rPr>
                <w:rFonts w:hint="eastAsia" w:ascii="宋体" w:hAnsi="宋体" w:eastAsia="宋体" w:cs="宋体"/>
                <w:color w:val="auto"/>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w:t>
            </w:r>
            <w:r>
              <w:rPr>
                <w:rFonts w:hint="eastAsia" w:ascii="宋体" w:hAnsi="宋体" w:cs="宋体"/>
                <w:color w:val="auto"/>
                <w:kern w:val="0"/>
                <w:sz w:val="24"/>
                <w:szCs w:val="24"/>
                <w:lang w:val="en-US" w:eastAsia="zh-CN"/>
              </w:rPr>
              <w:t>物业服务</w:t>
            </w:r>
            <w:r>
              <w:rPr>
                <w:rFonts w:hint="eastAsia" w:ascii="宋体" w:hAnsi="宋体" w:eastAsia="宋体" w:cs="宋体"/>
                <w:color w:val="auto"/>
                <w:kern w:val="0"/>
                <w:sz w:val="24"/>
                <w:szCs w:val="24"/>
              </w:rPr>
              <w:t>人员评价</w:t>
            </w:r>
          </w:p>
        </w:tc>
        <w:tc>
          <w:tcPr>
            <w:tcW w:w="7311" w:type="dxa"/>
            <w:shd w:val="clear" w:color="auto" w:fill="auto"/>
            <w:vAlign w:val="center"/>
          </w:tcPr>
          <w:p>
            <w:pPr>
              <w:widowControl/>
              <w:adjustRightInd w:val="0"/>
              <w:snapToGrid w:val="0"/>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投标人承诺</w:t>
            </w:r>
            <w:r>
              <w:rPr>
                <w:rFonts w:hint="eastAsia" w:ascii="宋体" w:hAnsi="宋体" w:cs="宋体"/>
                <w:color w:val="auto"/>
                <w:sz w:val="24"/>
                <w:szCs w:val="24"/>
                <w:lang w:val="en-US" w:eastAsia="zh-CN"/>
              </w:rPr>
              <w:t>本项目投入的物业服务人员满足“</w:t>
            </w:r>
            <w:r>
              <w:rPr>
                <w:b/>
                <w:bCs/>
                <w:color w:val="auto"/>
                <w:sz w:val="24"/>
              </w:rPr>
              <w:t>人员及岗位要求</w:t>
            </w:r>
            <w:r>
              <w:rPr>
                <w:rFonts w:hint="eastAsia" w:ascii="宋体" w:hAnsi="宋体" w:cs="宋体"/>
                <w:color w:val="auto"/>
                <w:sz w:val="24"/>
                <w:szCs w:val="24"/>
                <w:lang w:val="en-US" w:eastAsia="zh-CN"/>
              </w:rPr>
              <w:t>”中的各项要求，并承诺上岗前向采购人提供各岗位要求的证书备案查验。提供上述承诺函的</w:t>
            </w:r>
            <w:r>
              <w:rPr>
                <w:rFonts w:hint="eastAsia" w:ascii="宋体" w:hAnsi="宋体" w:cs="宋体"/>
                <w:color w:val="auto"/>
                <w:kern w:val="0"/>
                <w:sz w:val="24"/>
                <w:szCs w:val="24"/>
                <w:lang w:val="en-US" w:eastAsia="zh-CN"/>
              </w:rPr>
              <w:t>得15分，否则0分。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承诺完全满足招标文件“报价要求”、“时间地点要求”、“付款方式要求”和技术要求中</w:t>
            </w:r>
            <w:r>
              <w:rPr>
                <w:rFonts w:hint="eastAsia" w:ascii="宋体" w:hAnsi="宋体" w:cs="宋体"/>
                <w:color w:val="auto"/>
                <w:kern w:val="0"/>
                <w:sz w:val="24"/>
                <w:szCs w:val="24"/>
                <w:lang w:val="en-US" w:eastAsia="zh-CN"/>
              </w:rPr>
              <w:t>除人员要求以外的</w:t>
            </w:r>
            <w:r>
              <w:rPr>
                <w:rFonts w:hint="eastAsia" w:ascii="宋体" w:hAnsi="宋体" w:eastAsia="宋体" w:cs="宋体"/>
                <w:color w:val="auto"/>
                <w:kern w:val="0"/>
                <w:sz w:val="24"/>
                <w:szCs w:val="24"/>
              </w:rPr>
              <w:t>非“★”号要求的：</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至少包含针对本项目的保洁、秩序维护、</w:t>
            </w:r>
            <w:r>
              <w:rPr>
                <w:rFonts w:hint="eastAsia" w:ascii="宋体" w:hAnsi="宋体" w:cs="宋体"/>
                <w:color w:val="auto"/>
                <w:kern w:val="0"/>
                <w:sz w:val="24"/>
                <w:szCs w:val="24"/>
                <w:lang w:val="en-US" w:eastAsia="zh-CN"/>
              </w:rPr>
              <w:t>工程维修</w:t>
            </w:r>
            <w:r>
              <w:rPr>
                <w:rFonts w:hint="eastAsia" w:ascii="宋体" w:hAnsi="宋体" w:eastAsia="宋体" w:cs="宋体"/>
                <w:color w:val="auto"/>
                <w:kern w:val="0"/>
                <w:sz w:val="24"/>
                <w:szCs w:val="24"/>
              </w:rPr>
              <w:t>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color w:val="auto"/>
          <w:sz w:val="24"/>
          <w:highlight w:val="none"/>
        </w:rPr>
      </w:pPr>
      <w:r>
        <w:rPr>
          <w:rFonts w:hint="eastAsia"/>
          <w:b/>
          <w:bCs/>
          <w:color w:val="auto"/>
          <w:sz w:val="24"/>
          <w:highlight w:val="none"/>
        </w:rPr>
        <w:t>一、项目背景</w:t>
      </w:r>
    </w:p>
    <w:p>
      <w:pPr>
        <w:widowControl/>
        <w:ind w:firstLine="448" w:firstLineChars="200"/>
        <w:jc w:val="left"/>
        <w:rPr>
          <w:rFonts w:hint="eastAsia"/>
          <w:color w:val="auto"/>
          <w:sz w:val="24"/>
          <w:highlight w:val="none"/>
          <w:lang w:val="en-US" w:eastAsia="zh-CN"/>
        </w:rPr>
      </w:pPr>
      <w:r>
        <w:rPr>
          <w:rFonts w:hint="eastAsia"/>
          <w:color w:val="auto"/>
          <w:sz w:val="24"/>
          <w:highlight w:val="none"/>
          <w:lang w:val="en-US" w:eastAsia="zh-CN"/>
        </w:rPr>
        <w:t>本项目</w:t>
      </w:r>
      <w:r>
        <w:rPr>
          <w:rFonts w:hint="eastAsia"/>
          <w:color w:val="auto"/>
          <w:sz w:val="24"/>
          <w:highlight w:val="none"/>
        </w:rPr>
        <w:t>建筑面积总计16506平方米，建筑高度48米，建筑层数地下一层/地上12层，坐落在天津市河东区卫国道169号</w:t>
      </w:r>
      <w:r>
        <w:rPr>
          <w:rFonts w:hint="eastAsia"/>
          <w:color w:val="auto"/>
          <w:sz w:val="24"/>
          <w:highlight w:val="none"/>
          <w:lang w:eastAsia="zh-CN"/>
        </w:rPr>
        <w:t>，</w:t>
      </w:r>
      <w:r>
        <w:rPr>
          <w:rFonts w:hint="eastAsia"/>
          <w:color w:val="auto"/>
          <w:sz w:val="24"/>
          <w:highlight w:val="none"/>
          <w:lang w:val="en-US" w:eastAsia="zh-CN"/>
        </w:rPr>
        <w:t>为</w:t>
      </w:r>
      <w:r>
        <w:rPr>
          <w:rFonts w:hint="eastAsia"/>
          <w:color w:val="auto"/>
          <w:sz w:val="24"/>
          <w:highlight w:val="none"/>
        </w:rPr>
        <w:t>天津市交通运输委员会</w:t>
      </w:r>
      <w:r>
        <w:rPr>
          <w:rFonts w:hint="eastAsia"/>
          <w:color w:val="auto"/>
          <w:sz w:val="24"/>
          <w:highlight w:val="none"/>
          <w:lang w:eastAsia="zh-CN"/>
        </w:rPr>
        <w:t>、天津市道路运输管理局、天津市交通运输综合服务中心（天津市小客车总量调控服务中心）、天津市智能交通运行监测中心</w:t>
      </w:r>
      <w:r>
        <w:rPr>
          <w:rFonts w:hint="eastAsia"/>
          <w:color w:val="auto"/>
          <w:sz w:val="24"/>
          <w:highlight w:val="none"/>
          <w:lang w:val="en-US" w:eastAsia="zh-CN"/>
        </w:rPr>
        <w:t>四家单位合署办公</w:t>
      </w:r>
      <w:r>
        <w:rPr>
          <w:rFonts w:hint="eastAsia"/>
          <w:color w:val="auto"/>
          <w:sz w:val="24"/>
          <w:highlight w:val="none"/>
        </w:rPr>
        <w:t>。项目服务内容包括安全保卫、秩序维护、电梯维保、来访接待、日常保洁、会议服务、设备设施日常维修保养、变电站值守、消（监）控室值守、司机服务、相关方管理、垃圾清运、化粪井清掏、草皮补种、绿植养护、空调清洗、消防维保等管理服务内容。</w:t>
      </w:r>
      <w:r>
        <w:rPr>
          <w:rFonts w:hint="eastAsia"/>
          <w:color w:val="auto"/>
          <w:sz w:val="24"/>
          <w:highlight w:val="none"/>
          <w:lang w:val="en-US" w:eastAsia="zh-CN"/>
        </w:rPr>
        <w:t>本项目采购需求为上述四家单位的总体需求，四家单位需求占比如下：</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12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1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天津市交通运输委员会</w:t>
            </w:r>
          </w:p>
        </w:tc>
        <w:tc>
          <w:tcPr>
            <w:tcW w:w="1753" w:type="dxa"/>
            <w:noWrap w:val="0"/>
            <w:vAlign w:val="center"/>
          </w:tcPr>
          <w:p>
            <w:pPr>
              <w:widowControl/>
              <w:spacing w:line="360" w:lineRule="auto"/>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rPr>
              <w:t>47.3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天津市道路运输局</w:t>
            </w:r>
          </w:p>
        </w:tc>
        <w:tc>
          <w:tcPr>
            <w:tcW w:w="1753" w:type="dxa"/>
            <w:noWrap w:val="0"/>
            <w:vAlign w:val="center"/>
          </w:tcPr>
          <w:p>
            <w:pPr>
              <w:widowControl/>
              <w:spacing w:line="360" w:lineRule="auto"/>
              <w:jc w:val="center"/>
              <w:textAlignment w:val="center"/>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天津市交通运输综合服务中心（天津市小客车总量调控服务中心）</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19.03</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1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天津市智能交通运行监测中心</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2.95</w:t>
            </w:r>
            <w:r>
              <w:rPr>
                <w:rFonts w:hint="eastAsia" w:ascii="宋体" w:hAnsi="宋体" w:eastAsia="宋体" w:cs="宋体"/>
                <w:color w:val="auto"/>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color w:val="auto"/>
          <w:sz w:val="24"/>
          <w:highlight w:val="none"/>
          <w:lang w:val="en-US" w:eastAsia="zh-CN"/>
        </w:rPr>
      </w:pPr>
      <w:r>
        <w:rPr>
          <w:rFonts w:hint="eastAsia"/>
          <w:color w:val="auto"/>
          <w:sz w:val="24"/>
          <w:highlight w:val="none"/>
          <w:lang w:val="en-US" w:eastAsia="zh-CN"/>
        </w:rPr>
        <w:t>供应商须根据总体需求考虑报价，并根据</w:t>
      </w:r>
      <w:r>
        <w:rPr>
          <w:color w:val="auto"/>
          <w:sz w:val="24"/>
          <w:highlight w:val="none"/>
        </w:rPr>
        <w:t>报价要求</w:t>
      </w:r>
      <w:r>
        <w:rPr>
          <w:rFonts w:hint="eastAsia"/>
          <w:color w:val="auto"/>
          <w:sz w:val="24"/>
          <w:highlight w:val="none"/>
          <w:lang w:val="en-US" w:eastAsia="zh-CN"/>
        </w:rPr>
        <w:t>中的报价占比计算各包报价。本项目中标供应商产生后，</w:t>
      </w:r>
      <w:r>
        <w:rPr>
          <w:rFonts w:hint="eastAsia" w:ascii="宋体" w:hAnsi="宋体" w:eastAsia="宋体" w:cs="宋体"/>
          <w:color w:val="auto"/>
          <w:sz w:val="24"/>
          <w:szCs w:val="24"/>
          <w:highlight w:val="none"/>
        </w:rPr>
        <w:t>天津市交通运输综合服务中心（天津市小客车总量调控服务中心）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天津市智能交通运行监测中心</w:t>
      </w:r>
      <w:r>
        <w:rPr>
          <w:rFonts w:hint="eastAsia" w:ascii="宋体" w:hAnsi="宋体" w:cs="宋体"/>
          <w:color w:val="auto"/>
          <w:sz w:val="24"/>
          <w:szCs w:val="24"/>
          <w:highlight w:val="none"/>
          <w:lang w:val="en-US" w:eastAsia="zh-CN"/>
        </w:rPr>
        <w:t>两家单位根据本项目中标结果与中标供应商另行签订物业服务合同。</w:t>
      </w:r>
    </w:p>
    <w:p>
      <w:pPr>
        <w:widowControl/>
        <w:ind w:firstLine="448" w:firstLineChars="200"/>
        <w:jc w:val="left"/>
        <w:rPr>
          <w:color w:val="auto"/>
          <w:sz w:val="24"/>
          <w:highlight w:val="none"/>
        </w:rPr>
      </w:pPr>
      <w:r>
        <w:rPr>
          <w:rFonts w:hint="eastAsia"/>
          <w:color w:val="auto"/>
          <w:sz w:val="24"/>
          <w:highlight w:val="none"/>
        </w:rPr>
        <w:t>本项目属于物业管理行业。</w:t>
      </w:r>
    </w:p>
    <w:p>
      <w:pPr>
        <w:widowControl/>
        <w:ind w:firstLine="448" w:firstLineChars="200"/>
        <w:jc w:val="left"/>
        <w:rPr>
          <w:b/>
          <w:bCs/>
          <w:color w:val="auto"/>
          <w:sz w:val="24"/>
          <w:highlight w:val="none"/>
        </w:rPr>
      </w:pPr>
      <w:r>
        <w:rPr>
          <w:b/>
          <w:bCs/>
          <w:color w:val="auto"/>
          <w:sz w:val="24"/>
          <w:highlight w:val="none"/>
        </w:rPr>
        <w:t>二</w:t>
      </w:r>
      <w:r>
        <w:rPr>
          <w:rFonts w:hint="eastAsia"/>
          <w:b/>
          <w:bCs/>
          <w:color w:val="auto"/>
          <w:sz w:val="24"/>
          <w:highlight w:val="none"/>
        </w:rPr>
        <w:t>、</w:t>
      </w:r>
      <w:r>
        <w:rPr>
          <w:b/>
          <w:bCs/>
          <w:color w:val="auto"/>
          <w:sz w:val="24"/>
          <w:highlight w:val="none"/>
        </w:rPr>
        <w:t>人员及岗位要求</w:t>
      </w:r>
    </w:p>
    <w:tbl>
      <w:tblPr>
        <w:tblStyle w:val="2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12"/>
        <w:gridCol w:w="738"/>
        <w:gridCol w:w="4373"/>
        <w:gridCol w:w="1252"/>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b/>
                <w:color w:val="auto"/>
                <w:sz w:val="24"/>
                <w:szCs w:val="24"/>
                <w:highlight w:val="none"/>
              </w:rPr>
            </w:pPr>
            <w:r>
              <w:rPr>
                <w:b/>
                <w:color w:val="auto"/>
                <w:sz w:val="24"/>
                <w:szCs w:val="24"/>
                <w:highlight w:val="none"/>
              </w:rPr>
              <w:t>序号</w:t>
            </w:r>
          </w:p>
        </w:tc>
        <w:tc>
          <w:tcPr>
            <w:tcW w:w="1212" w:type="dxa"/>
            <w:vAlign w:val="center"/>
          </w:tcPr>
          <w:p>
            <w:pPr>
              <w:spacing w:line="360" w:lineRule="auto"/>
              <w:jc w:val="center"/>
              <w:rPr>
                <w:b/>
                <w:color w:val="auto"/>
                <w:sz w:val="24"/>
                <w:szCs w:val="24"/>
                <w:highlight w:val="none"/>
              </w:rPr>
            </w:pPr>
            <w:r>
              <w:rPr>
                <w:b/>
                <w:color w:val="auto"/>
                <w:sz w:val="24"/>
                <w:szCs w:val="24"/>
                <w:highlight w:val="none"/>
              </w:rPr>
              <w:t>岗位名称</w:t>
            </w:r>
          </w:p>
        </w:tc>
        <w:tc>
          <w:tcPr>
            <w:tcW w:w="738" w:type="dxa"/>
            <w:vAlign w:val="center"/>
          </w:tcPr>
          <w:p>
            <w:pPr>
              <w:spacing w:line="360" w:lineRule="auto"/>
              <w:jc w:val="center"/>
              <w:rPr>
                <w:b/>
                <w:color w:val="auto"/>
                <w:sz w:val="24"/>
                <w:szCs w:val="24"/>
                <w:highlight w:val="none"/>
              </w:rPr>
            </w:pPr>
            <w:r>
              <w:rPr>
                <w:b/>
                <w:color w:val="auto"/>
                <w:sz w:val="24"/>
                <w:szCs w:val="24"/>
                <w:highlight w:val="none"/>
              </w:rPr>
              <w:t>人数</w:t>
            </w:r>
          </w:p>
        </w:tc>
        <w:tc>
          <w:tcPr>
            <w:tcW w:w="4373" w:type="dxa"/>
            <w:vAlign w:val="center"/>
          </w:tcPr>
          <w:p>
            <w:pPr>
              <w:spacing w:line="360" w:lineRule="auto"/>
              <w:jc w:val="center"/>
              <w:rPr>
                <w:b/>
                <w:color w:val="auto"/>
                <w:sz w:val="24"/>
                <w:szCs w:val="24"/>
                <w:highlight w:val="none"/>
              </w:rPr>
            </w:pPr>
            <w:r>
              <w:rPr>
                <w:b/>
                <w:color w:val="auto"/>
                <w:sz w:val="24"/>
                <w:szCs w:val="24"/>
                <w:highlight w:val="none"/>
              </w:rPr>
              <w:t>要求</w:t>
            </w:r>
          </w:p>
        </w:tc>
        <w:tc>
          <w:tcPr>
            <w:tcW w:w="1252" w:type="dxa"/>
            <w:vAlign w:val="center"/>
          </w:tcPr>
          <w:p>
            <w:pPr>
              <w:spacing w:line="360" w:lineRule="auto"/>
              <w:jc w:val="center"/>
              <w:rPr>
                <w:b/>
                <w:color w:val="auto"/>
                <w:sz w:val="24"/>
                <w:szCs w:val="24"/>
                <w:highlight w:val="none"/>
              </w:rPr>
            </w:pPr>
            <w:r>
              <w:rPr>
                <w:b/>
                <w:color w:val="auto"/>
                <w:sz w:val="24"/>
                <w:szCs w:val="24"/>
                <w:highlight w:val="none"/>
              </w:rPr>
              <w:t>是否接受退休人员</w:t>
            </w:r>
          </w:p>
        </w:tc>
        <w:tc>
          <w:tcPr>
            <w:tcW w:w="1475" w:type="dxa"/>
            <w:vAlign w:val="center"/>
          </w:tcPr>
          <w:p>
            <w:pPr>
              <w:spacing w:line="360" w:lineRule="auto"/>
              <w:jc w:val="center"/>
              <w:rPr>
                <w:b/>
                <w:color w:val="auto"/>
                <w:sz w:val="24"/>
                <w:szCs w:val="24"/>
                <w:highlight w:val="none"/>
              </w:rPr>
            </w:pPr>
            <w:r>
              <w:rPr>
                <w:b/>
                <w:color w:val="auto"/>
                <w:sz w:val="24"/>
                <w:szCs w:val="24"/>
                <w:highlight w:val="none"/>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color w:val="auto"/>
                <w:sz w:val="24"/>
                <w:szCs w:val="24"/>
                <w:highlight w:val="none"/>
              </w:rPr>
            </w:pPr>
            <w:r>
              <w:rPr>
                <w:color w:val="auto"/>
                <w:sz w:val="24"/>
                <w:szCs w:val="24"/>
                <w:highlight w:val="none"/>
              </w:rPr>
              <w:t>1</w:t>
            </w:r>
          </w:p>
        </w:tc>
        <w:tc>
          <w:tcPr>
            <w:tcW w:w="1212" w:type="dxa"/>
            <w:vAlign w:val="center"/>
          </w:tcPr>
          <w:p>
            <w:pPr>
              <w:spacing w:line="360" w:lineRule="auto"/>
              <w:jc w:val="center"/>
              <w:rPr>
                <w:color w:val="auto"/>
                <w:sz w:val="24"/>
                <w:szCs w:val="24"/>
                <w:highlight w:val="none"/>
              </w:rPr>
            </w:pPr>
            <w:r>
              <w:rPr>
                <w:color w:val="auto"/>
                <w:sz w:val="24"/>
                <w:szCs w:val="24"/>
                <w:highlight w:val="none"/>
              </w:rPr>
              <w:t>项目经理</w:t>
            </w:r>
          </w:p>
        </w:tc>
        <w:tc>
          <w:tcPr>
            <w:tcW w:w="738" w:type="dxa"/>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1人</w:t>
            </w:r>
          </w:p>
        </w:tc>
        <w:tc>
          <w:tcPr>
            <w:tcW w:w="4373" w:type="dxa"/>
            <w:vAlign w:val="center"/>
          </w:tcPr>
          <w:p>
            <w:pPr>
              <w:spacing w:line="360" w:lineRule="auto"/>
              <w:jc w:val="left"/>
              <w:rPr>
                <w:color w:val="auto"/>
                <w:sz w:val="24"/>
                <w:szCs w:val="24"/>
                <w:highlight w:val="none"/>
              </w:rPr>
            </w:pPr>
            <w:r>
              <w:rPr>
                <w:color w:val="auto"/>
                <w:sz w:val="24"/>
                <w:szCs w:val="24"/>
                <w:highlight w:val="none"/>
              </w:rPr>
              <w:t>55周岁或以下，仪表端正，</w:t>
            </w:r>
            <w:r>
              <w:rPr>
                <w:rFonts w:hint="eastAsia"/>
                <w:color w:val="auto"/>
                <w:sz w:val="24"/>
                <w:szCs w:val="24"/>
                <w:highlight w:val="none"/>
              </w:rPr>
              <w:t>5年或以上非住宅物业管理经验，大专</w:t>
            </w:r>
            <w:r>
              <w:rPr>
                <w:rFonts w:hint="eastAsia"/>
                <w:color w:val="auto"/>
                <w:sz w:val="24"/>
                <w:szCs w:val="24"/>
                <w:highlight w:val="none"/>
                <w:lang w:val="en-US" w:eastAsia="zh-CN"/>
              </w:rPr>
              <w:t>或</w:t>
            </w:r>
            <w:r>
              <w:rPr>
                <w:rFonts w:hint="eastAsia"/>
                <w:color w:val="auto"/>
                <w:sz w:val="24"/>
                <w:szCs w:val="24"/>
                <w:highlight w:val="none"/>
              </w:rPr>
              <w:t>以上学历，常驻项目现场，不得兼管其他项目。</w:t>
            </w:r>
          </w:p>
        </w:tc>
        <w:tc>
          <w:tcPr>
            <w:tcW w:w="1252" w:type="dxa"/>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否</w:t>
            </w:r>
          </w:p>
        </w:tc>
        <w:tc>
          <w:tcPr>
            <w:tcW w:w="1475" w:type="dxa"/>
            <w:vAlign w:val="center"/>
          </w:tcPr>
          <w:p>
            <w:pPr>
              <w:spacing w:line="360" w:lineRule="auto"/>
              <w:jc w:val="center"/>
              <w:rPr>
                <w:color w:val="auto"/>
                <w:sz w:val="24"/>
                <w:szCs w:val="24"/>
                <w:highlight w:val="none"/>
              </w:rPr>
            </w:pPr>
            <w:r>
              <w:rPr>
                <w:rFonts w:hint="eastAsia"/>
                <w:color w:val="auto"/>
                <w:sz w:val="24"/>
                <w:szCs w:val="24"/>
                <w:highlight w:val="none"/>
              </w:rPr>
              <w:t>每周5日</w:t>
            </w:r>
          </w:p>
          <w:p>
            <w:pPr>
              <w:spacing w:line="360" w:lineRule="auto"/>
              <w:jc w:val="center"/>
              <w:rPr>
                <w:color w:val="auto"/>
                <w:sz w:val="24"/>
                <w:szCs w:val="24"/>
                <w:highlight w:val="none"/>
              </w:rPr>
            </w:pPr>
            <w:r>
              <w:rPr>
                <w:rFonts w:hint="eastAsia"/>
                <w:color w:val="auto"/>
                <w:sz w:val="24"/>
                <w:szCs w:val="24"/>
                <w:highlight w:val="none"/>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color w:val="auto"/>
                <w:sz w:val="24"/>
                <w:szCs w:val="24"/>
                <w:highlight w:val="none"/>
              </w:rPr>
            </w:pPr>
            <w:r>
              <w:rPr>
                <w:color w:val="auto"/>
                <w:sz w:val="24"/>
                <w:szCs w:val="24"/>
                <w:highlight w:val="none"/>
              </w:rPr>
              <w:t>2</w:t>
            </w:r>
          </w:p>
        </w:tc>
        <w:tc>
          <w:tcPr>
            <w:tcW w:w="1212" w:type="dxa"/>
            <w:vAlign w:val="center"/>
          </w:tcPr>
          <w:p>
            <w:pPr>
              <w:spacing w:line="360" w:lineRule="auto"/>
              <w:jc w:val="center"/>
              <w:rPr>
                <w:color w:val="auto"/>
                <w:sz w:val="24"/>
                <w:szCs w:val="24"/>
                <w:highlight w:val="none"/>
              </w:rPr>
            </w:pPr>
            <w:r>
              <w:rPr>
                <w:rFonts w:hint="eastAsia"/>
                <w:color w:val="auto"/>
                <w:sz w:val="24"/>
                <w:szCs w:val="24"/>
                <w:highlight w:val="none"/>
              </w:rPr>
              <w:t>秩序维护</w:t>
            </w:r>
            <w:r>
              <w:rPr>
                <w:color w:val="auto"/>
                <w:sz w:val="24"/>
                <w:szCs w:val="24"/>
                <w:highlight w:val="none"/>
              </w:rPr>
              <w:t>员</w:t>
            </w:r>
          </w:p>
        </w:tc>
        <w:tc>
          <w:tcPr>
            <w:tcW w:w="738" w:type="dxa"/>
            <w:vAlign w:val="center"/>
          </w:tcPr>
          <w:p>
            <w:pPr>
              <w:spacing w:line="360" w:lineRule="auto"/>
              <w:jc w:val="center"/>
              <w:rPr>
                <w:color w:val="auto"/>
                <w:sz w:val="24"/>
                <w:szCs w:val="24"/>
                <w:highlight w:val="none"/>
              </w:rPr>
            </w:pPr>
            <w:r>
              <w:rPr>
                <w:rFonts w:hint="eastAsia"/>
                <w:color w:val="auto"/>
                <w:sz w:val="24"/>
                <w:szCs w:val="24"/>
                <w:highlight w:val="none"/>
              </w:rPr>
              <w:t>1</w:t>
            </w:r>
            <w:r>
              <w:rPr>
                <w:color w:val="auto"/>
                <w:sz w:val="24"/>
                <w:szCs w:val="24"/>
                <w:highlight w:val="none"/>
              </w:rPr>
              <w:t>5</w:t>
            </w:r>
            <w:r>
              <w:rPr>
                <w:rFonts w:hint="eastAsia"/>
                <w:color w:val="auto"/>
                <w:sz w:val="24"/>
                <w:szCs w:val="24"/>
                <w:highlight w:val="none"/>
              </w:rPr>
              <w:t>人</w:t>
            </w:r>
          </w:p>
        </w:tc>
        <w:tc>
          <w:tcPr>
            <w:tcW w:w="4373" w:type="dxa"/>
            <w:vAlign w:val="center"/>
          </w:tcPr>
          <w:p>
            <w:pPr>
              <w:spacing w:line="360" w:lineRule="auto"/>
              <w:contextualSpacing/>
              <w:jc w:val="left"/>
              <w:rPr>
                <w:color w:val="auto"/>
                <w:sz w:val="24"/>
                <w:szCs w:val="24"/>
                <w:highlight w:val="none"/>
              </w:rPr>
            </w:pPr>
            <w:r>
              <w:rPr>
                <w:color w:val="auto"/>
                <w:sz w:val="24"/>
                <w:szCs w:val="24"/>
                <w:highlight w:val="none"/>
              </w:rPr>
              <w:t>负责院内安全保卫、</w:t>
            </w:r>
            <w:r>
              <w:rPr>
                <w:rFonts w:hint="eastAsia"/>
                <w:color w:val="auto"/>
                <w:sz w:val="24"/>
                <w:szCs w:val="24"/>
                <w:highlight w:val="none"/>
              </w:rPr>
              <w:t>秩序维护、消防监控、</w:t>
            </w:r>
            <w:r>
              <w:rPr>
                <w:color w:val="auto"/>
                <w:sz w:val="24"/>
                <w:szCs w:val="24"/>
                <w:highlight w:val="none"/>
              </w:rPr>
              <w:t>来访接待等工作。</w:t>
            </w:r>
          </w:p>
          <w:p>
            <w:pPr>
              <w:spacing w:line="360" w:lineRule="auto"/>
              <w:contextualSpacing/>
              <w:jc w:val="left"/>
              <w:rPr>
                <w:color w:val="auto"/>
                <w:sz w:val="24"/>
                <w:szCs w:val="24"/>
                <w:highlight w:val="none"/>
              </w:rPr>
            </w:pPr>
            <w:r>
              <w:rPr>
                <w:rFonts w:hint="eastAsia"/>
                <w:color w:val="auto"/>
                <w:sz w:val="24"/>
                <w:szCs w:val="24"/>
                <w:highlight w:val="none"/>
              </w:rPr>
              <w:t>（1）秩序维护</w:t>
            </w:r>
            <w:r>
              <w:rPr>
                <w:color w:val="auto"/>
                <w:sz w:val="24"/>
                <w:szCs w:val="24"/>
                <w:highlight w:val="none"/>
              </w:rPr>
              <w:t>队长1人，50周岁</w:t>
            </w:r>
            <w:r>
              <w:rPr>
                <w:rFonts w:hint="eastAsia"/>
                <w:color w:val="auto"/>
                <w:sz w:val="24"/>
                <w:szCs w:val="24"/>
                <w:highlight w:val="none"/>
              </w:rPr>
              <w:t>或</w:t>
            </w:r>
            <w:r>
              <w:rPr>
                <w:color w:val="auto"/>
                <w:sz w:val="24"/>
                <w:szCs w:val="24"/>
                <w:highlight w:val="none"/>
              </w:rPr>
              <w:t>以下，</w:t>
            </w:r>
            <w:r>
              <w:rPr>
                <w:rFonts w:hint="eastAsia"/>
                <w:color w:val="auto"/>
                <w:sz w:val="24"/>
                <w:szCs w:val="24"/>
                <w:highlight w:val="none"/>
              </w:rPr>
              <w:t>持《职业资格证书（保安员）》或公安机关盖章的保安员证，退伍军人优先</w:t>
            </w:r>
            <w:r>
              <w:rPr>
                <w:color w:val="auto"/>
                <w:sz w:val="24"/>
                <w:szCs w:val="24"/>
                <w:highlight w:val="none"/>
              </w:rPr>
              <w:t>，身高1.75</w:t>
            </w:r>
            <w:r>
              <w:rPr>
                <w:rFonts w:hint="eastAsia"/>
                <w:color w:val="auto"/>
                <w:sz w:val="24"/>
                <w:szCs w:val="24"/>
                <w:highlight w:val="none"/>
              </w:rPr>
              <w:t>m</w:t>
            </w:r>
            <w:r>
              <w:rPr>
                <w:color w:val="auto"/>
                <w:sz w:val="24"/>
                <w:szCs w:val="24"/>
                <w:highlight w:val="none"/>
              </w:rPr>
              <w:t>以上，从业10年以上。</w:t>
            </w:r>
          </w:p>
          <w:p>
            <w:pPr>
              <w:spacing w:line="360" w:lineRule="auto"/>
              <w:contextualSpacing/>
              <w:jc w:val="left"/>
              <w:rPr>
                <w:color w:val="auto"/>
                <w:sz w:val="24"/>
                <w:szCs w:val="24"/>
                <w:highlight w:val="none"/>
              </w:rPr>
            </w:pPr>
            <w:r>
              <w:rPr>
                <w:rFonts w:hint="eastAsia"/>
                <w:color w:val="auto"/>
                <w:sz w:val="24"/>
                <w:szCs w:val="24"/>
                <w:highlight w:val="none"/>
              </w:rPr>
              <w:t>（2）</w:t>
            </w:r>
            <w:r>
              <w:rPr>
                <w:color w:val="auto"/>
                <w:sz w:val="24"/>
                <w:szCs w:val="24"/>
                <w:highlight w:val="none"/>
              </w:rPr>
              <w:t>出入口门岗</w:t>
            </w:r>
            <w:r>
              <w:rPr>
                <w:rFonts w:hint="eastAsia"/>
                <w:color w:val="auto"/>
                <w:sz w:val="24"/>
                <w:szCs w:val="24"/>
                <w:highlight w:val="none"/>
              </w:rPr>
              <w:t>及巡视岗秩序维护员</w:t>
            </w:r>
            <w:r>
              <w:rPr>
                <w:color w:val="auto"/>
                <w:sz w:val="24"/>
                <w:szCs w:val="24"/>
                <w:highlight w:val="none"/>
              </w:rPr>
              <w:t>6</w:t>
            </w:r>
            <w:r>
              <w:rPr>
                <w:rFonts w:hint="eastAsia"/>
                <w:color w:val="auto"/>
                <w:sz w:val="24"/>
                <w:szCs w:val="24"/>
                <w:highlight w:val="none"/>
              </w:rPr>
              <w:t>人，</w:t>
            </w:r>
            <w:r>
              <w:rPr>
                <w:color w:val="auto"/>
                <w:sz w:val="24"/>
                <w:szCs w:val="24"/>
                <w:highlight w:val="none"/>
              </w:rPr>
              <w:t>50</w:t>
            </w:r>
            <w:r>
              <w:rPr>
                <w:rFonts w:hint="eastAsia"/>
                <w:color w:val="auto"/>
                <w:sz w:val="24"/>
                <w:szCs w:val="24"/>
                <w:highlight w:val="none"/>
              </w:rPr>
              <w:t>周岁或</w:t>
            </w:r>
            <w:r>
              <w:rPr>
                <w:color w:val="auto"/>
                <w:sz w:val="24"/>
                <w:szCs w:val="24"/>
                <w:highlight w:val="none"/>
              </w:rPr>
              <w:t>以下，身体强壮，品行良好，有责任心，无犯罪记录。</w:t>
            </w:r>
            <w:r>
              <w:rPr>
                <w:rFonts w:hint="eastAsia"/>
                <w:color w:val="auto"/>
                <w:sz w:val="24"/>
                <w:szCs w:val="24"/>
                <w:highlight w:val="none"/>
              </w:rPr>
              <w:t>持《职业资格证书（保安员）》或公安机关盖章的保安员证上岗，至少3名退伍军人。</w:t>
            </w:r>
          </w:p>
          <w:p>
            <w:pPr>
              <w:spacing w:line="360" w:lineRule="auto"/>
              <w:jc w:val="left"/>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w:t>
            </w:r>
            <w:r>
              <w:rPr>
                <w:color w:val="auto"/>
                <w:sz w:val="24"/>
                <w:szCs w:val="24"/>
                <w:highlight w:val="none"/>
              </w:rPr>
              <w:t>消防监控室</w:t>
            </w:r>
            <w:r>
              <w:rPr>
                <w:rFonts w:hint="eastAsia"/>
                <w:color w:val="auto"/>
                <w:sz w:val="24"/>
                <w:szCs w:val="24"/>
                <w:highlight w:val="none"/>
              </w:rPr>
              <w:t>人员8</w:t>
            </w:r>
            <w:r>
              <w:rPr>
                <w:color w:val="auto"/>
                <w:sz w:val="24"/>
                <w:szCs w:val="24"/>
                <w:highlight w:val="none"/>
              </w:rPr>
              <w:t>人，50周岁</w:t>
            </w:r>
            <w:r>
              <w:rPr>
                <w:rFonts w:hint="eastAsia"/>
                <w:color w:val="auto"/>
                <w:sz w:val="24"/>
                <w:szCs w:val="24"/>
                <w:highlight w:val="none"/>
              </w:rPr>
              <w:t>或</w:t>
            </w:r>
            <w:r>
              <w:rPr>
                <w:color w:val="auto"/>
                <w:sz w:val="24"/>
                <w:szCs w:val="24"/>
                <w:highlight w:val="none"/>
              </w:rPr>
              <w:t>以下，</w:t>
            </w:r>
            <w:r>
              <w:rPr>
                <w:rFonts w:hint="eastAsia"/>
                <w:color w:val="auto"/>
                <w:sz w:val="24"/>
                <w:szCs w:val="24"/>
                <w:highlight w:val="none"/>
              </w:rPr>
              <w:t>持《职业资格证书（建（构）筑物消防员或消防设施操作员）》上岗，其中至少1人持有《职业资格证书（建（构）筑物消防员</w:t>
            </w:r>
            <w:r>
              <w:rPr>
                <w:rFonts w:hint="eastAsia"/>
                <w:color w:val="auto"/>
                <w:sz w:val="24"/>
                <w:szCs w:val="24"/>
                <w:highlight w:val="none"/>
                <w:lang w:val="en-US" w:eastAsia="zh-CN"/>
              </w:rPr>
              <w:t>或消防设施操作员</w:t>
            </w:r>
            <w:r>
              <w:rPr>
                <w:rFonts w:hint="eastAsia"/>
                <w:color w:val="auto"/>
                <w:sz w:val="24"/>
                <w:szCs w:val="24"/>
                <w:highlight w:val="none"/>
              </w:rPr>
              <w:t>）》</w:t>
            </w:r>
            <w:r>
              <w:rPr>
                <w:rFonts w:hint="eastAsia"/>
                <w:color w:val="auto"/>
                <w:sz w:val="24"/>
                <w:szCs w:val="24"/>
                <w:highlight w:val="none"/>
                <w:lang w:eastAsia="zh-CN"/>
              </w:rPr>
              <w:t>（</w:t>
            </w:r>
            <w:r>
              <w:rPr>
                <w:rFonts w:hint="eastAsia"/>
                <w:color w:val="auto"/>
                <w:sz w:val="24"/>
                <w:szCs w:val="24"/>
                <w:highlight w:val="none"/>
                <w:lang w:val="en-US" w:eastAsia="zh-CN"/>
              </w:rPr>
              <w:t>四级/中级或以上</w:t>
            </w:r>
            <w:r>
              <w:rPr>
                <w:rFonts w:hint="eastAsia"/>
                <w:color w:val="auto"/>
                <w:sz w:val="24"/>
                <w:szCs w:val="24"/>
                <w:highlight w:val="none"/>
                <w:lang w:eastAsia="zh-CN"/>
              </w:rPr>
              <w:t>）</w:t>
            </w:r>
            <w:r>
              <w:rPr>
                <w:rFonts w:hint="eastAsia"/>
                <w:color w:val="auto"/>
                <w:sz w:val="24"/>
                <w:szCs w:val="24"/>
                <w:highlight w:val="none"/>
              </w:rPr>
              <w:t>证书</w:t>
            </w:r>
            <w:r>
              <w:rPr>
                <w:color w:val="auto"/>
                <w:sz w:val="24"/>
                <w:szCs w:val="24"/>
                <w:highlight w:val="none"/>
              </w:rPr>
              <w:t>，能够熟练操作消防监控设备。</w:t>
            </w:r>
          </w:p>
        </w:tc>
        <w:tc>
          <w:tcPr>
            <w:tcW w:w="1252" w:type="dxa"/>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否</w:t>
            </w:r>
          </w:p>
        </w:tc>
        <w:tc>
          <w:tcPr>
            <w:tcW w:w="1475" w:type="dxa"/>
            <w:vAlign w:val="center"/>
          </w:tcPr>
          <w:p>
            <w:pPr>
              <w:spacing w:line="360" w:lineRule="auto"/>
              <w:jc w:val="center"/>
              <w:rPr>
                <w:color w:val="auto"/>
                <w:sz w:val="24"/>
                <w:szCs w:val="24"/>
                <w:highlight w:val="none"/>
              </w:rPr>
            </w:pPr>
            <w:r>
              <w:rPr>
                <w:color w:val="auto"/>
                <w:sz w:val="24"/>
                <w:szCs w:val="24"/>
                <w:highlight w:val="none"/>
              </w:rPr>
              <w:t>24小时</w:t>
            </w:r>
            <w:r>
              <w:rPr>
                <w:rFonts w:hint="eastAsia"/>
                <w:color w:val="auto"/>
                <w:sz w:val="24"/>
                <w:szCs w:val="24"/>
                <w:highlight w:val="none"/>
              </w:rPr>
              <w:t>值守</w:t>
            </w:r>
          </w:p>
          <w:p>
            <w:pPr>
              <w:spacing w:line="360" w:lineRule="auto"/>
              <w:jc w:val="center"/>
              <w:rPr>
                <w:color w:val="auto"/>
                <w:sz w:val="24"/>
                <w:szCs w:val="24"/>
                <w:highlight w:val="none"/>
              </w:rPr>
            </w:pPr>
            <w:r>
              <w:rPr>
                <w:rFonts w:hint="eastAsia"/>
                <w:color w:val="auto"/>
                <w:sz w:val="24"/>
                <w:szCs w:val="24"/>
                <w:highlight w:val="none"/>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color w:val="auto"/>
                <w:sz w:val="24"/>
                <w:szCs w:val="24"/>
                <w:highlight w:val="none"/>
              </w:rPr>
            </w:pPr>
            <w:r>
              <w:rPr>
                <w:color w:val="auto"/>
                <w:sz w:val="24"/>
                <w:szCs w:val="24"/>
                <w:highlight w:val="none"/>
              </w:rPr>
              <w:t>3</w:t>
            </w:r>
          </w:p>
        </w:tc>
        <w:tc>
          <w:tcPr>
            <w:tcW w:w="1212" w:type="dxa"/>
            <w:vAlign w:val="center"/>
          </w:tcPr>
          <w:p>
            <w:pPr>
              <w:spacing w:line="360" w:lineRule="auto"/>
              <w:jc w:val="center"/>
              <w:rPr>
                <w:color w:val="auto"/>
                <w:sz w:val="24"/>
                <w:szCs w:val="24"/>
                <w:highlight w:val="none"/>
              </w:rPr>
            </w:pPr>
            <w:r>
              <w:rPr>
                <w:color w:val="auto"/>
                <w:sz w:val="24"/>
                <w:szCs w:val="24"/>
                <w:highlight w:val="none"/>
              </w:rPr>
              <w:t>保洁员</w:t>
            </w:r>
          </w:p>
        </w:tc>
        <w:tc>
          <w:tcPr>
            <w:tcW w:w="738" w:type="dxa"/>
            <w:vAlign w:val="center"/>
          </w:tcPr>
          <w:p>
            <w:pPr>
              <w:spacing w:line="360" w:lineRule="auto"/>
              <w:jc w:val="center"/>
              <w:rPr>
                <w:color w:val="auto"/>
                <w:sz w:val="24"/>
                <w:szCs w:val="24"/>
                <w:highlight w:val="none"/>
              </w:rPr>
            </w:pPr>
            <w:r>
              <w:rPr>
                <w:color w:val="auto"/>
                <w:sz w:val="24"/>
                <w:szCs w:val="24"/>
                <w:highlight w:val="none"/>
              </w:rPr>
              <w:t>9人</w:t>
            </w:r>
          </w:p>
        </w:tc>
        <w:tc>
          <w:tcPr>
            <w:tcW w:w="4373" w:type="dxa"/>
            <w:vAlign w:val="center"/>
          </w:tcPr>
          <w:p>
            <w:pPr>
              <w:spacing w:line="360" w:lineRule="auto"/>
              <w:jc w:val="left"/>
              <w:rPr>
                <w:color w:val="auto"/>
                <w:sz w:val="24"/>
                <w:szCs w:val="24"/>
                <w:highlight w:val="none"/>
              </w:rPr>
            </w:pPr>
            <w:r>
              <w:rPr>
                <w:color w:val="auto"/>
                <w:sz w:val="24"/>
                <w:szCs w:val="24"/>
                <w:highlight w:val="none"/>
              </w:rPr>
              <w:t>负责大厅、</w:t>
            </w:r>
            <w:r>
              <w:rPr>
                <w:rFonts w:hint="eastAsia"/>
                <w:color w:val="auto"/>
                <w:sz w:val="24"/>
                <w:szCs w:val="24"/>
                <w:highlight w:val="none"/>
              </w:rPr>
              <w:t>会议室、</w:t>
            </w:r>
            <w:r>
              <w:rPr>
                <w:color w:val="auto"/>
                <w:sz w:val="24"/>
                <w:szCs w:val="24"/>
                <w:highlight w:val="none"/>
              </w:rPr>
              <w:t>重点办公室、走廊、楼梯、卫生间、室内绿植、外围等公共区域的巡回保洁及管辖区域的保洁保养。男</w:t>
            </w:r>
            <w:r>
              <w:rPr>
                <w:rFonts w:hint="eastAsia"/>
                <w:color w:val="auto"/>
                <w:sz w:val="24"/>
                <w:szCs w:val="24"/>
                <w:highlight w:val="none"/>
              </w:rPr>
              <w:t>6</w:t>
            </w:r>
            <w:r>
              <w:rPr>
                <w:color w:val="auto"/>
                <w:sz w:val="24"/>
                <w:szCs w:val="24"/>
                <w:highlight w:val="none"/>
              </w:rPr>
              <w:t>5周岁或以下，女</w:t>
            </w:r>
            <w:r>
              <w:rPr>
                <w:rFonts w:hint="eastAsia"/>
                <w:color w:val="auto"/>
                <w:sz w:val="24"/>
                <w:szCs w:val="24"/>
                <w:highlight w:val="none"/>
              </w:rPr>
              <w:t>56</w:t>
            </w:r>
            <w:r>
              <w:rPr>
                <w:color w:val="auto"/>
                <w:sz w:val="24"/>
                <w:szCs w:val="24"/>
                <w:highlight w:val="none"/>
              </w:rPr>
              <w:t>周岁或以下</w:t>
            </w:r>
            <w:r>
              <w:rPr>
                <w:rFonts w:hint="eastAsia"/>
                <w:color w:val="auto"/>
                <w:sz w:val="24"/>
                <w:szCs w:val="24"/>
                <w:highlight w:val="none"/>
              </w:rPr>
              <w:t>，</w:t>
            </w:r>
            <w:r>
              <w:rPr>
                <w:color w:val="auto"/>
                <w:sz w:val="24"/>
                <w:szCs w:val="24"/>
                <w:highlight w:val="none"/>
              </w:rPr>
              <w:t>形象气质佳。</w:t>
            </w:r>
          </w:p>
        </w:tc>
        <w:tc>
          <w:tcPr>
            <w:tcW w:w="1252" w:type="dxa"/>
            <w:vAlign w:val="center"/>
          </w:tcPr>
          <w:p>
            <w:pPr>
              <w:spacing w:line="360" w:lineRule="auto"/>
              <w:jc w:val="center"/>
              <w:rPr>
                <w:rFonts w:eastAsiaTheme="minorEastAsia"/>
                <w:color w:val="auto"/>
                <w:sz w:val="24"/>
                <w:szCs w:val="24"/>
                <w:highlight w:val="none"/>
              </w:rPr>
            </w:pPr>
            <w:r>
              <w:rPr>
                <w:rFonts w:hint="eastAsia" w:eastAsiaTheme="minorEastAsia"/>
                <w:color w:val="auto"/>
                <w:sz w:val="24"/>
                <w:szCs w:val="24"/>
                <w:highlight w:val="none"/>
              </w:rPr>
              <w:t>是</w:t>
            </w:r>
          </w:p>
        </w:tc>
        <w:tc>
          <w:tcPr>
            <w:tcW w:w="1475" w:type="dxa"/>
            <w:vAlign w:val="center"/>
          </w:tcPr>
          <w:p>
            <w:pPr>
              <w:spacing w:line="360" w:lineRule="auto"/>
              <w:jc w:val="center"/>
              <w:rPr>
                <w:color w:val="auto"/>
                <w:sz w:val="24"/>
                <w:szCs w:val="24"/>
                <w:highlight w:val="none"/>
              </w:rPr>
            </w:pPr>
            <w:r>
              <w:rPr>
                <w:rFonts w:hint="eastAsia"/>
                <w:color w:val="auto"/>
                <w:sz w:val="24"/>
                <w:szCs w:val="24"/>
                <w:highlight w:val="none"/>
              </w:rPr>
              <w:t>每周5日</w:t>
            </w:r>
          </w:p>
          <w:p>
            <w:pPr>
              <w:spacing w:line="360" w:lineRule="auto"/>
              <w:jc w:val="center"/>
              <w:rPr>
                <w:color w:val="auto"/>
                <w:sz w:val="24"/>
                <w:szCs w:val="24"/>
                <w:highlight w:val="none"/>
              </w:rPr>
            </w:pPr>
            <w:r>
              <w:rPr>
                <w:rFonts w:hint="eastAsia"/>
                <w:color w:val="auto"/>
                <w:sz w:val="24"/>
                <w:szCs w:val="24"/>
                <w:highlight w:val="none"/>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color w:val="auto"/>
                <w:sz w:val="24"/>
                <w:szCs w:val="24"/>
                <w:highlight w:val="none"/>
              </w:rPr>
            </w:pPr>
            <w:r>
              <w:rPr>
                <w:color w:val="auto"/>
                <w:sz w:val="24"/>
                <w:szCs w:val="24"/>
                <w:highlight w:val="none"/>
              </w:rPr>
              <w:t>4</w:t>
            </w:r>
          </w:p>
        </w:tc>
        <w:tc>
          <w:tcPr>
            <w:tcW w:w="1212" w:type="dxa"/>
            <w:vAlign w:val="center"/>
          </w:tcPr>
          <w:p>
            <w:pPr>
              <w:spacing w:line="360" w:lineRule="auto"/>
              <w:jc w:val="center"/>
              <w:rPr>
                <w:color w:val="auto"/>
                <w:sz w:val="24"/>
                <w:szCs w:val="24"/>
                <w:highlight w:val="none"/>
              </w:rPr>
            </w:pPr>
            <w:r>
              <w:rPr>
                <w:color w:val="auto"/>
                <w:sz w:val="24"/>
                <w:szCs w:val="24"/>
                <w:highlight w:val="none"/>
              </w:rPr>
              <w:t>工程维修</w:t>
            </w:r>
          </w:p>
        </w:tc>
        <w:tc>
          <w:tcPr>
            <w:tcW w:w="738" w:type="dxa"/>
            <w:vAlign w:val="center"/>
          </w:tcPr>
          <w:p>
            <w:pPr>
              <w:spacing w:line="360" w:lineRule="auto"/>
              <w:jc w:val="center"/>
              <w:rPr>
                <w:color w:val="auto"/>
                <w:sz w:val="24"/>
                <w:szCs w:val="24"/>
                <w:highlight w:val="none"/>
              </w:rPr>
            </w:pPr>
            <w:r>
              <w:rPr>
                <w:rFonts w:hint="eastAsia"/>
                <w:color w:val="auto"/>
                <w:sz w:val="24"/>
                <w:szCs w:val="24"/>
                <w:highlight w:val="none"/>
              </w:rPr>
              <w:t>8</w:t>
            </w:r>
            <w:r>
              <w:rPr>
                <w:color w:val="auto"/>
                <w:sz w:val="24"/>
                <w:szCs w:val="24"/>
                <w:highlight w:val="none"/>
              </w:rPr>
              <w:t>人</w:t>
            </w:r>
          </w:p>
        </w:tc>
        <w:tc>
          <w:tcPr>
            <w:tcW w:w="4373" w:type="dxa"/>
            <w:vAlign w:val="center"/>
          </w:tcPr>
          <w:p>
            <w:pPr>
              <w:spacing w:line="360" w:lineRule="auto"/>
              <w:jc w:val="left"/>
              <w:rPr>
                <w:color w:val="auto"/>
                <w:sz w:val="24"/>
                <w:szCs w:val="24"/>
                <w:highlight w:val="none"/>
              </w:rPr>
            </w:pPr>
            <w:r>
              <w:rPr>
                <w:rFonts w:hint="eastAsia"/>
                <w:color w:val="auto"/>
                <w:sz w:val="24"/>
                <w:szCs w:val="24"/>
                <w:highlight w:val="none"/>
              </w:rPr>
              <w:t>（1）</w:t>
            </w:r>
            <w:r>
              <w:rPr>
                <w:color w:val="auto"/>
                <w:sz w:val="24"/>
                <w:szCs w:val="24"/>
                <w:highlight w:val="none"/>
              </w:rPr>
              <w:t>维修工</w:t>
            </w:r>
            <w:r>
              <w:rPr>
                <w:rFonts w:hint="eastAsia"/>
                <w:color w:val="auto"/>
                <w:sz w:val="24"/>
                <w:szCs w:val="24"/>
                <w:highlight w:val="none"/>
              </w:rPr>
              <w:t>2名：</w:t>
            </w:r>
            <w:r>
              <w:rPr>
                <w:color w:val="auto"/>
                <w:sz w:val="24"/>
                <w:szCs w:val="24"/>
                <w:highlight w:val="none"/>
              </w:rPr>
              <w:t>50周岁</w:t>
            </w:r>
            <w:r>
              <w:rPr>
                <w:rFonts w:hint="eastAsia"/>
                <w:color w:val="auto"/>
                <w:sz w:val="24"/>
                <w:szCs w:val="24"/>
                <w:highlight w:val="none"/>
              </w:rPr>
              <w:t>或</w:t>
            </w:r>
            <w:r>
              <w:rPr>
                <w:color w:val="auto"/>
                <w:sz w:val="24"/>
                <w:szCs w:val="24"/>
                <w:highlight w:val="none"/>
              </w:rPr>
              <w:t>以下，</w:t>
            </w:r>
            <w:r>
              <w:rPr>
                <w:rFonts w:hint="eastAsia"/>
                <w:color w:val="auto"/>
                <w:sz w:val="24"/>
                <w:szCs w:val="24"/>
                <w:highlight w:val="none"/>
                <w:lang w:val="en-US" w:eastAsia="zh-CN"/>
              </w:rPr>
              <w:t>其中</w:t>
            </w:r>
            <w:r>
              <w:rPr>
                <w:rFonts w:hint="eastAsia"/>
                <w:color w:val="auto"/>
                <w:sz w:val="24"/>
                <w:szCs w:val="24"/>
                <w:highlight w:val="none"/>
              </w:rPr>
              <w:t>1人</w:t>
            </w:r>
            <w:r>
              <w:rPr>
                <w:color w:val="auto"/>
                <w:sz w:val="24"/>
                <w:szCs w:val="24"/>
                <w:highlight w:val="none"/>
              </w:rPr>
              <w:t>持</w:t>
            </w:r>
            <w:r>
              <w:rPr>
                <w:rFonts w:hint="eastAsia"/>
                <w:color w:val="auto"/>
                <w:sz w:val="24"/>
                <w:szCs w:val="24"/>
                <w:highlight w:val="none"/>
              </w:rPr>
              <w:t>《特种作业操作证（制冷与空调作业）》及《特种作业操作证（低压电工作业）》上岗，</w:t>
            </w:r>
            <w:r>
              <w:rPr>
                <w:rFonts w:hint="eastAsia"/>
                <w:color w:val="auto"/>
                <w:sz w:val="24"/>
                <w:szCs w:val="24"/>
                <w:highlight w:val="none"/>
                <w:lang w:val="en-US" w:eastAsia="zh-CN"/>
              </w:rPr>
              <w:t>另</w:t>
            </w:r>
            <w:r>
              <w:rPr>
                <w:rFonts w:hint="eastAsia"/>
                <w:color w:val="auto"/>
                <w:sz w:val="24"/>
                <w:szCs w:val="24"/>
                <w:highlight w:val="none"/>
              </w:rPr>
              <w:t>1人持《</w:t>
            </w:r>
            <w:r>
              <w:rPr>
                <w:rFonts w:hint="eastAsia"/>
                <w:color w:val="auto"/>
                <w:sz w:val="24"/>
                <w:szCs w:val="24"/>
                <w:highlight w:val="none"/>
                <w:lang w:val="en-US" w:eastAsia="zh-CN"/>
              </w:rPr>
              <w:t>特种设备安全管理和作业人员证（</w:t>
            </w:r>
            <w:r>
              <w:rPr>
                <w:rFonts w:hint="eastAsia"/>
                <w:color w:val="auto"/>
                <w:sz w:val="24"/>
                <w:szCs w:val="24"/>
                <w:highlight w:val="none"/>
              </w:rPr>
              <w:t>特种设备安全管理</w:t>
            </w:r>
            <w:r>
              <w:rPr>
                <w:rFonts w:hint="eastAsia"/>
                <w:color w:val="auto"/>
                <w:sz w:val="24"/>
                <w:szCs w:val="24"/>
                <w:highlight w:val="none"/>
                <w:lang w:val="en-US" w:eastAsia="zh-CN"/>
              </w:rPr>
              <w:t>）</w:t>
            </w:r>
            <w:r>
              <w:rPr>
                <w:rFonts w:hint="eastAsia"/>
                <w:color w:val="auto"/>
                <w:sz w:val="24"/>
                <w:szCs w:val="24"/>
                <w:highlight w:val="none"/>
              </w:rPr>
              <w:t>》及《特种作业操作证（低压电工作业）》上岗，</w:t>
            </w:r>
            <w:r>
              <w:rPr>
                <w:color w:val="auto"/>
                <w:sz w:val="24"/>
                <w:szCs w:val="24"/>
                <w:highlight w:val="none"/>
              </w:rPr>
              <w:t>负责日常维修。</w:t>
            </w:r>
          </w:p>
          <w:p>
            <w:pPr>
              <w:spacing w:line="360" w:lineRule="auto"/>
              <w:jc w:val="left"/>
              <w:rPr>
                <w:color w:val="auto"/>
                <w:sz w:val="24"/>
                <w:szCs w:val="24"/>
                <w:highlight w:val="none"/>
              </w:rPr>
            </w:pPr>
            <w:r>
              <w:rPr>
                <w:rFonts w:hint="eastAsia"/>
                <w:color w:val="auto"/>
                <w:sz w:val="24"/>
                <w:szCs w:val="24"/>
                <w:highlight w:val="none"/>
              </w:rPr>
              <w:t>（2）</w:t>
            </w:r>
            <w:r>
              <w:rPr>
                <w:color w:val="auto"/>
                <w:sz w:val="24"/>
                <w:szCs w:val="24"/>
                <w:highlight w:val="none"/>
              </w:rPr>
              <w:t>变电</w:t>
            </w:r>
            <w:r>
              <w:rPr>
                <w:rFonts w:hint="eastAsia"/>
                <w:color w:val="auto"/>
                <w:sz w:val="24"/>
                <w:szCs w:val="24"/>
                <w:highlight w:val="none"/>
              </w:rPr>
              <w:t>站</w:t>
            </w:r>
            <w:r>
              <w:rPr>
                <w:color w:val="auto"/>
                <w:sz w:val="24"/>
                <w:szCs w:val="24"/>
                <w:highlight w:val="none"/>
              </w:rPr>
              <w:t>运行</w:t>
            </w:r>
            <w:r>
              <w:rPr>
                <w:rFonts w:hint="eastAsia"/>
                <w:color w:val="auto"/>
                <w:sz w:val="24"/>
                <w:szCs w:val="24"/>
                <w:highlight w:val="none"/>
              </w:rPr>
              <w:t>管理</w:t>
            </w:r>
            <w:r>
              <w:rPr>
                <w:color w:val="auto"/>
                <w:sz w:val="24"/>
                <w:szCs w:val="24"/>
                <w:highlight w:val="none"/>
              </w:rPr>
              <w:t>人员</w:t>
            </w:r>
            <w:r>
              <w:rPr>
                <w:rFonts w:hint="eastAsia"/>
                <w:color w:val="auto"/>
                <w:sz w:val="24"/>
                <w:szCs w:val="24"/>
                <w:highlight w:val="none"/>
              </w:rPr>
              <w:t>6名</w:t>
            </w:r>
            <w:r>
              <w:rPr>
                <w:color w:val="auto"/>
                <w:sz w:val="24"/>
                <w:szCs w:val="24"/>
                <w:highlight w:val="none"/>
              </w:rPr>
              <w:t>，50周岁或以下；持《特种作业操作证（高压电工作业）》</w:t>
            </w:r>
            <w:r>
              <w:rPr>
                <w:rFonts w:hint="eastAsia"/>
                <w:color w:val="auto"/>
                <w:sz w:val="24"/>
                <w:szCs w:val="24"/>
                <w:highlight w:val="none"/>
                <w:lang w:val="en-US" w:eastAsia="zh-CN"/>
              </w:rPr>
              <w:t>及</w:t>
            </w:r>
            <w:r>
              <w:rPr>
                <w:color w:val="auto"/>
                <w:sz w:val="24"/>
                <w:szCs w:val="24"/>
                <w:highlight w:val="none"/>
              </w:rPr>
              <w:t>《特种作业操作证（</w:t>
            </w:r>
            <w:r>
              <w:rPr>
                <w:rFonts w:hint="eastAsia"/>
                <w:color w:val="auto"/>
                <w:sz w:val="24"/>
                <w:szCs w:val="24"/>
                <w:highlight w:val="none"/>
                <w:lang w:val="en-US" w:eastAsia="zh-CN"/>
              </w:rPr>
              <w:t>低</w:t>
            </w:r>
            <w:r>
              <w:rPr>
                <w:color w:val="auto"/>
                <w:sz w:val="24"/>
                <w:szCs w:val="24"/>
                <w:highlight w:val="none"/>
              </w:rPr>
              <w:t>压电工作业）》</w:t>
            </w:r>
            <w:r>
              <w:rPr>
                <w:rFonts w:hint="eastAsia"/>
                <w:color w:val="auto"/>
                <w:sz w:val="24"/>
                <w:szCs w:val="24"/>
                <w:highlight w:val="none"/>
              </w:rPr>
              <w:t>上岗</w:t>
            </w:r>
            <w:r>
              <w:rPr>
                <w:color w:val="auto"/>
                <w:sz w:val="24"/>
                <w:szCs w:val="24"/>
                <w:highlight w:val="none"/>
              </w:rPr>
              <w:t>，负责变电室的</w:t>
            </w:r>
            <w:r>
              <w:rPr>
                <w:rFonts w:hint="eastAsia"/>
                <w:color w:val="auto"/>
                <w:sz w:val="24"/>
                <w:szCs w:val="24"/>
                <w:highlight w:val="none"/>
              </w:rPr>
              <w:t>安全</w:t>
            </w:r>
            <w:r>
              <w:rPr>
                <w:color w:val="auto"/>
                <w:sz w:val="24"/>
                <w:szCs w:val="24"/>
                <w:highlight w:val="none"/>
              </w:rPr>
              <w:t>与</w:t>
            </w:r>
            <w:r>
              <w:rPr>
                <w:rFonts w:hint="eastAsia"/>
                <w:color w:val="auto"/>
                <w:sz w:val="24"/>
                <w:szCs w:val="24"/>
                <w:highlight w:val="none"/>
              </w:rPr>
              <w:t>正常</w:t>
            </w:r>
            <w:r>
              <w:rPr>
                <w:color w:val="auto"/>
                <w:sz w:val="24"/>
                <w:szCs w:val="24"/>
                <w:highlight w:val="none"/>
              </w:rPr>
              <w:t>运行。</w:t>
            </w:r>
          </w:p>
        </w:tc>
        <w:tc>
          <w:tcPr>
            <w:tcW w:w="1252" w:type="dxa"/>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否</w:t>
            </w:r>
          </w:p>
        </w:tc>
        <w:tc>
          <w:tcPr>
            <w:tcW w:w="1475" w:type="dxa"/>
            <w:vAlign w:val="center"/>
          </w:tcPr>
          <w:p>
            <w:pPr>
              <w:spacing w:line="360" w:lineRule="auto"/>
              <w:jc w:val="center"/>
              <w:rPr>
                <w:color w:val="auto"/>
                <w:sz w:val="24"/>
                <w:szCs w:val="24"/>
                <w:highlight w:val="none"/>
              </w:rPr>
            </w:pPr>
            <w:r>
              <w:rPr>
                <w:color w:val="auto"/>
                <w:sz w:val="24"/>
                <w:szCs w:val="24"/>
                <w:highlight w:val="none"/>
              </w:rPr>
              <w:t>24小时</w:t>
            </w:r>
            <w:r>
              <w:rPr>
                <w:rFonts w:hint="eastAsia"/>
                <w:color w:val="auto"/>
                <w:sz w:val="24"/>
                <w:szCs w:val="24"/>
                <w:highlight w:val="none"/>
              </w:rPr>
              <w:t>值守</w:t>
            </w:r>
          </w:p>
          <w:p>
            <w:pPr>
              <w:spacing w:line="360" w:lineRule="auto"/>
              <w:jc w:val="center"/>
              <w:rPr>
                <w:color w:val="auto"/>
                <w:sz w:val="24"/>
                <w:szCs w:val="24"/>
                <w:highlight w:val="none"/>
              </w:rPr>
            </w:pPr>
            <w:r>
              <w:rPr>
                <w:rFonts w:hint="eastAsia"/>
                <w:color w:val="auto"/>
                <w:sz w:val="24"/>
                <w:szCs w:val="24"/>
                <w:highlight w:val="none"/>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pPr>
              <w:spacing w:line="360" w:lineRule="auto"/>
              <w:jc w:val="center"/>
              <w:rPr>
                <w:color w:val="auto"/>
                <w:sz w:val="24"/>
                <w:szCs w:val="24"/>
                <w:highlight w:val="none"/>
              </w:rPr>
            </w:pPr>
            <w:r>
              <w:rPr>
                <w:color w:val="auto"/>
                <w:sz w:val="24"/>
                <w:szCs w:val="24"/>
                <w:highlight w:val="none"/>
              </w:rPr>
              <w:t>5</w:t>
            </w:r>
          </w:p>
        </w:tc>
        <w:tc>
          <w:tcPr>
            <w:tcW w:w="1212" w:type="dxa"/>
            <w:vAlign w:val="center"/>
          </w:tcPr>
          <w:p>
            <w:pPr>
              <w:spacing w:line="360" w:lineRule="auto"/>
              <w:jc w:val="center"/>
              <w:rPr>
                <w:color w:val="auto"/>
                <w:sz w:val="24"/>
                <w:szCs w:val="24"/>
                <w:highlight w:val="none"/>
              </w:rPr>
            </w:pPr>
            <w:r>
              <w:rPr>
                <w:color w:val="auto"/>
                <w:sz w:val="24"/>
                <w:szCs w:val="24"/>
                <w:highlight w:val="none"/>
              </w:rPr>
              <w:t>司机</w:t>
            </w:r>
          </w:p>
        </w:tc>
        <w:tc>
          <w:tcPr>
            <w:tcW w:w="738" w:type="dxa"/>
            <w:vAlign w:val="center"/>
          </w:tcPr>
          <w:p>
            <w:pPr>
              <w:spacing w:line="360" w:lineRule="auto"/>
              <w:jc w:val="center"/>
              <w:rPr>
                <w:color w:val="auto"/>
                <w:sz w:val="24"/>
                <w:szCs w:val="24"/>
                <w:highlight w:val="none"/>
              </w:rPr>
            </w:pPr>
            <w:r>
              <w:rPr>
                <w:color w:val="auto"/>
                <w:sz w:val="24"/>
                <w:szCs w:val="24"/>
                <w:highlight w:val="none"/>
              </w:rPr>
              <w:t>2人</w:t>
            </w:r>
          </w:p>
        </w:tc>
        <w:tc>
          <w:tcPr>
            <w:tcW w:w="4373" w:type="dxa"/>
            <w:vAlign w:val="center"/>
          </w:tcPr>
          <w:p>
            <w:pPr>
              <w:spacing w:line="360" w:lineRule="auto"/>
              <w:jc w:val="left"/>
              <w:rPr>
                <w:color w:val="auto"/>
                <w:sz w:val="24"/>
                <w:szCs w:val="24"/>
                <w:highlight w:val="none"/>
              </w:rPr>
            </w:pPr>
            <w:r>
              <w:rPr>
                <w:color w:val="auto"/>
                <w:sz w:val="24"/>
                <w:szCs w:val="24"/>
                <w:highlight w:val="none"/>
              </w:rPr>
              <w:t>男、年龄</w:t>
            </w:r>
            <w:r>
              <w:rPr>
                <w:rFonts w:hint="eastAsia"/>
                <w:color w:val="auto"/>
                <w:sz w:val="24"/>
                <w:szCs w:val="24"/>
                <w:highlight w:val="none"/>
              </w:rPr>
              <w:t>55</w:t>
            </w:r>
            <w:r>
              <w:rPr>
                <w:color w:val="auto"/>
                <w:sz w:val="24"/>
                <w:szCs w:val="24"/>
                <w:highlight w:val="none"/>
              </w:rPr>
              <w:t>周岁</w:t>
            </w:r>
            <w:r>
              <w:rPr>
                <w:rFonts w:hint="eastAsia"/>
                <w:color w:val="auto"/>
                <w:sz w:val="24"/>
                <w:szCs w:val="24"/>
                <w:highlight w:val="none"/>
              </w:rPr>
              <w:t>或</w:t>
            </w:r>
            <w:r>
              <w:rPr>
                <w:color w:val="auto"/>
                <w:sz w:val="24"/>
                <w:szCs w:val="24"/>
                <w:highlight w:val="none"/>
              </w:rPr>
              <w:t>以下，形象气质好，无</w:t>
            </w:r>
            <w:r>
              <w:rPr>
                <w:rFonts w:hint="eastAsia"/>
                <w:color w:val="auto"/>
                <w:sz w:val="24"/>
                <w:szCs w:val="24"/>
                <w:highlight w:val="none"/>
              </w:rPr>
              <w:t>犯罪记录</w:t>
            </w:r>
            <w:r>
              <w:rPr>
                <w:color w:val="auto"/>
                <w:sz w:val="24"/>
                <w:szCs w:val="24"/>
                <w:highlight w:val="none"/>
              </w:rPr>
              <w:t>，</w:t>
            </w:r>
            <w:r>
              <w:rPr>
                <w:rFonts w:hint="eastAsia"/>
                <w:color w:val="auto"/>
                <w:sz w:val="24"/>
                <w:szCs w:val="24"/>
                <w:highlight w:val="none"/>
              </w:rPr>
              <w:t>上岗前</w:t>
            </w:r>
            <w:r>
              <w:rPr>
                <w:color w:val="auto"/>
                <w:sz w:val="24"/>
                <w:szCs w:val="24"/>
                <w:highlight w:val="none"/>
              </w:rPr>
              <w:t>提供身体健康相关证明，有10年以上相关经验。</w:t>
            </w:r>
            <w:r>
              <w:rPr>
                <w:rFonts w:hint="eastAsia"/>
                <w:color w:val="auto"/>
                <w:sz w:val="24"/>
                <w:szCs w:val="24"/>
                <w:highlight w:val="none"/>
              </w:rPr>
              <w:t>持《机动车驾驶证（准驾车型至少包含C1）》上岗</w:t>
            </w:r>
            <w:r>
              <w:rPr>
                <w:color w:val="auto"/>
                <w:sz w:val="24"/>
                <w:szCs w:val="24"/>
                <w:highlight w:val="none"/>
              </w:rPr>
              <w:t>。</w:t>
            </w:r>
          </w:p>
        </w:tc>
        <w:tc>
          <w:tcPr>
            <w:tcW w:w="1252" w:type="dxa"/>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否</w:t>
            </w:r>
          </w:p>
        </w:tc>
        <w:tc>
          <w:tcPr>
            <w:tcW w:w="1475" w:type="dxa"/>
            <w:vAlign w:val="center"/>
          </w:tcPr>
          <w:p>
            <w:pPr>
              <w:spacing w:line="360" w:lineRule="auto"/>
              <w:jc w:val="center"/>
              <w:rPr>
                <w:color w:val="auto"/>
                <w:sz w:val="24"/>
                <w:szCs w:val="24"/>
                <w:highlight w:val="none"/>
              </w:rPr>
            </w:pPr>
            <w:r>
              <w:rPr>
                <w:rFonts w:hint="eastAsia"/>
                <w:color w:val="auto"/>
                <w:sz w:val="24"/>
                <w:szCs w:val="24"/>
                <w:highlight w:val="none"/>
              </w:rPr>
              <w:t>每周5日</w:t>
            </w:r>
          </w:p>
          <w:p>
            <w:pPr>
              <w:spacing w:line="360" w:lineRule="auto"/>
              <w:jc w:val="center"/>
              <w:rPr>
                <w:color w:val="auto"/>
                <w:sz w:val="24"/>
                <w:szCs w:val="24"/>
                <w:highlight w:val="none"/>
              </w:rPr>
            </w:pPr>
            <w:r>
              <w:rPr>
                <w:rFonts w:hint="eastAsia"/>
                <w:color w:val="auto"/>
                <w:sz w:val="24"/>
                <w:szCs w:val="24"/>
                <w:highlight w:val="none"/>
              </w:rPr>
              <w:t>每日8小时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2" w:type="dxa"/>
            <w:gridSpan w:val="2"/>
            <w:vAlign w:val="center"/>
          </w:tcPr>
          <w:p>
            <w:pPr>
              <w:spacing w:line="360" w:lineRule="auto"/>
              <w:jc w:val="center"/>
              <w:rPr>
                <w:color w:val="auto"/>
                <w:sz w:val="24"/>
                <w:szCs w:val="24"/>
                <w:highlight w:val="none"/>
              </w:rPr>
            </w:pPr>
            <w:r>
              <w:rPr>
                <w:rFonts w:hint="eastAsia"/>
                <w:color w:val="auto"/>
                <w:sz w:val="24"/>
                <w:szCs w:val="24"/>
                <w:highlight w:val="none"/>
              </w:rPr>
              <w:t>合计人数</w:t>
            </w:r>
          </w:p>
        </w:tc>
        <w:tc>
          <w:tcPr>
            <w:tcW w:w="7838" w:type="dxa"/>
            <w:gridSpan w:val="4"/>
            <w:vAlign w:val="center"/>
          </w:tcPr>
          <w:p>
            <w:pPr>
              <w:spacing w:line="360" w:lineRule="auto"/>
              <w:jc w:val="center"/>
              <w:rPr>
                <w:rFonts w:eastAsiaTheme="minorEastAsia"/>
                <w:color w:val="auto"/>
                <w:sz w:val="24"/>
                <w:szCs w:val="24"/>
                <w:highlight w:val="none"/>
              </w:rPr>
            </w:pPr>
            <w:r>
              <w:rPr>
                <w:rFonts w:hint="eastAsia"/>
                <w:color w:val="auto"/>
                <w:sz w:val="24"/>
                <w:szCs w:val="24"/>
                <w:highlight w:val="none"/>
              </w:rPr>
              <w:t>3</w:t>
            </w:r>
            <w:r>
              <w:rPr>
                <w:color w:val="auto"/>
                <w:sz w:val="24"/>
                <w:szCs w:val="24"/>
                <w:highlight w:val="none"/>
              </w:rPr>
              <w:t>5</w:t>
            </w:r>
            <w:r>
              <w:rPr>
                <w:rFonts w:hint="eastAsia"/>
                <w:color w:val="auto"/>
                <w:sz w:val="24"/>
                <w:szCs w:val="24"/>
                <w:highlight w:val="none"/>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按劳动法和国务院关于职工工作时间的规定，正常情况下，上述人员每日工作不超过8小时，每周工作不超过40小时。需安排加班的，中标供应商应配合并向劳动者支付加班费。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widowControl/>
        <w:ind w:firstLine="448" w:firstLineChars="200"/>
        <w:jc w:val="left"/>
        <w:rPr>
          <w:b/>
          <w:bCs/>
          <w:color w:val="auto"/>
          <w:sz w:val="24"/>
          <w:highlight w:val="none"/>
        </w:rPr>
      </w:pPr>
      <w:r>
        <w:rPr>
          <w:rFonts w:hint="eastAsia"/>
          <w:b/>
          <w:bCs/>
          <w:color w:val="auto"/>
          <w:sz w:val="24"/>
          <w:highlight w:val="none"/>
        </w:rPr>
        <w:t>三、各岗位人员具体工作内容、职责及服务标准</w:t>
      </w:r>
    </w:p>
    <w:tbl>
      <w:tblPr>
        <w:tblStyle w:val="22"/>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3258"/>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56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子项</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68" w:type="dxa"/>
            <w:vMerge w:val="restart"/>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安全秩序</w:t>
            </w: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安全管理</w:t>
            </w:r>
          </w:p>
        </w:tc>
        <w:tc>
          <w:tcPr>
            <w:tcW w:w="3705" w:type="dxa"/>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安全巡查、检查、隐患整改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应急管理</w:t>
            </w:r>
          </w:p>
        </w:tc>
        <w:tc>
          <w:tcPr>
            <w:tcW w:w="3705" w:type="dxa"/>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应急值守、应急处置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治安保卫</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先期处置、24小时值守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秩序维护</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来访接待</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消防控制室</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24小时专人值守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监控室</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24小时专人值守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restart"/>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保洁服务</w:t>
            </w: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日常保洁</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深度清洁</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会议保障</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按需服务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室内绿植</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健康美观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restart"/>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设备维修值守</w:t>
            </w: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公用设备设施维保</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日常巡视、维修保养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10KV变电站</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24小时专人值守、维修保养、应急处置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消防系统（包括但不限于消防水池、消防泵房等）</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每日巡查、安全检查、维护保养、应急处置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电梯</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ascii="宋体" w:hAnsi="宋体" w:cs="宋体"/>
                <w:color w:val="auto"/>
                <w:sz w:val="24"/>
                <w:szCs w:val="24"/>
                <w:highlight w:val="none"/>
              </w:rPr>
              <w:t>日常巡查</w:t>
            </w:r>
            <w:r>
              <w:rPr>
                <w:rFonts w:hint="eastAsia" w:ascii="宋体" w:hAnsi="宋体" w:cs="宋体"/>
                <w:color w:val="auto"/>
                <w:sz w:val="24"/>
                <w:szCs w:val="24"/>
                <w:highlight w:val="none"/>
              </w:rPr>
              <w:t>、</w:t>
            </w:r>
            <w:r>
              <w:rPr>
                <w:rFonts w:ascii="宋体" w:hAnsi="宋体" w:cs="宋体"/>
                <w:color w:val="auto"/>
                <w:sz w:val="24"/>
                <w:szCs w:val="24"/>
                <w:highlight w:val="none"/>
              </w:rPr>
              <w:t>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空调系统、生活水箱等</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日常巡查、小修维护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建筑立面（包括玻璃幕墙等外墙）巡检</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日常巡查、及时报修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restart"/>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专项服务</w:t>
            </w: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垃圾清运</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化粪井清掏</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一年六次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管道清掏</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空调进出口清洗</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电梯年检</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电梯维保</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半月一次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消防检测</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一年四次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noWrap/>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桶装水</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保障供应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68" w:type="dxa"/>
            <w:vMerge w:val="continue"/>
            <w:vAlign w:val="center"/>
          </w:tcPr>
          <w:p>
            <w:pPr>
              <w:spacing w:line="360" w:lineRule="auto"/>
              <w:contextualSpacing/>
              <w:jc w:val="center"/>
              <w:rPr>
                <w:rFonts w:ascii="宋体" w:hAnsi="宋体" w:cs="宋体"/>
                <w:color w:val="auto"/>
                <w:sz w:val="24"/>
                <w:szCs w:val="24"/>
                <w:highlight w:val="none"/>
              </w:rPr>
            </w:pPr>
          </w:p>
        </w:tc>
        <w:tc>
          <w:tcPr>
            <w:tcW w:w="3258"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草皮补种</w:t>
            </w:r>
          </w:p>
        </w:tc>
        <w:tc>
          <w:tcPr>
            <w:tcW w:w="3705" w:type="dxa"/>
            <w:noWrap/>
            <w:vAlign w:val="center"/>
          </w:tcPr>
          <w:p>
            <w:pPr>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按需补种</w:t>
            </w:r>
          </w:p>
        </w:tc>
      </w:tr>
    </w:tbl>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1、项目经理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负责制定项目年度总体工作计划、资金计划及管理方案。</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负责组织建立并完善项目架构并整合、审核、修订相关规章制度；对项目整体品质进行管控、监督和检查。</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负责督促落实培训计划，定期对管理人员进行工作业务培训，鼓励员工积极学习专业知识，优胜劣汰。</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负责按照考核体系，落实好日常工作检查及各岗位人员完成任务。</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负责带领员工做好各项工作，完成公司下达的各项经营指标和管理指标。</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负责服务场所设施运行安全、配合采购人排查隐患、应急处理具体事务性工作。</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负责服务场所治安保卫具体事务性工作。</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rPr>
        <w:tab/>
      </w:r>
      <w:r>
        <w:rPr>
          <w:rFonts w:hint="eastAsia" w:ascii="宋体" w:hAnsi="宋体" w:cs="宋体"/>
          <w:color w:val="auto"/>
          <w:sz w:val="24"/>
          <w:szCs w:val="24"/>
          <w:highlight w:val="none"/>
        </w:rPr>
        <w:t>根据服务场所实际组织员工开展针对性应急演练。</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rPr>
        <w:tab/>
      </w:r>
      <w:r>
        <w:rPr>
          <w:rFonts w:hint="eastAsia" w:ascii="宋体" w:hAnsi="宋体" w:cs="宋体"/>
          <w:color w:val="auto"/>
          <w:sz w:val="24"/>
          <w:szCs w:val="24"/>
          <w:highlight w:val="none"/>
        </w:rPr>
        <w:t>建立完善的物业管理档案（设备管理、日常管理、隐患排查、应急处置等），具备完善的对各级人员的管理制度和考核细则。</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负责按时检查员工规范执行情况，并提出改进要求。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负责协调内部关系，实施企业文化建设与推广工作，建立良好团队氛围。</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每月定期积极与采购人沟通，在职能范围内配合采购人做好各项活动。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13)</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负责按照采购人及上级指令实施管理。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2、安全秩序</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2.1门岗工作要求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根据采购人主管部门及领班的安排当值上岗，阻止衣衫不整、携带宠物、吸烟以及携带危险品、精神病患者等人员进入；</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指挥门前的秩序，使门前及周围保持畅通和良好的状态，维护企业形象；</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坚持礼貌用语，保持正确的站立姿势和良好的仪容，以微笑来迎接员工或来访人员，并尽可能对客人的提问给予满意的回答；</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对访客，需问明情况，进行登记，不应该进入的人员，绝对不能放入；</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对可疑人员应报告巡视岗或领班及监控中心进行监视；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发现有遗留物品应立即向采购人汇报并上交主管部门，严禁擅自打开遗留物品；</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rPr>
        <w:tab/>
      </w:r>
      <w:r>
        <w:rPr>
          <w:rFonts w:hint="eastAsia" w:ascii="宋体" w:hAnsi="宋体" w:cs="宋体"/>
          <w:color w:val="auto"/>
          <w:sz w:val="24"/>
          <w:szCs w:val="24"/>
          <w:highlight w:val="none"/>
        </w:rPr>
        <w:t>除私人物品外，所有带出大门的其他物品必须要有出门证，并对所填写物品的内容进行核实。</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2.2巡逻工作要求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定人、定时巡查各区域重点设施和周围的秩序维护工作；</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检查各区域的报警、各类灭火器是否正常、消防通道是否畅通无阻及照明指示灯是否正常工作，特别是夜间的巡查及一些死角地方的检查，确保责任区内安全；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对临时施工人员要检查是否有工作证，无证人员要问清原因，并上报部门主管处理，如是闲杂人员立即礼貌劝其离开；</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接到火警要问清楼层和区域，迅速到现场查明原因并扑灭初期的火灾；</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巡查时若发现办公室门未锁好，应立即通知主管部门，如不能通知，则请主管部门或公司员工一同用链锁帮其锁好并做记录，并报主管部门负责人以备第二天通知当事人；</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如发现设施被毁坏须予以记录并通知当值领班及采购人主管部门；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rPr>
        <w:tab/>
      </w:r>
      <w:r>
        <w:rPr>
          <w:rFonts w:hint="eastAsia" w:ascii="宋体" w:hAnsi="宋体" w:cs="宋体"/>
          <w:color w:val="auto"/>
          <w:sz w:val="24"/>
          <w:szCs w:val="24"/>
          <w:highlight w:val="none"/>
        </w:rPr>
        <w:t>发现有异常情况或可疑人员要密切监视，认真观察，加强布控，防止罪案发生；</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rPr>
        <w:tab/>
      </w:r>
      <w:r>
        <w:rPr>
          <w:rFonts w:hint="eastAsia" w:ascii="宋体" w:hAnsi="宋体" w:cs="宋体"/>
          <w:color w:val="auto"/>
          <w:sz w:val="24"/>
          <w:szCs w:val="24"/>
          <w:highlight w:val="none"/>
        </w:rPr>
        <w:t>按规定的巡逻路线巡逻并做好记录，不得把巡逻路线透露给无关人员；</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rPr>
        <w:tab/>
      </w:r>
      <w:r>
        <w:rPr>
          <w:rFonts w:hint="eastAsia" w:ascii="宋体" w:hAnsi="宋体" w:cs="宋体"/>
          <w:color w:val="auto"/>
          <w:sz w:val="24"/>
          <w:szCs w:val="24"/>
          <w:highlight w:val="none"/>
        </w:rPr>
        <w:t>遇有罪案发生，应保持镇静，尽可能留意疑犯之特征及身型衣着，协助报警。</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2.3消防监控室</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做好日、周、月巡查工作，并做好记录建立台账，在节假日、重大活动前重点检查，发现隐患及时提出改进措施和采取安全防范保障措施，及时消除隐患。</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掌握物业服务区域内消防器材、设施、设备分布、配备情况。负责消防器材的维护保养工作，做到底数清，配备合理，数量足，有事能用。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开展对物业服务区域内消防用水、用电、用气巡查工作，组织实施消防设施、灭火器材和消防安全标志的清洁保护工作，确保其安全有效，发现问题及时上报，确保疏散通道和安全出口畅通。</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4</w:t>
      </w:r>
      <w:r>
        <w:rPr>
          <w:rFonts w:hint="eastAsia" w:ascii="宋体" w:hAnsi="宋体" w:cs="宋体"/>
          <w:color w:val="auto"/>
          <w:sz w:val="24"/>
          <w:szCs w:val="24"/>
          <w:highlight w:val="none"/>
        </w:rPr>
        <w:t>突发事件处理要求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火警：发现或接报火警要知晓楼层和区域，应立即通知物业主管和安全管理部门，并拨打火警电话“119”请求支援；协助消防事故的调查，提供书面报告，进行善后的协作处理。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治安案件处理：发生治安案件，应立即知物业主管和安全管理部门，拨打“110”，请求援助；保安组织现场保护，布置警戒线，阻止无关人员进入现场；正在进行的犯罪或有妨碍正常秩序的行为，一旦发现应立即制止。应急处理后，项目经理须在《保安值班记录》中记录，并书面汇报；报告的内容应包括：时间、地点、参与人员、事情经过、事情的处理结果。</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5</w:t>
      </w:r>
      <w:r>
        <w:rPr>
          <w:rFonts w:hint="eastAsia" w:ascii="宋体" w:hAnsi="宋体" w:cs="宋体"/>
          <w:color w:val="auto"/>
          <w:sz w:val="24"/>
          <w:szCs w:val="24"/>
          <w:highlight w:val="none"/>
        </w:rPr>
        <w:t>保安着装标准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保安在不同季节，按规定统一穿着相应制式的服装；</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保安着装时，必须佩戴帽徽、肩章、臂章。严谨佩戴残缺的保安标识或不佩戴标识；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新旧制式保安服装、标识不得混穿、混用；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保安着装应整齐干净，不准披衣、敞怀、挽袖、卷裤腿、戴歪帽子、穿拖鞋等有损保安形象的行为；</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保安的服装、标识应妥善保管，不准转借他人，不准随意拆卸。</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6</w:t>
      </w:r>
      <w:r>
        <w:rPr>
          <w:rFonts w:hint="eastAsia" w:ascii="宋体" w:hAnsi="宋体" w:cs="宋体"/>
          <w:color w:val="auto"/>
          <w:sz w:val="24"/>
          <w:szCs w:val="24"/>
          <w:highlight w:val="none"/>
        </w:rPr>
        <w:t>保安执勤要求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准时上岗，做好交接班，不迟到、不早退，执勤时不串岗、脱岗，不嘻笑打逗，不睡觉、打盹，不看书报，不用手机聊天、听歌等与勤务无关的事情。上岗前和执勤中不饮酒；</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身着规定的统一服装，佩戴保安标志和执勤证件。注意仪容仪表，服装整洁，不留长发、蓄胡子；</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坚持文明执勤，礼貌待人。不讲污言秽语，不蛮横粗暴，不故意刁难，严禁打骂、侮辱他人；</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廉洁奉公，秉公执勤，不私自接受馈赠，不乱摸乱拿他人财物，严禁向他人索取财物；</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认真做好执勤记录，保持好室内外卫生；</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遇有突发事件，要灵活处置并及时上报。如需报警时，第一时间上报采购人主管部门决定，不得擅自处理。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7</w:t>
      </w:r>
      <w:r>
        <w:rPr>
          <w:rFonts w:hint="eastAsia" w:ascii="宋体" w:hAnsi="宋体" w:cs="宋体"/>
          <w:color w:val="auto"/>
          <w:sz w:val="24"/>
          <w:szCs w:val="24"/>
          <w:highlight w:val="none"/>
        </w:rPr>
        <w:t>保安交接班要求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按时交接班，接班人员应提前10分钟到达岗位。接班人未到达前，当班人员不得离岗；</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接班人要详细了解上一班值勤情况和本班应注意事项，做到三明：上班情况明、本班交办的事情明、物品器械清点明；</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交班人在下班前必须填好值班记录，做到三清：本班情况清、交代问题清、物品器械清；</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当班人员发现的问题要及时处理，不能移交给下一班的事情要继续在岗处理完毕，接班人协助完成；</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交接班时，交接班人员填写《交接班记录表》。</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3、保洁绿化服务</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3.1基本要求</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保洁人员应按采购人规定统一着装，佩带胸牌、仪容仪表整洁端庄。</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为办公人员提供干净、舒适的办公环境。</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操作规范化、管理科学化。</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适时、及时进行保洁服务。</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爱护各项设施及财物。</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及时处理垃圾，按指定地点分类安放废弃物。</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lang w:val="e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rPr>
        <w:tab/>
      </w:r>
      <w:r>
        <w:rPr>
          <w:rFonts w:hint="eastAsia" w:ascii="宋体" w:hAnsi="宋体" w:cs="宋体"/>
          <w:color w:val="auto"/>
          <w:sz w:val="24"/>
          <w:szCs w:val="24"/>
          <w:highlight w:val="none"/>
        </w:rPr>
        <w:t>节约用电、用水。</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lang w:val="e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rPr>
        <w:tab/>
      </w:r>
      <w:r>
        <w:rPr>
          <w:rFonts w:hint="eastAsia" w:ascii="宋体" w:hAnsi="宋体" w:cs="宋体"/>
          <w:color w:val="auto"/>
          <w:sz w:val="24"/>
          <w:szCs w:val="24"/>
          <w:highlight w:val="none"/>
        </w:rPr>
        <w:t>遵守安全条例和操作程序。</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lang w:val="e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rPr>
        <w:tab/>
      </w:r>
      <w:r>
        <w:rPr>
          <w:rFonts w:hint="eastAsia" w:ascii="宋体" w:hAnsi="宋体" w:cs="宋体"/>
          <w:color w:val="auto"/>
          <w:sz w:val="24"/>
          <w:szCs w:val="24"/>
          <w:highlight w:val="none"/>
        </w:rPr>
        <w:t>文明、有序作业，最大限度减少对周围环境和人员生活、工作的影响。</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3.2工作内容</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各楼层楼道地面每天清洁一次；</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每日统一收集卫生间垃圾，并集中处理。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每日对各楼层公共通道进行清洁拖擦，对走道、会议室实行全日保洁，对大厅地面实行全日拖擦，做到无屑土、无污痕。</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楼梯、扶手、栏杆、窗台、消防箱、公共设施每日擦拭、清洁，保持无尘土，天花板、墙壁无灰尘和絮状物。</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ab/>
      </w:r>
      <w:r>
        <w:rPr>
          <w:rFonts w:hint="eastAsia" w:ascii="宋体" w:hAnsi="宋体" w:cs="宋体"/>
          <w:color w:val="auto"/>
          <w:sz w:val="24"/>
          <w:szCs w:val="24"/>
          <w:highlight w:val="none"/>
        </w:rPr>
        <w:t>领导办公室由指定人员控制钥匙，每周三次入室清洁，保证办公室桌椅整洁，烟缸干净，更换垃圾袋。</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rPr>
        <w:tab/>
      </w:r>
      <w:r>
        <w:rPr>
          <w:rFonts w:hint="eastAsia" w:ascii="宋体" w:hAnsi="宋体" w:cs="宋体"/>
          <w:color w:val="auto"/>
          <w:sz w:val="24"/>
          <w:szCs w:val="24"/>
          <w:highlight w:val="none"/>
        </w:rPr>
        <w:t>值班室每日换洗床单被罩，保证值班人员使用干净的被褥，值班室内办公桌及物品的清洁。</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rPr>
        <w:tab/>
      </w:r>
      <w:r>
        <w:rPr>
          <w:rFonts w:hint="eastAsia" w:ascii="宋体" w:hAnsi="宋体" w:cs="宋体"/>
          <w:color w:val="auto"/>
          <w:sz w:val="24"/>
          <w:szCs w:val="24"/>
          <w:highlight w:val="none"/>
        </w:rPr>
        <w:t>屋内玻璃及家具每季定项擦拭一次，保持清洁明亮，无尘土、无污痕。</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每季对办公楼房顶进行清洁，清理下水口杂物（无坠落危险）。</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每日清洗卫生间四次，每两小时一次循环保洁，补足卫生用品包含厕纸、洗手液、擦手纸等，每日消毒两次，做到无异味。</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rPr>
        <w:tab/>
      </w:r>
      <w:r>
        <w:rPr>
          <w:rFonts w:hint="eastAsia" w:ascii="宋体" w:hAnsi="宋体" w:cs="宋体"/>
          <w:color w:val="auto"/>
          <w:sz w:val="24"/>
          <w:szCs w:val="24"/>
          <w:highlight w:val="none"/>
        </w:rPr>
        <w:t>每日清扫建筑内地面一次，地面干净、无杂物，雨季、冬季无积水、积雪。</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11)</w:t>
      </w:r>
      <w:r>
        <w:rPr>
          <w:rFonts w:hint="eastAsia" w:ascii="宋体" w:hAnsi="宋体" w:cs="宋体"/>
          <w:color w:val="auto"/>
          <w:sz w:val="24"/>
          <w:szCs w:val="24"/>
          <w:highlight w:val="none"/>
        </w:rPr>
        <w:tab/>
      </w:r>
      <w:r>
        <w:rPr>
          <w:rFonts w:hint="eastAsia" w:ascii="宋体" w:hAnsi="宋体" w:cs="宋体"/>
          <w:color w:val="auto"/>
          <w:sz w:val="24"/>
          <w:szCs w:val="24"/>
          <w:highlight w:val="none"/>
        </w:rPr>
        <w:t>垃圾桶处无散落垃圾、污水、污迹、异味等，当日垃圾当日清运。</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12）单位粪便和与污水管道及化粪井清掏、清运和无害化处理。</w:t>
      </w:r>
    </w:p>
    <w:p>
      <w:pPr>
        <w:spacing w:line="360" w:lineRule="auto"/>
        <w:ind w:firstLine="448" w:firstLineChars="200"/>
        <w:rPr>
          <w:rFonts w:ascii="宋体" w:hAnsi="宋体" w:cs="宋体"/>
          <w:color w:val="auto"/>
          <w:sz w:val="24"/>
          <w:szCs w:val="24"/>
          <w:highlight w:val="none"/>
        </w:rPr>
      </w:pPr>
      <w:r>
        <w:rPr>
          <w:rFonts w:hint="eastAsia" w:ascii="宋体" w:hAnsi="宋体" w:cs="宋体"/>
          <w:color w:val="auto"/>
          <w:sz w:val="24"/>
          <w:szCs w:val="24"/>
          <w:highlight w:val="none"/>
        </w:rPr>
        <w:t>3.3服务质量要求</w:t>
      </w:r>
    </w:p>
    <w:tbl>
      <w:tblPr>
        <w:tblStyle w:val="21"/>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5938"/>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p>
        </w:tc>
        <w:tc>
          <w:tcPr>
            <w:tcW w:w="5938"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清洁标准</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清洁频次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走廊、门厅、楼梯、地面</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表面、接缝、角落、边线等处洁净，地面干净有光泽，无垃圾、杂物、灰尘、污迹、划痕等现象，保持地面材质原貌。门框、窗框、窗台、金属件表面光亮、无灰尘、无污渍、无絮状物。门把手干净、无痕迹、定时消毒</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楼梯扶手、栏杆、窗台、指示牌</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保持干净、无灰尘、光亮。楼梯扶手、栏杆、窗台表面光亮、无灰尘、无污渍。指示牌无灰尘、无污迹</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消防栓、消防箱、公共设施</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持表面干净，无灰尘、无污渍。报警器、火警通讯电话插座、灭火器表面光亮、无灰尘、无污迹。喷淋盖、烟感器、无灰尘、无污渍。监控摄像头、门警器表面光亮、无灰尘、无斑点、无絮状物。消防栓外表面光亮、无痕迹、无灰尘，内侧无灰尘、无污迹</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天花板、风口、公共灯具内或外</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目视无灰尘、无污迹、无蜘蛛网，表面、接缝、角落、边线等处无污渍、无灰尘、无斑点</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走廊、楼梯窗玻璃、大堂门厅</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保持洁净、光亮、无灰尘、无污迹、无水迹</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服务功能性用房（如会议室、接待室、茶水间）</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保持干净、整洁、无垃圾。热水炉外壳应无污迹、水渍</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使用后清洁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公共卫生间</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蹲厕内、小便池内刷洗干净、喷洒消毒，保持无异味、无污迹、无水渍、无垃圾、无积水，镜面保持光亮，无水迹，面盆无水锈。云石台面无水迹、无皂迹、无毛发，光洁明亮。洁具应表面光洁、明亮、内外侧无污渍、无毛发、无异味、定时消毒。镜子明净、无水渍、无擦痕、镜框边缘无灰尘。废物箱表面无污迹、无灰尘、无异味，及时倾倒，定时消毒。外露水管连接处无碱性污垢,管道表面光亮、无灰尘。卫生间内保持空气清新、无异味</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垃圾收集</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做好垃圾分类工作，垃圾收集点周围地面无散落垃圾、无污水、无污迹、无异味、干净整洁</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每天巡回保洁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垃圾箱</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废弃物收集箱外侧表面光洁、无灰尘。废弃物收集箱内侧干净、无残留物、无异味、定时消毒。废弃物及时收集，不满溢</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每天清运，定期清理消毒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电器设施</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灯泡、灯管无灰尘。灯罩无灰尘、无污迹。其它装饰件无灰尘、光亮、无污迹。开关、插座、配电箱无灰尘、无污迹</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每半年一次清洁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985"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排水系统疏通</w:t>
            </w:r>
          </w:p>
        </w:tc>
        <w:tc>
          <w:tcPr>
            <w:tcW w:w="5938" w:type="dxa"/>
            <w:shd w:val="clear" w:color="auto" w:fill="auto"/>
            <w:vAlign w:val="center"/>
          </w:tcPr>
          <w:p>
            <w:pPr>
              <w:widowControl/>
              <w:spacing w:line="360" w:lineRule="auto"/>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单位化粪井、污水管道、检查井及时清理疏通</w:t>
            </w:r>
          </w:p>
        </w:tc>
        <w:tc>
          <w:tcPr>
            <w:tcW w:w="1603" w:type="dxa"/>
            <w:shd w:val="clear" w:color="auto" w:fill="auto"/>
            <w:vAlign w:val="center"/>
          </w:tcPr>
          <w:p>
            <w:pPr>
              <w:widowControl/>
              <w:spacing w:line="360" w:lineRule="auto"/>
              <w:contextualSpacing/>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按需清理</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3.4会服人员工作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会议前检查会议期间使用的设备设施。</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会后会议室的检查、清扫和整理工作。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会议室日常卫生维护和物品管理。</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严格遵守保密制度，不得对外泄露会议信息。</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4、设备维修值守</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4.1基本要求</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每日主动巡查楼内各项设施，发现情况及时修缮，保证小修不超过2小时。</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配合维保单位加强养护管理工作，延长设施、设备的使用年限，降低维修费用。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全程监管对外来维修人员，确保维修质量及维修部位的清洁、安全。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了解所管辖部位的设施、设备的技术性能和各系统工艺布置情况。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rFonts w:hint="eastAsia"/>
          <w:color w:val="auto"/>
          <w:sz w:val="24"/>
          <w:szCs w:val="24"/>
          <w:highlight w:val="none"/>
        </w:rPr>
        <w:tab/>
      </w:r>
      <w:r>
        <w:rPr>
          <w:rFonts w:hint="eastAsia"/>
          <w:color w:val="auto"/>
          <w:sz w:val="24"/>
          <w:szCs w:val="24"/>
          <w:highlight w:val="none"/>
        </w:rPr>
        <w:t>处置上报及时，报修完成率100%。返修率不超1%。</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rPr>
        <w:tab/>
      </w:r>
      <w:r>
        <w:rPr>
          <w:rFonts w:hint="eastAsia"/>
          <w:color w:val="auto"/>
          <w:sz w:val="24"/>
          <w:szCs w:val="24"/>
          <w:highlight w:val="none"/>
        </w:rPr>
        <w:t>上报情况真实，无遗漏。</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7)</w:t>
      </w:r>
      <w:r>
        <w:rPr>
          <w:rFonts w:hint="eastAsia"/>
          <w:color w:val="auto"/>
          <w:sz w:val="24"/>
          <w:szCs w:val="24"/>
          <w:highlight w:val="none"/>
        </w:rPr>
        <w:tab/>
      </w:r>
      <w:r>
        <w:rPr>
          <w:rFonts w:hint="eastAsia"/>
          <w:color w:val="auto"/>
          <w:sz w:val="24"/>
          <w:szCs w:val="24"/>
          <w:highlight w:val="none"/>
        </w:rPr>
        <w:t>科学施工，效益明显。</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8)</w:t>
      </w:r>
      <w:r>
        <w:rPr>
          <w:rFonts w:hint="eastAsia"/>
          <w:color w:val="auto"/>
          <w:sz w:val="24"/>
          <w:szCs w:val="24"/>
          <w:highlight w:val="none"/>
        </w:rPr>
        <w:tab/>
      </w:r>
      <w:r>
        <w:rPr>
          <w:rFonts w:hint="eastAsia"/>
          <w:color w:val="auto"/>
          <w:sz w:val="24"/>
          <w:szCs w:val="24"/>
          <w:highlight w:val="none"/>
        </w:rPr>
        <w:t>维修人员须持有专业技能证书上岗。</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9)</w:t>
      </w:r>
      <w:r>
        <w:rPr>
          <w:rFonts w:hint="eastAsia"/>
          <w:color w:val="auto"/>
          <w:sz w:val="24"/>
          <w:szCs w:val="24"/>
          <w:highlight w:val="none"/>
        </w:rPr>
        <w:tab/>
      </w:r>
      <w:r>
        <w:rPr>
          <w:rFonts w:hint="eastAsia"/>
          <w:color w:val="auto"/>
          <w:sz w:val="24"/>
          <w:szCs w:val="24"/>
          <w:highlight w:val="none"/>
        </w:rPr>
        <w:t>配合消防维保单位做好消防监控设备使用及维护。</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4.2工作内容及要求</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4.2.1电器设备</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每周对所有配电柜巡检一次，检查设备运行状况，包括外观、声音、气味、温度及开关和指示灯状态，以及机房照明和附属设施状况。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每月清扫配电井及配电柜、配电箱表面灰尘。</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4.2.2照明灯具</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每日一次对公共区域各类照明灯具的外观和照明度进行检查，对公共照明设施设备进行必要的维修和更换。</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每月检查灯具使用状况，并进行清洁工作。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4.2.3排水管道、卫生设施</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每季检查给排水主要管道、阀件状况。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每周检查所有卫生设施包括水龙头、洁具和下水等状况。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每半年检查各排水井，发现堵塞及时疏通。</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4.2.4变配电运行</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（1）统筹规划，做到合理、节约用电。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（2）供电运行和维修人员必须持证上岗。</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（3）做好配电室巡检工作。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（4）加强日常维护检修，公共使用的照明、指示灯具线路和开关要保证完好。</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（5）设备出现故障时，维修人员应在10分钟内到达现场，设备维修合格率达到100%，一般性维修不过夜。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（6）严格执行用电安全规范，确保用电安全。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（7）保证避雷设施完好，有效、安全。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4.2.5空调系统运行巡查（由工程维修人员负责）</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（1）对综合办公楼及附属房间等建筑空调系统主机等设备、电线电缆、及其附属装置等设备正常运行使用进行日常巡视</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（2）建立各项设备档案、建立落实空调运行制度及安全操作规程</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（3）保证空调系统安全运行和正常使用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（4）运行中无滴漏水现象</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（5）空调系统出现故障后，维修人员应在10分钟内到达现场做好记录并上报维修</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w:t>
      </w:r>
      <w:r>
        <w:rPr>
          <w:color w:val="auto"/>
          <w:sz w:val="24"/>
          <w:szCs w:val="24"/>
          <w:highlight w:val="none"/>
        </w:rPr>
        <w:t>6</w:t>
      </w:r>
      <w:r>
        <w:rPr>
          <w:rFonts w:hint="eastAsia"/>
          <w:color w:val="auto"/>
          <w:sz w:val="24"/>
          <w:szCs w:val="24"/>
          <w:highlight w:val="none"/>
        </w:rPr>
        <w:t>电梯</w:t>
      </w:r>
      <w:r>
        <w:rPr>
          <w:color w:val="auto"/>
          <w:sz w:val="24"/>
          <w:szCs w:val="24"/>
          <w:highlight w:val="none"/>
        </w:rPr>
        <w:t>巡查</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按《特种设备使用管理规则》和《电梯维护保养规则》要求，</w:t>
      </w:r>
      <w:r>
        <w:rPr>
          <w:rFonts w:hint="eastAsia" w:ascii="宋体" w:hAnsi="宋体" w:cs="宋体"/>
          <w:color w:val="auto"/>
          <w:sz w:val="24"/>
          <w:szCs w:val="24"/>
          <w:highlight w:val="none"/>
        </w:rPr>
        <w:t>对</w:t>
      </w:r>
      <w:r>
        <w:rPr>
          <w:rFonts w:ascii="宋体" w:hAnsi="宋体" w:cs="宋体"/>
          <w:color w:val="auto"/>
          <w:sz w:val="24"/>
          <w:szCs w:val="24"/>
          <w:highlight w:val="none"/>
        </w:rPr>
        <w:t>电梯进行定期维保及年检工作；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对电梯进行日常巡检，引导和监督正确使用电梯；</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确保电梯紧急报警装置正常使用，督促值班人员保持24小时在岗，及时接听电梯紧急报警电话，保持电梯应急救援通道畅通，在发生故障和困人等突发情况时，立即安抚相关人员，并组织维护保养单位救援；</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w:t>
      </w:r>
      <w:r>
        <w:rPr>
          <w:rFonts w:ascii="宋体" w:hAnsi="宋体" w:cs="宋体"/>
          <w:color w:val="auto"/>
          <w:sz w:val="24"/>
          <w:szCs w:val="24"/>
          <w:highlight w:val="none"/>
        </w:rPr>
        <w:t>对电梯维护保养过程和结果进行监督确认，配合做好现场安全工作，及时公示电梯维护保养相关信息；</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及时申请定期检验，并做好后续整改工作；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w:t>
      </w:r>
      <w:r>
        <w:rPr>
          <w:rFonts w:ascii="宋体" w:hAnsi="宋体" w:cs="宋体"/>
          <w:color w:val="auto"/>
          <w:sz w:val="24"/>
          <w:szCs w:val="24"/>
          <w:highlight w:val="none"/>
        </w:rPr>
        <w:t>落实电梯使用安全风险隐患排查和治理工作；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w:t>
      </w:r>
      <w:r>
        <w:rPr>
          <w:rFonts w:ascii="宋体" w:hAnsi="宋体" w:cs="宋体"/>
          <w:color w:val="auto"/>
          <w:sz w:val="24"/>
          <w:szCs w:val="24"/>
          <w:highlight w:val="none"/>
        </w:rPr>
        <w:t>落实电梯安全日管控工作制度，按规定检查、记录、及时报告</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4.2.</w:t>
      </w:r>
      <w:r>
        <w:rPr>
          <w:color w:val="auto"/>
          <w:sz w:val="24"/>
          <w:szCs w:val="24"/>
          <w:highlight w:val="none"/>
        </w:rPr>
        <w:t>7</w:t>
      </w:r>
      <w:r>
        <w:rPr>
          <w:rFonts w:hint="eastAsia"/>
          <w:color w:val="auto"/>
          <w:sz w:val="24"/>
          <w:szCs w:val="24"/>
          <w:highlight w:val="none"/>
        </w:rPr>
        <w:t>定期巡视水、电、泵房、消防等配套设备设施、发现问题及时联系相关维保单位进行维修，并协助维修人员尽快修复，减少对办公环境的影响。</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5、专项服务</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5.1垃圾清运</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至少每天清运一次，不得有垃圾堆积现象，做到垃圾日产日清，负责全年的垃圾清运费用。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清运后不得有满桶和漏桶现象，清运完毕后需将垃圾桶归位到指定位置。</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清运出现落渣、漏渣现象时，须及时将现场处理干净。</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4）允许外包给具备相关资质的第三方实施，垃圾清运费1.8万元/年，费用由中标供应商承担。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5.2化粪井清掏</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至少每两个月清掏一次，不得有堵塞、污水外溢情况。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清理后，井内无积物浮于上面，出入口畅通，保持污水不溢出地面。</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清理时，防止弄脏工作现场和过往行人及车辆，做好防护措施，一旦出现外溢，必须及时清理干净，不得影响正常办公环境。</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4）允许外包给具备相关资质的第三方实施，清掏费4000元/年，费用由中标供应商承担。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5.3管道清掏</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至少每半年清掏一次，不得有堵塞、污水外溢情况。</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清理后，井内无积物浮于上面，出入口畅通，保持污水不溢出地面。</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清理时，防止弄脏工作现场和过往行人及车辆，做好防护措施，一旦出现外溢，必须及时清理干净，不得影响正常办公环境。</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4）允许外包给具备相关资质的第三方实施，清掏费6000元/年，费用由中标供应商承担。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.4</w:t>
      </w:r>
      <w:r>
        <w:rPr>
          <w:rFonts w:hint="eastAsia"/>
          <w:color w:val="auto"/>
          <w:sz w:val="24"/>
          <w:szCs w:val="24"/>
          <w:highlight w:val="none"/>
        </w:rPr>
        <w:t>空调进出口清洗</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每年供暖、供冷季前，需要对项目范围内空调系统清洗一次。</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清洗范围包括进出风口、滤网。</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所采用的清洗药剂应安全有效，对人体无害、无毒。</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清洗时应对作业区的无关物品进行保护性覆盖，如使用塑料布覆盖室内地板及办公用具等。</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rFonts w:hint="eastAsia"/>
          <w:color w:val="auto"/>
          <w:sz w:val="24"/>
          <w:szCs w:val="24"/>
          <w:highlight w:val="none"/>
        </w:rPr>
        <w:tab/>
      </w:r>
      <w:r>
        <w:rPr>
          <w:rFonts w:hint="eastAsia"/>
          <w:color w:val="auto"/>
          <w:sz w:val="24"/>
          <w:szCs w:val="24"/>
          <w:highlight w:val="none"/>
        </w:rPr>
        <w:t>严格遵守安全规定，制定安全措施，保证施工人员、设备及建筑物内人员的安全。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rPr>
        <w:tab/>
      </w:r>
      <w:r>
        <w:rPr>
          <w:rFonts w:hint="eastAsia"/>
          <w:color w:val="auto"/>
          <w:sz w:val="24"/>
          <w:szCs w:val="24"/>
          <w:highlight w:val="none"/>
        </w:rPr>
        <w:t>清洗时间应避开楼内办公时间，不得影响楼内员工正常办公。</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7)</w:t>
      </w:r>
      <w:r>
        <w:rPr>
          <w:rFonts w:hint="eastAsia"/>
          <w:color w:val="auto"/>
          <w:sz w:val="24"/>
          <w:szCs w:val="24"/>
          <w:highlight w:val="none"/>
        </w:rPr>
        <w:tab/>
      </w:r>
      <w:r>
        <w:rPr>
          <w:rFonts w:hint="eastAsia"/>
          <w:color w:val="auto"/>
          <w:sz w:val="24"/>
          <w:szCs w:val="24"/>
          <w:highlight w:val="none"/>
        </w:rPr>
        <w:t>在清洗过程中应采取有效措施控制敏感性异味，不可出现灰尘飞扬的情况。清洗过程中清除的污染物必须收集起来妥善处理。</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8)</w:t>
      </w:r>
      <w:r>
        <w:rPr>
          <w:rFonts w:hint="eastAsia"/>
          <w:color w:val="auto"/>
          <w:sz w:val="24"/>
          <w:szCs w:val="24"/>
          <w:highlight w:val="none"/>
        </w:rPr>
        <w:tab/>
      </w:r>
      <w:r>
        <w:rPr>
          <w:rFonts w:hint="eastAsia"/>
          <w:color w:val="auto"/>
          <w:sz w:val="24"/>
          <w:szCs w:val="24"/>
          <w:highlight w:val="none"/>
        </w:rPr>
        <w:t>必要时可拆卸部分风口和管道，完工后应及时恢复。</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5</w:t>
      </w:r>
      <w:r>
        <w:rPr>
          <w:rFonts w:hint="eastAsia"/>
          <w:color w:val="auto"/>
          <w:sz w:val="24"/>
          <w:szCs w:val="24"/>
          <w:highlight w:val="none"/>
        </w:rPr>
        <w:t>电梯维保及年检</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1)电梯维保</w:t>
      </w:r>
      <w:r>
        <w:rPr>
          <w:rFonts w:hint="eastAsia"/>
          <w:color w:val="auto"/>
          <w:sz w:val="24"/>
          <w:szCs w:val="24"/>
          <w:highlight w:val="none"/>
        </w:rPr>
        <w:tab/>
      </w:r>
      <w:r>
        <w:rPr>
          <w:rFonts w:hint="eastAsia"/>
          <w:color w:val="auto"/>
          <w:sz w:val="24"/>
          <w:szCs w:val="24"/>
          <w:highlight w:val="none"/>
        </w:rPr>
        <w:t>：按照《电梯日常维护保养规则》、《天津市电梯安全管理办法》完成对电梯项目的维保工作，并做好维护保养记录。</w:t>
      </w:r>
      <w:r>
        <w:rPr>
          <w:rFonts w:hint="eastAsia" w:ascii="宋体" w:hAnsi="宋体" w:cs="宋体"/>
          <w:color w:val="auto"/>
          <w:sz w:val="24"/>
          <w:szCs w:val="24"/>
          <w:highlight w:val="none"/>
        </w:rPr>
        <w:t>维保金额每年3.6万元。</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电梯检测：包括电梯的制动系统和安全装置，运行状态检查，电梯门系统的检查、电梯电气系统、电梯绳索和驱动、电梯轿厢内部和外部等各部位的检查。取得市场监督管理部门发放的安全使用合格证。每年检测1次，有效期限之前完成，检测费用900元，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.6</w:t>
      </w:r>
      <w:r>
        <w:rPr>
          <w:rFonts w:hint="eastAsia"/>
          <w:color w:val="auto"/>
          <w:sz w:val="24"/>
          <w:szCs w:val="24"/>
          <w:highlight w:val="none"/>
        </w:rPr>
        <w:t>消防检测</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检测内容：消防供配电设施、火灾自动报警系统、自动喷水灭火系统、消防给水设施、室内消火栓系统、室外消火栓系统、机械排烟系统、机械加压送风系统、应急广播系统、消防专用电话系统、消防电梯、应急照明和疏散指示标志、灭火器。</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检测报告需有“消防技术服务机构公章”；有主检、项目负责人、技术负责人签字。</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应委托具有相关资质的第三方实施。</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每年检测1次，6月底之前完成，检测费用6.5万元，费用由中标供应商承担。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7</w:t>
      </w:r>
      <w:r>
        <w:rPr>
          <w:rFonts w:hint="eastAsia"/>
          <w:color w:val="auto"/>
          <w:sz w:val="24"/>
          <w:szCs w:val="24"/>
          <w:highlight w:val="none"/>
        </w:rPr>
        <w:t>桶装水</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提供天磁或农夫山泉或康师傅等品牌不少于18.9升桶装水，每月400桶。</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保持桶装水的供应充足。</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保证所供应的桶装水质量符合国家生产标准，不得有泄露、破损。</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及时将空桶送回，不得在楼道内堆积，影响办公环境。</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rFonts w:hint="eastAsia"/>
          <w:color w:val="auto"/>
          <w:sz w:val="24"/>
          <w:szCs w:val="24"/>
          <w:highlight w:val="none"/>
        </w:rPr>
        <w:tab/>
      </w:r>
      <w:r>
        <w:rPr>
          <w:rFonts w:hint="eastAsia"/>
          <w:color w:val="auto"/>
          <w:sz w:val="24"/>
          <w:szCs w:val="24"/>
          <w:highlight w:val="none"/>
        </w:rPr>
        <w:t>桶装水费用由中标供应商承担。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color w:val="auto"/>
          <w:sz w:val="24"/>
          <w:szCs w:val="24"/>
          <w:highlight w:val="none"/>
        </w:rPr>
        <w:t>8</w:t>
      </w:r>
      <w:r>
        <w:rPr>
          <w:rFonts w:hint="eastAsia"/>
          <w:color w:val="auto"/>
          <w:sz w:val="24"/>
          <w:szCs w:val="24"/>
          <w:highlight w:val="none"/>
        </w:rPr>
        <w:t>绿化养护及草皮补种</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每年根据实际情况进行补植，不得缺失。</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绿化存活率达到 98%以上。</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绿地更新及时率 98%；</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残枝断叶控制率 98%；</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rFonts w:hint="eastAsia"/>
          <w:color w:val="auto"/>
          <w:sz w:val="24"/>
          <w:szCs w:val="24"/>
          <w:highlight w:val="none"/>
        </w:rPr>
        <w:tab/>
      </w:r>
      <w:r>
        <w:rPr>
          <w:rFonts w:hint="eastAsia"/>
          <w:color w:val="auto"/>
          <w:sz w:val="24"/>
          <w:szCs w:val="24"/>
          <w:highlight w:val="none"/>
        </w:rPr>
        <w:t>及时修剪和补栽补种，无杂草、杂物；</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rPr>
        <w:tab/>
      </w:r>
      <w:r>
        <w:rPr>
          <w:rFonts w:hint="eastAsia"/>
          <w:color w:val="auto"/>
          <w:sz w:val="24"/>
          <w:szCs w:val="24"/>
          <w:highlight w:val="none"/>
        </w:rPr>
        <w:t>定期组织浇灌、施肥和松土，做好防涝、防冻工作。</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7）绿化养护费用每年0.5万元，草皮补种费用每年0.5万元，共计1万元。由中标供应商承担。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6、司机</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1)</w:t>
      </w:r>
      <w:r>
        <w:rPr>
          <w:rFonts w:hint="eastAsia"/>
          <w:color w:val="auto"/>
          <w:sz w:val="24"/>
          <w:szCs w:val="24"/>
          <w:highlight w:val="none"/>
        </w:rPr>
        <w:tab/>
      </w:r>
      <w:r>
        <w:rPr>
          <w:rFonts w:hint="eastAsia"/>
          <w:color w:val="auto"/>
          <w:sz w:val="24"/>
          <w:szCs w:val="24"/>
          <w:highlight w:val="none"/>
        </w:rPr>
        <w:t>负责所负责车辆日常的驾驶、清洁维护。</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rPr>
        <w:tab/>
      </w:r>
      <w:r>
        <w:rPr>
          <w:rFonts w:hint="eastAsia"/>
          <w:color w:val="auto"/>
          <w:sz w:val="24"/>
          <w:szCs w:val="24"/>
          <w:highlight w:val="none"/>
        </w:rPr>
        <w:t>定点按要求及时给车辆加油，维持正常运行，油费由采购人支付。</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rPr>
        <w:tab/>
      </w:r>
      <w:r>
        <w:rPr>
          <w:rFonts w:hint="eastAsia"/>
          <w:color w:val="auto"/>
          <w:sz w:val="24"/>
          <w:szCs w:val="24"/>
          <w:highlight w:val="none"/>
        </w:rPr>
        <w:t>按照单位规定出车保障各项任务的及时完成。出车过程中出现违章摄录、扣分和罚款事项由司机承担。</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4)</w:t>
      </w:r>
      <w:r>
        <w:rPr>
          <w:rFonts w:hint="eastAsia"/>
          <w:color w:val="auto"/>
          <w:sz w:val="24"/>
          <w:szCs w:val="24"/>
          <w:highlight w:val="none"/>
        </w:rPr>
        <w:tab/>
      </w:r>
      <w:r>
        <w:rPr>
          <w:rFonts w:hint="eastAsia"/>
          <w:color w:val="auto"/>
          <w:sz w:val="24"/>
          <w:szCs w:val="24"/>
          <w:highlight w:val="none"/>
        </w:rPr>
        <w:t>对车辆出现的故障，能够及时判断并到指定修理厂进行维修，决不能带故障运行。故障修理费由采购人支付。</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5)</w:t>
      </w:r>
      <w:r>
        <w:rPr>
          <w:rFonts w:hint="eastAsia"/>
          <w:color w:val="auto"/>
          <w:sz w:val="24"/>
          <w:szCs w:val="24"/>
          <w:highlight w:val="none"/>
        </w:rPr>
        <w:tab/>
      </w:r>
      <w:r>
        <w:rPr>
          <w:rFonts w:hint="eastAsia"/>
          <w:color w:val="auto"/>
          <w:sz w:val="24"/>
          <w:szCs w:val="24"/>
          <w:highlight w:val="none"/>
        </w:rPr>
        <w:t>服从管理，遵守单位工作纪律，确保出勤率。</w:t>
      </w:r>
    </w:p>
    <w:p>
      <w:pPr>
        <w:keepNext w:val="0"/>
        <w:keepLines w:val="0"/>
        <w:pageBreakBefore w:val="0"/>
        <w:widowControl w:val="0"/>
        <w:kinsoku/>
        <w:wordWrap/>
        <w:overflowPunct/>
        <w:topLinePunct w:val="0"/>
        <w:autoSpaceDE/>
        <w:autoSpaceDN/>
        <w:bidi w:val="0"/>
        <w:adjustRightInd/>
        <w:snapToGrid/>
        <w:spacing w:line="360" w:lineRule="auto"/>
        <w:ind w:left="0" w:firstLine="448" w:firstLineChars="200"/>
        <w:textAlignment w:val="auto"/>
        <w:rPr>
          <w:color w:val="auto"/>
          <w:sz w:val="24"/>
          <w:szCs w:val="24"/>
          <w:highlight w:val="none"/>
        </w:rPr>
      </w:pPr>
      <w:r>
        <w:rPr>
          <w:rFonts w:hint="eastAsia"/>
          <w:color w:val="auto"/>
          <w:sz w:val="24"/>
          <w:szCs w:val="24"/>
          <w:highlight w:val="none"/>
        </w:rPr>
        <w:t>6)</w:t>
      </w:r>
      <w:r>
        <w:rPr>
          <w:rFonts w:hint="eastAsia"/>
          <w:color w:val="auto"/>
          <w:sz w:val="24"/>
          <w:szCs w:val="24"/>
          <w:highlight w:val="none"/>
        </w:rPr>
        <w:tab/>
      </w:r>
      <w:r>
        <w:rPr>
          <w:rFonts w:hint="eastAsia"/>
          <w:color w:val="auto"/>
          <w:sz w:val="24"/>
          <w:szCs w:val="24"/>
          <w:highlight w:val="none"/>
        </w:rPr>
        <w:t>采购人提供公务用车。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auto"/>
          <w:sz w:val="24"/>
          <w:szCs w:val="24"/>
          <w:highlight w:val="none"/>
        </w:rPr>
      </w:pPr>
      <w:r>
        <w:rPr>
          <w:rFonts w:hint="eastAsia"/>
          <w:b/>
          <w:color w:val="auto"/>
          <w:sz w:val="24"/>
          <w:szCs w:val="24"/>
          <w:highlight w:val="none"/>
        </w:rPr>
        <w:t>四、应急服务要求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highlight w:val="none"/>
        </w:rPr>
      </w:pPr>
      <w:r>
        <w:rPr>
          <w:color w:val="auto"/>
          <w:sz w:val="24"/>
          <w:szCs w:val="24"/>
          <w:highlight w:val="none"/>
        </w:rPr>
        <w:t>当出现不可预知紧急情况时</w:t>
      </w:r>
      <w:r>
        <w:rPr>
          <w:rFonts w:hint="eastAsia"/>
          <w:color w:val="auto"/>
          <w:sz w:val="24"/>
          <w:szCs w:val="24"/>
          <w:highlight w:val="none"/>
        </w:rPr>
        <w:t>（例如停水停电、极端天气、群体事件、自然灾害等，可根据项目具体情况列举），</w:t>
      </w:r>
      <w:r>
        <w:rPr>
          <w:color w:val="auto"/>
          <w:sz w:val="24"/>
          <w:szCs w:val="24"/>
          <w:highlight w:val="none"/>
        </w:rPr>
        <w:t>保证服务正常运转的措施</w:t>
      </w:r>
      <w:r>
        <w:rPr>
          <w:rFonts w:hint="eastAsia"/>
          <w:color w:val="auto"/>
          <w:sz w:val="24"/>
          <w:szCs w:val="24"/>
          <w:highlight w:val="none"/>
        </w:rPr>
        <w:t>，包括但不限于</w:t>
      </w:r>
      <w:r>
        <w:rPr>
          <w:color w:val="auto"/>
          <w:sz w:val="24"/>
          <w:szCs w:val="24"/>
          <w:highlight w:val="none"/>
        </w:rPr>
        <w:t>临时增配人员</w:t>
      </w:r>
      <w:r>
        <w:rPr>
          <w:rFonts w:hint="eastAsia"/>
          <w:color w:val="auto"/>
          <w:sz w:val="24"/>
          <w:szCs w:val="24"/>
          <w:highlight w:val="none"/>
        </w:rPr>
        <w:t>、临时调集设备、现有人员岗位职责临时增加、与相关政府部门协调配合等。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auto"/>
          <w:sz w:val="24"/>
          <w:szCs w:val="24"/>
          <w:highlight w:val="none"/>
        </w:rPr>
      </w:pPr>
      <w:r>
        <w:rPr>
          <w:rFonts w:hint="eastAsia"/>
          <w:b/>
          <w:color w:val="auto"/>
          <w:sz w:val="24"/>
          <w:szCs w:val="24"/>
          <w:highlight w:val="none"/>
        </w:rPr>
        <w:t>五、人员保密要求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highlight w:val="none"/>
        </w:rPr>
      </w:pPr>
      <w:r>
        <w:rPr>
          <w:rFonts w:hint="eastAsia"/>
          <w:color w:val="auto"/>
          <w:sz w:val="24"/>
          <w:szCs w:val="24"/>
          <w:highlight w:val="none"/>
        </w:rPr>
        <w:t>保证服务过程中有可能获取的保密信息不泄露的措施，包括但不限于制定保密制度、服务人员保密培训、重点岗位双人服务、泄密惩罚办法。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auto"/>
          <w:sz w:val="24"/>
          <w:szCs w:val="24"/>
          <w:highlight w:val="none"/>
        </w:rPr>
      </w:pPr>
      <w:r>
        <w:rPr>
          <w:rFonts w:hint="eastAsia"/>
          <w:b/>
          <w:color w:val="auto"/>
          <w:sz w:val="24"/>
          <w:szCs w:val="24"/>
          <w:highlight w:val="none"/>
        </w:rPr>
        <w:t>六、人员稳定性要求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highlight w:val="none"/>
        </w:rPr>
      </w:pPr>
      <w:r>
        <w:rPr>
          <w:rFonts w:hint="eastAsia"/>
          <w:color w:val="auto"/>
          <w:sz w:val="24"/>
          <w:szCs w:val="24"/>
          <w:highlight w:val="none"/>
        </w:rPr>
        <w:t>在整个服务期内，更换人员不得低于采购需求，且应经采购人同意。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auto"/>
          <w:sz w:val="24"/>
          <w:szCs w:val="24"/>
          <w:highlight w:val="none"/>
        </w:rPr>
      </w:pPr>
      <w:r>
        <w:rPr>
          <w:rFonts w:hint="eastAsia"/>
          <w:b/>
          <w:color w:val="auto"/>
          <w:sz w:val="24"/>
          <w:szCs w:val="24"/>
          <w:highlight w:val="none"/>
        </w:rPr>
        <w:t>七、进驻和接管要求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highlight w:val="none"/>
        </w:rPr>
      </w:pPr>
      <w:r>
        <w:rPr>
          <w:rFonts w:hint="eastAsia"/>
          <w:color w:val="auto"/>
          <w:sz w:val="24"/>
          <w:szCs w:val="24"/>
          <w:highlight w:val="none"/>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八、费用分割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物业服务人员的服装、物业服务中使用的工具、耗材由中标供应商提供。</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垃圾清运（涉及金额1.8万元）、化粪井清掏（涉及金额0.4万元）、管道清掏（涉及金额6000元）、电梯维保（涉及金额3.6万元）、电梯年检（涉及金额900元）、消防检测（涉及金额6.5万元）、桶装水（涉及金额4.8万元）、绿化养护及草皮补种（涉及金额1万元）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采购人提供物业服务每日当班人员餐食。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采购人免费提供物业用房一间、提供物业必要的办公家具及办公设备。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highlight w:val="none"/>
        </w:rPr>
      </w:pPr>
      <w:r>
        <w:rPr>
          <w:rFonts w:hint="eastAsia"/>
          <w:b/>
          <w:bCs/>
          <w:color w:val="auto"/>
          <w:sz w:val="24"/>
          <w:highlight w:val="none"/>
        </w:rPr>
        <w:t>九、物业服务过程中，对物业公司评价考核验收标准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1、日常物业服务中，若采购人现场出现相应问题，则物业公司的工作人员应在2小时内到达问题现场；若未在2小时内到达现场，由采购人裁定并按情节轻重处理。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2、日常物业服务中，若物业公司人员损坏采购人物品，则应该按照物品原有价格进行赔偿。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highlight w:val="none"/>
        </w:rPr>
      </w:pPr>
      <w:r>
        <w:rPr>
          <w:rFonts w:hint="eastAsia"/>
          <w:color w:val="auto"/>
          <w:sz w:val="24"/>
          <w:highlight w:val="none"/>
        </w:rPr>
        <w:t>3、采购人成立专项小组，每个月定期对物业公司的服务成果进行检查，并出具检查记录，检查结果由采购人裁定并按情节轻重处理。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highlight w:val="none"/>
        </w:rPr>
      </w:pPr>
      <w:r>
        <w:rPr>
          <w:rFonts w:hint="eastAsia"/>
          <w:color w:val="auto"/>
          <w:sz w:val="24"/>
          <w:highlight w:val="none"/>
        </w:rPr>
        <w:t>4、若物业公司违反采购人在项目需求中规定的标准要求，由采购人裁定并按情节轻重处理。</w:t>
      </w:r>
    </w:p>
    <w:p>
      <w:pPr>
        <w:widowControl/>
        <w:jc w:val="left"/>
        <w:rPr>
          <w:sz w:val="24"/>
        </w:rPr>
      </w:pPr>
      <w:r>
        <w:rPr>
          <w:color w:val="auto"/>
          <w:sz w:val="24"/>
          <w:highlight w:val="none"/>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投标人须下载天津市政府采购中心网-下载中心-《远程招投标电子签章客户端用户使用说明及安装程序》。</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PDF格式电子投标文件（以通过天津公共资源电子签章客户端正确读取签章信息为准），并于投标截止时间前上传至天津市政府采购中心招投标系统。</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7"/>
        <w:spacing w:line="360" w:lineRule="auto"/>
        <w:ind w:firstLine="448" w:firstLineChars="200"/>
        <w:jc w:val="both"/>
        <w:rPr>
          <w:rFonts w:ascii="Times New Roman" w:hAnsi="Times New Roman" w:eastAsia="宋体" w:cs="Times New Roman"/>
          <w:color w:val="auto"/>
        </w:rPr>
      </w:pP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2"/>
        <w:numPr>
          <w:ilvl w:val="0"/>
          <w:numId w:val="2"/>
        </w:numPr>
        <w:spacing w:line="480" w:lineRule="exact"/>
        <w:ind w:firstLineChars="0"/>
        <w:rPr>
          <w:sz w:val="24"/>
          <w:szCs w:val="24"/>
        </w:rPr>
      </w:pPr>
      <w:r>
        <w:rPr>
          <w:rFonts w:hint="eastAsia"/>
          <w:sz w:val="24"/>
          <w:szCs w:val="24"/>
        </w:rPr>
        <w:t>本合同为中小企业预留合同</w:t>
      </w:r>
    </w:p>
    <w:p>
      <w:pPr>
        <w:pStyle w:val="32"/>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w:t>
      </w:r>
      <w:r>
        <w:rPr>
          <w:rFonts w:hint="eastAsia"/>
          <w:sz w:val="24"/>
        </w:rPr>
        <w:t>一</w:t>
      </w:r>
      <w:r>
        <w:rPr>
          <w:sz w:val="24"/>
        </w:rPr>
        <w:t>包</w:t>
      </w:r>
      <w:r>
        <w:rPr>
          <w:rFonts w:hint="eastAsia"/>
          <w:sz w:val="24"/>
        </w:rPr>
        <w:t>报价：</w:t>
      </w:r>
      <w:r>
        <w:rPr>
          <w:sz w:val="24"/>
        </w:rPr>
        <w:t>￥</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第</w:t>
      </w:r>
      <w:r>
        <w:rPr>
          <w:rFonts w:hint="eastAsia"/>
          <w:sz w:val="24"/>
        </w:rPr>
        <w:t>二</w:t>
      </w:r>
      <w:r>
        <w:rPr>
          <w:sz w:val="24"/>
        </w:rPr>
        <w:t>包</w:t>
      </w:r>
      <w:r>
        <w:rPr>
          <w:rFonts w:hint="eastAsia"/>
          <w:sz w:val="24"/>
        </w:rPr>
        <w:t>报价：</w:t>
      </w:r>
      <w:r>
        <w:rPr>
          <w:sz w:val="24"/>
        </w:rPr>
        <w:t>￥</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1"/>
        <w:tblW w:w="56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2944"/>
        <w:gridCol w:w="1372"/>
        <w:gridCol w:w="1341"/>
        <w:gridCol w:w="160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151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服务名称</w:t>
            </w:r>
          </w:p>
        </w:tc>
        <w:tc>
          <w:tcPr>
            <w:tcW w:w="70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691"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27" w:type="pct"/>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占总报价比例</w:t>
            </w:r>
          </w:p>
        </w:tc>
        <w:tc>
          <w:tcPr>
            <w:tcW w:w="765"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天津市交通运输委员会</w:t>
            </w:r>
            <w:r>
              <w:rPr>
                <w:rFonts w:hint="eastAsia" w:ascii="宋体" w:hAnsi="宋体" w:cs="宋体"/>
                <w:color w:val="auto"/>
                <w:sz w:val="24"/>
                <w:szCs w:val="24"/>
                <w:lang w:val="en-US" w:eastAsia="zh-CN"/>
              </w:rPr>
              <w:t>物业管理</w:t>
            </w:r>
          </w:p>
        </w:tc>
        <w:tc>
          <w:tcPr>
            <w:tcW w:w="70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691" w:type="pct"/>
            <w:vAlign w:val="center"/>
          </w:tcPr>
          <w:p>
            <w:pPr>
              <w:spacing w:line="460" w:lineRule="exact"/>
              <w:jc w:val="center"/>
              <w:rPr>
                <w:rFonts w:hint="eastAsia" w:ascii="宋体" w:hAnsi="宋体" w:eastAsia="宋体" w:cs="宋体"/>
                <w:color w:val="auto"/>
                <w:sz w:val="24"/>
                <w:szCs w:val="24"/>
              </w:rPr>
            </w:pPr>
          </w:p>
        </w:tc>
        <w:tc>
          <w:tcPr>
            <w:tcW w:w="827" w:type="pct"/>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47.3</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lang w:val="en-US" w:eastAsia="zh-CN"/>
              </w:rPr>
              <w:t>%</w:t>
            </w:r>
          </w:p>
        </w:tc>
        <w:tc>
          <w:tcPr>
            <w:tcW w:w="765"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1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天津市交通运输委员会</w:t>
            </w:r>
            <w:r>
              <w:rPr>
                <w:rFonts w:hint="eastAsia" w:ascii="宋体" w:hAnsi="宋体" w:cs="宋体"/>
                <w:color w:val="auto"/>
                <w:sz w:val="24"/>
                <w:szCs w:val="24"/>
                <w:lang w:val="en-US" w:eastAsia="zh-CN"/>
              </w:rPr>
              <w:t>物业管理</w:t>
            </w:r>
          </w:p>
        </w:tc>
        <w:tc>
          <w:tcPr>
            <w:tcW w:w="707"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1项</w:t>
            </w:r>
          </w:p>
        </w:tc>
        <w:tc>
          <w:tcPr>
            <w:tcW w:w="691" w:type="pct"/>
            <w:vAlign w:val="center"/>
          </w:tcPr>
          <w:p>
            <w:pPr>
              <w:spacing w:line="460" w:lineRule="exact"/>
              <w:jc w:val="center"/>
              <w:rPr>
                <w:rFonts w:hint="eastAsia" w:ascii="宋体" w:hAnsi="宋体" w:eastAsia="宋体" w:cs="宋体"/>
                <w:color w:val="auto"/>
                <w:sz w:val="24"/>
                <w:szCs w:val="24"/>
              </w:rPr>
            </w:pPr>
          </w:p>
        </w:tc>
        <w:tc>
          <w:tcPr>
            <w:tcW w:w="827" w:type="pct"/>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30.72%</w:t>
            </w:r>
          </w:p>
        </w:tc>
        <w:tc>
          <w:tcPr>
            <w:tcW w:w="765" w:type="pct"/>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r>
        <w:rPr>
          <w:rFonts w:hint="eastAsia"/>
          <w:b/>
          <w:sz w:val="24"/>
        </w:rPr>
        <w:t>（此表仅填写本项目的总报价，无需分各包填写）</w:t>
      </w:r>
    </w:p>
    <w:p>
      <w:pPr>
        <w:spacing w:line="460" w:lineRule="exact"/>
        <w:rPr>
          <w:b/>
          <w:sz w:val="24"/>
        </w:rPr>
      </w:pP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firstLine="6496" w:firstLineChars="2900"/>
        <w:rPr>
          <w:sz w:val="24"/>
        </w:rPr>
      </w:pPr>
      <w:r>
        <w:rPr>
          <w:sz w:val="24"/>
        </w:rPr>
        <w:t>单位：元</w:t>
      </w:r>
    </w:p>
    <w:tbl>
      <w:tblPr>
        <w:tblStyle w:val="21"/>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5</w:t>
            </w:r>
          </w:p>
        </w:tc>
        <w:tc>
          <w:tcPr>
            <w:tcW w:w="2121" w:type="pct"/>
            <w:vAlign w:val="center"/>
          </w:tcPr>
          <w:p>
            <w:pPr>
              <w:jc w:val="center"/>
              <w:rPr>
                <w:szCs w:val="21"/>
              </w:rPr>
            </w:pPr>
            <w:r>
              <w:rPr>
                <w:rFonts w:hint="eastAsia"/>
                <w:szCs w:val="21"/>
              </w:rPr>
              <w:t>专项服务费用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r>
        <w:rPr>
          <w:rFonts w:hint="eastAsia"/>
          <w:b/>
          <w:sz w:val="24"/>
        </w:rPr>
        <w:t>（此表仅填写本项目的总人员费用，无需分各包填写）</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firstLine="6496" w:firstLineChars="2900"/>
        <w:rPr>
          <w:sz w:val="24"/>
        </w:rPr>
      </w:pPr>
      <w:r>
        <w:rPr>
          <w:sz w:val="24"/>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widowControl/>
        <w:jc w:val="left"/>
        <w:rPr>
          <w:sz w:val="24"/>
        </w:rPr>
      </w:pPr>
    </w:p>
    <w:p>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2"/>
        <w:tabs>
          <w:tab w:val="left" w:pos="360"/>
        </w:tabs>
        <w:spacing w:line="360" w:lineRule="auto"/>
        <w:ind w:firstLine="0" w:firstLineChars="0"/>
        <w:rPr>
          <w:sz w:val="24"/>
          <w:u w:val="single"/>
        </w:rPr>
      </w:pPr>
      <w:r>
        <w:rPr>
          <w:rFonts w:hint="eastAsia"/>
          <w:sz w:val="24"/>
          <w:u w:val="single"/>
        </w:rPr>
        <w:t xml:space="preserve">                                                                     </w:t>
      </w:r>
    </w:p>
    <w:p>
      <w:pPr>
        <w:pStyle w:val="32"/>
        <w:tabs>
          <w:tab w:val="left" w:pos="360"/>
        </w:tabs>
        <w:spacing w:line="360" w:lineRule="auto"/>
        <w:ind w:firstLine="446"/>
        <w:rPr>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p>
    <w:p>
      <w:pPr>
        <w:pStyle w:val="32"/>
        <w:spacing w:line="360" w:lineRule="auto"/>
        <w:ind w:firstLine="0" w:firstLineChars="0"/>
        <w:jc w:val="center"/>
        <w:rPr>
          <w:b/>
          <w:sz w:val="24"/>
        </w:rPr>
      </w:pPr>
      <w:r>
        <w:rPr>
          <w:rFonts w:hint="eastAsia"/>
          <w:b/>
          <w:sz w:val="24"/>
        </w:rPr>
        <w:t>证明材料</w:t>
      </w:r>
    </w:p>
    <w:p>
      <w:pPr>
        <w:pStyle w:val="32"/>
        <w:tabs>
          <w:tab w:val="left" w:pos="360"/>
        </w:tabs>
        <w:spacing w:line="360" w:lineRule="auto"/>
        <w:ind w:firstLine="446"/>
        <w:rPr>
          <w:sz w:val="24"/>
        </w:rPr>
      </w:pPr>
    </w:p>
    <w:p>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2"/>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spacing w:line="560" w:lineRule="exact"/>
        <w:jc w:val="left"/>
        <w:rPr>
          <w:b/>
          <w:color w:val="auto"/>
          <w:sz w:val="24"/>
        </w:rPr>
      </w:pPr>
      <w:r>
        <w:rPr>
          <w:b/>
          <w:sz w:val="24"/>
        </w:rPr>
        <w:br w:type="page"/>
      </w:r>
      <w:r>
        <w:rPr>
          <w:b/>
          <w:color w:val="auto"/>
          <w:sz w:val="24"/>
        </w:rPr>
        <w:t>附件1</w:t>
      </w:r>
      <w:r>
        <w:rPr>
          <w:rFonts w:hint="eastAsia"/>
          <w:b/>
          <w:color w:val="auto"/>
          <w:sz w:val="24"/>
          <w:lang w:val="en-US" w:eastAsia="zh-CN"/>
        </w:rPr>
        <w:t>3</w:t>
      </w:r>
      <w:r>
        <w:rPr>
          <w:b/>
          <w:color w:val="auto"/>
          <w:sz w:val="24"/>
        </w:rPr>
        <w:t>：</w:t>
      </w:r>
    </w:p>
    <w:p>
      <w:pPr>
        <w:spacing w:line="560" w:lineRule="exac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承诺函</w:t>
      </w:r>
    </w:p>
    <w:p>
      <w:pPr>
        <w:rPr>
          <w:rFonts w:hint="eastAsia" w:ascii="宋体" w:hAnsi="宋体" w:eastAsia="宋体" w:cs="宋体"/>
          <w:color w:val="auto"/>
          <w:sz w:val="24"/>
          <w:szCs w:val="24"/>
        </w:rPr>
      </w:pPr>
      <w:r>
        <w:rPr>
          <w:rFonts w:hint="eastAsia" w:ascii="宋体" w:hAnsi="宋体" w:eastAsia="宋体" w:cs="宋体"/>
          <w:color w:val="auto"/>
          <w:sz w:val="24"/>
          <w:szCs w:val="24"/>
        </w:rPr>
        <w:t>天津市交通运输委员会</w:t>
      </w:r>
      <w:r>
        <w:rPr>
          <w:rFonts w:hint="eastAsia" w:ascii="宋体" w:hAnsi="宋体" w:eastAsia="宋体" w:cs="宋体"/>
          <w:color w:val="auto"/>
          <w:sz w:val="24"/>
          <w:szCs w:val="24"/>
          <w:lang w:eastAsia="zh-CN"/>
        </w:rPr>
        <w:t>：</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天津市道路运输管理局</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我单位承诺本项目投入的物业服务人员满足“</w:t>
      </w:r>
      <w:r>
        <w:rPr>
          <w:b/>
          <w:bCs/>
          <w:color w:val="auto"/>
          <w:sz w:val="24"/>
        </w:rPr>
        <w:t>人员及岗位要求</w:t>
      </w:r>
      <w:r>
        <w:rPr>
          <w:rFonts w:hint="eastAsia" w:ascii="宋体" w:hAnsi="宋体" w:cs="宋体"/>
          <w:color w:val="auto"/>
          <w:sz w:val="24"/>
          <w:szCs w:val="24"/>
          <w:lang w:val="en-US" w:eastAsia="zh-CN"/>
        </w:rPr>
        <w:t>”中的各项要求，并承诺上岗前向采购人提供各岗位要求的证书备案查验。</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376" w:firstLineChars="2400"/>
        <w:textAlignment w:val="auto"/>
        <w:rPr>
          <w:rFonts w:hint="eastAsia" w:ascii="宋体" w:hAnsi="宋体" w:eastAsia="宋体" w:cs="宋体"/>
          <w:b/>
          <w:color w:val="auto"/>
          <w:sz w:val="24"/>
          <w:szCs w:val="24"/>
        </w:rPr>
      </w:pPr>
      <w:r>
        <w:rPr>
          <w:rFonts w:hint="eastAsia" w:ascii="宋体" w:hAnsi="宋体" w:cs="宋体"/>
          <w:color w:val="auto"/>
          <w:sz w:val="24"/>
          <w:szCs w:val="24"/>
          <w:lang w:val="en-US" w:eastAsia="zh-CN"/>
        </w:rPr>
        <w:t>供应商：</w:t>
      </w:r>
      <w:r>
        <w:rPr>
          <w:rFonts w:hint="eastAsia" w:ascii="宋体" w:hAnsi="宋体" w:eastAsia="宋体" w:cs="宋体"/>
          <w:b/>
          <w:color w:val="auto"/>
          <w:sz w:val="24"/>
          <w:szCs w:val="24"/>
        </w:rPr>
        <w:br w:type="page"/>
      </w:r>
    </w:p>
    <w:p>
      <w:pPr>
        <w:widowControl/>
        <w:jc w:val="left"/>
        <w:rPr>
          <w:b/>
          <w:sz w:val="24"/>
        </w:rPr>
      </w:pP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3DE71B1"/>
    <w:rsid w:val="1A212362"/>
    <w:rsid w:val="202651C1"/>
    <w:rsid w:val="3D2B2927"/>
    <w:rsid w:val="41CB2EBC"/>
    <w:rsid w:val="4F771763"/>
    <w:rsid w:val="5400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6"/>
    <w:autoRedefine/>
    <w:semiHidden/>
    <w:unhideWhenUsed/>
    <w:qFormat/>
    <w:uiPriority w:val="99"/>
    <w:pPr>
      <w:jc w:val="left"/>
    </w:pPr>
  </w:style>
  <w:style w:type="paragraph" w:styleId="6">
    <w:name w:val="Body Text"/>
    <w:basedOn w:val="1"/>
    <w:link w:val="51"/>
    <w:autoRedefine/>
    <w:semiHidden/>
    <w:unhideWhenUsed/>
    <w:qFormat/>
    <w:uiPriority w:val="99"/>
    <w:pPr>
      <w:spacing w:after="120"/>
    </w:pPr>
  </w:style>
  <w:style w:type="paragraph" w:styleId="7">
    <w:name w:val="Body Text Indent"/>
    <w:basedOn w:val="1"/>
    <w:link w:val="26"/>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38"/>
    <w:autoRedefine/>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1"/>
    <w:autoRedefine/>
    <w:qFormat/>
    <w:uiPriority w:val="0"/>
    <w:pPr>
      <w:adjustRightInd w:val="0"/>
      <w:spacing w:line="360" w:lineRule="atLeast"/>
      <w:textAlignment w:val="baseline"/>
    </w:pPr>
    <w:rPr>
      <w:sz w:val="32"/>
    </w:rPr>
  </w:style>
  <w:style w:type="paragraph" w:styleId="12">
    <w:name w:val="Body Text Indent 2"/>
    <w:basedOn w:val="1"/>
    <w:link w:val="33"/>
    <w:autoRedefine/>
    <w:semiHidden/>
    <w:unhideWhenUsed/>
    <w:qFormat/>
    <w:uiPriority w:val="99"/>
    <w:pPr>
      <w:spacing w:after="120" w:line="480" w:lineRule="auto"/>
      <w:ind w:left="420" w:leftChars="200"/>
    </w:pPr>
  </w:style>
  <w:style w:type="paragraph" w:styleId="13">
    <w:name w:val="Balloon Text"/>
    <w:basedOn w:val="1"/>
    <w:link w:val="48"/>
    <w:autoRedefine/>
    <w:semiHidden/>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8"/>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autoRedefine/>
    <w:semiHidden/>
    <w:unhideWhenUsed/>
    <w:qFormat/>
    <w:uiPriority w:val="99"/>
    <w:pPr>
      <w:spacing w:after="120"/>
      <w:ind w:left="420" w:leftChars="200"/>
    </w:pPr>
    <w:rPr>
      <w:sz w:val="16"/>
      <w:szCs w:val="16"/>
    </w:rPr>
  </w:style>
  <w:style w:type="paragraph" w:styleId="19">
    <w:name w:val="Body Text 2"/>
    <w:basedOn w:val="1"/>
    <w:link w:val="35"/>
    <w:autoRedefine/>
    <w:semiHidden/>
    <w:unhideWhenUsed/>
    <w:qFormat/>
    <w:uiPriority w:val="99"/>
    <w:pPr>
      <w:spacing w:after="120" w:line="480" w:lineRule="auto"/>
    </w:pPr>
  </w:style>
  <w:style w:type="paragraph" w:styleId="20">
    <w:name w:val="annotation subject"/>
    <w:basedOn w:val="5"/>
    <w:next w:val="5"/>
    <w:link w:val="47"/>
    <w:autoRedefine/>
    <w:semiHidden/>
    <w:unhideWhenUsed/>
    <w:qFormat/>
    <w:uiPriority w:val="99"/>
    <w:rPr>
      <w:b/>
      <w:bCs/>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3"/>
    <w:autoRedefine/>
    <w:semiHidden/>
    <w:unhideWhenUsed/>
    <w:qFormat/>
    <w:uiPriority w:val="99"/>
    <w:rPr>
      <w:sz w:val="21"/>
      <w:szCs w:val="21"/>
    </w:rPr>
  </w:style>
  <w:style w:type="character" w:customStyle="1" w:styleId="26">
    <w:name w:val="正文文本缩进 Char"/>
    <w:basedOn w:val="23"/>
    <w:link w:val="7"/>
    <w:autoRedefine/>
    <w:qFormat/>
    <w:uiPriority w:val="0"/>
    <w:rPr>
      <w:rFonts w:ascii="宋体" w:hAnsi="宋体" w:eastAsia="宋体" w:cs="Times New Roman"/>
      <w:sz w:val="24"/>
      <w:szCs w:val="20"/>
    </w:rPr>
  </w:style>
  <w:style w:type="paragraph" w:customStyle="1" w:styleId="27">
    <w:name w:val="Default"/>
    <w:link w:val="49"/>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16"/>
    <w:autoRedefine/>
    <w:qFormat/>
    <w:uiPriority w:val="0"/>
    <w:rPr>
      <w:rFonts w:ascii="Cambria" w:hAnsi="Cambria" w:eastAsia="宋体" w:cs="Times New Roman"/>
      <w:b/>
      <w:bCs/>
      <w:kern w:val="28"/>
      <w:sz w:val="32"/>
      <w:szCs w:val="32"/>
      <w:lang w:val="zh-CN" w:eastAsia="zh-CN"/>
    </w:rPr>
  </w:style>
  <w:style w:type="character" w:customStyle="1" w:styleId="29">
    <w:name w:val="页眉 Char"/>
    <w:basedOn w:val="23"/>
    <w:link w:val="15"/>
    <w:autoRedefine/>
    <w:qFormat/>
    <w:uiPriority w:val="99"/>
    <w:rPr>
      <w:rFonts w:ascii="Times New Roman" w:hAnsi="Times New Roman" w:eastAsia="宋体" w:cs="Times New Roman"/>
      <w:sz w:val="18"/>
      <w:szCs w:val="18"/>
    </w:rPr>
  </w:style>
  <w:style w:type="character" w:customStyle="1" w:styleId="30">
    <w:name w:val="页脚 Char"/>
    <w:basedOn w:val="23"/>
    <w:link w:val="14"/>
    <w:autoRedefine/>
    <w:qFormat/>
    <w:uiPriority w:val="99"/>
    <w:rPr>
      <w:rFonts w:ascii="Times New Roman" w:hAnsi="Times New Roman" w:eastAsia="宋体" w:cs="Times New Roman"/>
      <w:sz w:val="18"/>
      <w:szCs w:val="18"/>
    </w:rPr>
  </w:style>
  <w:style w:type="character" w:customStyle="1" w:styleId="31">
    <w:name w:val="日期 Char"/>
    <w:basedOn w:val="23"/>
    <w:link w:val="11"/>
    <w:autoRedefine/>
    <w:qFormat/>
    <w:uiPriority w:val="0"/>
    <w:rPr>
      <w:rFonts w:ascii="Times New Roman" w:hAnsi="Times New Roman" w:eastAsia="宋体" w:cs="Times New Roman"/>
      <w:sz w:val="32"/>
      <w:szCs w:val="20"/>
    </w:rPr>
  </w:style>
  <w:style w:type="paragraph" w:styleId="32">
    <w:name w:val="List Paragraph"/>
    <w:basedOn w:val="1"/>
    <w:link w:val="50"/>
    <w:autoRedefine/>
    <w:qFormat/>
    <w:uiPriority w:val="34"/>
    <w:pPr>
      <w:ind w:firstLine="420" w:firstLineChars="200"/>
    </w:pPr>
  </w:style>
  <w:style w:type="character" w:customStyle="1" w:styleId="33">
    <w:name w:val="正文文本缩进 2 Char"/>
    <w:basedOn w:val="23"/>
    <w:link w:val="12"/>
    <w:autoRedefine/>
    <w:semiHidden/>
    <w:qFormat/>
    <w:uiPriority w:val="99"/>
    <w:rPr>
      <w:rFonts w:ascii="Times New Roman" w:hAnsi="Times New Roman" w:eastAsia="宋体" w:cs="Times New Roman"/>
      <w:szCs w:val="20"/>
    </w:rPr>
  </w:style>
  <w:style w:type="character" w:customStyle="1" w:styleId="34">
    <w:name w:val="标题 3 Char"/>
    <w:basedOn w:val="23"/>
    <w:link w:val="2"/>
    <w:autoRedefine/>
    <w:qFormat/>
    <w:uiPriority w:val="0"/>
    <w:rPr>
      <w:rFonts w:ascii="Times New Roman" w:hAnsi="Times New Roman" w:eastAsia="宋体" w:cs="Times New Roman"/>
      <w:b/>
      <w:bCs/>
      <w:sz w:val="32"/>
      <w:szCs w:val="32"/>
    </w:rPr>
  </w:style>
  <w:style w:type="character" w:customStyle="1" w:styleId="35">
    <w:name w:val="正文文本 2 Char"/>
    <w:basedOn w:val="23"/>
    <w:link w:val="19"/>
    <w:autoRedefine/>
    <w:semiHidden/>
    <w:qFormat/>
    <w:uiPriority w:val="99"/>
    <w:rPr>
      <w:rFonts w:ascii="Times New Roman" w:hAnsi="Times New Roman" w:eastAsia="宋体" w:cs="Times New Roman"/>
      <w:szCs w:val="20"/>
    </w:rPr>
  </w:style>
  <w:style w:type="paragraph" w:customStyle="1" w:styleId="36">
    <w:name w:val="Char"/>
    <w:basedOn w:val="1"/>
    <w:autoRedefine/>
    <w:qFormat/>
    <w:uiPriority w:val="0"/>
    <w:pPr>
      <w:tabs>
        <w:tab w:val="left" w:pos="360"/>
      </w:tabs>
    </w:pPr>
    <w:rPr>
      <w:sz w:val="24"/>
      <w:szCs w:val="24"/>
    </w:rPr>
  </w:style>
  <w:style w:type="character" w:customStyle="1" w:styleId="37">
    <w:name w:val="纯文本 Char"/>
    <w:basedOn w:val="23"/>
    <w:autoRedefine/>
    <w:semiHidden/>
    <w:qFormat/>
    <w:uiPriority w:val="99"/>
    <w:rPr>
      <w:rFonts w:ascii="宋体" w:hAnsi="Courier New" w:eastAsia="宋体" w:cs="Courier New"/>
      <w:szCs w:val="21"/>
    </w:rPr>
  </w:style>
  <w:style w:type="character" w:customStyle="1" w:styleId="38">
    <w:name w:val="纯文本 Char1"/>
    <w:link w:val="9"/>
    <w:autoRedefine/>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autoRedefine/>
    <w:semiHidden/>
    <w:qFormat/>
    <w:uiPriority w:val="99"/>
    <w:rPr>
      <w:rFonts w:ascii="Times New Roman" w:hAnsi="Times New Roman" w:eastAsia="宋体" w:cs="Times New Roman"/>
      <w:sz w:val="16"/>
      <w:szCs w:val="16"/>
    </w:rPr>
  </w:style>
  <w:style w:type="paragraph" w:customStyle="1" w:styleId="4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2"/>
    <w:basedOn w:val="1"/>
    <w:autoRedefine/>
    <w:qFormat/>
    <w:uiPriority w:val="0"/>
    <w:pPr>
      <w:tabs>
        <w:tab w:val="left" w:pos="360"/>
      </w:tabs>
    </w:pPr>
    <w:rPr>
      <w:sz w:val="24"/>
      <w:szCs w:val="24"/>
    </w:rPr>
  </w:style>
  <w:style w:type="paragraph" w:customStyle="1" w:styleId="45">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文字 Char"/>
    <w:basedOn w:val="23"/>
    <w:link w:val="5"/>
    <w:autoRedefine/>
    <w:semiHidden/>
    <w:qFormat/>
    <w:uiPriority w:val="99"/>
    <w:rPr>
      <w:rFonts w:ascii="Times New Roman" w:hAnsi="Times New Roman" w:eastAsia="宋体" w:cs="Times New Roman"/>
      <w:szCs w:val="20"/>
    </w:rPr>
  </w:style>
  <w:style w:type="character" w:customStyle="1" w:styleId="47">
    <w:name w:val="批注主题 Char"/>
    <w:basedOn w:val="46"/>
    <w:link w:val="20"/>
    <w:autoRedefine/>
    <w:semiHidden/>
    <w:qFormat/>
    <w:uiPriority w:val="99"/>
    <w:rPr>
      <w:rFonts w:ascii="Times New Roman" w:hAnsi="Times New Roman" w:eastAsia="宋体" w:cs="Times New Roman"/>
      <w:b/>
      <w:bCs/>
      <w:szCs w:val="20"/>
    </w:rPr>
  </w:style>
  <w:style w:type="character" w:customStyle="1" w:styleId="48">
    <w:name w:val="批注框文本 Char"/>
    <w:basedOn w:val="23"/>
    <w:link w:val="13"/>
    <w:autoRedefine/>
    <w:semiHidden/>
    <w:qFormat/>
    <w:uiPriority w:val="99"/>
    <w:rPr>
      <w:rFonts w:ascii="Times New Roman" w:hAnsi="Times New Roman" w:eastAsia="宋体" w:cs="Times New Roman"/>
      <w:sz w:val="18"/>
      <w:szCs w:val="18"/>
    </w:rPr>
  </w:style>
  <w:style w:type="character" w:customStyle="1" w:styleId="49">
    <w:name w:val="Default Char"/>
    <w:link w:val="27"/>
    <w:autoRedefine/>
    <w:qFormat/>
    <w:locked/>
    <w:uiPriority w:val="0"/>
    <w:rPr>
      <w:rFonts w:ascii="......." w:hAnsi="Calibri" w:eastAsia="......." w:cs="......."/>
      <w:color w:val="000000"/>
      <w:kern w:val="0"/>
      <w:sz w:val="24"/>
      <w:szCs w:val="24"/>
    </w:rPr>
  </w:style>
  <w:style w:type="character" w:customStyle="1" w:styleId="50">
    <w:name w:val="列出段落 Char"/>
    <w:link w:val="32"/>
    <w:autoRedefine/>
    <w:qFormat/>
    <w:uiPriority w:val="34"/>
    <w:rPr>
      <w:rFonts w:ascii="Times New Roman" w:hAnsi="Times New Roman" w:eastAsia="宋体" w:cs="Times New Roman"/>
      <w:szCs w:val="20"/>
    </w:rPr>
  </w:style>
  <w:style w:type="character" w:customStyle="1" w:styleId="51">
    <w:name w:val="正文文本 Char"/>
    <w:basedOn w:val="23"/>
    <w:link w:val="6"/>
    <w:autoRedefine/>
    <w:semiHidden/>
    <w:qFormat/>
    <w:uiPriority w:val="99"/>
    <w:rPr>
      <w:rFonts w:ascii="Times New Roman" w:hAnsi="Times New Roman" w:eastAsia="宋体" w:cs="Times New Roman"/>
      <w:szCs w:val="20"/>
    </w:rPr>
  </w:style>
  <w:style w:type="character" w:customStyle="1" w:styleId="52">
    <w:name w:val="font21"/>
    <w:basedOn w:val="23"/>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97FE6-62C3-4419-AC18-E3CFC3832A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4789</Words>
  <Characters>27299</Characters>
  <Lines>227</Lines>
  <Paragraphs>64</Paragraphs>
  <TotalTime>12</TotalTime>
  <ScaleCrop>false</ScaleCrop>
  <LinksUpToDate>false</LinksUpToDate>
  <CharactersWithSpaces>32024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2024-02-27T03:15:00Z</dcterms:created>
  <dc:creator>未定义</dc:creator>
  <cp:lastModifiedBy>尃翟</cp:lastModifiedBy>
  <dcterms:modified xsi:type="dcterms:W3CDTF">2024-04-09T07:01:05Z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62281D3FE23E4960A2CD715B16616578_13</vt:lpwstr>
  </property>
</Properties>
</file>