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84"/>
        </w:rPr>
      </w:pPr>
    </w:p>
    <w:p>
      <w:pPr>
        <w:wordWrap w:val="0"/>
        <w:ind w:right="105"/>
        <w:jc w:val="right"/>
        <w:rPr>
          <w:rFonts w:hint="eastAsia" w:eastAsia="黑体"/>
          <w:b/>
          <w:spacing w:val="40"/>
          <w:w w:val="66"/>
          <w:sz w:val="60"/>
          <w:szCs w:val="60"/>
        </w:rPr>
      </w:pPr>
      <w:r>
        <w:rPr>
          <w:rFonts w:hint="eastAsia" w:eastAsia="黑体"/>
          <w:b/>
          <w:spacing w:val="40"/>
          <w:w w:val="66"/>
          <w:sz w:val="60"/>
          <w:szCs w:val="60"/>
        </w:rPr>
        <w:t>天津市公共资源交易中心（天津市政府采购中心）工程建设招投标平台</w:t>
      </w:r>
    </w:p>
    <w:p>
      <w:pPr>
        <w:wordWrap/>
        <w:ind w:right="105"/>
        <w:jc w:val="right"/>
        <w:rPr>
          <w:rFonts w:eastAsia="黑体"/>
          <w:b/>
          <w:spacing w:val="40"/>
          <w:w w:val="66"/>
          <w:sz w:val="60"/>
          <w:szCs w:val="60"/>
        </w:rPr>
      </w:pPr>
      <w:r>
        <w:rPr>
          <w:rFonts w:hint="eastAsia" w:eastAsia="黑体"/>
          <w:b/>
          <w:spacing w:val="40"/>
          <w:w w:val="66"/>
          <w:sz w:val="60"/>
          <w:szCs w:val="60"/>
          <w:lang w:val="en-US" w:eastAsia="zh-CN"/>
        </w:rPr>
        <w:t xml:space="preserve"> </w:t>
      </w:r>
      <w:r>
        <w:rPr>
          <w:rFonts w:hint="eastAsia" w:eastAsia="黑体"/>
          <w:b/>
          <w:spacing w:val="40"/>
          <w:w w:val="66"/>
          <w:sz w:val="60"/>
          <w:szCs w:val="60"/>
        </w:rPr>
        <w:t>检测认证项目</w:t>
      </w:r>
      <w:r>
        <w:rPr>
          <w:rFonts w:eastAsia="黑体"/>
          <w:b/>
          <w:spacing w:val="40"/>
          <w:w w:val="66"/>
          <w:sz w:val="60"/>
          <w:szCs w:val="60"/>
        </w:rPr>
        <w:t xml:space="preserve">   </w:t>
      </w:r>
    </w:p>
    <w:p>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361950</wp:posOffset>
                </wp:positionV>
                <wp:extent cx="2818765" cy="0"/>
                <wp:effectExtent l="104140" t="95250" r="96520" b="952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281876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5pt;height:0pt;width:221.95pt;z-index:251659264;mso-width-relative:page;mso-height-relative:page;" filled="f" stroked="t" coordsize="21600,21600" o:gfxdata="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QHv&#10;o9cAAAAJAQAADwAAAAAAAAABACAAAAAiAAAAZHJzL2Rvd25yZXYueG1sUEsBAhQAFAAAAAgAh07i&#10;QHivd6HqAQAArAMAAA4AAAAAAAAAAQAgAAAAJg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竞争性谈判文件</w:t>
      </w:r>
    </w:p>
    <w:p>
      <w:pPr>
        <w:ind w:right="1025"/>
        <w:jc w:val="center"/>
        <w:rPr>
          <w:rFonts w:eastAsia="黑体"/>
          <w:b/>
          <w:spacing w:val="40"/>
          <w:w w:val="66"/>
          <w:sz w:val="60"/>
          <w:szCs w:val="60"/>
        </w:rPr>
      </w:pPr>
    </w:p>
    <w:p>
      <w:pPr>
        <w:jc w:val="center"/>
        <w:rPr>
          <w:rFonts w:eastAsia="黑体"/>
          <w:b/>
          <w:spacing w:val="40"/>
          <w:w w:val="66"/>
          <w:sz w:val="15"/>
          <w:szCs w:val="15"/>
        </w:rPr>
      </w:pPr>
      <w:r>
        <w:rPr>
          <w:rFonts w:eastAsia="黑体"/>
          <w:b/>
          <w:spacing w:val="40"/>
          <w:w w:val="66"/>
          <w:sz w:val="56"/>
          <w:szCs w:val="56"/>
        </w:rPr>
        <w:t xml:space="preserve">            </w:t>
      </w:r>
    </w:p>
    <w:p>
      <w:pPr>
        <w:jc w:val="center"/>
        <w:rPr>
          <w:rFonts w:eastAsia="黑体"/>
          <w:spacing w:val="40"/>
          <w:w w:val="66"/>
          <w:sz w:val="32"/>
          <w:szCs w:val="32"/>
        </w:rPr>
      </w:pPr>
      <w:r>
        <w:rPr>
          <w:rFonts w:eastAsia="黑体"/>
          <w:spacing w:val="40"/>
          <w:w w:val="66"/>
          <w:sz w:val="32"/>
          <w:szCs w:val="32"/>
        </w:rPr>
        <w:t>（项目编号：TGPC-2023-</w:t>
      </w:r>
      <w:r>
        <w:rPr>
          <w:rFonts w:hint="eastAsia" w:eastAsia="黑体"/>
          <w:spacing w:val="40"/>
          <w:w w:val="66"/>
          <w:sz w:val="32"/>
          <w:szCs w:val="32"/>
          <w:lang w:val="en-US" w:eastAsia="zh-CN"/>
        </w:rPr>
        <w:t>D-</w:t>
      </w:r>
      <w:r>
        <w:rPr>
          <w:rFonts w:hint="eastAsia" w:eastAsia="黑体"/>
          <w:spacing w:val="40"/>
          <w:w w:val="66"/>
          <w:sz w:val="32"/>
          <w:szCs w:val="32"/>
        </w:rPr>
        <w:t>0665</w:t>
      </w:r>
      <w:r>
        <w:rPr>
          <w:rFonts w:eastAsia="黑体"/>
          <w:spacing w:val="40"/>
          <w:w w:val="66"/>
          <w:sz w:val="32"/>
          <w:szCs w:val="32"/>
        </w:rPr>
        <w:t>）</w:t>
      </w:r>
    </w:p>
    <w:p>
      <w:pPr>
        <w:rPr>
          <w:sz w:val="40"/>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ind w:firstLine="2897" w:firstLineChars="1493"/>
        <w:rPr>
          <w:rFonts w:eastAsia="黑体"/>
          <w:spacing w:val="20"/>
          <w:w w:val="66"/>
          <w:sz w:val="44"/>
          <w:szCs w:val="44"/>
        </w:rPr>
      </w:pPr>
      <w: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pPr>
        <w:tabs>
          <w:tab w:val="left" w:pos="3281"/>
          <w:tab w:val="center" w:pos="4711"/>
        </w:tabs>
        <w:jc w:val="center"/>
        <w:rPr>
          <w:rFonts w:eastAsia="仿宋_GB2312"/>
          <w:b/>
          <w:bCs/>
          <w:kern w:val="0"/>
          <w:sz w:val="44"/>
          <w:szCs w:val="44"/>
        </w:rPr>
      </w:pPr>
      <w:r>
        <w:rPr>
          <w:rFonts w:eastAsia="仿宋_GB2312"/>
          <w:b/>
          <w:bCs/>
          <w:kern w:val="0"/>
          <w:sz w:val="44"/>
          <w:szCs w:val="44"/>
        </w:rPr>
        <w:t>2023.</w:t>
      </w:r>
      <w:r>
        <w:rPr>
          <w:rFonts w:hint="eastAsia" w:eastAsia="仿宋_GB2312"/>
          <w:b/>
          <w:bCs/>
          <w:kern w:val="0"/>
          <w:sz w:val="44"/>
          <w:szCs w:val="44"/>
          <w:lang w:val="en-US" w:eastAsia="zh-CN"/>
        </w:rPr>
        <w:t>9</w:t>
      </w:r>
      <w:bookmarkStart w:id="3" w:name="_GoBack"/>
      <w:bookmarkEnd w:id="3"/>
      <w:r>
        <w:rPr>
          <w:rFonts w:eastAsia="仿宋_GB2312"/>
          <w:b/>
          <w:bCs/>
          <w:kern w:val="0"/>
          <w:sz w:val="44"/>
          <w:szCs w:val="44"/>
        </w:rPr>
        <w:t xml:space="preserve"> </w:t>
      </w:r>
    </w:p>
    <w:p>
      <w:pPr>
        <w:ind w:firstLine="424" w:firstLineChars="100"/>
        <w:jc w:val="center"/>
        <w:rPr>
          <w:b/>
          <w:spacing w:val="20"/>
          <w:w w:val="80"/>
          <w:sz w:val="48"/>
          <w:szCs w:val="48"/>
        </w:rPr>
      </w:pPr>
      <w:r>
        <w:rPr>
          <w:rFonts w:eastAsia="仿宋_GB2312"/>
          <w:b/>
          <w:bCs/>
          <w:color w:val="333399"/>
          <w:kern w:val="0"/>
          <w:sz w:val="44"/>
          <w:szCs w:val="44"/>
        </w:rPr>
        <w:br w:type="page"/>
      </w:r>
      <w:r>
        <w:rPr>
          <w:b/>
          <w:spacing w:val="20"/>
          <w:w w:val="80"/>
          <w:sz w:val="48"/>
          <w:szCs w:val="48"/>
        </w:rPr>
        <w:t>目  录</w:t>
      </w:r>
    </w:p>
    <w:p>
      <w:pPr>
        <w:spacing w:line="560" w:lineRule="exact"/>
        <w:ind w:right="-141" w:rightChars="-73"/>
        <w:rPr>
          <w:b/>
          <w:sz w:val="24"/>
        </w:rPr>
      </w:pPr>
      <w:r>
        <w:rPr>
          <w:b/>
          <w:sz w:val="24"/>
        </w:rPr>
        <w:t xml:space="preserve">第一部分 谈判邀请函   </w:t>
      </w:r>
    </w:p>
    <w:p>
      <w:pPr>
        <w:spacing w:line="560" w:lineRule="exact"/>
        <w:ind w:right="-141" w:rightChars="-73"/>
        <w:rPr>
          <w:b/>
          <w:sz w:val="24"/>
        </w:rPr>
      </w:pPr>
      <w:r>
        <w:rPr>
          <w:b/>
          <w:sz w:val="24"/>
        </w:rPr>
        <w:t>第二部分 谈判项目要求</w:t>
      </w:r>
    </w:p>
    <w:p>
      <w:pPr>
        <w:spacing w:line="560" w:lineRule="exact"/>
        <w:ind w:right="-141" w:rightChars="-73"/>
        <w:rPr>
          <w:sz w:val="24"/>
        </w:rPr>
      </w:pPr>
      <w:r>
        <w:rPr>
          <w:b/>
          <w:sz w:val="24"/>
        </w:rPr>
        <w:t xml:space="preserve">第三部分 谈判须知 </w:t>
      </w:r>
    </w:p>
    <w:p>
      <w:pPr>
        <w:spacing w:line="560" w:lineRule="exact"/>
        <w:rPr>
          <w:sz w:val="24"/>
        </w:rPr>
      </w:pPr>
      <w:r>
        <w:rPr>
          <w:b/>
          <w:sz w:val="24"/>
        </w:rPr>
        <w:t xml:space="preserve">第四部分 合同条款 </w:t>
      </w:r>
      <w:r>
        <w:rPr>
          <w:sz w:val="24"/>
        </w:rPr>
        <w:t xml:space="preserve"> </w:t>
      </w:r>
    </w:p>
    <w:p>
      <w:pPr>
        <w:spacing w:line="560" w:lineRule="exact"/>
        <w:rPr>
          <w:sz w:val="24"/>
        </w:rPr>
      </w:pPr>
      <w:r>
        <w:rPr>
          <w:b/>
          <w:sz w:val="24"/>
        </w:rPr>
        <w:t>第五部分 响应文件格式</w:t>
      </w:r>
      <w:r>
        <w:rPr>
          <w:sz w:val="24"/>
        </w:rPr>
        <w:t xml:space="preserve">                                     </w:t>
      </w:r>
    </w:p>
    <w:p>
      <w:pPr>
        <w:spacing w:line="360" w:lineRule="auto"/>
        <w:rPr>
          <w:b/>
          <w:sz w:val="24"/>
          <w:szCs w:val="24"/>
        </w:rPr>
        <w:sectPr>
          <w:headerReference r:id="rId3" w:type="default"/>
          <w:footerReference r:id="rId4" w:type="default"/>
          <w:pgSz w:w="11906" w:h="16838"/>
          <w:pgMar w:top="1440" w:right="1797" w:bottom="1440" w:left="1797" w:header="851" w:footer="992" w:gutter="0"/>
          <w:pgNumType w:start="1"/>
          <w:cols w:space="425" w:num="1"/>
          <w:docGrid w:type="linesAndChars" w:linePitch="285" w:charSpace="-3449"/>
        </w:sectPr>
      </w:pPr>
    </w:p>
    <w:p>
      <w:pPr>
        <w:spacing w:line="360" w:lineRule="auto"/>
        <w:jc w:val="center"/>
        <w:rPr>
          <w:b/>
          <w:sz w:val="24"/>
          <w:szCs w:val="24"/>
        </w:rPr>
      </w:pPr>
      <w:r>
        <w:rPr>
          <w:b/>
          <w:sz w:val="24"/>
          <w:szCs w:val="24"/>
        </w:rPr>
        <w:t>第一部分  谈判邀请函</w:t>
      </w:r>
    </w:p>
    <w:p>
      <w:pPr>
        <w:pStyle w:val="21"/>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受</w:t>
      </w:r>
      <w:r>
        <w:rPr>
          <w:rFonts w:hint="eastAsia" w:ascii="Times New Roman" w:hAnsi="Times New Roman" w:eastAsia="宋体" w:cs="Times New Roman"/>
          <w:color w:val="auto"/>
          <w:kern w:val="2"/>
        </w:rPr>
        <w:t>天津市公共资源交易中心（天津市政府采购中心）</w:t>
      </w:r>
      <w:r>
        <w:rPr>
          <w:rFonts w:ascii="Times New Roman" w:hAnsi="Times New Roman" w:eastAsia="宋体" w:cs="Times New Roman"/>
          <w:color w:val="auto"/>
          <w:kern w:val="2"/>
        </w:rPr>
        <w:t>委托，天津市政府采购中心将以竞争性谈判方式，对</w:t>
      </w:r>
      <w:r>
        <w:rPr>
          <w:rFonts w:hint="eastAsia" w:ascii="Times New Roman" w:hAnsi="Times New Roman" w:eastAsia="宋体" w:cs="Times New Roman"/>
          <w:color w:val="auto"/>
          <w:kern w:val="2"/>
        </w:rPr>
        <w:t>天津市公共资源交易中心（天津市政府采购中心）工程建设招投标平台检测认证项目</w:t>
      </w:r>
      <w:r>
        <w:rPr>
          <w:rFonts w:ascii="Times New Roman" w:hAnsi="Times New Roman" w:eastAsia="宋体" w:cs="Times New Roman"/>
          <w:color w:val="auto"/>
          <w:kern w:val="2"/>
        </w:rPr>
        <w:t>实施采购。现欢迎合格的供应商参加谈判。</w:t>
      </w:r>
    </w:p>
    <w:p>
      <w:pPr>
        <w:pStyle w:val="21"/>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szCs w:val="32"/>
        </w:rPr>
        <w:t>本项目为远程招投标，一律不接受纸质响应文件，只接受加盖投标人电子签章的PDF格式电子响应文件（以通过天津公共资源电子签章客户端正确读取签章信息为准）。供应商参加投标前须办理CA数字证书（USBKey）和电子签章。投标人须按竞争性谈判文件的规定在天津市政府采购中心招投标系统中提交网上应答并上传加盖投标人电子签章的PDF格式电子响应文件（以通过天津公共资源电子签章客户端正确读取签章信息为准）。</w:t>
      </w:r>
    </w:p>
    <w:p>
      <w:pPr>
        <w:pStyle w:val="21"/>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一、项目名称和编号</w:t>
      </w:r>
    </w:p>
    <w:p>
      <w:pPr>
        <w:pStyle w:val="21"/>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（一）项目名称：</w:t>
      </w:r>
      <w:r>
        <w:rPr>
          <w:rFonts w:hint="eastAsia" w:ascii="Times New Roman" w:hAnsi="Times New Roman" w:eastAsia="宋体" w:cs="Times New Roman"/>
          <w:color w:val="auto"/>
          <w:kern w:val="2"/>
        </w:rPr>
        <w:t>天津市公共资源交易中心（天津市政府采购中心）工程建设招投标平台检测认证项目</w:t>
      </w:r>
    </w:p>
    <w:p>
      <w:pPr>
        <w:pStyle w:val="21"/>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（二）项目编号：TGPC-2023-</w:t>
      </w:r>
      <w:r>
        <w:rPr>
          <w:rFonts w:hint="eastAsia" w:ascii="Times New Roman" w:hAnsi="Times New Roman" w:eastAsia="宋体" w:cs="Times New Roman"/>
          <w:color w:val="auto"/>
          <w:kern w:val="2"/>
        </w:rPr>
        <w:t>D</w:t>
      </w:r>
      <w:r>
        <w:rPr>
          <w:rFonts w:ascii="Times New Roman" w:hAnsi="Times New Roman" w:eastAsia="宋体" w:cs="Times New Roman"/>
          <w:color w:val="auto"/>
          <w:kern w:val="2"/>
        </w:rPr>
        <w:t>-</w:t>
      </w:r>
      <w:r>
        <w:rPr>
          <w:rFonts w:hint="eastAsia" w:ascii="Times New Roman" w:hAnsi="Times New Roman" w:eastAsia="宋体" w:cs="Times New Roman"/>
          <w:color w:val="auto"/>
          <w:kern w:val="2"/>
        </w:rPr>
        <w:t>0665</w:t>
      </w:r>
    </w:p>
    <w:p>
      <w:pPr>
        <w:pStyle w:val="21"/>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二、项目内容</w:t>
      </w:r>
    </w:p>
    <w:p>
      <w:pPr>
        <w:pStyle w:val="21"/>
        <w:spacing w:line="360" w:lineRule="auto"/>
        <w:ind w:firstLine="448" w:firstLineChars="200"/>
        <w:jc w:val="both"/>
        <w:rPr>
          <w:rFonts w:hint="eastAsia" w:ascii="Times New Roman" w:hAnsi="Times New Roman" w:eastAsia="宋体" w:cs="Times New Roman"/>
          <w:color w:val="auto"/>
          <w:kern w:val="2"/>
          <w:lang w:val="en-US" w:eastAsia="zh-CN"/>
        </w:rPr>
      </w:pPr>
      <w:r>
        <w:rPr>
          <w:rFonts w:ascii="Times New Roman" w:hAnsi="Times New Roman" w:eastAsia="宋体" w:cs="Times New Roman"/>
          <w:color w:val="auto"/>
          <w:kern w:val="2"/>
        </w:rPr>
        <w:t>第一包：</w:t>
      </w:r>
      <w:r>
        <w:rPr>
          <w:rFonts w:hint="eastAsia" w:ascii="Times New Roman" w:hAnsi="Times New Roman" w:eastAsia="宋体" w:cs="Times New Roman"/>
          <w:color w:val="auto"/>
          <w:kern w:val="2"/>
        </w:rPr>
        <w:t>工程建设招投标平台检测认</w:t>
      </w:r>
      <w:r>
        <w:rPr>
          <w:rFonts w:hint="eastAsia" w:ascii="Times New Roman" w:hAnsi="Times New Roman" w:eastAsia="宋体" w:cs="Times New Roman"/>
          <w:color w:val="auto"/>
          <w:kern w:val="2"/>
          <w:lang w:val="en-US" w:eastAsia="zh-CN"/>
        </w:rPr>
        <w:t>服务</w:t>
      </w:r>
      <w:r>
        <w:rPr>
          <w:rFonts w:hint="eastAsia" w:ascii="Times New Roman" w:hAnsi="Times New Roman" w:eastAsia="宋体" w:cs="Times New Roman"/>
          <w:color w:val="auto"/>
          <w:kern w:val="2"/>
        </w:rPr>
        <w:t>，合同履行期限</w:t>
      </w:r>
      <w:r>
        <w:rPr>
          <w:rFonts w:hint="eastAsia" w:ascii="Times New Roman" w:hAnsi="Times New Roman" w:eastAsia="宋体" w:cs="Times New Roman"/>
          <w:color w:val="auto"/>
          <w:kern w:val="2"/>
          <w:lang w:val="en-US" w:eastAsia="zh-CN"/>
        </w:rPr>
        <w:t>:</w:t>
      </w:r>
      <w:r>
        <w:rPr>
          <w:rFonts w:hint="eastAsia" w:ascii="Times New Roman" w:hAnsi="Times New Roman" w:eastAsia="宋体" w:cs="Times New Roman"/>
          <w:color w:val="auto"/>
          <w:kern w:val="2"/>
        </w:rPr>
        <w:t>签订合同之日起三年的服务期</w:t>
      </w:r>
      <w:r>
        <w:rPr>
          <w:rFonts w:hint="eastAsia" w:ascii="Times New Roman" w:hAnsi="Times New Roman" w:eastAsia="宋体" w:cs="Times New Roman"/>
          <w:color w:val="auto"/>
          <w:kern w:val="2"/>
          <w:lang w:eastAsia="zh-CN"/>
        </w:rPr>
        <w:t>。</w:t>
      </w:r>
    </w:p>
    <w:p>
      <w:pPr>
        <w:pStyle w:val="21"/>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三、项目预算</w:t>
      </w:r>
    </w:p>
    <w:p>
      <w:pPr>
        <w:pStyle w:val="21"/>
        <w:spacing w:line="360" w:lineRule="auto"/>
        <w:ind w:firstLine="448" w:firstLineChars="200"/>
        <w:jc w:val="both"/>
        <w:rPr>
          <w:rFonts w:ascii="Times New Roman" w:hAnsi="Times New Roman" w:cs="Times New Roman"/>
        </w:rPr>
      </w:pPr>
      <w:r>
        <w:rPr>
          <w:rFonts w:ascii="Times New Roman" w:hAnsi="Times New Roman" w:eastAsia="宋体" w:cs="Times New Roman"/>
          <w:color w:val="auto"/>
          <w:kern w:val="2"/>
        </w:rPr>
        <w:t>第一包：</w:t>
      </w:r>
      <w:r>
        <w:rPr>
          <w:rFonts w:hint="eastAsia" w:ascii="Times New Roman" w:hAnsi="Times New Roman" w:eastAsia="宋体" w:cs="Times New Roman"/>
          <w:color w:val="auto"/>
          <w:kern w:val="2"/>
        </w:rPr>
        <w:t xml:space="preserve"> 300000</w:t>
      </w:r>
      <w:r>
        <w:rPr>
          <w:rFonts w:ascii="Times New Roman" w:hAnsi="Times New Roman" w:eastAsia="宋体" w:cs="Times New Roman"/>
          <w:color w:val="auto"/>
          <w:kern w:val="2"/>
        </w:rPr>
        <w:t>元。</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pPr>
        <w:pStyle w:val="21"/>
        <w:spacing w:line="360" w:lineRule="auto"/>
        <w:ind w:firstLine="448" w:firstLineChars="200"/>
        <w:jc w:val="both"/>
        <w:rPr>
          <w:rFonts w:ascii="Times New Roman" w:hAnsi="Times New Roman" w:eastAsia="宋体" w:cs="Times New Roman"/>
          <w:color w:val="auto"/>
          <w:highlight w:val="none"/>
        </w:rPr>
      </w:pPr>
      <w:r>
        <w:rPr>
          <w:rFonts w:ascii="Times New Roman" w:hAnsi="Times New Roman" w:eastAsia="宋体" w:cs="Times New Roman"/>
          <w:color w:val="auto"/>
          <w:highlight w:val="none"/>
        </w:rPr>
        <w:t>（一）</w:t>
      </w:r>
      <w:r>
        <w:rPr>
          <w:rFonts w:hint="eastAsia" w:ascii="Times New Roman" w:hAnsi="Times New Roman" w:eastAsia="宋体" w:cs="Times New Roman"/>
          <w:color w:val="auto"/>
          <w:highlight w:val="none"/>
        </w:rPr>
        <w:t>供应商必须是中国招标投标公共服务平台（http://www.cebpubservice.com）发布的检测认证机构名单中的电子招标投标系统检测认证机构，提供查询截图。</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（二）供应商须具备《中华人民共和国政府采购法》第二十二条第一款规定的条件，提供以下材料：</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 营业执照副本或事业单位法人证书或民办非企业单位登记证书或社会团体法人登记证书或基金会法人登记证书扫描件</w:t>
      </w:r>
      <w:r>
        <w:rPr>
          <w:rFonts w:hint="eastAsia" w:ascii="Times New Roman" w:hAnsi="Times New Roman" w:eastAsia="宋体" w:cs="Times New Roman"/>
          <w:color w:val="auto"/>
        </w:rPr>
        <w:t>或自然人的身份证明扫描件。</w:t>
      </w:r>
    </w:p>
    <w:p>
      <w:pPr>
        <w:pStyle w:val="21"/>
        <w:spacing w:line="360" w:lineRule="auto"/>
        <w:ind w:firstLine="448" w:firstLineChars="200"/>
        <w:rPr>
          <w:rFonts w:ascii="Times New Roman" w:hAnsi="Times New Roman" w:eastAsia="宋体" w:cs="Times New Roman"/>
          <w:color w:val="auto"/>
        </w:rPr>
      </w:pPr>
      <w:bookmarkStart w:id="0" w:name="OLE_LINK5"/>
      <w:r>
        <w:rPr>
          <w:rFonts w:hint="eastAsia" w:ascii="Times New Roman" w:hAnsi="Times New Roman" w:eastAsia="宋体" w:cs="Times New Roman"/>
          <w:color w:val="auto"/>
        </w:rPr>
        <w:t>2. 财务状况报告等相关材料：</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A.经第三方会计师事务所审计的2022年度财务报告扫描件。</w:t>
      </w:r>
    </w:p>
    <w:bookmarkEnd w:id="0"/>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提交响应文件截止日前3年在经营活动中没有重大违法记录的书面声明（截至提交响应文件截止日成立不足3年的供应商可提供自成立以来无重大违法记录的书面声明）。</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5. 提交具备履行合同所必需的设备和专业技术能力证明材料。</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（三）本项目不接受联合体投标。</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、项目需要落实的政府采购政策</w:t>
      </w:r>
    </w:p>
    <w:p>
      <w:pPr>
        <w:pStyle w:val="21"/>
        <w:spacing w:line="360" w:lineRule="auto"/>
        <w:ind w:firstLine="448" w:firstLineChars="200"/>
        <w:jc w:val="both"/>
        <w:rPr>
          <w:rFonts w:ascii="Times New Roman" w:hAnsi="Times New Roman" w:eastAsia="宋体" w:cs="Times New Roman"/>
          <w:color w:val="auto"/>
        </w:rPr>
      </w:pPr>
      <w:bookmarkStart w:id="1" w:name="OLE_LINK4"/>
      <w:bookmarkStart w:id="2" w:name="OLE_LINK3"/>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一</w:t>
      </w:r>
      <w:r>
        <w:rPr>
          <w:rFonts w:hint="eastAsia" w:ascii="Times New Roman" w:hAnsi="Times New Roman" w:eastAsia="宋体" w:cs="Times New Roman"/>
          <w:color w:val="auto"/>
        </w:rPr>
        <w:t>）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1"/>
    <w:bookmarkEnd w:id="2"/>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六、获取竞争性谈判文件时间、方式</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（一）获取竞争性谈判文件的时间：</w:t>
      </w:r>
      <w:r>
        <w:rPr>
          <w:rFonts w:ascii="Times New Roman" w:hAnsi="Times New Roman" w:eastAsia="宋体"/>
          <w:color w:val="auto"/>
        </w:rPr>
        <w:t>2023年</w:t>
      </w:r>
      <w:r>
        <w:rPr>
          <w:rFonts w:hint="eastAsia" w:ascii="Times New Roman" w:hAnsi="Times New Roman" w:eastAsia="宋体"/>
          <w:color w:val="auto"/>
          <w:lang w:val="en-US" w:eastAsia="zh-CN"/>
        </w:rPr>
        <w:t>9</w:t>
      </w:r>
      <w:r>
        <w:rPr>
          <w:rFonts w:ascii="Times New Roman" w:hAnsi="Times New Roman" w:eastAsia="宋体"/>
          <w:color w:val="auto"/>
        </w:rPr>
        <w:t>月</w:t>
      </w:r>
      <w:r>
        <w:rPr>
          <w:rFonts w:hint="eastAsia" w:ascii="Times New Roman" w:hAnsi="Times New Roman" w:eastAsia="宋体"/>
          <w:color w:val="auto"/>
          <w:lang w:val="en-US" w:eastAsia="zh-CN"/>
        </w:rPr>
        <w:t>19</w:t>
      </w:r>
      <w:r>
        <w:rPr>
          <w:rFonts w:ascii="Times New Roman" w:hAnsi="Times New Roman" w:eastAsia="宋体"/>
          <w:color w:val="auto"/>
        </w:rPr>
        <w:t>日至2023年</w:t>
      </w:r>
      <w:r>
        <w:rPr>
          <w:rFonts w:hint="eastAsia" w:ascii="Times New Roman" w:hAnsi="Times New Roman" w:eastAsia="宋体"/>
          <w:color w:val="auto"/>
          <w:lang w:val="en-US" w:eastAsia="zh-CN"/>
        </w:rPr>
        <w:t>9</w:t>
      </w:r>
      <w:r>
        <w:rPr>
          <w:rFonts w:ascii="Times New Roman" w:hAnsi="Times New Roman" w:eastAsia="宋体"/>
          <w:color w:val="auto"/>
        </w:rPr>
        <w:t>月</w:t>
      </w:r>
      <w:r>
        <w:rPr>
          <w:rFonts w:hint="eastAsia" w:ascii="Times New Roman" w:hAnsi="Times New Roman" w:eastAsia="宋体"/>
          <w:color w:val="auto"/>
          <w:lang w:val="en-US" w:eastAsia="zh-CN"/>
        </w:rPr>
        <w:t>22</w:t>
      </w:r>
      <w:r>
        <w:rPr>
          <w:rFonts w:ascii="Times New Roman" w:hAnsi="Times New Roman" w:eastAsia="宋体"/>
          <w:color w:val="auto"/>
        </w:rPr>
        <w:t>日</w:t>
      </w:r>
      <w:r>
        <w:rPr>
          <w:rFonts w:ascii="Times New Roman" w:hAnsi="Times New Roman" w:eastAsia="宋体" w:cs="Times New Roman"/>
          <w:color w:val="auto"/>
        </w:rPr>
        <w:t>，每日9:00至17:00（北京时间，法定节假日除外）。</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（二）获取竞争性谈判文件的方式：</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获取竞争性谈判文件网址：使用天津市中环认证服务有限公司发出的CA数字证书（原天津市电子认证中心发出尚在有效期内的CA数字证书仍可使用）登录天津市政府采购中心网（网址：</w:t>
      </w:r>
      <w:r>
        <w:rPr>
          <w:rFonts w:hint="eastAsia" w:ascii="Times New Roman" w:hAnsi="Times New Roman" w:eastAsia="宋体" w:cs="Times New Roman"/>
        </w:rPr>
        <w:t>http://tjgpc.zwfwb.tj.gov.cn</w:t>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下载竞争性谈判文件。</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）首页点击“供应商注册”，填写相关内容。天津市政府采购中心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24538316</w:t>
      </w:r>
      <w:r>
        <w:rPr>
          <w:rFonts w:hint="eastAsia" w:ascii="Times New Roman" w:hAnsi="Times New Roman" w:eastAsia="宋体"/>
          <w:color w:val="auto"/>
        </w:rPr>
        <w:t>。</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（2）天津市政府采购网注册：登录天津市政府采购网（</w:t>
      </w:r>
      <w:r>
        <w:rPr>
          <w:rFonts w:ascii="Times New Roman" w:hAnsi="Times New Roman" w:eastAsia="宋体" w:cs="Times New Roman"/>
          <w:color w:val="auto"/>
        </w:rPr>
        <w:t>http://tjgp.cz.tj.gov.cn/gys_login.jsp</w:t>
      </w:r>
      <w:r>
        <w:rPr>
          <w:rFonts w:hint="eastAsia" w:ascii="Times New Roman" w:hAnsi="Times New Roman" w:eastAsia="宋体" w:cs="Times New Roman"/>
          <w:color w:val="auto"/>
        </w:rPr>
        <w:t>）点击“申报注册”，完成网上注册。</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三</w:t>
      </w:r>
      <w:r>
        <w:rPr>
          <w:rFonts w:ascii="Times New Roman" w:hAnsi="Times New Roman" w:eastAsia="宋体" w:cs="Times New Roman"/>
          <w:color w:val="auto"/>
        </w:rPr>
        <w:t>）</w:t>
      </w:r>
      <w:r>
        <w:rPr>
          <w:rFonts w:hint="eastAsia" w:ascii="Times New Roman" w:hAnsi="Times New Roman" w:eastAsia="宋体" w:cs="Times New Roman"/>
          <w:color w:val="auto"/>
        </w:rPr>
        <w:t>本项目不组织</w:t>
      </w:r>
      <w:r>
        <w:rPr>
          <w:rFonts w:ascii="Times New Roman" w:hAnsi="Times New Roman" w:eastAsia="宋体" w:cs="Times New Roman"/>
          <w:color w:val="auto"/>
        </w:rPr>
        <w:t>踏勘现场。</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r>
        <w:rPr>
          <w:rFonts w:ascii="Times New Roman" w:hAnsi="Times New Roman" w:eastAsia="宋体" w:cs="Times New Roman"/>
          <w:color w:val="auto"/>
        </w:rPr>
        <w:t>。</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七、网上应答时间</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2023年</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19</w:t>
      </w:r>
      <w:r>
        <w:rPr>
          <w:rFonts w:ascii="Times New Roman" w:hAnsi="Times New Roman" w:eastAsia="宋体" w:cs="Times New Roman"/>
          <w:color w:val="auto"/>
        </w:rPr>
        <w:t>日9:00至2023年</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25</w:t>
      </w:r>
      <w:r>
        <w:rPr>
          <w:rFonts w:ascii="Times New Roman" w:hAnsi="Times New Roman" w:eastAsia="宋体" w:cs="Times New Roman"/>
          <w:color w:val="auto"/>
        </w:rPr>
        <w:t>日</w:t>
      </w:r>
      <w:r>
        <w:rPr>
          <w:rFonts w:hint="eastAsia" w:ascii="Times New Roman" w:hAnsi="Times New Roman" w:eastAsia="宋体" w:cs="Times New Roman"/>
          <w:color w:val="auto"/>
          <w:lang w:val="en-US" w:eastAsia="zh-CN"/>
        </w:rPr>
        <w:t>13</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0</w:t>
      </w:r>
      <w:r>
        <w:rPr>
          <w:rFonts w:hint="eastAsia" w:ascii="Times New Roman" w:hAnsi="Times New Roman" w:eastAsia="宋体" w:cs="Times New Roman"/>
          <w:color w:val="auto"/>
        </w:rPr>
        <w:t>0</w:t>
      </w:r>
      <w:r>
        <w:rPr>
          <w:rFonts w:ascii="Times New Roman" w:hAnsi="Times New Roman" w:eastAsia="宋体" w:cs="Times New Roman"/>
          <w:color w:val="auto"/>
        </w:rPr>
        <w:t>，使用天津市中环认证服务有限公司发出的CA数字证书（原天津市电子认证中心发出尚在有效期内的CA数字证书仍可使用）登陆天津市政府采购中心网（网址：http://tjgpc.zwfwb.tj.gov.cn）-”网上招投标”-“供应商登录”-“市级集采机构入口”进行应答并提交。</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八、提交电子响应文件截止时间及方式</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（一）提交电子响应文件截止时间：2023年</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25</w:t>
      </w:r>
      <w:r>
        <w:rPr>
          <w:rFonts w:ascii="Times New Roman" w:hAnsi="Times New Roman" w:eastAsia="宋体" w:cs="Times New Roman"/>
          <w:color w:val="auto"/>
        </w:rPr>
        <w:t>日</w:t>
      </w:r>
      <w:r>
        <w:rPr>
          <w:rFonts w:hint="eastAsia" w:ascii="Times New Roman" w:hAnsi="Times New Roman" w:eastAsia="宋体" w:cs="Times New Roman"/>
          <w:color w:val="auto"/>
          <w:lang w:val="en-US" w:eastAsia="zh-CN"/>
        </w:rPr>
        <w:t>13</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0</w:t>
      </w:r>
      <w:r>
        <w:rPr>
          <w:rFonts w:hint="eastAsia" w:ascii="Times New Roman" w:hAnsi="Times New Roman" w:eastAsia="宋体" w:cs="Times New Roman"/>
          <w:color w:val="auto"/>
        </w:rPr>
        <w:t>0</w:t>
      </w:r>
      <w:r>
        <w:rPr>
          <w:rFonts w:ascii="Times New Roman" w:hAnsi="Times New Roman" w:eastAsia="宋体" w:cs="Times New Roman"/>
          <w:color w:val="auto"/>
        </w:rPr>
        <w:t>。提交电子响应文件截止时间前提交网上应答并分别上传加盖电子签章的第一、第二阶段电子响应文件（以通过天津公共资源电子签章客户端正确读取签章信息为准）方为有效响应。</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提交电子响应文件方式：本项目采用网上电子投标方式，投标人须于上述规定的时间使用天津市电子认证中心发出的CA数字证书登陆天津市政府采购中心网（网址：http://tjgpc.zwfwb.tj.gov.cn:7001/ZTBS/loginSupplier2.jsp）提交网上应答和分别上传加盖电子签章的第一、第二阶段电子响应文件（以通过天津公共资源电子签章客户端正确读取签章信息为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九、解密时间、方式及谈判地点</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（一）第一阶段解密时间：2023年</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25</w:t>
      </w:r>
      <w:r>
        <w:rPr>
          <w:rFonts w:ascii="Times New Roman" w:hAnsi="Times New Roman" w:eastAsia="宋体" w:cs="Times New Roman"/>
          <w:color w:val="auto"/>
        </w:rPr>
        <w:t>日</w:t>
      </w:r>
      <w:r>
        <w:rPr>
          <w:rFonts w:hint="eastAsia" w:ascii="Times New Roman" w:hAnsi="Times New Roman" w:eastAsia="宋体" w:cs="Times New Roman"/>
          <w:color w:val="auto"/>
          <w:lang w:val="en-US" w:eastAsia="zh-CN"/>
        </w:rPr>
        <w:t>13</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0</w:t>
      </w:r>
      <w:r>
        <w:rPr>
          <w:rFonts w:hint="eastAsia" w:ascii="Times New Roman" w:hAnsi="Times New Roman" w:eastAsia="宋体" w:cs="Times New Roman"/>
          <w:color w:val="auto"/>
        </w:rPr>
        <w:t>0</w:t>
      </w:r>
      <w:r>
        <w:rPr>
          <w:rFonts w:ascii="Times New Roman" w:hAnsi="Times New Roman" w:eastAsia="宋体" w:cs="Times New Roman"/>
          <w:color w:val="auto"/>
        </w:rPr>
        <w:t>至</w:t>
      </w:r>
      <w:r>
        <w:rPr>
          <w:rFonts w:hint="eastAsia" w:ascii="Times New Roman" w:hAnsi="Times New Roman" w:eastAsia="宋体" w:cs="Times New Roman"/>
          <w:color w:val="auto"/>
          <w:lang w:val="en-US" w:eastAsia="zh-CN"/>
        </w:rPr>
        <w:t>14</w:t>
      </w:r>
      <w:r>
        <w:rPr>
          <w:rFonts w:ascii="Times New Roman" w:hAnsi="Times New Roman" w:eastAsia="宋体" w:cs="Times New Roman"/>
          <w:color w:val="auto"/>
        </w:rPr>
        <w:t>:</w:t>
      </w:r>
      <w:r>
        <w:rPr>
          <w:rFonts w:hint="eastAsia" w:ascii="Times New Roman" w:hAnsi="Times New Roman" w:eastAsia="宋体" w:cs="Times New Roman"/>
          <w:color w:val="auto"/>
          <w:lang w:val="en-US" w:eastAsia="zh-CN"/>
        </w:rPr>
        <w:t>0</w:t>
      </w:r>
      <w:r>
        <w:rPr>
          <w:rFonts w:ascii="Times New Roman" w:hAnsi="Times New Roman" w:eastAsia="宋体" w:cs="Times New Roman"/>
          <w:color w:val="auto"/>
        </w:rPr>
        <w:t>0完成第一阶段解密的方为有效响应。</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（二）第二阶段解密时间：通过第一阶段谈判的供应商在</w:t>
      </w:r>
      <w:r>
        <w:rPr>
          <w:rFonts w:ascii="Times New Roman" w:hAnsi="Times New Roman" w:eastAsia="宋体" w:cs="Times New Roman"/>
          <w:color w:val="auto"/>
          <w:kern w:val="2"/>
        </w:rPr>
        <w:t>谈判</w:t>
      </w:r>
      <w:r>
        <w:rPr>
          <w:rFonts w:ascii="Times New Roman" w:hAnsi="Times New Roman" w:eastAsia="宋体" w:cs="Times New Roman"/>
          <w:color w:val="auto"/>
        </w:rPr>
        <w:t>小组要求的时间内（一般是</w:t>
      </w:r>
      <w:r>
        <w:rPr>
          <w:rFonts w:ascii="Times New Roman" w:hAnsi="Times New Roman" w:eastAsia="宋体" w:cs="Times New Roman"/>
          <w:color w:val="auto"/>
          <w:kern w:val="2"/>
        </w:rPr>
        <w:t>谈判</w:t>
      </w:r>
      <w:r>
        <w:rPr>
          <w:rFonts w:ascii="Times New Roman" w:hAnsi="Times New Roman" w:eastAsia="宋体" w:cs="Times New Roman"/>
          <w:color w:val="auto"/>
        </w:rPr>
        <w:t>当日）完成第二阶段解密，否则视为放弃</w:t>
      </w:r>
      <w:r>
        <w:rPr>
          <w:rFonts w:ascii="Times New Roman" w:hAnsi="Times New Roman" w:eastAsia="宋体" w:cs="Times New Roman"/>
          <w:color w:val="auto"/>
          <w:kern w:val="2"/>
        </w:rPr>
        <w:t>谈判</w:t>
      </w:r>
      <w:r>
        <w:rPr>
          <w:rFonts w:ascii="Times New Roman" w:hAnsi="Times New Roman" w:eastAsia="宋体" w:cs="Times New Roman"/>
          <w:color w:val="auto"/>
        </w:rPr>
        <w:t>。</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解密方式：供应商须于上述规定时间内使用天津市中环认证服务有限公司发出的CA数字证书（原天津市电子认证中心发出尚在有效期内的CA数字证书仍可使用）登陆天津市政府采购中心网（网址：http://tjgpc.zwfwb.tj.gov.cn）-”网上招投标”-“供应商登录”-“市级集采机构入口”完成解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w:t>
      </w:r>
      <w:r>
        <w:rPr>
          <w:rFonts w:ascii="Times New Roman" w:hAnsi="Times New Roman" w:eastAsia="宋体" w:cs="Times New Roman"/>
          <w:color w:val="auto"/>
          <w:kern w:val="2"/>
        </w:rPr>
        <w:t>谈判</w:t>
      </w:r>
      <w:r>
        <w:rPr>
          <w:rFonts w:ascii="Times New Roman" w:hAnsi="Times New Roman" w:eastAsia="宋体" w:cs="Times New Roman"/>
          <w:color w:val="auto"/>
        </w:rPr>
        <w:t>地点：第一阶段解密后，谈判代表人须于天津市河东区红星路79号二楼天津市政府采购中心评审现场等候谈判。</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郭晓刚、杨光、鲁志强</w:t>
      </w:r>
      <w:r>
        <w:rPr>
          <w:rFonts w:ascii="Times New Roman" w:hAnsi="Times New Roman" w:eastAsia="宋体" w:cs="Times New Roman"/>
          <w:color w:val="auto"/>
        </w:rPr>
        <w:t xml:space="preserve"> </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022-24538316</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pPr>
        <w:pStyle w:val="21"/>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8176</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天津市公共资源交易中心（天津市政府采购中心）</w:t>
      </w:r>
      <w:r>
        <w:rPr>
          <w:rFonts w:ascii="Times New Roman" w:hAnsi="Times New Roman" w:eastAsia="宋体" w:cs="Times New Roman"/>
          <w:color w:val="auto"/>
        </w:rPr>
        <w:t xml:space="preserve"> </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 xml:space="preserve">天津市河东区红星路79号 </w:t>
      </w:r>
      <w:r>
        <w:rPr>
          <w:rFonts w:ascii="Times New Roman" w:hAnsi="Times New Roman" w:eastAsia="宋体" w:cs="Times New Roman"/>
          <w:color w:val="auto"/>
        </w:rPr>
        <w:t xml:space="preserve"> </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 xml:space="preserve">陈凯 </w:t>
      </w:r>
      <w:r>
        <w:rPr>
          <w:rFonts w:ascii="Times New Roman" w:hAnsi="Times New Roman" w:eastAsia="宋体" w:cs="Times New Roman"/>
          <w:color w:val="auto"/>
        </w:rPr>
        <w:t xml:space="preserve"> </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 xml:space="preserve">24532010 </w:t>
      </w:r>
      <w:r>
        <w:rPr>
          <w:rFonts w:ascii="Times New Roman" w:hAnsi="Times New Roman" w:eastAsia="宋体" w:cs="Times New Roman"/>
          <w:color w:val="auto"/>
        </w:rPr>
        <w:t xml:space="preserve"> </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采购人质疑受理：</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 联系部门：天津市公共资源交易中心（天津市政府采购中心）</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2. 联系地址：天津市河东区红星路79号  </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3. 联 系 人：刘传蔚 </w:t>
      </w:r>
    </w:p>
    <w:p>
      <w:pPr>
        <w:pStyle w:val="21"/>
        <w:spacing w:line="360" w:lineRule="auto"/>
        <w:ind w:firstLine="448" w:firstLineChars="200"/>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4. 联系方式：022-24532010  </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w:t>
      </w:r>
      <w:r>
        <w:rPr>
          <w:rFonts w:hint="eastAsia" w:ascii="Times New Roman" w:hAnsi="Times New Roman" w:eastAsia="宋体" w:cs="Times New Roman"/>
          <w:color w:val="000000" w:themeColor="text1"/>
          <w:highlight w:val="none"/>
          <w14:textFill>
            <w14:solidFill>
              <w14:schemeClr w14:val="tx1"/>
            </w14:solidFill>
          </w14:textFill>
        </w:rPr>
        <w:t>三</w:t>
      </w:r>
      <w:r>
        <w:rPr>
          <w:rFonts w:ascii="Times New Roman" w:hAnsi="Times New Roman" w:eastAsia="宋体" w:cs="Times New Roman"/>
          <w:color w:val="000000" w:themeColor="text1"/>
          <w:highlight w:val="none"/>
          <w14:textFill>
            <w14:solidFill>
              <w14:schemeClr w14:val="tx1"/>
            </w14:solidFill>
          </w14:textFill>
        </w:rPr>
        <w:t>、公告期限</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谈判</w:t>
      </w:r>
      <w:r>
        <w:rPr>
          <w:rFonts w:ascii="Times New Roman" w:hAnsi="Times New Roman" w:eastAsia="宋体" w:cs="Times New Roman"/>
          <w:color w:val="000000" w:themeColor="text1"/>
          <w:highlight w:val="none"/>
          <w14:textFill>
            <w14:solidFill>
              <w14:schemeClr w14:val="tx1"/>
            </w14:solidFill>
          </w14:textFill>
        </w:rPr>
        <w:t>公告的公告期限为</w:t>
      </w:r>
      <w:r>
        <w:rPr>
          <w:rFonts w:hint="eastAsia" w:ascii="Times New Roman" w:hAnsi="Times New Roman" w:eastAsia="宋体" w:cs="Times New Roman"/>
          <w:color w:val="000000" w:themeColor="text1"/>
          <w:highlight w:val="none"/>
          <w14:textFill>
            <w14:solidFill>
              <w14:schemeClr w14:val="tx1"/>
            </w14:solidFill>
          </w14:textFill>
        </w:rPr>
        <w:t>3</w:t>
      </w:r>
      <w:r>
        <w:rPr>
          <w:rFonts w:ascii="Times New Roman" w:hAnsi="Times New Roman" w:eastAsia="宋体" w:cs="Times New Roman"/>
          <w:color w:val="000000" w:themeColor="text1"/>
          <w:highlight w:val="none"/>
          <w14:textFill>
            <w14:solidFill>
              <w14:schemeClr w14:val="tx1"/>
            </w14:solidFill>
          </w14:textFill>
        </w:rPr>
        <w:t>个工作日。</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ascii="Times New Roman" w:hAnsi="Times New Roman" w:eastAsia="宋体" w:cs="Times New Roman"/>
          <w:color w:val="000000" w:themeColor="text1"/>
          <w:highlight w:val="none"/>
          <w14:textFill>
            <w14:solidFill>
              <w14:schemeClr w14:val="tx1"/>
            </w14:solidFill>
          </w14:textFill>
        </w:rPr>
        <w:t>十</w:t>
      </w:r>
      <w:r>
        <w:rPr>
          <w:rFonts w:hint="eastAsia" w:ascii="Times New Roman" w:hAnsi="Times New Roman" w:eastAsia="宋体" w:cs="Times New Roman"/>
          <w:color w:val="000000" w:themeColor="text1"/>
          <w:highlight w:val="none"/>
          <w14:textFill>
            <w14:solidFill>
              <w14:schemeClr w14:val="tx1"/>
            </w14:solidFill>
          </w14:textFill>
        </w:rPr>
        <w:t>四</w:t>
      </w:r>
      <w:r>
        <w:rPr>
          <w:rFonts w:ascii="Times New Roman" w:hAnsi="Times New Roman" w:eastAsia="宋体" w:cs="Times New Roman"/>
          <w:color w:val="000000" w:themeColor="text1"/>
          <w:highlight w:val="none"/>
          <w14:textFill>
            <w14:solidFill>
              <w14:schemeClr w14:val="tx1"/>
            </w14:solidFill>
          </w14:textFill>
        </w:rPr>
        <w:t>、招标代理服务费</w:t>
      </w:r>
    </w:p>
    <w:p>
      <w:pPr>
        <w:pStyle w:val="21"/>
        <w:spacing w:line="360" w:lineRule="auto"/>
        <w:ind w:firstLine="448" w:firstLineChars="200"/>
        <w:jc w:val="both"/>
        <w:rPr>
          <w:rFonts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本项目不收取招标代理服务费。</w:t>
      </w:r>
    </w:p>
    <w:p>
      <w:pPr>
        <w:pStyle w:val="21"/>
        <w:spacing w:line="360" w:lineRule="auto"/>
        <w:ind w:firstLine="448" w:firstLineChars="200"/>
        <w:jc w:val="both"/>
        <w:rPr>
          <w:rFonts w:ascii="Times New Roman" w:hAnsi="Times New Roman" w:eastAsia="宋体" w:cs="Times New Roman"/>
          <w:color w:val="FF0000"/>
        </w:rPr>
      </w:pPr>
    </w:p>
    <w:p>
      <w:pPr>
        <w:pStyle w:val="21"/>
        <w:spacing w:line="360" w:lineRule="auto"/>
        <w:ind w:firstLine="6048" w:firstLineChars="2700"/>
        <w:jc w:val="both"/>
        <w:rPr>
          <w:rFonts w:ascii="Times New Roman" w:hAnsi="Times New Roman" w:eastAsia="宋体" w:cs="Times New Roman"/>
          <w:color w:val="auto"/>
          <w:kern w:val="2"/>
        </w:rPr>
      </w:pPr>
      <w:r>
        <w:rPr>
          <w:rFonts w:ascii="Times New Roman" w:hAnsi="Times New Roman" w:eastAsia="宋体" w:cs="Times New Roman"/>
          <w:color w:val="auto"/>
          <w:kern w:val="2"/>
        </w:rPr>
        <w:t>2023年</w:t>
      </w:r>
      <w:r>
        <w:rPr>
          <w:rFonts w:hint="eastAsia" w:ascii="Times New Roman" w:hAnsi="Times New Roman" w:eastAsia="宋体" w:cs="Times New Roman"/>
          <w:color w:val="auto"/>
          <w:kern w:val="2"/>
          <w:lang w:val="en-US" w:eastAsia="zh-CN"/>
        </w:rPr>
        <w:t>9</w:t>
      </w:r>
      <w:r>
        <w:rPr>
          <w:rFonts w:ascii="Times New Roman" w:hAnsi="Times New Roman" w:eastAsia="宋体" w:cs="Times New Roman"/>
          <w:color w:val="auto"/>
          <w:kern w:val="2"/>
        </w:rPr>
        <w:t>月</w:t>
      </w:r>
      <w:r>
        <w:rPr>
          <w:rFonts w:hint="eastAsia" w:ascii="Times New Roman" w:hAnsi="Times New Roman" w:eastAsia="宋体" w:cs="Times New Roman"/>
          <w:color w:val="auto"/>
          <w:kern w:val="2"/>
          <w:lang w:val="en-US" w:eastAsia="zh-CN"/>
        </w:rPr>
        <w:t>19</w:t>
      </w:r>
      <w:r>
        <w:rPr>
          <w:rFonts w:ascii="Times New Roman" w:hAnsi="Times New Roman" w:eastAsia="宋体" w:cs="Times New Roman"/>
          <w:color w:val="auto"/>
          <w:kern w:val="2"/>
        </w:rPr>
        <w:t>日</w:t>
      </w:r>
    </w:p>
    <w:p>
      <w:pPr>
        <w:pStyle w:val="21"/>
        <w:spacing w:line="360" w:lineRule="auto"/>
        <w:jc w:val="both"/>
        <w:rPr>
          <w:rFonts w:ascii="Times New Roman" w:hAnsi="Times New Roman" w:eastAsia="宋体" w:cs="Times New Roman"/>
          <w:color w:val="auto"/>
          <w:kern w:val="2"/>
        </w:rPr>
      </w:pPr>
    </w:p>
    <w:p>
      <w:pPr>
        <w:pStyle w:val="21"/>
        <w:spacing w:line="360" w:lineRule="auto"/>
        <w:jc w:val="both"/>
        <w:rPr>
          <w:rFonts w:ascii="Times New Roman" w:hAnsi="Times New Roman" w:eastAsia="宋体" w:cs="Times New Roman"/>
          <w:color w:val="auto"/>
          <w:kern w:val="2"/>
        </w:rPr>
      </w:pPr>
    </w:p>
    <w:p>
      <w:pPr>
        <w:widowControl/>
        <w:jc w:val="left"/>
        <w:rPr>
          <w:sz w:val="24"/>
          <w:szCs w:val="24"/>
        </w:rPr>
      </w:pPr>
      <w:r>
        <w:br w:type="page"/>
      </w:r>
    </w:p>
    <w:p>
      <w:pPr>
        <w:tabs>
          <w:tab w:val="left" w:pos="1260"/>
          <w:tab w:val="center" w:pos="4156"/>
        </w:tabs>
        <w:spacing w:line="360" w:lineRule="auto"/>
        <w:jc w:val="center"/>
        <w:outlineLvl w:val="0"/>
        <w:rPr>
          <w:b/>
          <w:sz w:val="24"/>
          <w:szCs w:val="24"/>
        </w:rPr>
      </w:pPr>
      <w:r>
        <w:rPr>
          <w:b/>
          <w:sz w:val="24"/>
          <w:szCs w:val="24"/>
        </w:rPr>
        <w:t>第二部分  谈判项目要求</w:t>
      </w:r>
    </w:p>
    <w:p>
      <w:pPr>
        <w:spacing w:line="360" w:lineRule="auto"/>
        <w:ind w:firstLine="448" w:firstLineChars="200"/>
        <w:rPr>
          <w:bCs/>
          <w:sz w:val="24"/>
          <w:szCs w:val="24"/>
        </w:rPr>
      </w:pPr>
      <w:r>
        <w:rPr>
          <w:bCs/>
          <w:sz w:val="24"/>
          <w:szCs w:val="24"/>
        </w:rPr>
        <w:t>一、商务要求</w:t>
      </w:r>
    </w:p>
    <w:p>
      <w:pPr>
        <w:spacing w:line="360" w:lineRule="auto"/>
        <w:ind w:firstLine="448" w:firstLineChars="200"/>
        <w:rPr>
          <w:sz w:val="24"/>
          <w:szCs w:val="24"/>
        </w:rPr>
      </w:pPr>
      <w:r>
        <w:rPr>
          <w:sz w:val="24"/>
          <w:szCs w:val="24"/>
        </w:rPr>
        <w:t>（一）报价要求</w:t>
      </w:r>
    </w:p>
    <w:p>
      <w:pPr>
        <w:spacing w:line="360" w:lineRule="auto"/>
        <w:ind w:firstLine="448" w:firstLineChars="200"/>
        <w:rPr>
          <w:sz w:val="24"/>
          <w:szCs w:val="24"/>
        </w:rPr>
      </w:pPr>
      <w:r>
        <w:rPr>
          <w:sz w:val="24"/>
          <w:szCs w:val="24"/>
        </w:rPr>
        <w:t>1. 投标报价以人民币填列。</w:t>
      </w:r>
    </w:p>
    <w:p>
      <w:pPr>
        <w:spacing w:line="360" w:lineRule="auto"/>
        <w:ind w:firstLine="448" w:firstLineChars="200"/>
        <w:rPr>
          <w:color w:val="auto"/>
          <w:sz w:val="24"/>
          <w:szCs w:val="24"/>
        </w:rPr>
      </w:pPr>
      <w:r>
        <w:rPr>
          <w:color w:val="auto"/>
          <w:sz w:val="24"/>
          <w:szCs w:val="24"/>
        </w:rPr>
        <w:t>2. 投标人的报价应包括：</w:t>
      </w:r>
      <w:r>
        <w:rPr>
          <w:color w:val="auto"/>
          <w:sz w:val="24"/>
        </w:rPr>
        <w:t>人员费用、调研费用、服务费、管理费及税金等为完成竞争性谈判文件规定的一切工作所需的全部费用。</w:t>
      </w:r>
    </w:p>
    <w:p>
      <w:pPr>
        <w:spacing w:line="360" w:lineRule="auto"/>
        <w:ind w:firstLine="448" w:firstLineChars="200"/>
        <w:rPr>
          <w:color w:val="auto"/>
          <w:sz w:val="24"/>
          <w:szCs w:val="24"/>
        </w:rPr>
      </w:pPr>
      <w:r>
        <w:rPr>
          <w:color w:val="auto"/>
          <w:sz w:val="24"/>
          <w:szCs w:val="24"/>
        </w:rPr>
        <w:t>3. 验收相关费用由投标人负责。</w:t>
      </w:r>
    </w:p>
    <w:p>
      <w:pPr>
        <w:spacing w:line="360" w:lineRule="auto"/>
        <w:ind w:firstLine="448" w:firstLineChars="200"/>
        <w:rPr>
          <w:color w:val="auto"/>
          <w:sz w:val="24"/>
          <w:szCs w:val="24"/>
        </w:rPr>
      </w:pPr>
      <w:r>
        <w:rPr>
          <w:color w:val="auto"/>
          <w:sz w:val="24"/>
          <w:szCs w:val="24"/>
        </w:rPr>
        <w:t>（二）时间、地点要求</w:t>
      </w:r>
    </w:p>
    <w:p>
      <w:pPr>
        <w:spacing w:line="360" w:lineRule="auto"/>
        <w:ind w:firstLine="448" w:firstLineChars="200"/>
        <w:rPr>
          <w:color w:val="auto"/>
          <w:sz w:val="24"/>
        </w:rPr>
      </w:pPr>
      <w:r>
        <w:rPr>
          <w:color w:val="auto"/>
          <w:sz w:val="24"/>
          <w:szCs w:val="24"/>
        </w:rPr>
        <w:t>1.时间要求：</w:t>
      </w:r>
      <w:r>
        <w:rPr>
          <w:color w:val="auto"/>
          <w:sz w:val="24"/>
        </w:rPr>
        <w:t>签订合同之日起</w:t>
      </w:r>
      <w:r>
        <w:rPr>
          <w:rFonts w:hint="eastAsia"/>
          <w:color w:val="auto"/>
          <w:sz w:val="24"/>
          <w:lang w:val="en-US" w:eastAsia="zh-CN"/>
        </w:rPr>
        <w:t>三年的服务期</w:t>
      </w:r>
      <w:r>
        <w:rPr>
          <w:color w:val="auto"/>
          <w:sz w:val="24"/>
        </w:rPr>
        <w:t>（特殊情况以合同为准）。</w:t>
      </w:r>
    </w:p>
    <w:p>
      <w:pPr>
        <w:spacing w:line="360" w:lineRule="auto"/>
        <w:ind w:firstLine="448" w:firstLineChars="200"/>
        <w:rPr>
          <w:color w:val="auto"/>
          <w:sz w:val="24"/>
          <w:szCs w:val="24"/>
        </w:rPr>
      </w:pPr>
      <w:r>
        <w:rPr>
          <w:color w:val="auto"/>
          <w:sz w:val="24"/>
          <w:szCs w:val="24"/>
        </w:rPr>
        <w:t>2. 实施地点：</w:t>
      </w:r>
      <w:r>
        <w:rPr>
          <w:rFonts w:hint="eastAsia"/>
          <w:color w:val="auto"/>
          <w:sz w:val="24"/>
          <w:szCs w:val="24"/>
        </w:rPr>
        <w:t>天津市河东区红星路79号</w:t>
      </w:r>
      <w:r>
        <w:rPr>
          <w:color w:val="auto"/>
          <w:sz w:val="24"/>
        </w:rPr>
        <w:t>（特殊情况以合同为准）。</w:t>
      </w:r>
    </w:p>
    <w:p>
      <w:pPr>
        <w:spacing w:line="360" w:lineRule="auto"/>
        <w:ind w:firstLine="448" w:firstLineChars="200"/>
        <w:rPr>
          <w:sz w:val="24"/>
          <w:szCs w:val="24"/>
        </w:rPr>
      </w:pPr>
      <w:r>
        <w:rPr>
          <w:sz w:val="24"/>
          <w:szCs w:val="24"/>
        </w:rPr>
        <w:t>（三）付款方式</w:t>
      </w:r>
    </w:p>
    <w:p>
      <w:pPr>
        <w:spacing w:line="360" w:lineRule="auto"/>
        <w:ind w:firstLine="448" w:firstLineChars="200"/>
        <w:rPr>
          <w:color w:val="auto"/>
          <w:sz w:val="24"/>
          <w:szCs w:val="24"/>
        </w:rPr>
      </w:pPr>
      <w:r>
        <w:rPr>
          <w:rFonts w:hint="eastAsia"/>
          <w:color w:val="auto"/>
          <w:sz w:val="24"/>
          <w:szCs w:val="24"/>
        </w:rPr>
        <w:t>合同签订后支付合同总额的30%，完成系统检测，出具检测报告后支付合同款的70%</w:t>
      </w:r>
      <w:r>
        <w:rPr>
          <w:color w:val="auto"/>
          <w:sz w:val="24"/>
          <w:szCs w:val="24"/>
        </w:rPr>
        <w:t>（特殊情况以合同为准）。</w:t>
      </w:r>
    </w:p>
    <w:p>
      <w:pPr>
        <w:spacing w:line="360" w:lineRule="auto"/>
        <w:ind w:firstLine="448" w:firstLineChars="200"/>
        <w:rPr>
          <w:sz w:val="24"/>
          <w:szCs w:val="24"/>
        </w:rPr>
      </w:pPr>
      <w:r>
        <w:rPr>
          <w:sz w:val="24"/>
          <w:szCs w:val="24"/>
        </w:rPr>
        <w:t>（四）谈判有效期</w:t>
      </w:r>
    </w:p>
    <w:p>
      <w:pPr>
        <w:spacing w:line="360" w:lineRule="auto"/>
        <w:ind w:firstLine="448" w:firstLineChars="200"/>
        <w:rPr>
          <w:sz w:val="24"/>
          <w:szCs w:val="24"/>
        </w:rPr>
      </w:pPr>
      <w:r>
        <w:rPr>
          <w:sz w:val="24"/>
          <w:szCs w:val="24"/>
        </w:rPr>
        <w:t>本项目谈判有效期为60天。</w:t>
      </w:r>
    </w:p>
    <w:p>
      <w:pPr>
        <w:spacing w:line="360" w:lineRule="auto"/>
        <w:ind w:firstLine="448" w:firstLineChars="200"/>
        <w:rPr>
          <w:sz w:val="24"/>
          <w:szCs w:val="24"/>
        </w:rPr>
      </w:pPr>
      <w:r>
        <w:rPr>
          <w:sz w:val="24"/>
          <w:szCs w:val="24"/>
        </w:rPr>
        <w:t>（五）投标保证金和履约保证金</w:t>
      </w:r>
    </w:p>
    <w:p>
      <w:pPr>
        <w:spacing w:line="360" w:lineRule="auto"/>
        <w:ind w:firstLine="448" w:firstLineChars="200"/>
        <w:rPr>
          <w:color w:val="auto"/>
          <w:sz w:val="24"/>
          <w:szCs w:val="24"/>
        </w:rPr>
      </w:pPr>
      <w:r>
        <w:rPr>
          <w:color w:val="auto"/>
          <w:sz w:val="24"/>
          <w:szCs w:val="24"/>
        </w:rPr>
        <w:t>本项目不收取投标保证金和履约保证金。</w:t>
      </w:r>
    </w:p>
    <w:p>
      <w:pPr>
        <w:autoSpaceDE w:val="0"/>
        <w:autoSpaceDN w:val="0"/>
        <w:adjustRightInd w:val="0"/>
        <w:spacing w:line="360" w:lineRule="auto"/>
        <w:ind w:firstLine="448" w:firstLineChars="200"/>
        <w:rPr>
          <w:bCs/>
          <w:sz w:val="24"/>
          <w:szCs w:val="24"/>
        </w:rPr>
      </w:pPr>
      <w:r>
        <w:rPr>
          <w:sz w:val="24"/>
          <w:szCs w:val="24"/>
        </w:rPr>
        <w:t>二、</w:t>
      </w:r>
      <w:r>
        <w:rPr>
          <w:bCs/>
          <w:sz w:val="24"/>
          <w:szCs w:val="24"/>
        </w:rPr>
        <w:t>技术要求</w:t>
      </w:r>
    </w:p>
    <w:p>
      <w:pPr>
        <w:autoSpaceDE w:val="0"/>
        <w:autoSpaceDN w:val="0"/>
        <w:adjustRightInd w:val="0"/>
        <w:spacing w:line="360" w:lineRule="auto"/>
        <w:ind w:firstLine="448" w:firstLineChars="200"/>
        <w:rPr>
          <w:bCs/>
          <w:sz w:val="24"/>
          <w:szCs w:val="24"/>
        </w:rPr>
      </w:pPr>
      <w:r>
        <w:rPr>
          <w:bCs/>
          <w:sz w:val="24"/>
          <w:szCs w:val="24"/>
        </w:rPr>
        <w:t>（一）</w:t>
      </w:r>
      <w:r>
        <w:rPr>
          <w:sz w:val="24"/>
        </w:rPr>
        <w:t>投标人须承诺所提供的服务、人员及设备符合相关国家强制性规定</w:t>
      </w:r>
      <w:r>
        <w:rPr>
          <w:bCs/>
          <w:sz w:val="24"/>
          <w:szCs w:val="24"/>
        </w:rPr>
        <w:t>。</w:t>
      </w:r>
    </w:p>
    <w:p>
      <w:pPr>
        <w:autoSpaceDE w:val="0"/>
        <w:autoSpaceDN w:val="0"/>
        <w:adjustRightInd w:val="0"/>
        <w:spacing w:line="360" w:lineRule="auto"/>
        <w:ind w:firstLine="448" w:firstLineChars="200"/>
        <w:rPr>
          <w:sz w:val="24"/>
        </w:rPr>
      </w:pPr>
      <w:r>
        <w:rPr>
          <w:sz w:val="24"/>
        </w:rPr>
        <w:t>（二）具体需求详见第二部分附件——项目需求书。</w:t>
      </w:r>
    </w:p>
    <w:p>
      <w:pPr>
        <w:spacing w:line="360" w:lineRule="auto"/>
        <w:ind w:firstLine="448" w:firstLineChars="200"/>
        <w:outlineLvl w:val="0"/>
        <w:rPr>
          <w:sz w:val="24"/>
        </w:rPr>
      </w:pPr>
      <w:r>
        <w:rPr>
          <w:sz w:val="24"/>
        </w:rPr>
        <w:t>三、评审方法</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采用“最低评标价法”的评审方法，即全部满足竞争性谈判文件实质性要求，且符合采购需求、质量和服务相等的前提下，按照最终报价由低到高的顺序提出3名以上成交候选人，采购人</w:t>
      </w:r>
      <w:r>
        <w:rPr>
          <w:rFonts w:hint="eastAsia" w:ascii="Times New Roman" w:hAnsi="Times New Roman" w:eastAsia="宋体" w:cs="Times New Roman"/>
          <w:color w:val="auto"/>
        </w:rPr>
        <w:t>或谈判小组经采购人授权后</w:t>
      </w:r>
      <w:r>
        <w:rPr>
          <w:rFonts w:ascii="Times New Roman" w:hAnsi="Times New Roman" w:eastAsia="宋体" w:cs="Times New Roman"/>
          <w:color w:val="auto"/>
        </w:rPr>
        <w:t>按成交候选供应商顺序确定成交供应商。</w:t>
      </w:r>
    </w:p>
    <w:p>
      <w:pPr>
        <w:spacing w:line="360" w:lineRule="auto"/>
        <w:jc w:val="center"/>
        <w:rPr>
          <w:sz w:val="24"/>
          <w:szCs w:val="24"/>
        </w:rPr>
      </w:pPr>
      <w:r>
        <w:rPr>
          <w:color w:val="FF0000"/>
          <w:sz w:val="24"/>
          <w:szCs w:val="24"/>
        </w:rPr>
        <w:br w:type="page"/>
      </w:r>
      <w:r>
        <w:rPr>
          <w:sz w:val="24"/>
          <w:szCs w:val="24"/>
        </w:rPr>
        <w:t>项目需求书</w:t>
      </w:r>
    </w:p>
    <w:p>
      <w:pPr>
        <w:spacing w:line="360" w:lineRule="auto"/>
        <w:ind w:firstLine="448" w:firstLineChars="200"/>
        <w:jc w:val="left"/>
        <w:rPr>
          <w:sz w:val="24"/>
          <w:szCs w:val="24"/>
        </w:rPr>
      </w:pPr>
      <w:r>
        <w:rPr>
          <w:rFonts w:hint="eastAsia"/>
          <w:sz w:val="24"/>
          <w:szCs w:val="24"/>
        </w:rPr>
        <w:t>一、项目背景</w:t>
      </w:r>
    </w:p>
    <w:p>
      <w:pPr>
        <w:spacing w:line="360" w:lineRule="auto"/>
        <w:ind w:firstLine="448" w:firstLineChars="200"/>
        <w:jc w:val="left"/>
        <w:rPr>
          <w:rFonts w:hint="eastAsia" w:eastAsia="宋体"/>
          <w:sz w:val="24"/>
          <w:szCs w:val="24"/>
          <w:lang w:eastAsia="zh-CN"/>
        </w:rPr>
      </w:pPr>
      <w:r>
        <w:rPr>
          <w:rFonts w:hint="eastAsia"/>
          <w:sz w:val="24"/>
          <w:szCs w:val="24"/>
        </w:rPr>
        <w:t>为了规范天津市公共资源交易中心（天津市政府采购中心）工程建设招投标平台系统</w:t>
      </w:r>
      <w:r>
        <w:rPr>
          <w:rFonts w:hint="eastAsia"/>
          <w:sz w:val="24"/>
          <w:szCs w:val="24"/>
          <w:lang w:eastAsia="zh-CN"/>
        </w:rPr>
        <w:t>，</w:t>
      </w:r>
      <w:r>
        <w:rPr>
          <w:rFonts w:hint="eastAsia"/>
          <w:sz w:val="24"/>
          <w:szCs w:val="24"/>
          <w:lang w:val="en-US" w:eastAsia="zh-CN"/>
        </w:rPr>
        <w:t>将由</w:t>
      </w:r>
      <w:r>
        <w:rPr>
          <w:rFonts w:hint="eastAsia"/>
          <w:sz w:val="24"/>
          <w:szCs w:val="24"/>
        </w:rPr>
        <w:t>第三方认证机构评价和证明电子招标投标系统能够持续符合《电子招标投标办法》及《技术规范》规定的要求</w:t>
      </w:r>
      <w:r>
        <w:rPr>
          <w:rFonts w:hint="eastAsia"/>
          <w:sz w:val="24"/>
          <w:szCs w:val="24"/>
          <w:lang w:eastAsia="zh-CN"/>
        </w:rPr>
        <w:t>。</w:t>
      </w:r>
    </w:p>
    <w:p>
      <w:pPr>
        <w:spacing w:line="360" w:lineRule="auto"/>
        <w:ind w:firstLine="448" w:firstLineChars="200"/>
        <w:jc w:val="left"/>
        <w:rPr>
          <w:rFonts w:hint="eastAsia"/>
          <w:sz w:val="24"/>
          <w:szCs w:val="24"/>
          <w:lang w:val="en-US" w:eastAsia="zh-CN"/>
        </w:rPr>
      </w:pPr>
      <w:r>
        <w:rPr>
          <w:rFonts w:hint="eastAsia"/>
          <w:sz w:val="24"/>
          <w:szCs w:val="24"/>
        </w:rPr>
        <w:t>本项目属于</w:t>
      </w:r>
      <w:r>
        <w:rPr>
          <w:rFonts w:hint="eastAsia"/>
          <w:sz w:val="24"/>
          <w:szCs w:val="24"/>
          <w:lang w:val="en-US" w:eastAsia="zh-CN"/>
        </w:rPr>
        <w:t>其他未列明行业。</w:t>
      </w:r>
    </w:p>
    <w:p>
      <w:pPr>
        <w:spacing w:line="360" w:lineRule="auto"/>
        <w:ind w:firstLine="448" w:firstLineChars="200"/>
        <w:jc w:val="left"/>
        <w:rPr>
          <w:rFonts w:hint="eastAsia"/>
          <w:sz w:val="24"/>
          <w:szCs w:val="24"/>
        </w:rPr>
      </w:pPr>
      <w:r>
        <w:rPr>
          <w:rFonts w:hint="eastAsia"/>
          <w:sz w:val="24"/>
          <w:szCs w:val="24"/>
          <w:lang w:val="en-US" w:eastAsia="zh-CN"/>
        </w:rPr>
        <w:t>二、</w:t>
      </w:r>
      <w:r>
        <w:rPr>
          <w:rFonts w:hint="eastAsia"/>
          <w:sz w:val="24"/>
          <w:szCs w:val="24"/>
        </w:rPr>
        <w:t>采购需求：</w:t>
      </w:r>
    </w:p>
    <w:p>
      <w:pPr>
        <w:spacing w:line="360" w:lineRule="auto"/>
        <w:ind w:firstLine="448" w:firstLineChars="200"/>
        <w:jc w:val="left"/>
        <w:rPr>
          <w:rFonts w:hint="eastAsia"/>
          <w:sz w:val="24"/>
          <w:szCs w:val="24"/>
        </w:rPr>
      </w:pPr>
      <w:r>
        <w:rPr>
          <w:rFonts w:hint="eastAsia"/>
          <w:sz w:val="24"/>
          <w:szCs w:val="24"/>
        </w:rPr>
        <w:t>1.按照CTS EBS01-2016《电子招标投标系统交易平台认证技术规范》三星级要求，协助指导系统运营单位提供系统检测所必须的资料，在收到资料后10日内完成对电子招标投标系统交易平台检测，出具三星级认证所需的检测报告。</w:t>
      </w:r>
    </w:p>
    <w:p>
      <w:pPr>
        <w:spacing w:line="360" w:lineRule="auto"/>
        <w:ind w:firstLine="448" w:firstLineChars="200"/>
        <w:jc w:val="left"/>
        <w:rPr>
          <w:rFonts w:hint="eastAsia"/>
          <w:sz w:val="24"/>
          <w:szCs w:val="24"/>
        </w:rPr>
      </w:pPr>
      <w:r>
        <w:rPr>
          <w:rFonts w:hint="eastAsia"/>
          <w:sz w:val="24"/>
          <w:szCs w:val="24"/>
        </w:rPr>
        <w:t>2.按照《电子招标投标系统交易平台认证实施规则》对电子招标投标系统交易平台实施认证工作，协助准备检测认证所需管理文档，取得三星级认证证书并提供两年后的证后监督服务。</w:t>
      </w:r>
    </w:p>
    <w:p>
      <w:pPr>
        <w:spacing w:line="360" w:lineRule="auto"/>
        <w:ind w:firstLine="448" w:firstLineChars="200"/>
        <w:jc w:val="left"/>
        <w:rPr>
          <w:rFonts w:hint="eastAsia"/>
          <w:sz w:val="24"/>
          <w:szCs w:val="24"/>
        </w:rPr>
      </w:pPr>
      <w:r>
        <w:rPr>
          <w:rFonts w:hint="eastAsia"/>
          <w:sz w:val="24"/>
          <w:szCs w:val="24"/>
        </w:rPr>
        <w:t>3.按照CTS EBS01-2016《电子招标投标系统交易平台认证技术规范》安全性要求，对框架协议采购系统进行安全性检测,并出具检测报告。</w:t>
      </w:r>
    </w:p>
    <w:p>
      <w:pPr>
        <w:spacing w:line="360" w:lineRule="auto"/>
        <w:ind w:firstLine="448" w:firstLineChars="200"/>
        <w:jc w:val="left"/>
        <w:rPr>
          <w:rFonts w:hint="eastAsia"/>
          <w:sz w:val="24"/>
          <w:szCs w:val="24"/>
        </w:rPr>
      </w:pPr>
      <w:r>
        <w:rPr>
          <w:rFonts w:hint="eastAsia"/>
          <w:sz w:val="24"/>
          <w:szCs w:val="24"/>
        </w:rPr>
        <w:t xml:space="preserve">具体服务内容如下：  </w:t>
      </w:r>
    </w:p>
    <w:tbl>
      <w:tblPr>
        <w:tblStyle w:val="1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958"/>
        <w:gridCol w:w="3630"/>
        <w:gridCol w:w="990"/>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5588" w:type="dxa"/>
            <w:gridSpan w:val="2"/>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服务项目</w:t>
            </w:r>
          </w:p>
        </w:tc>
        <w:tc>
          <w:tcPr>
            <w:tcW w:w="990"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525"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服务年限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1958" w:type="dxa"/>
            <w:vMerge w:val="restart"/>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天津市工程建设招投标平台检测、认证（三星级）、三年内监督检测等所有内容</w:t>
            </w:r>
          </w:p>
        </w:tc>
        <w:tc>
          <w:tcPr>
            <w:tcW w:w="3630" w:type="dxa"/>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初次认证</w:t>
            </w:r>
          </w:p>
        </w:tc>
        <w:tc>
          <w:tcPr>
            <w:tcW w:w="990"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1525"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2</w:t>
            </w:r>
          </w:p>
        </w:tc>
        <w:tc>
          <w:tcPr>
            <w:tcW w:w="1958" w:type="dxa"/>
            <w:vMerge w:val="continue"/>
            <w:vAlign w:val="center"/>
          </w:tcPr>
          <w:p>
            <w:pPr>
              <w:jc w:val="center"/>
              <w:rPr>
                <w:rFonts w:hint="eastAsia" w:ascii="宋体" w:hAnsi="宋体" w:eastAsia="宋体" w:cs="宋体"/>
                <w:color w:val="000000"/>
                <w:kern w:val="0"/>
                <w:sz w:val="24"/>
                <w:szCs w:val="24"/>
              </w:rPr>
            </w:pPr>
          </w:p>
        </w:tc>
        <w:tc>
          <w:tcPr>
            <w:tcW w:w="3630" w:type="dxa"/>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2年证后监督（含监督检测）</w:t>
            </w:r>
          </w:p>
        </w:tc>
        <w:tc>
          <w:tcPr>
            <w:tcW w:w="990"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1525"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3</w:t>
            </w:r>
          </w:p>
        </w:tc>
        <w:tc>
          <w:tcPr>
            <w:tcW w:w="1958" w:type="dxa"/>
            <w:vMerge w:val="continue"/>
            <w:vAlign w:val="center"/>
          </w:tcPr>
          <w:p>
            <w:pPr>
              <w:jc w:val="center"/>
              <w:rPr>
                <w:rFonts w:hint="eastAsia" w:ascii="宋体" w:hAnsi="宋体" w:eastAsia="宋体" w:cs="宋体"/>
                <w:color w:val="000000"/>
                <w:kern w:val="0"/>
                <w:sz w:val="24"/>
                <w:szCs w:val="24"/>
              </w:rPr>
            </w:pPr>
          </w:p>
        </w:tc>
        <w:tc>
          <w:tcPr>
            <w:tcW w:w="3630" w:type="dxa"/>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功能、业务规则检测</w:t>
            </w:r>
          </w:p>
        </w:tc>
        <w:tc>
          <w:tcPr>
            <w:tcW w:w="990"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1525" w:type="dxa"/>
            <w:vAlign w:val="center"/>
          </w:tcPr>
          <w:p>
            <w:pPr>
              <w:jc w:val="center"/>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4</w:t>
            </w:r>
          </w:p>
        </w:tc>
        <w:tc>
          <w:tcPr>
            <w:tcW w:w="1958" w:type="dxa"/>
            <w:vMerge w:val="continue"/>
            <w:vAlign w:val="center"/>
          </w:tcPr>
          <w:p>
            <w:pPr>
              <w:jc w:val="center"/>
              <w:rPr>
                <w:rFonts w:hint="eastAsia" w:ascii="宋体" w:hAnsi="宋体" w:eastAsia="宋体" w:cs="宋体"/>
                <w:color w:val="000000"/>
                <w:kern w:val="0"/>
                <w:sz w:val="24"/>
                <w:szCs w:val="24"/>
              </w:rPr>
            </w:pPr>
          </w:p>
        </w:tc>
        <w:tc>
          <w:tcPr>
            <w:tcW w:w="3630" w:type="dxa"/>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性能、安全性等六项检测</w:t>
            </w:r>
          </w:p>
        </w:tc>
        <w:tc>
          <w:tcPr>
            <w:tcW w:w="990"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1525" w:type="dxa"/>
            <w:vAlign w:val="center"/>
          </w:tcPr>
          <w:p>
            <w:pPr>
              <w:jc w:val="center"/>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94"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5</w:t>
            </w:r>
          </w:p>
        </w:tc>
        <w:tc>
          <w:tcPr>
            <w:tcW w:w="1958" w:type="dxa"/>
            <w:vMerge w:val="continue"/>
            <w:vAlign w:val="center"/>
          </w:tcPr>
          <w:p>
            <w:pPr>
              <w:jc w:val="center"/>
              <w:rPr>
                <w:rFonts w:hint="eastAsia" w:ascii="宋体" w:hAnsi="宋体" w:eastAsia="宋体" w:cs="宋体"/>
                <w:color w:val="000000"/>
                <w:kern w:val="0"/>
                <w:sz w:val="24"/>
                <w:szCs w:val="24"/>
              </w:rPr>
            </w:pPr>
          </w:p>
        </w:tc>
        <w:tc>
          <w:tcPr>
            <w:tcW w:w="3630" w:type="dxa"/>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技术服务：协助准备检测认证所需管理文档，指导运营单位进行系统修改。</w:t>
            </w:r>
          </w:p>
        </w:tc>
        <w:tc>
          <w:tcPr>
            <w:tcW w:w="990"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1525"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94"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6</w:t>
            </w:r>
          </w:p>
        </w:tc>
        <w:tc>
          <w:tcPr>
            <w:tcW w:w="5588" w:type="dxa"/>
            <w:gridSpan w:val="2"/>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按照CTS EBS01-2016安全性要求，对框架协议采购系统进行安全性检测,并出具检测报告</w:t>
            </w:r>
          </w:p>
        </w:tc>
        <w:tc>
          <w:tcPr>
            <w:tcW w:w="990"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1525" w:type="dxa"/>
            <w:vAlign w:val="center"/>
          </w:tcPr>
          <w:p>
            <w:pPr>
              <w:jc w:val="center"/>
              <w:rPr>
                <w:rFonts w:hint="eastAsia" w:ascii="宋体" w:hAnsi="宋体" w:eastAsia="宋体" w:cs="宋体"/>
                <w:b/>
                <w:bCs/>
                <w:sz w:val="24"/>
                <w:szCs w:val="24"/>
              </w:rPr>
            </w:pPr>
          </w:p>
        </w:tc>
      </w:tr>
    </w:tbl>
    <w:p>
      <w:pPr>
        <w:pStyle w:val="10"/>
        <w:shd w:val="clear" w:color="auto" w:fill="FFFFFF"/>
        <w:snapToGrid w:val="0"/>
        <w:spacing w:before="0" w:beforeAutospacing="0" w:after="0" w:afterAutospacing="0" w:line="560" w:lineRule="atLeast"/>
        <w:textAlignment w:val="baseline"/>
        <w:rPr>
          <w:rFonts w:eastAsia="仿宋_GB2312" w:asciiTheme="minorHAnsi" w:hAnsiTheme="minorHAnsi"/>
          <w:color w:val="000000"/>
          <w:sz w:val="32"/>
          <w:szCs w:val="32"/>
        </w:rPr>
      </w:pPr>
    </w:p>
    <w:p>
      <w:pPr>
        <w:spacing w:line="360" w:lineRule="auto"/>
        <w:ind w:firstLine="448" w:firstLineChars="200"/>
        <w:jc w:val="left"/>
        <w:rPr>
          <w:rFonts w:hint="eastAsia"/>
          <w:sz w:val="24"/>
          <w:szCs w:val="24"/>
        </w:rPr>
      </w:pPr>
      <w:r>
        <w:rPr>
          <w:rFonts w:hint="eastAsia"/>
          <w:sz w:val="24"/>
          <w:szCs w:val="24"/>
        </w:rPr>
        <w:t>其他需求：供应商是检测机构的需明确为本项目提供认证服务的签约认证机构并提供（www.cebpubservice.com）发布的检测认证机构名单中的电子招标投标系统检测认证机构签约情况截图；是认证机构的需明确为本项目提供检测服务的签约检测机构并提供（www.cebpubservice.com）发布的检测认证机构名单中的电子招标投标系统检测认证机构签约情况截图。</w:t>
      </w:r>
    </w:p>
    <w:p>
      <w:pPr>
        <w:spacing w:line="360" w:lineRule="auto"/>
        <w:ind w:firstLine="448" w:firstLineChars="200"/>
        <w:jc w:val="left"/>
        <w:rPr>
          <w:rFonts w:hint="default"/>
          <w:sz w:val="24"/>
          <w:szCs w:val="24"/>
          <w:lang w:val="en-US" w:eastAsia="zh-CN"/>
        </w:rPr>
      </w:pPr>
    </w:p>
    <w:p>
      <w:pPr>
        <w:spacing w:line="560" w:lineRule="exact"/>
        <w:jc w:val="center"/>
        <w:rPr>
          <w:rFonts w:eastAsia="仿宋_GB2312"/>
          <w:b/>
          <w:bCs/>
          <w:color w:val="5F5F5F"/>
          <w:spacing w:val="20"/>
          <w:w w:val="66"/>
          <w:sz w:val="44"/>
          <w:szCs w:val="44"/>
        </w:rPr>
      </w:pPr>
      <w:r>
        <w:rPr>
          <w:sz w:val="24"/>
          <w:szCs w:val="24"/>
        </w:rPr>
        <w:br w:type="page"/>
      </w:r>
      <w:r>
        <w:rPr>
          <w:b/>
          <w:sz w:val="24"/>
        </w:rPr>
        <w:t>第三部分  谈判须知</w:t>
      </w:r>
    </w:p>
    <w:p>
      <w:pPr>
        <w:spacing w:line="560" w:lineRule="exact"/>
        <w:jc w:val="center"/>
        <w:rPr>
          <w:sz w:val="24"/>
        </w:rPr>
      </w:pPr>
      <w:r>
        <w:rPr>
          <w:sz w:val="24"/>
        </w:rPr>
        <w:t>A  说明</w:t>
      </w:r>
    </w:p>
    <w:p>
      <w:pPr>
        <w:spacing w:line="560" w:lineRule="exact"/>
        <w:jc w:val="center"/>
        <w:rPr>
          <w:sz w:val="24"/>
        </w:rPr>
      </w:pPr>
    </w:p>
    <w:p>
      <w:pPr>
        <w:spacing w:line="560" w:lineRule="exact"/>
        <w:rPr>
          <w:sz w:val="24"/>
        </w:rPr>
      </w:pPr>
      <w:r>
        <w:rPr>
          <w:sz w:val="24"/>
        </w:rPr>
        <w:t>1. 适用范围</w:t>
      </w:r>
    </w:p>
    <w:p>
      <w:pPr>
        <w:spacing w:line="560" w:lineRule="exact"/>
        <w:ind w:firstLine="448" w:firstLineChars="200"/>
        <w:outlineLvl w:val="0"/>
        <w:rPr>
          <w:sz w:val="24"/>
        </w:rPr>
      </w:pPr>
      <w:r>
        <w:rPr>
          <w:sz w:val="24"/>
        </w:rPr>
        <w:t>本竞争性谈判文件仅适用于竞争性谈判文件中所述项目的货物及服务的采购。</w:t>
      </w:r>
    </w:p>
    <w:p>
      <w:pPr>
        <w:spacing w:line="560" w:lineRule="exact"/>
        <w:rPr>
          <w:sz w:val="24"/>
        </w:rPr>
      </w:pPr>
      <w:r>
        <w:rPr>
          <w:sz w:val="24"/>
        </w:rPr>
        <w:t>2. 定义</w:t>
      </w:r>
    </w:p>
    <w:p>
      <w:pPr>
        <w:spacing w:line="560" w:lineRule="exact"/>
        <w:ind w:firstLine="448" w:firstLineChars="200"/>
        <w:outlineLvl w:val="0"/>
        <w:rPr>
          <w:sz w:val="24"/>
        </w:rPr>
      </w:pPr>
      <w:r>
        <w:rPr>
          <w:sz w:val="24"/>
        </w:rPr>
        <w:t>2.1 “采购人”系指本次谈判活动的采购单位。“采购代理机构”系指组织本次谈判活动的机构，即“天津市政府采购中心”。采购人及采购代理机构统称“招标采购单位”。</w:t>
      </w:r>
    </w:p>
    <w:p>
      <w:pPr>
        <w:spacing w:line="560" w:lineRule="exact"/>
        <w:ind w:firstLine="448" w:firstLineChars="200"/>
        <w:outlineLvl w:val="0"/>
        <w:rPr>
          <w:sz w:val="24"/>
        </w:rPr>
      </w:pPr>
      <w:r>
        <w:rPr>
          <w:sz w:val="24"/>
        </w:rPr>
        <w:t>2.2 “投标人”系指向采购代理机构提交响应文件的供应商。</w:t>
      </w:r>
    </w:p>
    <w:p>
      <w:pPr>
        <w:spacing w:line="560" w:lineRule="exact"/>
        <w:ind w:firstLine="448" w:firstLineChars="200"/>
        <w:outlineLvl w:val="0"/>
        <w:rPr>
          <w:sz w:val="24"/>
        </w:rPr>
      </w:pPr>
      <w:r>
        <w:rPr>
          <w:sz w:val="24"/>
        </w:rPr>
        <w:t>2.3 “竞争性谈判文件”系指采购代理机构向供应商发出的采购文件。</w:t>
      </w:r>
    </w:p>
    <w:p>
      <w:pPr>
        <w:spacing w:line="560" w:lineRule="exact"/>
        <w:ind w:firstLine="448" w:firstLineChars="200"/>
        <w:outlineLvl w:val="0"/>
        <w:rPr>
          <w:sz w:val="24"/>
        </w:rPr>
      </w:pPr>
      <w:r>
        <w:rPr>
          <w:sz w:val="24"/>
        </w:rPr>
        <w:t>2.4 “响应文件”系指投标人向采购代理机构提交的第一阶段响应文件和第二阶段响应文件。</w:t>
      </w:r>
    </w:p>
    <w:p>
      <w:pPr>
        <w:pStyle w:val="4"/>
        <w:spacing w:line="560" w:lineRule="exact"/>
        <w:ind w:firstLine="448" w:firstLineChars="200"/>
        <w:rPr>
          <w:sz w:val="24"/>
        </w:rPr>
      </w:pPr>
      <w:r>
        <w:rPr>
          <w:sz w:val="24"/>
        </w:rPr>
        <w:t>2.5 “服务”系指竞争性谈判文件规定的投标人为完成采购项目所需承担的全部义务。</w:t>
      </w:r>
    </w:p>
    <w:p>
      <w:pPr>
        <w:spacing w:line="600" w:lineRule="exact"/>
        <w:rPr>
          <w:sz w:val="24"/>
        </w:rPr>
      </w:pPr>
      <w:r>
        <w:rPr>
          <w:sz w:val="24"/>
        </w:rPr>
        <w:t>3. 解释权</w:t>
      </w:r>
    </w:p>
    <w:p>
      <w:pPr>
        <w:spacing w:line="560" w:lineRule="exact"/>
        <w:ind w:firstLine="448" w:firstLineChars="200"/>
        <w:outlineLvl w:val="0"/>
        <w:rPr>
          <w:sz w:val="24"/>
        </w:rPr>
      </w:pPr>
      <w:r>
        <w:rPr>
          <w:sz w:val="24"/>
        </w:rPr>
        <w:t>3.1 本次竞争性谈判的最终解释权归为招标采购单位，当对一个问题有多种解释时以招标采购单位解释为准。</w:t>
      </w:r>
    </w:p>
    <w:p>
      <w:pPr>
        <w:spacing w:line="560" w:lineRule="exact"/>
        <w:ind w:firstLine="448" w:firstLineChars="200"/>
        <w:outlineLvl w:val="0"/>
        <w:rPr>
          <w:sz w:val="24"/>
        </w:rPr>
      </w:pPr>
      <w:r>
        <w:rPr>
          <w:sz w:val="24"/>
        </w:rPr>
        <w:t xml:space="preserve">3.2 本文件未作须知明示，而又有相关法律、法规规定的，招标采购单位将对此解释为依据有关法律、法规的规定。 </w:t>
      </w:r>
    </w:p>
    <w:p>
      <w:pPr>
        <w:spacing w:line="600" w:lineRule="exact"/>
        <w:rPr>
          <w:sz w:val="24"/>
        </w:rPr>
      </w:pPr>
      <w:r>
        <w:rPr>
          <w:sz w:val="24"/>
        </w:rPr>
        <w:t>4. 合格的投标人</w:t>
      </w:r>
    </w:p>
    <w:p>
      <w:pPr>
        <w:spacing w:line="560" w:lineRule="exact"/>
        <w:ind w:firstLine="495"/>
        <w:rPr>
          <w:sz w:val="24"/>
        </w:rPr>
      </w:pPr>
      <w:r>
        <w:rPr>
          <w:sz w:val="24"/>
        </w:rPr>
        <w:t>4.1 符合《中华人民共和国政府采购法》第二十二条供应商参加政府采购活动应当具备的条件及其他有关法律、法规关于供应商的有关规定，有能力提供谈判采购货物及服务的制造商或供应商。</w:t>
      </w:r>
    </w:p>
    <w:p>
      <w:pPr>
        <w:spacing w:line="560" w:lineRule="exact"/>
        <w:ind w:firstLine="448" w:firstLineChars="200"/>
        <w:jc w:val="left"/>
        <w:rPr>
          <w:sz w:val="24"/>
        </w:rPr>
      </w:pPr>
      <w:r>
        <w:rPr>
          <w:sz w:val="24"/>
        </w:rPr>
        <w:t>4.2符合《谈判邀请函》中关于供应商资格要求（实质性要求）的规定。</w:t>
      </w:r>
    </w:p>
    <w:p>
      <w:pPr>
        <w:pStyle w:val="21"/>
        <w:spacing w:line="560" w:lineRule="exact"/>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关于联合参与谈判</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《谈判邀请函》接受联合参与谈判的：</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谈判邀请函》规定的供应商资格条件（实质性要求）。</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宋体" w:hAnsi="宋体" w:eastAsia="宋体" w:cs="Times New Roman"/>
        </w:rPr>
        <w:t>下载竞争性谈判文件时，应以联合体协议中确定的主体方名义下载。</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（5）联合体参与谈判的，应以主体方名义提交投标保证金（如有），对联合体各方均具有约束力。</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内容根据共同投标协议约定的各方承担的工作和相应责任，确定一方认定；评审标准无明确或难以明确对应哪一方的内容按主体方认定。</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（7）联合体中任意一方为中小企业的，该方应提供《中小企业声明函》。</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除联合体外，法定代表人或单位负责人为同一个人或者存在直接控股、管理关系的不同供应商，不得同时参加同一项目或同一子项目的投标。如同时参加，则评审时将同时被拒绝。</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4.5 关于分公司参与谈判</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分公司参与谈判的，应提供具有法人资格的总公司的营业执照副本扫描件及授权书，授权书须加盖总公司公章。总公司可就本项目或此类项目在一定范围或时间内出具授权书。已由总公司授权的，总公司取得的相关资质证书对分公司有效，法律法规或者行业另有规定的除外。</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4.6 关于提供前期服务的供应商</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为采购项目提供整体设计、规范编制或者项目管理、监理、检测等服务的供应商，不得再参加该采购项目的其他采购活动。</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关于中小微企业参与谈判</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中小微企业是指符合《政府采购促进中小企业发展管理办法》（财库[2020]46号）规定的供应商。中小微企业参与谈判应提供《中小企业声明函》。</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微企业声明函》。</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合格的货物和相关服务</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除《谈判项目需求》有特殊规定外，投标人提供的货物应当是全新的、未使用过的，货物和相关服务应当符合谈判文件的要求，并且其质量完全符合国家标准、行业标准或地方标准。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5.3 投标人应当说明投标货物的来源地，如投标的货物非投标人生产或制造的，则交货时有义务提供其从合法途径获得该货物的相关证明。</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系统软件、通用软件必须是具有在中国境内的合法使用权或版权的正版软件，涉及到第三方提出侵权或知识产权的起诉及支付版税等费用由投标人承担所有责任及费用。</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采购信息公告、更正公告、成交结果公告、终止公告等与谈判活动有关的通知，采购人、采购代理机构均将通过“天津政府采购网（http://tjgp.cz.tj.gov.cn）”和“天津政府采购中心网（（http://tjgpc.zwfwb.tj.gov.cn）”公开发布。</w:t>
      </w:r>
      <w:r>
        <w:rPr>
          <w:rFonts w:ascii="Times New Roman" w:hAnsi="Times New Roman" w:cs="Times New Roman"/>
          <w:color w:val="auto"/>
        </w:rPr>
        <w:t>供应商</w:t>
      </w:r>
      <w:r>
        <w:rPr>
          <w:rFonts w:ascii="Times New Roman" w:hAnsi="Times New Roman" w:eastAsia="宋体" w:cs="Times New Roman"/>
          <w:color w:val="auto"/>
        </w:rPr>
        <w:t>在参与本采购项目谈判活动期间，请及时关注上述媒体和天津市政府采购中心招投标系统“查看项目文件”的相关信息。因没有及时关注而未能如期获取相关信息，</w:t>
      </w:r>
      <w:r>
        <w:rPr>
          <w:rFonts w:ascii="Times New Roman" w:hAnsi="Times New Roman" w:cs="Times New Roman"/>
          <w:color w:val="auto"/>
        </w:rPr>
        <w:t>供应商</w:t>
      </w:r>
      <w:r>
        <w:rPr>
          <w:rFonts w:ascii="Times New Roman" w:hAnsi="Times New Roman" w:eastAsia="宋体" w:cs="Times New Roman"/>
          <w:color w:val="auto"/>
        </w:rPr>
        <w:t>自行承担由此可能产生的风险。</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8. 询问与质疑</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8.2 询问</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（1）询问可以采取电话、当面或书面等形式。</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（2）采购人应当自收到供应商询问之日起3个工作日内作出答复，但答复的内容不得涉及商业秘密或者依法应当保密的内容。</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8.3 质疑</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（1）提出质疑的供应商应当是参与所质疑项目采购活动的供应商。</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向采购人提出质疑，否则不予受理。</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（3）质疑函应当符合《政府采购质疑和投诉办法》（财政部令第94号）第十二条的规定，</w:t>
      </w:r>
      <w:r>
        <w:rPr>
          <w:rFonts w:hint="eastAsia" w:ascii="Times New Roman" w:hAnsi="Times New Roman" w:eastAsia="宋体" w:cs="Times New Roman"/>
          <w:color w:val="auto"/>
        </w:rPr>
        <w:t>并按照统一格式提出</w:t>
      </w:r>
      <w:r>
        <w:rPr>
          <w:rFonts w:ascii="Times New Roman" w:hAnsi="Times New Roman" w:eastAsia="宋体" w:cs="Times New Roman"/>
          <w:color w:val="auto"/>
        </w:rPr>
        <w:t>（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8.4 针对询问或质疑的答复内容需要修改采购文件的，其修改内容应当以天津市政府采购网发布的更正公告为准。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本《谈判须知》的条款如与《谈判邀请函》、《谈判项目需求》就同一内容的表述不一致的，以《谈判邀请函》、《谈判项目需求》中规定的内容为准。</w:t>
      </w:r>
    </w:p>
    <w:p>
      <w:pPr>
        <w:spacing w:line="560" w:lineRule="exact"/>
        <w:jc w:val="center"/>
        <w:rPr>
          <w:sz w:val="24"/>
        </w:rPr>
      </w:pPr>
      <w:r>
        <w:rPr>
          <w:sz w:val="24"/>
        </w:rPr>
        <w:t>B  谈判文件说明</w:t>
      </w:r>
    </w:p>
    <w:p>
      <w:pPr>
        <w:spacing w:line="560" w:lineRule="exact"/>
        <w:ind w:firstLine="495"/>
        <w:rPr>
          <w:sz w:val="24"/>
        </w:rPr>
      </w:pPr>
      <w:r>
        <w:rPr>
          <w:sz w:val="24"/>
        </w:rPr>
        <w:t>10. 竞争性谈判文件的构成</w:t>
      </w:r>
    </w:p>
    <w:p>
      <w:pPr>
        <w:spacing w:line="560" w:lineRule="exact"/>
        <w:ind w:firstLine="495"/>
        <w:rPr>
          <w:sz w:val="24"/>
        </w:rPr>
      </w:pPr>
      <w:r>
        <w:rPr>
          <w:sz w:val="24"/>
        </w:rPr>
        <w:t>10.1竞争性谈判文件由下述部分组成：</w:t>
      </w:r>
    </w:p>
    <w:p>
      <w:pPr>
        <w:spacing w:line="560" w:lineRule="exact"/>
        <w:ind w:firstLine="495"/>
        <w:rPr>
          <w:sz w:val="24"/>
        </w:rPr>
      </w:pPr>
      <w:r>
        <w:rPr>
          <w:sz w:val="24"/>
        </w:rPr>
        <w:t>（1）谈判邀请函</w:t>
      </w:r>
    </w:p>
    <w:p>
      <w:pPr>
        <w:spacing w:line="560" w:lineRule="exact"/>
        <w:ind w:firstLine="495"/>
        <w:rPr>
          <w:sz w:val="24"/>
        </w:rPr>
      </w:pPr>
      <w:r>
        <w:rPr>
          <w:sz w:val="24"/>
        </w:rPr>
        <w:t>（2）谈判须知</w:t>
      </w:r>
    </w:p>
    <w:p>
      <w:pPr>
        <w:spacing w:line="560" w:lineRule="exact"/>
        <w:ind w:firstLine="495"/>
        <w:rPr>
          <w:sz w:val="24"/>
        </w:rPr>
      </w:pPr>
      <w:r>
        <w:rPr>
          <w:sz w:val="24"/>
        </w:rPr>
        <w:t>（3）谈判项目需求</w:t>
      </w:r>
    </w:p>
    <w:p>
      <w:pPr>
        <w:spacing w:line="560" w:lineRule="exact"/>
        <w:ind w:firstLine="495"/>
        <w:rPr>
          <w:sz w:val="24"/>
        </w:rPr>
      </w:pPr>
      <w:r>
        <w:rPr>
          <w:sz w:val="24"/>
        </w:rPr>
        <w:t>（4）合同条款</w:t>
      </w:r>
    </w:p>
    <w:p>
      <w:pPr>
        <w:spacing w:line="560" w:lineRule="exact"/>
        <w:ind w:firstLine="495"/>
        <w:rPr>
          <w:sz w:val="24"/>
        </w:rPr>
      </w:pPr>
      <w:r>
        <w:rPr>
          <w:sz w:val="24"/>
        </w:rPr>
        <w:t>（5）响应文件格式</w:t>
      </w:r>
    </w:p>
    <w:p>
      <w:pPr>
        <w:spacing w:line="560" w:lineRule="exact"/>
        <w:ind w:firstLine="495"/>
        <w:rPr>
          <w:sz w:val="24"/>
        </w:rPr>
      </w:pPr>
      <w:r>
        <w:rPr>
          <w:sz w:val="24"/>
        </w:rPr>
        <w:t>（6）本项目谈判文件的更正公告内容（如有）</w:t>
      </w:r>
    </w:p>
    <w:p>
      <w:pPr>
        <w:spacing w:line="560" w:lineRule="exact"/>
        <w:ind w:firstLine="495"/>
        <w:rPr>
          <w:sz w:val="24"/>
        </w:rPr>
      </w:pPr>
      <w:r>
        <w:rPr>
          <w:sz w:val="24"/>
        </w:rPr>
        <w:t>10.2 除非有特殊要求，谈判文件不单独提供招标项目使用地的自然环境、气候条件、公用设施等情况，投标人被视为熟悉上述与履行合同有关的一切情况。</w:t>
      </w:r>
    </w:p>
    <w:p>
      <w:pPr>
        <w:spacing w:line="560" w:lineRule="exact"/>
        <w:ind w:firstLine="495"/>
        <w:rPr>
          <w:sz w:val="24"/>
        </w:rPr>
      </w:pPr>
      <w:r>
        <w:rPr>
          <w:sz w:val="24"/>
        </w:rPr>
        <w:t>10.3 《谈判项目需求》中实质性条款（加注“</w:t>
      </w:r>
      <w:r>
        <w:rPr>
          <w:rFonts w:hint="eastAsia" w:ascii="宋体" w:hAnsi="宋体" w:cs="宋体"/>
          <w:sz w:val="24"/>
        </w:rPr>
        <w:t>★</w:t>
      </w:r>
      <w:r>
        <w:rPr>
          <w:sz w:val="24"/>
        </w:rPr>
        <w:t>”号）不得出现负偏离，发生负偏离即做无效标处理。</w:t>
      </w:r>
    </w:p>
    <w:p>
      <w:pPr>
        <w:spacing w:line="560" w:lineRule="exact"/>
        <w:ind w:firstLine="495"/>
        <w:rPr>
          <w:sz w:val="24"/>
        </w:rPr>
      </w:pPr>
      <w:r>
        <w:rPr>
          <w:sz w:val="24"/>
        </w:rPr>
        <w:t>10.4 谈判文件中涉及的参照品牌、型号仅起说明作用，并没有任何限制性，投标人在投标中可以选用其他替代品牌或型号，但这些替代要实质上优于或相当于谈判要求。</w:t>
      </w:r>
    </w:p>
    <w:p>
      <w:pPr>
        <w:spacing w:line="560" w:lineRule="exact"/>
        <w:ind w:firstLine="495"/>
        <w:rPr>
          <w:sz w:val="24"/>
        </w:rPr>
      </w:pPr>
      <w:r>
        <w:rPr>
          <w:sz w:val="24"/>
        </w:rPr>
        <w:t>10.5 除谈判文件另有规定外，谈判文件中要求的每一项产品只允许一种产品投标，每一项产品的采购数量不允许变更。</w:t>
      </w:r>
    </w:p>
    <w:p>
      <w:pPr>
        <w:spacing w:line="560" w:lineRule="exact"/>
        <w:ind w:firstLine="495"/>
        <w:rPr>
          <w:sz w:val="24"/>
        </w:rPr>
      </w:pPr>
      <w:r>
        <w:rPr>
          <w:sz w:val="24"/>
        </w:rPr>
        <w:t>11. 谈判文件的澄清和修改</w:t>
      </w:r>
    </w:p>
    <w:p>
      <w:pPr>
        <w:spacing w:line="560" w:lineRule="exact"/>
        <w:ind w:firstLine="495"/>
        <w:rPr>
          <w:sz w:val="24"/>
        </w:rPr>
      </w:pPr>
      <w:r>
        <w:rPr>
          <w:sz w:val="24"/>
        </w:rPr>
        <w:t>11.1 投标截止前，招标采购单位需要对谈判文件进行补充或修改的，招标采购单位将会通过“天津市政府采购网”、“天津市政府采购中心网”以更正公告形式发布。</w:t>
      </w:r>
    </w:p>
    <w:p>
      <w:pPr>
        <w:spacing w:line="560" w:lineRule="exact"/>
        <w:ind w:firstLine="495"/>
        <w:rPr>
          <w:sz w:val="24"/>
        </w:rPr>
      </w:pPr>
      <w:r>
        <w:rPr>
          <w:sz w:val="24"/>
        </w:rPr>
        <w:t>11.2 更正公告一经在“天津市政府采购网”、“天津市政府采购中心网”发布，天津市政府采购中心招投标系统将自动发送通知至已</w:t>
      </w:r>
      <w:r>
        <w:rPr>
          <w:rFonts w:hint="eastAsia"/>
          <w:sz w:val="24"/>
        </w:rPr>
        <w:t>获取竞争性谈判文件</w:t>
      </w:r>
      <w:r>
        <w:rPr>
          <w:sz w:val="24"/>
        </w:rPr>
        <w:t>供应商的“查看项目文件”，视同已书面通知所有谈判文件的收受人。请参与项目的供应商及时关注更正公告，由此导致的风险由投标人自行承担，招标采购单位不承担任何责任。</w:t>
      </w:r>
    </w:p>
    <w:p>
      <w:pPr>
        <w:spacing w:line="560" w:lineRule="exact"/>
        <w:ind w:firstLine="495"/>
        <w:rPr>
          <w:sz w:val="24"/>
        </w:rPr>
      </w:pPr>
      <w:r>
        <w:rPr>
          <w:sz w:val="24"/>
        </w:rPr>
        <w:t>11.3 更正公告的内容为谈判文件的组成部分。当谈判文件与更正公告就同一内容的表述不一致时，以最后发出的更正公告内容为准。</w:t>
      </w:r>
    </w:p>
    <w:p>
      <w:pPr>
        <w:spacing w:line="560" w:lineRule="exact"/>
        <w:ind w:firstLine="495"/>
        <w:rPr>
          <w:sz w:val="24"/>
        </w:rPr>
      </w:pPr>
      <w:r>
        <w:rPr>
          <w:sz w:val="24"/>
        </w:rPr>
        <w:t>11.4 谈判文件的澄清、答复、修改或补充都应由采购代理机构以更正公告形式发布，除此以外的其他任何澄清、修改方式及澄清、修改内容均属无效，不得作为投标的依据，由此导致的风险由投标人自行承担，招标采购单位不承担任何责任。</w:t>
      </w:r>
    </w:p>
    <w:p>
      <w:pPr>
        <w:spacing w:line="560" w:lineRule="exact"/>
        <w:ind w:firstLine="495"/>
        <w:rPr>
          <w:sz w:val="24"/>
        </w:rPr>
      </w:pPr>
      <w:r>
        <w:rPr>
          <w:sz w:val="24"/>
        </w:rPr>
        <w:t>12. 答疑会和踏勘现场</w:t>
      </w:r>
    </w:p>
    <w:p>
      <w:pPr>
        <w:spacing w:line="560" w:lineRule="exact"/>
        <w:ind w:firstLine="495"/>
        <w:rPr>
          <w:sz w:val="24"/>
        </w:rPr>
      </w:pPr>
      <w:r>
        <w:rPr>
          <w:sz w:val="24"/>
        </w:rPr>
        <w:t>12.1 招标采购单位召开答疑会的，所有投标人应按《谈判邀请函》规定的时间、地点参加答疑会。投标人如不参加，其风险由投标人自行承担，招标采购单位不承担任何责任。</w:t>
      </w:r>
    </w:p>
    <w:p>
      <w:pPr>
        <w:spacing w:line="560" w:lineRule="exact"/>
        <w:ind w:firstLine="495"/>
        <w:rPr>
          <w:sz w:val="24"/>
        </w:rPr>
      </w:pPr>
      <w:r>
        <w:rPr>
          <w:sz w:val="24"/>
        </w:rPr>
        <w:t>12.2 招标采购单位组织踏勘现场的，所有投标人按《谈判邀请函》规定的时间、地点参加踏勘现场活动。投标人如不参加，其风险由投标人自行承担，招标采购单位不承担任何责任。</w:t>
      </w:r>
    </w:p>
    <w:p>
      <w:pPr>
        <w:spacing w:line="560" w:lineRule="exact"/>
        <w:ind w:firstLine="495"/>
        <w:rPr>
          <w:sz w:val="24"/>
        </w:rPr>
      </w:pPr>
      <w:r>
        <w:rPr>
          <w:sz w:val="24"/>
        </w:rPr>
        <w:t>12.3 招标采购单位在答疑会或踏勘现场中口头介绍的情况，除经“天津市政府采购网”、“天津市政府采购中心网”以更正公告的形式发布外，不构成对谈判文件的修改，不作为投标人编制响应文件的依据。</w:t>
      </w:r>
    </w:p>
    <w:p>
      <w:pPr>
        <w:pStyle w:val="21"/>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响应文件的编制</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投标人应仔细阅读谈判文件的所有内容，按谈判文件要求编制响应文件，以使其投标对谈判文件做出实质性响应。否则，其响应文件可能被拒绝，投标人须自行承担由此引起的风险和责任。</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投标人应根据谈判项目需求和响应文件格式编制响应文件，保证其真实有效，并承担相应的法律责任。</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响应文件所提供的全部资料的真实性承担法律责任，并无条件接受招标采购单位对其中任何资料进行核实（核对原件）的要求。招标采购单位核对发现有不一致或供应商无正当理由不按时提供原件的，按有关规定执行。</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谈判小组有权拒绝其投标。</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除谈判文件中另有规定外，响应文件所使用的计量单位均应使用中华人民共和国法定计量单位。</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响应文件格式</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投标人应按谈判文件中提供的响应文件格式完整填写。因不按要求编制而引起系统无法检索、读取相关信息时，其后果由投标人自行承担。</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投标人可对本谈判文件“谈判项目要求”所列的所有货物</w:t>
      </w:r>
      <w:r>
        <w:rPr>
          <w:rFonts w:hint="eastAsia" w:ascii="Times New Roman" w:hAnsi="Times New Roman" w:eastAsia="宋体" w:cs="Times New Roman"/>
          <w:color w:val="auto"/>
        </w:rPr>
        <w:t>服务</w:t>
      </w:r>
      <w:r>
        <w:rPr>
          <w:rFonts w:ascii="Times New Roman" w:hAnsi="Times New Roman" w:eastAsia="宋体" w:cs="Times New Roman"/>
          <w:color w:val="auto"/>
        </w:rPr>
        <w:t>进行</w:t>
      </w:r>
      <w:r>
        <w:rPr>
          <w:rFonts w:hint="eastAsia" w:ascii="Times New Roman" w:hAnsi="Times New Roman" w:eastAsia="宋体" w:cs="Times New Roman"/>
          <w:color w:val="auto"/>
        </w:rPr>
        <w:t>响应</w:t>
      </w:r>
      <w:r>
        <w:rPr>
          <w:rFonts w:ascii="Times New Roman" w:hAnsi="Times New Roman" w:eastAsia="宋体" w:cs="Times New Roman"/>
          <w:color w:val="auto"/>
        </w:rPr>
        <w:t>，也可只对其中一包或几包的货物</w:t>
      </w:r>
      <w:r>
        <w:rPr>
          <w:rFonts w:hint="eastAsia" w:ascii="Times New Roman" w:hAnsi="Times New Roman" w:eastAsia="宋体" w:cs="Times New Roman"/>
          <w:color w:val="auto"/>
        </w:rPr>
        <w:t>服务响应</w:t>
      </w:r>
      <w:r>
        <w:rPr>
          <w:rFonts w:ascii="Times New Roman" w:hAnsi="Times New Roman" w:eastAsia="宋体" w:cs="Times New Roman"/>
          <w:color w:val="auto"/>
        </w:rPr>
        <w:t>；若无特殊说明，每一包的内容不得分项</w:t>
      </w:r>
      <w:r>
        <w:rPr>
          <w:rFonts w:hint="eastAsia" w:ascii="Times New Roman" w:hAnsi="Times New Roman" w:eastAsia="宋体" w:cs="Times New Roman"/>
          <w:color w:val="auto"/>
        </w:rPr>
        <w:t>响应</w:t>
      </w:r>
      <w:r>
        <w:rPr>
          <w:rFonts w:ascii="Times New Roman" w:hAnsi="Times New Roman" w:eastAsia="宋体" w:cs="Times New Roman"/>
          <w:color w:val="auto"/>
        </w:rPr>
        <w:t>，原则上按照整包确定成交供应商。</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如投标多个包的，要求按包分别独立制作响应文件。</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15.4 响应文件（包括封面和目录）的每一页，从封面开始按阿拉伯数字1、2、3</w:t>
      </w:r>
      <w:r>
        <w:rPr>
          <w:rFonts w:hint="eastAsia" w:ascii="宋体" w:hAnsi="宋体" w:eastAsia="宋体" w:cs="Times New Roman"/>
          <w:color w:val="auto"/>
        </w:rPr>
        <w:t>…</w:t>
      </w:r>
      <w:r>
        <w:rPr>
          <w:rFonts w:hint="eastAsia" w:ascii="Times New Roman" w:hAnsi="Times New Roman" w:eastAsia="宋体" w:cs="Times New Roman"/>
          <w:color w:val="auto"/>
        </w:rPr>
        <w:t>顺序编制页码。</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16. 响应文件的组成</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按照《谈判邀请函》规定的时间分别上传加盖电子签章的两阶段电子响应文件。</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17</w:t>
      </w:r>
      <w:r>
        <w:rPr>
          <w:rFonts w:ascii="Times New Roman" w:hAnsi="Times New Roman" w:eastAsia="宋体" w:cs="Times New Roman"/>
          <w:color w:val="auto"/>
        </w:rPr>
        <w:t>. 报价</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7</w:t>
      </w:r>
      <w:r>
        <w:rPr>
          <w:rFonts w:ascii="Times New Roman" w:hAnsi="Times New Roman" w:eastAsia="宋体" w:cs="Times New Roman"/>
          <w:color w:val="auto"/>
        </w:rPr>
        <w:t>.1 谈判书、货物分项一览表等各表中的报价，若无特殊说明应采用人民币填报。</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7</w:t>
      </w:r>
      <w:r>
        <w:rPr>
          <w:rFonts w:ascii="Times New Roman" w:hAnsi="Times New Roman" w:eastAsia="宋体" w:cs="Times New Roman"/>
          <w:color w:val="auto"/>
        </w:rPr>
        <w:t>.2 第二阶段响应文件中的谈判报价应填写</w:t>
      </w:r>
      <w:r>
        <w:rPr>
          <w:rFonts w:ascii="Times New Roman" w:hAnsi="Times New Roman" w:cs="Times New Roman"/>
          <w:color w:val="auto"/>
        </w:rPr>
        <w:t>为完成谈判文件规定的一切工作所需的全部费用，但不是最终报价。在谈判评审过程中，每个投标人均会获得平等的报价机会，谈判小组将要求进入第二阶段价格谈判的全部供应商在评审现场进行统一集中最终报价。</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7.</w:t>
      </w:r>
      <w:r>
        <w:rPr>
          <w:rFonts w:ascii="Times New Roman" w:hAnsi="Times New Roman" w:eastAsia="宋体" w:cs="Times New Roman"/>
          <w:color w:val="auto"/>
        </w:rPr>
        <w:t>3 除《谈判项目需求》中说明并允许外，投标的每一个货物、服务的单项报价以及采购项目的投标总价均只允许有一个报价，任何有选择的报价，招标采购单位均将予以拒绝。</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18. </w:t>
      </w:r>
      <w:r>
        <w:rPr>
          <w:rFonts w:hint="eastAsia"/>
          <w:color w:val="auto"/>
        </w:rPr>
        <w:t>供应商</w:t>
      </w:r>
      <w:r>
        <w:rPr>
          <w:rFonts w:hint="eastAsia" w:ascii="Times New Roman" w:hAnsi="Times New Roman" w:eastAsia="宋体" w:cs="Times New Roman"/>
          <w:color w:val="auto"/>
        </w:rPr>
        <w:t>资格证明文件</w:t>
      </w:r>
    </w:p>
    <w:p>
      <w:pPr>
        <w:pStyle w:val="21"/>
        <w:spacing w:line="360" w:lineRule="auto"/>
        <w:ind w:firstLine="448" w:firstLineChars="200"/>
        <w:jc w:val="both"/>
        <w:rPr>
          <w:rFonts w:ascii="Times New Roman" w:hAnsi="Times New Roman" w:eastAsia="宋体" w:cs="Times New Roman"/>
          <w:color w:val="auto"/>
        </w:rPr>
      </w:pPr>
      <w:r>
        <w:rPr>
          <w:rFonts w:hint="eastAsia"/>
          <w:color w:val="auto"/>
        </w:rPr>
        <w:t>供应商</w:t>
      </w:r>
      <w:r>
        <w:rPr>
          <w:rFonts w:hint="eastAsia" w:ascii="Times New Roman" w:hAnsi="Times New Roman" w:eastAsia="宋体" w:cs="Times New Roman"/>
          <w:color w:val="auto"/>
        </w:rPr>
        <w:t>必须提交证明其有资格进行谈判和有能力履行合同的文件，作为响应文件的一部分。</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（1）《谈判邀请函》中规定的供应商资格要求（实质性要求）证明文件；</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（2）若国家及行业对本项目有特殊资格要求的，还须提供特殊资格证明文件；</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 技术响应文件</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19.1 </w:t>
      </w:r>
      <w:r>
        <w:rPr>
          <w:rFonts w:hint="eastAsia"/>
          <w:color w:val="auto"/>
        </w:rPr>
        <w:t>供应商</w:t>
      </w:r>
      <w:r>
        <w:rPr>
          <w:rFonts w:hint="eastAsia" w:ascii="Times New Roman" w:hAnsi="Times New Roman" w:eastAsia="宋体" w:cs="Times New Roman"/>
          <w:color w:val="auto"/>
        </w:rPr>
        <w:t>须提交证明其拟供货物符合竞争性谈判文件规定的技术响应文件，作为响应文件的一部分。</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19.2 上述文件可以是文字资料、图纸或数据，并须提供：</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（1）货物主要技术性能的详细描述；</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（2）保证货物从采购人开始使用至竞争性谈判文件规定的保修期内正常和连续运转期间所需要的所有备件和专用工具的详细清单，包括其现行价格和供货来源资料；</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逐条对竞争性谈判文件要求的技术规格进行评议，并按竞争性谈判文件所附格式完整地填写《技术要求点对点应答表》，说明自己所投标的货物和相关服务内容与采购人、采购代理机构相应要求的偏离情况。</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19.3 响应文件中设备的性能指标应达到或优于竞争性谈判文件中所列技术指标。</w:t>
      </w:r>
      <w:r>
        <w:rPr>
          <w:rFonts w:hint="eastAsia"/>
          <w:color w:val="auto"/>
        </w:rPr>
        <w:t>供应商</w:t>
      </w:r>
      <w:r>
        <w:rPr>
          <w:rFonts w:hint="eastAsia" w:ascii="Times New Roman" w:hAnsi="Times New Roman" w:eastAsia="宋体" w:cs="Times New Roman"/>
          <w:color w:val="auto"/>
        </w:rPr>
        <w:t>应注意竞争性谈判文件中所列技术指标仅列出了最低限度。</w:t>
      </w:r>
      <w:r>
        <w:rPr>
          <w:rFonts w:hint="eastAsia"/>
          <w:color w:val="auto"/>
        </w:rPr>
        <w:t>供应商</w:t>
      </w:r>
      <w:r>
        <w:rPr>
          <w:rFonts w:hint="eastAsia" w:ascii="Times New Roman" w:hAnsi="Times New Roman" w:eastAsia="宋体" w:cs="Times New Roman"/>
          <w:color w:val="auto"/>
        </w:rPr>
        <w:t>在《技术要求点对点应答表》“项目需求书要求”的投标应答中必须列出具体数值或内容。如</w:t>
      </w:r>
      <w:r>
        <w:rPr>
          <w:rFonts w:hint="eastAsia"/>
          <w:color w:val="auto"/>
        </w:rPr>
        <w:t>供应商</w:t>
      </w:r>
      <w:r>
        <w:rPr>
          <w:rFonts w:hint="eastAsia" w:ascii="Times New Roman" w:hAnsi="Times New Roman" w:eastAsia="宋体" w:cs="Times New Roman"/>
          <w:color w:val="auto"/>
        </w:rPr>
        <w:t>未应答或只注明“符合”、“满足”等类似无具体内容的表述，将被视为不符合竞争性谈判文件要求。</w:t>
      </w:r>
      <w:r>
        <w:rPr>
          <w:rFonts w:hint="eastAsia"/>
          <w:color w:val="auto"/>
        </w:rPr>
        <w:t>供应商</w:t>
      </w:r>
      <w:r>
        <w:rPr>
          <w:rFonts w:hint="eastAsia" w:ascii="Times New Roman" w:hAnsi="Times New Roman" w:eastAsia="宋体" w:cs="Times New Roman"/>
          <w:color w:val="auto"/>
        </w:rPr>
        <w:t>自行承担由此造成的一切后果。</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 谈判保证金</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20.1 按照《谈判项目需求》要求执行。</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 符合《中华人民共和国政府采购法实施条例》和《政府采购非招标采购方式管理办法》等相关规定。</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 谈判有效期</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21.1 谈判有效期为响应文件开启之日起60天。响应书中规定的有效期短于竞争性谈判文件规定的，其谈判将被拒绝。</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特殊情况下，采购人、采购代理机构可于谈判有效期满之前，向</w:t>
      </w:r>
      <w:r>
        <w:rPr>
          <w:rFonts w:hint="eastAsia"/>
          <w:color w:val="auto"/>
        </w:rPr>
        <w:t>供应商</w:t>
      </w:r>
      <w:r>
        <w:rPr>
          <w:rFonts w:hint="eastAsia" w:ascii="Times New Roman" w:hAnsi="Times New Roman" w:eastAsia="宋体" w:cs="Times New Roman"/>
          <w:color w:val="auto"/>
        </w:rPr>
        <w:t>提出延长谈判有效期的要求。答复应以书面形式进行。</w:t>
      </w:r>
      <w:r>
        <w:rPr>
          <w:rFonts w:hint="eastAsia"/>
          <w:color w:val="auto"/>
        </w:rPr>
        <w:t>供应商</w:t>
      </w:r>
      <w:r>
        <w:rPr>
          <w:rFonts w:hint="eastAsia" w:ascii="Times New Roman" w:hAnsi="Times New Roman" w:eastAsia="宋体" w:cs="Times New Roman"/>
          <w:color w:val="auto"/>
        </w:rPr>
        <w:t>可以拒绝上述要求，但不被没收投标保证金。对于同意该要求的</w:t>
      </w:r>
      <w:r>
        <w:rPr>
          <w:rFonts w:hint="eastAsia"/>
          <w:color w:val="auto"/>
        </w:rPr>
        <w:t>供应商</w:t>
      </w:r>
      <w:r>
        <w:rPr>
          <w:rFonts w:hint="eastAsia" w:ascii="Times New Roman" w:hAnsi="Times New Roman" w:eastAsia="宋体" w:cs="Times New Roman"/>
          <w:color w:val="auto"/>
        </w:rPr>
        <w:t>，既不要求也不允许其修改响应文件，但将要求其延长投标保证金的有效期。</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响应文件的签署及规定</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22.1 响应文件应按《谈判项目需求》和《响应文件格式》如实编写，未尽事宜可自行补充。响应文件内容不完整、格式不符合导致响应文件被误读、漏读或者查找不到相关内容的，</w:t>
      </w:r>
      <w:r>
        <w:rPr>
          <w:rFonts w:hint="eastAsia"/>
          <w:color w:val="auto"/>
        </w:rPr>
        <w:t>供应商</w:t>
      </w:r>
      <w:r>
        <w:rPr>
          <w:rFonts w:hint="eastAsia" w:ascii="Times New Roman" w:hAnsi="Times New Roman" w:eastAsia="宋体" w:cs="Times New Roman"/>
          <w:color w:val="auto"/>
        </w:rPr>
        <w:t>自行承担由此产生的风险。</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 xml:space="preserve">22.2 </w:t>
      </w:r>
      <w:r>
        <w:rPr>
          <w:rFonts w:hint="eastAsia"/>
          <w:color w:val="auto"/>
        </w:rPr>
        <w:t>供应商</w:t>
      </w:r>
      <w:r>
        <w:rPr>
          <w:rFonts w:hint="eastAsia" w:ascii="Times New Roman" w:hAnsi="Times New Roman" w:eastAsia="宋体" w:cs="Times New Roman"/>
          <w:color w:val="auto"/>
        </w:rPr>
        <w:t>按照《谈判邀请函》的要求提交网上应答并分别</w:t>
      </w:r>
      <w:r>
        <w:rPr>
          <w:rFonts w:hint="eastAsia" w:ascii="Times New Roman" w:hAnsi="Times New Roman" w:cs="Times New Roman" w:eastAsiaTheme="minorEastAsia"/>
          <w:color w:val="auto"/>
          <w:szCs w:val="32"/>
        </w:rPr>
        <w:t>上传加盖电子签章的第一、第二阶段电子响应文件（PDF格式）</w:t>
      </w:r>
      <w:r>
        <w:rPr>
          <w:rFonts w:hint="eastAsia" w:ascii="Times New Roman" w:hAnsi="Times New Roman" w:eastAsia="宋体" w:cs="Times New Roman"/>
          <w:color w:val="auto"/>
        </w:rPr>
        <w:t>（以通过天津公共资源电子签章客户端正确读取签章信息为准）。加盖电子签章的电子响应文件应与网上应答填报内容一致。</w:t>
      </w:r>
    </w:p>
    <w:p>
      <w:pPr>
        <w:pStyle w:val="21"/>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22.3 响应文件因模糊不清或表达不清所引起的后果由</w:t>
      </w:r>
      <w:r>
        <w:rPr>
          <w:rFonts w:hint="eastAsia"/>
          <w:color w:val="auto"/>
        </w:rPr>
        <w:t>供应商</w:t>
      </w:r>
      <w:r>
        <w:rPr>
          <w:rFonts w:hint="eastAsia" w:ascii="Times New Roman" w:hAnsi="Times New Roman" w:eastAsia="宋体" w:cs="Times New Roman"/>
          <w:color w:val="auto"/>
        </w:rPr>
        <w:t>自负。</w:t>
      </w:r>
    </w:p>
    <w:p>
      <w:pPr>
        <w:pStyle w:val="21"/>
        <w:spacing w:line="360" w:lineRule="auto"/>
        <w:jc w:val="center"/>
        <w:rPr>
          <w:rFonts w:ascii="Times New Roman" w:hAnsi="Times New Roman" w:eastAsia="宋体" w:cs="Times New Roman"/>
          <w:color w:val="auto"/>
        </w:rPr>
      </w:pPr>
    </w:p>
    <w:p>
      <w:pPr>
        <w:pStyle w:val="21"/>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响应文件的网上应答和提交</w:t>
      </w:r>
    </w:p>
    <w:p>
      <w:pPr>
        <w:pStyle w:val="21"/>
        <w:spacing w:line="360" w:lineRule="auto"/>
        <w:jc w:val="center"/>
        <w:rPr>
          <w:rFonts w:ascii="Times New Roman" w:hAnsi="Times New Roman" w:eastAsia="宋体" w:cs="Times New Roman"/>
          <w:color w:val="auto"/>
        </w:rPr>
      </w:pP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23. </w:t>
      </w:r>
      <w:r>
        <w:rPr>
          <w:rFonts w:ascii="Times New Roman" w:hAnsi="Times New Roman" w:cs="Times New Roman"/>
          <w:color w:val="auto"/>
        </w:rPr>
        <w:t>供应商</w:t>
      </w:r>
      <w:r>
        <w:rPr>
          <w:rFonts w:ascii="Times New Roman" w:hAnsi="Times New Roman" w:eastAsia="宋体" w:cs="Times New Roman"/>
          <w:color w:val="auto"/>
        </w:rPr>
        <w:t>须于《谈判邀请函》规定提交网上应答并上传加盖供应商电子签章的PDF格式电子响应文件（以通过天津公共资源电子签章客户端正确读取签章信息为准）。具体方式：使用天津市中环认证服务有限公司发出的CA数字证书（原天津市电子认证中心发出尚在有效期内的CA数字证书仍可使用）登陆天津市政府采购中心网（网址：http://tjgpc.zwfwb.tj.gov.cn）-”网上招投标”-“供应商登录”-“市级集采机构入口”提交网上应答并上传加盖供应商电子签章的PDF格式电子响应文件（以通过天津公共资源电子签章客户端正确读取签章信息为准）。如有需要，供应商可于工作时间且在竞争性谈判文件规定的截止时间前到天津市河东区红星路79号天津市政府采购中心窗口完成上述操作。</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制作和上传电子响应文件要求</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24.1 供应商须下载天津市政府采购中心网-下载中心-《远程招投标电子签章客户端用户使用说明及安装程序》。</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24.2 供应商须按照竞争性谈判文件的规定制作电子响应文件，对所需提供的一切纸质材料进行扫描后加入电子响应文件，按照《远程招投标电子签章客户端用户使用说明及安装程序》中《远程招投标电子签章客户端用户使用说明》规定的要求制作加盖供应商电子签章的PDF格式电子响应文件（以通过天津公共资源电子签章客户端正确读取签章信息为准），并于投标截止时间前上传至天津市政府采购中心招投标系统。</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特别提醒：</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由于供应商网络接入速率不可控等网络传输风险，建议供应商在网上应答上传加盖电子签章的PDF文件后，对上传文件进行下载，核对文件完整性，如是否缺页少页、图片是否显示完整、签章是否有效等，并按照《远程招投标电子签章客户端用户使用说明》要求的文件检查方法进行检查，确保响应文件上传准确、有效。</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w:t>
      </w:r>
      <w:r>
        <w:rPr>
          <w:rFonts w:hint="eastAsia" w:ascii="Times New Roman" w:hAnsi="Times New Roman" w:eastAsia="宋体" w:cs="Times New Roman"/>
          <w:color w:val="auto"/>
        </w:rPr>
        <w:t>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24.3 供应商应保证电子投标文件清晰，便于识别，如因上传、扫描、格式等原因导致评审时受到影响，由供应商自行承担相应责任。</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24.4 未按规定提交网上应答和上传加盖电子签章的电子响应文件的投标将被拒绝。</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25. 供应商须承诺接受电子投标的方式，并自行承担由此带来的废标、无效投标的风险。</w:t>
      </w:r>
    </w:p>
    <w:p>
      <w:pPr>
        <w:pStyle w:val="21"/>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 xml:space="preserve">26. </w:t>
      </w:r>
      <w:r>
        <w:rPr>
          <w:rFonts w:ascii="Times New Roman" w:hAnsi="Times New Roman" w:eastAsia="宋体" w:cs="Times New Roman"/>
          <w:color w:val="auto"/>
        </w:rPr>
        <w:t>未按竞争性谈判文件的规定提交网上应答和上传加盖供应商电子签章的PDF格式电子响应文件（以通过天津公共资源电子签章客户端正确读取签章信息为准）的投标将被拒绝。</w:t>
      </w:r>
    </w:p>
    <w:p>
      <w:pPr>
        <w:pStyle w:val="21"/>
        <w:spacing w:line="360" w:lineRule="auto"/>
        <w:ind w:firstLine="448" w:firstLineChars="200"/>
        <w:jc w:val="both"/>
        <w:rPr>
          <w:rFonts w:ascii="Times New Roman" w:hAnsi="Times New Roman" w:eastAsia="宋体" w:cs="Times New Roman"/>
          <w:color w:val="auto"/>
        </w:rPr>
      </w:pPr>
    </w:p>
    <w:p>
      <w:pPr>
        <w:pStyle w:val="21"/>
        <w:spacing w:line="360" w:lineRule="auto"/>
        <w:jc w:val="center"/>
        <w:rPr>
          <w:rFonts w:ascii="Times New Roman" w:hAnsi="Times New Roman" w:eastAsia="宋体" w:cs="Times New Roman"/>
          <w:color w:val="auto"/>
        </w:rPr>
      </w:pPr>
      <w:r>
        <w:rPr>
          <w:rFonts w:hint="eastAsia" w:ascii="Times New Roman" w:hAnsi="Times New Roman" w:eastAsia="宋体" w:cs="Times New Roman"/>
          <w:color w:val="auto"/>
        </w:rPr>
        <w:t>E  谈判程序</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谈判步骤</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27.1 第一步：谈判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pStyle w:val="21"/>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谈判小组要求供应商澄清、说明或者更正响应文件应当以书面形式做出。</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27.2 第二步：谈判小组所有成员集中与单一供应商分别进行谈判。在谈判过程中，谈判小组可以根据谈判文件和谈判情况实质性变动采购需求中的技术、服务要求以及合同草案条款，但不得变动谈判文件中的其他内容。实质性变动的内容，须经采购人代表确认。</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对谈判文件做出的实质性变动是谈判文件的有效组成部分，谈判小组应当及时以书面形式同时通知所有参加谈判的供应商。</w:t>
      </w:r>
    </w:p>
    <w:p>
      <w:pPr>
        <w:pStyle w:val="21"/>
        <w:spacing w:line="360" w:lineRule="auto"/>
        <w:ind w:firstLine="448"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供应商应当按照谈判文件的变动情况和谈判小组的要求重新提交响应文件，应为PDF格式且加盖电子签章</w:t>
      </w:r>
      <w:r>
        <w:rPr>
          <w:rFonts w:ascii="Times New Roman" w:hAnsi="Times New Roman" w:eastAsia="宋体" w:cs="Times New Roman"/>
          <w:color w:val="auto"/>
        </w:rPr>
        <w:t>后于谈判小组规定的时间内通过天津市政府采购中心招投标系统“询标解答”上传至天津市政府采购中心招投标系统。</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未实质性响应谈判文件的响应文件按无效响应处理，谈判小组应当告知提交响应文件的供应商。</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27.3 第三步：经谈判确定实质性响应的供应商后，谈判小组应当要求所有实质性响应的供应商在规定时间内提交第二阶段响应文件，经审查无异议后，谈判小组应当要求所有实质性响应的供应商在规定时间提交最后报价。</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27.4 第四步：经谈判确定最终采购需求和提交最后报价的供应商后，由谈判小组根据最低评标价法的评审方法对提交最后报价的供应商按照最后报价由低到高顺序进行排序。</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27.5 第五步：谈判小组应当根据供应商的排序，推荐3名以上成交候选供应商，并编写评审报告。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27.6 出现下列情形之一的，采购人或者采购代理机构应当终止竞争性谈判采购活动，发布项目终止公告并说明原因，重新开展采购活动：</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（1）因情况变化，不再符合规定的竞争性谈判采购方式适用情形的；</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（2）出现影响采购公正的违法、违规行为的；</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（3）在采购过程中符合竞争要求的供应商或者报价未超过采购预算的供应商不足3家的，但《政府采购非招标采购方式管理办法》第二十七条第二款规定的情形除外。28. 评审方法及标准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28.1 谈判小组将根据竞争性谈判文件确定的评审原则和评审方法对确定为实质上响应竞争性谈判文件要求的投标进行评估和比较。</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28.2 谈判小组应当按照客观、公正、审慎的原则，根据竞争性谈判文件规定的评审程序、评审方法和评审标准进行独立评审。</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28.3 竞争性谈判文件内容违反国家有关强制性规定的，谈判小组应当停止评审并向采购人或者采购代理机构说明情况。</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28.4 对竞争性谈判文件中描述有歧义或前后不一致的地方，谈判小组有权进行评判，但对同一条款的评判应适用于每个供应商。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28.5 评审方法</w:t>
      </w:r>
    </w:p>
    <w:p>
      <w:pPr>
        <w:pStyle w:val="21"/>
        <w:spacing w:line="360" w:lineRule="auto"/>
        <w:ind w:firstLine="448" w:firstLineChars="200"/>
        <w:jc w:val="both"/>
        <w:rPr>
          <w:rFonts w:ascii="Times New Roman" w:hAnsi="Times New Roman" w:eastAsia="宋体" w:cs="Times New Roman"/>
          <w:color w:val="FF0000"/>
        </w:rPr>
      </w:pPr>
      <w:r>
        <w:rPr>
          <w:rFonts w:ascii="Times New Roman" w:hAnsi="Times New Roman" w:eastAsia="宋体" w:cs="Times New Roman"/>
          <w:color w:val="auto"/>
        </w:rPr>
        <w:t>（1）采用“最低评标价法”的评审方法，即全部满足竞争性谈判文件实质性要求，且符合采购需求、质量和服务相等的前提下，按照最终报价由低到高的顺序提出3名以上成交候选人，采购人</w:t>
      </w:r>
      <w:r>
        <w:rPr>
          <w:rFonts w:hint="eastAsia" w:ascii="Times New Roman" w:hAnsi="Times New Roman" w:eastAsia="宋体" w:cs="Times New Roman"/>
          <w:color w:val="auto"/>
        </w:rPr>
        <w:t>或谈判小组经采购人授权后</w:t>
      </w:r>
      <w:r>
        <w:rPr>
          <w:rFonts w:ascii="Times New Roman" w:hAnsi="Times New Roman" w:eastAsia="宋体" w:cs="Times New Roman"/>
          <w:color w:val="auto"/>
        </w:rPr>
        <w:t>按成交候选供应商顺序确定成交供应商。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（3）按照《关于调整优化节能产品、环境标志产品政府采购执行机制的通知》（财库〔2019〕9号）文件要求，对</w:t>
      </w:r>
      <w:r>
        <w:rPr>
          <w:rFonts w:ascii="Times New Roman" w:hAnsi="Times New Roman" w:cs="Times New Roman"/>
          <w:color w:val="auto"/>
        </w:rPr>
        <w:t>政府采购节能、环境标志品目清单内的产品实施</w:t>
      </w:r>
      <w:r>
        <w:rPr>
          <w:rFonts w:ascii="Times New Roman" w:hAnsi="Times New Roman" w:eastAsia="宋体" w:cs="Times New Roman"/>
          <w:color w:val="auto"/>
        </w:rPr>
        <w:t>优先采购和强制采购的评标方法。</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（4）谈判小组审查产品资质或检测报告等相关文件符合性时，应综合考虑行业特点、交易习惯、采购需求最本质原义等情况，而不应以响应文件中产品名称与竞争性谈判文件产品名称是否一致作为审查的标准。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（5）成交候选供应商产生办法：响应文件满足竞争性谈判文件全部实质性要求供应商，按照最终报价由低到高顺序确定3名以上成交候选供应商。</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28.6 出现以下任何情形取消谈判资格</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（1）响应文件未按竞争性谈判文件的要求加盖电子签章的；</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（2）谈判有效期短于竞争性谈判文件要求的；</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（3）响应文件中提供虚假</w:t>
      </w:r>
      <w:r>
        <w:rPr>
          <w:rFonts w:hint="eastAsia" w:ascii="Times New Roman" w:hAnsi="Times New Roman" w:eastAsia="宋体" w:cs="Times New Roman"/>
          <w:color w:val="auto"/>
        </w:rPr>
        <w:t>材料</w:t>
      </w:r>
      <w:r>
        <w:rPr>
          <w:rFonts w:ascii="Times New Roman" w:hAnsi="Times New Roman" w:eastAsia="宋体" w:cs="Times New Roman"/>
          <w:color w:val="auto"/>
        </w:rPr>
        <w:t>的；</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（4）不能满足竞争性谈判文件中任何一条实质性要求或加注“</w:t>
      </w:r>
      <w:r>
        <w:rPr>
          <w:rFonts w:hint="eastAsia" w:ascii="宋体" w:hAnsi="宋体" w:eastAsia="宋体" w:cs="宋体"/>
          <w:color w:val="auto"/>
        </w:rPr>
        <w:t>★</w:t>
      </w:r>
      <w:r>
        <w:rPr>
          <w:rFonts w:ascii="Times New Roman" w:hAnsi="Times New Roman" w:eastAsia="宋体" w:cs="Times New Roman"/>
          <w:color w:val="auto"/>
        </w:rPr>
        <w:t>”号条款出现负偏离或经谈判小组认定未实质性响应竞争性谈判文件要求的或响应内容不符合相关强制性规定的；</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（5）未按时进行网上解密或电子响应文件损坏、无效的；</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（6）谈判报价超出采购预算的；</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7</w:t>
      </w:r>
      <w:r>
        <w:rPr>
          <w:rFonts w:ascii="Times New Roman" w:hAnsi="Times New Roman" w:eastAsia="宋体" w:cs="Times New Roman"/>
          <w:color w:val="auto"/>
        </w:rPr>
        <w:t>）存在串通情形的；</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8</w:t>
      </w:r>
      <w:r>
        <w:rPr>
          <w:rFonts w:ascii="Times New Roman" w:hAnsi="Times New Roman" w:eastAsia="宋体" w:cs="Times New Roman"/>
          <w:color w:val="auto"/>
        </w:rPr>
        <w:t>）单位负责人或法定代表人为同一人，或者存在控股、管理关系的不同供应商，参加同一包或者未划分包的同一项目的，相关响应均无效；</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9</w:t>
      </w:r>
      <w:r>
        <w:rPr>
          <w:rFonts w:ascii="Times New Roman" w:hAnsi="Times New Roman" w:eastAsia="宋体" w:cs="Times New Roman"/>
          <w:color w:val="auto"/>
        </w:rPr>
        <w:t>）其他法定响应无效的情形。</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其他注意事项</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在谈判期间，供应商不得向谈判小组成员或采购代理机构询问评审情况、施加任何影响，不得进行旨在影响评审结果的活动。</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29.2 为保证定标的公正性，在评审过程中，谈判小组成员不得与供应商私下交换意见。在评审期间及谈判工作结束后，凡与评审情况有接触的任何人不得透露审查、澄清、评价和比较等投标的有关资料以及授标建议等评审情况。</w:t>
      </w:r>
    </w:p>
    <w:p>
      <w:pPr>
        <w:pStyle w:val="21"/>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29.3 本项目不接受赠品、回扣或者与采购无关的其他商品、服务。</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如果几个供应商所投整包产品为同一品牌时，在服务承诺符合竞争性谈判文件的情况下，最低的供应商入围评审阶段。</w:t>
      </w:r>
    </w:p>
    <w:p>
      <w:pPr>
        <w:pStyle w:val="21"/>
        <w:spacing w:line="360" w:lineRule="auto"/>
        <w:ind w:firstLine="448" w:firstLineChars="200"/>
        <w:jc w:val="both"/>
        <w:rPr>
          <w:rFonts w:ascii="Times New Roman" w:hAnsi="Times New Roman" w:eastAsia="宋体" w:cs="Times New Roman"/>
          <w:color w:val="auto"/>
        </w:rPr>
      </w:pPr>
    </w:p>
    <w:p>
      <w:pPr>
        <w:pStyle w:val="21"/>
        <w:spacing w:line="360" w:lineRule="auto"/>
        <w:ind w:firstLine="448" w:firstLineChars="200"/>
        <w:jc w:val="center"/>
        <w:rPr>
          <w:rFonts w:ascii="Times New Roman" w:hAnsi="Times New Roman" w:eastAsia="宋体" w:cs="Times New Roman"/>
          <w:color w:val="auto"/>
        </w:rPr>
      </w:pPr>
      <w:r>
        <w:rPr>
          <w:rFonts w:ascii="Times New Roman" w:hAnsi="Times New Roman" w:eastAsia="宋体" w:cs="Times New Roman"/>
          <w:color w:val="auto"/>
        </w:rPr>
        <w:t>F  授予合同</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成交供应商的产生</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30.1 采购人可以事先授权谈判小组直接确定成交供应商。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30.2 采购人也可以按照《中华人民共和国政府采购法》及其实施条例等法律法规的规定和竞争性谈判文件的要求确认成交供应商。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成交通知</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成交公告发布同时，采购代理机构将通过天津市政府采购中心招投标系统以电子形式向成交供应商发出《成交通知书》（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查看项目文件”中获取）。《成交通知书》一经发出即发生法律效力。</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签订合同</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采购人与成交供应商应当在成交通知书发出之日起三十日内，按照竞争性谈判文件确定的事项签订政府采购合同。合同文本请使用天津市中环认证服务有限公司发出的CA数字证书（原天津市电子认证中心发出尚在有效期内的CA数字证书仍可使用）登陆天津市政府采购中心网（网址：http://tjgpc.zwfwb.tj.gov.cn）-”网上招投标”-“供应商登录”-“市级集采机构入口”，并从“供应商系统”的“合同”中获取。</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竞争性谈判文件、成交供应商的响应文件及其澄清文件等，均为签订合同的依据，且为合同的组成部分。</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履约保证金</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33.1 </w:t>
      </w:r>
      <w:r>
        <w:rPr>
          <w:rFonts w:hint="eastAsia" w:ascii="Times New Roman" w:hAnsi="Times New Roman" w:eastAsia="宋体" w:cs="Times New Roman"/>
          <w:color w:val="auto"/>
        </w:rPr>
        <w:t>若《谈判项目需求》规定须提交履约保证金的，成交供应商须按照规定要求提交履约保证金。</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成交供应商未能按合同规定履行其义务，采购人有权没收履约保证金。</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34. 成交供应商拒绝与采购人签订合同的，采购人可以按照评审报告推荐的成交候选人名单排序，确定下一候选人为成交供应商，也可以重新开展政府采购活动。</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35. 合同分包</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35.1 未经采购人同意，成交供应商不得分包合同。</w:t>
      </w:r>
    </w:p>
    <w:p>
      <w:pPr>
        <w:pStyle w:val="21"/>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35.2 政府采购合同分包履行的，成交供应商就采购项目和分包项目向采购人负责，分包供应商就分包项目承担责任。</w:t>
      </w:r>
    </w:p>
    <w:p>
      <w:pPr>
        <w:pStyle w:val="9"/>
        <w:rPr>
          <w:rFonts w:ascii="Times New Roman" w:hAnsi="Times New Roman"/>
        </w:rPr>
      </w:pPr>
      <w:r>
        <w:rPr>
          <w:rFonts w:ascii="Times New Roman" w:hAnsi="Times New Roman" w:eastAsia="仿宋_GB2312"/>
          <w:b w:val="0"/>
          <w:bCs w:val="0"/>
          <w:color w:val="5F5F5F"/>
          <w:spacing w:val="20"/>
          <w:w w:val="66"/>
          <w:sz w:val="44"/>
          <w:szCs w:val="44"/>
        </w:rPr>
        <w:br w:type="page"/>
      </w:r>
      <w:r>
        <w:rPr>
          <w:rFonts w:ascii="Times New Roman" w:hAnsi="Times New Roman"/>
        </w:rPr>
        <w:t>第四部分  合同条款</w:t>
      </w:r>
    </w:p>
    <w:p>
      <w:pPr>
        <w:tabs>
          <w:tab w:val="left" w:pos="412"/>
          <w:tab w:val="left" w:pos="618"/>
        </w:tabs>
        <w:spacing w:line="520" w:lineRule="exact"/>
        <w:jc w:val="center"/>
        <w:rPr>
          <w:b/>
          <w:sz w:val="30"/>
          <w:szCs w:val="30"/>
        </w:rPr>
      </w:pPr>
      <w:r>
        <w:rPr>
          <w:b/>
          <w:sz w:val="30"/>
          <w:szCs w:val="30"/>
        </w:rPr>
        <w:t>合同一般条款</w:t>
      </w:r>
    </w:p>
    <w:p>
      <w:pPr>
        <w:tabs>
          <w:tab w:val="left" w:pos="0"/>
          <w:tab w:val="left" w:pos="315"/>
        </w:tabs>
        <w:spacing w:line="520" w:lineRule="exact"/>
        <w:ind w:firstLine="480"/>
        <w:rPr>
          <w:sz w:val="24"/>
          <w:szCs w:val="24"/>
        </w:rPr>
      </w:pPr>
      <w:r>
        <w:rPr>
          <w:sz w:val="24"/>
          <w:szCs w:val="24"/>
        </w:rPr>
        <w:t xml:space="preserve">需方：  </w:t>
      </w:r>
    </w:p>
    <w:p>
      <w:pPr>
        <w:tabs>
          <w:tab w:val="left" w:pos="0"/>
          <w:tab w:val="left" w:pos="315"/>
        </w:tabs>
        <w:spacing w:line="520" w:lineRule="exact"/>
        <w:ind w:firstLine="480"/>
        <w:rPr>
          <w:sz w:val="24"/>
          <w:szCs w:val="24"/>
        </w:rPr>
      </w:pPr>
      <w:r>
        <w:rPr>
          <w:sz w:val="24"/>
          <w:szCs w:val="24"/>
        </w:rPr>
        <w:t xml:space="preserve">供方： </w:t>
      </w:r>
    </w:p>
    <w:p>
      <w:pPr>
        <w:tabs>
          <w:tab w:val="left" w:pos="0"/>
          <w:tab w:val="left" w:pos="315"/>
        </w:tabs>
        <w:spacing w:line="520" w:lineRule="exact"/>
        <w:ind w:firstLine="480"/>
        <w:rPr>
          <w:sz w:val="24"/>
          <w:szCs w:val="24"/>
        </w:rPr>
      </w:pPr>
      <w:r>
        <w:rPr>
          <w:sz w:val="24"/>
          <w:szCs w:val="24"/>
        </w:rPr>
        <w:t>供、需双方根据   项目（项目编号：TGPC-201 - ）的政府采购结果和竞争性谈判文件的要求，并经双方协商一致，达成  合同：</w:t>
      </w:r>
    </w:p>
    <w:p>
      <w:pPr>
        <w:pStyle w:val="27"/>
        <w:numPr>
          <w:ilvl w:val="0"/>
          <w:numId w:val="1"/>
        </w:numPr>
        <w:spacing w:line="480" w:lineRule="exact"/>
        <w:ind w:firstLineChars="0"/>
        <w:rPr>
          <w:sz w:val="24"/>
        </w:rPr>
      </w:pPr>
      <w:r>
        <w:rPr>
          <w:rFonts w:hint="eastAsia"/>
          <w:sz w:val="24"/>
        </w:rPr>
        <w:t>本合同为中小企业预留合同</w:t>
      </w:r>
    </w:p>
    <w:p>
      <w:pPr>
        <w:pStyle w:val="27"/>
        <w:numPr>
          <w:ilvl w:val="0"/>
          <w:numId w:val="1"/>
        </w:numPr>
        <w:spacing w:line="480" w:lineRule="exact"/>
        <w:ind w:firstLineChars="0"/>
        <w:rPr>
          <w:sz w:val="24"/>
        </w:rPr>
      </w:pPr>
      <w:r>
        <w:rPr>
          <w:rFonts w:hint="eastAsia"/>
          <w:sz w:val="24"/>
        </w:rPr>
        <w:t>本合同非中小企业预留合同</w:t>
      </w:r>
    </w:p>
    <w:p>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pPr>
        <w:tabs>
          <w:tab w:val="left" w:pos="1133"/>
        </w:tabs>
        <w:spacing w:line="520" w:lineRule="exact"/>
        <w:ind w:firstLine="448" w:firstLineChars="200"/>
        <w:rPr>
          <w:sz w:val="24"/>
          <w:szCs w:val="24"/>
        </w:rPr>
      </w:pPr>
      <w:r>
        <w:rPr>
          <w:sz w:val="24"/>
          <w:szCs w:val="24"/>
        </w:rPr>
        <w:t>一、采购内容：  （详见附件）</w:t>
      </w:r>
    </w:p>
    <w:p>
      <w:pPr>
        <w:tabs>
          <w:tab w:val="left" w:pos="1133"/>
        </w:tabs>
        <w:spacing w:line="520" w:lineRule="exact"/>
        <w:ind w:firstLine="448" w:firstLineChars="200"/>
        <w:rPr>
          <w:sz w:val="24"/>
          <w:szCs w:val="24"/>
        </w:rPr>
      </w:pPr>
      <w:r>
        <w:rPr>
          <w:sz w:val="24"/>
          <w:szCs w:val="24"/>
        </w:rPr>
        <w:t xml:space="preserve">    合同总价款：人民币  元</w:t>
      </w:r>
    </w:p>
    <w:p>
      <w:pPr>
        <w:tabs>
          <w:tab w:val="left" w:pos="1133"/>
        </w:tabs>
        <w:spacing w:line="520" w:lineRule="exact"/>
        <w:ind w:firstLine="448" w:firstLineChars="200"/>
        <w:rPr>
          <w:sz w:val="24"/>
          <w:szCs w:val="24"/>
        </w:rPr>
      </w:pPr>
      <w:r>
        <w:rPr>
          <w:sz w:val="24"/>
          <w:szCs w:val="24"/>
        </w:rPr>
        <w:t xml:space="preserve">    大写：人民币  元整</w:t>
      </w:r>
    </w:p>
    <w:p>
      <w:pPr>
        <w:tabs>
          <w:tab w:val="left" w:pos="360"/>
        </w:tabs>
        <w:spacing w:line="520" w:lineRule="exact"/>
        <w:ind w:firstLine="448" w:firstLineChars="200"/>
        <w:rPr>
          <w:sz w:val="24"/>
          <w:szCs w:val="24"/>
        </w:rPr>
      </w:pPr>
      <w:r>
        <w:rPr>
          <w:sz w:val="24"/>
          <w:szCs w:val="24"/>
        </w:rPr>
        <w:t>二、质量要求及对质量负责条件和期限：见附件。</w:t>
      </w:r>
    </w:p>
    <w:p>
      <w:pPr>
        <w:tabs>
          <w:tab w:val="left" w:pos="360"/>
        </w:tabs>
        <w:spacing w:line="520" w:lineRule="exact"/>
        <w:ind w:firstLine="448" w:firstLineChars="200"/>
        <w:rPr>
          <w:sz w:val="24"/>
          <w:szCs w:val="24"/>
        </w:rPr>
      </w:pPr>
      <w:r>
        <w:rPr>
          <w:sz w:val="24"/>
          <w:szCs w:val="24"/>
        </w:rPr>
        <w:t>三、供方所提供的服务必须具有合法手续及相关文件。如涉及知识产权则必须是自己拥有或合法使用的。</w:t>
      </w:r>
    </w:p>
    <w:p>
      <w:pPr>
        <w:tabs>
          <w:tab w:val="left" w:pos="360"/>
        </w:tabs>
        <w:spacing w:line="520" w:lineRule="exact"/>
        <w:ind w:firstLine="448" w:firstLineChars="200"/>
        <w:rPr>
          <w:sz w:val="24"/>
          <w:szCs w:val="24"/>
        </w:rPr>
      </w:pPr>
      <w:r>
        <w:rPr>
          <w:sz w:val="24"/>
          <w:szCs w:val="24"/>
        </w:rPr>
        <w:t>四、交货时间、地点、方式：见附件。</w:t>
      </w:r>
    </w:p>
    <w:p>
      <w:pPr>
        <w:tabs>
          <w:tab w:val="left" w:pos="360"/>
        </w:tabs>
        <w:spacing w:line="520" w:lineRule="exact"/>
        <w:ind w:firstLine="448" w:firstLineChars="200"/>
        <w:rPr>
          <w:sz w:val="24"/>
          <w:szCs w:val="24"/>
        </w:rPr>
      </w:pPr>
      <w:r>
        <w:rPr>
          <w:sz w:val="24"/>
          <w:szCs w:val="24"/>
        </w:rPr>
        <w:t>五、供方应随货物向需方交付服务的相关的资料。如果所提交文件是外文的，供方有义务为需方提供中文或译成中文文件。</w:t>
      </w:r>
    </w:p>
    <w:p>
      <w:pPr>
        <w:tabs>
          <w:tab w:val="left" w:pos="360"/>
          <w:tab w:val="left" w:pos="721"/>
        </w:tabs>
        <w:spacing w:line="520" w:lineRule="exact"/>
        <w:rPr>
          <w:sz w:val="24"/>
          <w:szCs w:val="24"/>
        </w:rPr>
      </w:pPr>
      <w:r>
        <w:rPr>
          <w:sz w:val="24"/>
          <w:szCs w:val="24"/>
        </w:rPr>
        <w:t xml:space="preserve">    六、验收工作由需方负责对合同进行验收。</w:t>
      </w:r>
    </w:p>
    <w:p>
      <w:pPr>
        <w:tabs>
          <w:tab w:val="left" w:pos="360"/>
        </w:tabs>
        <w:spacing w:line="520" w:lineRule="exact"/>
        <w:rPr>
          <w:sz w:val="24"/>
          <w:szCs w:val="24"/>
        </w:rPr>
      </w:pPr>
      <w:r>
        <w:rPr>
          <w:sz w:val="24"/>
          <w:szCs w:val="24"/>
        </w:rPr>
        <w:t xml:space="preserve">    七、货款支付方式：见附件。</w:t>
      </w:r>
    </w:p>
    <w:p>
      <w:pPr>
        <w:tabs>
          <w:tab w:val="left" w:pos="0"/>
          <w:tab w:val="left" w:pos="721"/>
        </w:tabs>
        <w:spacing w:line="520" w:lineRule="exact"/>
        <w:ind w:firstLine="448" w:firstLineChars="200"/>
        <w:rPr>
          <w:sz w:val="24"/>
          <w:szCs w:val="24"/>
        </w:rPr>
      </w:pPr>
      <w:r>
        <w:rPr>
          <w:sz w:val="24"/>
          <w:szCs w:val="24"/>
        </w:rPr>
        <w:t>供方开户银行（汉字全称）：</w:t>
      </w:r>
      <w:r>
        <w:rPr>
          <w:sz w:val="24"/>
          <w:szCs w:val="24"/>
          <w:u w:val="single"/>
        </w:rPr>
        <w:t xml:space="preserve">                                        </w:t>
      </w:r>
      <w:r>
        <w:rPr>
          <w:sz w:val="24"/>
          <w:szCs w:val="24"/>
        </w:rPr>
        <w:t>，</w:t>
      </w:r>
    </w:p>
    <w:p>
      <w:pPr>
        <w:tabs>
          <w:tab w:val="left" w:pos="0"/>
          <w:tab w:val="left" w:pos="721"/>
        </w:tabs>
        <w:spacing w:line="520" w:lineRule="exact"/>
        <w:ind w:firstLine="479" w:firstLineChars="214"/>
        <w:rPr>
          <w:sz w:val="24"/>
          <w:szCs w:val="24"/>
        </w:rPr>
      </w:pPr>
      <w:r>
        <w:rPr>
          <w:sz w:val="24"/>
          <w:szCs w:val="24"/>
        </w:rPr>
        <w:t>行号（数字代码）：</w:t>
      </w:r>
      <w:r>
        <w:rPr>
          <w:sz w:val="24"/>
          <w:szCs w:val="24"/>
          <w:u w:val="single"/>
        </w:rPr>
        <w:t xml:space="preserve">                                                </w:t>
      </w:r>
      <w:r>
        <w:rPr>
          <w:sz w:val="24"/>
          <w:szCs w:val="24"/>
        </w:rPr>
        <w:t>，</w:t>
      </w:r>
    </w:p>
    <w:p>
      <w:pPr>
        <w:tabs>
          <w:tab w:val="left" w:pos="0"/>
          <w:tab w:val="left" w:pos="721"/>
        </w:tabs>
        <w:spacing w:line="520" w:lineRule="exact"/>
        <w:ind w:firstLine="479" w:firstLineChars="214"/>
        <w:rPr>
          <w:sz w:val="24"/>
          <w:szCs w:val="24"/>
        </w:rPr>
      </w:pPr>
      <w:r>
        <w:rPr>
          <w:sz w:val="24"/>
          <w:szCs w:val="24"/>
        </w:rPr>
        <w:t>帐       号：</w:t>
      </w:r>
      <w:r>
        <w:rPr>
          <w:sz w:val="24"/>
          <w:szCs w:val="24"/>
          <w:u w:val="single"/>
        </w:rPr>
        <w:t xml:space="preserve">                                                   </w:t>
      </w:r>
      <w:r>
        <w:rPr>
          <w:szCs w:val="24"/>
        </w:rPr>
        <w:t>。</w:t>
      </w:r>
    </w:p>
    <w:p>
      <w:pPr>
        <w:tabs>
          <w:tab w:val="left" w:pos="0"/>
          <w:tab w:val="left" w:pos="360"/>
        </w:tabs>
        <w:spacing w:line="520" w:lineRule="exact"/>
        <w:ind w:firstLine="448" w:firstLineChars="200"/>
        <w:rPr>
          <w:sz w:val="24"/>
          <w:szCs w:val="24"/>
        </w:rPr>
      </w:pPr>
      <w:r>
        <w:rPr>
          <w:sz w:val="24"/>
          <w:szCs w:val="24"/>
        </w:rPr>
        <w:t>八、合同约定的交货期（竣工期）或验收期届满，需方由于不具备现场条件导致供方无法验收，合同顺延，延期30日以上，需方应按约定付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pPr>
        <w:pStyle w:val="5"/>
        <w:spacing w:line="520" w:lineRule="exact"/>
        <w:ind w:left="-97" w:leftChars="-50" w:firstLine="448" w:firstLineChars="200"/>
        <w:rPr>
          <w:sz w:val="24"/>
          <w:szCs w:val="24"/>
        </w:rPr>
      </w:pPr>
      <w:r>
        <w:rPr>
          <w:sz w:val="24"/>
          <w:szCs w:val="24"/>
        </w:rPr>
        <w:t>九、有关涉及本合同供方向天津市政府采购中心所提交的响应文件及有关澄清资料和服务承诺均视为本合同不可分割的部分，对供方具有约束力。</w:t>
      </w:r>
    </w:p>
    <w:p>
      <w:pPr>
        <w:tabs>
          <w:tab w:val="left" w:pos="0"/>
          <w:tab w:val="left" w:pos="315"/>
        </w:tabs>
        <w:spacing w:line="520" w:lineRule="exact"/>
        <w:rPr>
          <w:sz w:val="24"/>
          <w:szCs w:val="24"/>
        </w:rPr>
      </w:pPr>
      <w:r>
        <w:rPr>
          <w:sz w:val="24"/>
          <w:szCs w:val="24"/>
        </w:rPr>
        <w:t>十、本合同一式   份，需方留存   份，供方留存   份，均具同等效力，签字盖章后生效。</w:t>
      </w:r>
    </w:p>
    <w:tbl>
      <w:tblPr>
        <w:tblStyle w:val="11"/>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tcPr>
          <w:p>
            <w:pPr>
              <w:tabs>
                <w:tab w:val="left" w:pos="0"/>
                <w:tab w:val="left" w:pos="315"/>
              </w:tabs>
              <w:spacing w:line="520" w:lineRule="exact"/>
              <w:rPr>
                <w:sz w:val="24"/>
                <w:szCs w:val="24"/>
              </w:rPr>
            </w:pPr>
            <w:r>
              <w:rPr>
                <w:sz w:val="24"/>
                <w:szCs w:val="24"/>
              </w:rPr>
              <w:t xml:space="preserve">供方（公章）： </w:t>
            </w:r>
          </w:p>
        </w:tc>
        <w:tc>
          <w:tcPr>
            <w:tcW w:w="4261" w:type="dxa"/>
          </w:tcPr>
          <w:p>
            <w:pPr>
              <w:tabs>
                <w:tab w:val="left" w:pos="0"/>
                <w:tab w:val="left" w:pos="315"/>
              </w:tabs>
              <w:spacing w:line="520" w:lineRule="exact"/>
              <w:rPr>
                <w:sz w:val="24"/>
                <w:szCs w:val="24"/>
              </w:rPr>
            </w:pPr>
            <w:r>
              <w:rPr>
                <w:sz w:val="24"/>
                <w:szCs w:val="24"/>
              </w:rPr>
              <w:t xml:space="preserve">需方（公章）： </w:t>
            </w:r>
          </w:p>
        </w:tc>
      </w:tr>
      <w:tr>
        <w:tblPrEx>
          <w:tblCellMar>
            <w:top w:w="0" w:type="dxa"/>
            <w:left w:w="108" w:type="dxa"/>
            <w:bottom w:w="0" w:type="dxa"/>
            <w:right w:w="108" w:type="dxa"/>
          </w:tblCellMar>
        </w:tblPrEx>
        <w:tc>
          <w:tcPr>
            <w:tcW w:w="4261" w:type="dxa"/>
          </w:tcPr>
          <w:p>
            <w:pPr>
              <w:tabs>
                <w:tab w:val="left" w:pos="0"/>
                <w:tab w:val="left" w:pos="315"/>
              </w:tabs>
              <w:spacing w:line="520" w:lineRule="exact"/>
              <w:rPr>
                <w:sz w:val="24"/>
                <w:szCs w:val="24"/>
              </w:rPr>
            </w:pPr>
            <w:r>
              <w:rPr>
                <w:sz w:val="24"/>
                <w:szCs w:val="24"/>
              </w:rPr>
              <w:t xml:space="preserve">地址：  </w:t>
            </w:r>
          </w:p>
        </w:tc>
        <w:tc>
          <w:tcPr>
            <w:tcW w:w="4261" w:type="dxa"/>
          </w:tcPr>
          <w:p>
            <w:pPr>
              <w:tabs>
                <w:tab w:val="left" w:pos="0"/>
                <w:tab w:val="left" w:pos="315"/>
              </w:tabs>
              <w:spacing w:line="520" w:lineRule="exact"/>
              <w:rPr>
                <w:sz w:val="24"/>
                <w:szCs w:val="24"/>
              </w:rPr>
            </w:pPr>
            <w:r>
              <w:rPr>
                <w:sz w:val="24"/>
                <w:szCs w:val="24"/>
              </w:rPr>
              <w:t xml:space="preserve">地址： </w:t>
            </w:r>
          </w:p>
        </w:tc>
      </w:tr>
      <w:tr>
        <w:tblPrEx>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 xml:space="preserve">法定代表人： </w:t>
            </w:r>
          </w:p>
        </w:tc>
        <w:tc>
          <w:tcPr>
            <w:tcW w:w="4261" w:type="dxa"/>
          </w:tcPr>
          <w:p>
            <w:pPr>
              <w:tabs>
                <w:tab w:val="left" w:pos="360"/>
              </w:tabs>
              <w:spacing w:line="520" w:lineRule="exact"/>
              <w:rPr>
                <w:sz w:val="24"/>
                <w:szCs w:val="24"/>
              </w:rPr>
            </w:pPr>
            <w:r>
              <w:rPr>
                <w:sz w:val="24"/>
                <w:szCs w:val="24"/>
              </w:rPr>
              <w:t xml:space="preserve">法定代表人： </w:t>
            </w:r>
          </w:p>
        </w:tc>
      </w:tr>
      <w:tr>
        <w:tblPrEx>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 xml:space="preserve">委托代理人： </w:t>
            </w:r>
          </w:p>
        </w:tc>
        <w:tc>
          <w:tcPr>
            <w:tcW w:w="4261" w:type="dxa"/>
          </w:tcPr>
          <w:p>
            <w:pPr>
              <w:tabs>
                <w:tab w:val="left" w:pos="360"/>
              </w:tabs>
              <w:spacing w:line="520" w:lineRule="exact"/>
              <w:rPr>
                <w:sz w:val="24"/>
                <w:szCs w:val="24"/>
              </w:rPr>
            </w:pPr>
            <w:r>
              <w:rPr>
                <w:sz w:val="24"/>
                <w:szCs w:val="24"/>
              </w:rPr>
              <w:t xml:space="preserve">委托代理人： </w:t>
            </w:r>
          </w:p>
        </w:tc>
      </w:tr>
      <w:tr>
        <w:tblPrEx>
          <w:tblCellMar>
            <w:top w:w="0" w:type="dxa"/>
            <w:left w:w="108" w:type="dxa"/>
            <w:bottom w:w="0" w:type="dxa"/>
            <w:right w:w="108" w:type="dxa"/>
          </w:tblCellMar>
        </w:tblPrEx>
        <w:tc>
          <w:tcPr>
            <w:tcW w:w="4261" w:type="dxa"/>
          </w:tcPr>
          <w:p>
            <w:pPr>
              <w:tabs>
                <w:tab w:val="left" w:pos="360"/>
              </w:tabs>
              <w:spacing w:line="520" w:lineRule="exact"/>
              <w:rPr>
                <w:sz w:val="24"/>
                <w:szCs w:val="24"/>
              </w:rPr>
            </w:pPr>
            <w:r>
              <w:rPr>
                <w:sz w:val="24"/>
                <w:szCs w:val="24"/>
              </w:rPr>
              <w:t>电话：</w:t>
            </w:r>
          </w:p>
        </w:tc>
        <w:tc>
          <w:tcPr>
            <w:tcW w:w="4261" w:type="dxa"/>
          </w:tcPr>
          <w:p>
            <w:pPr>
              <w:tabs>
                <w:tab w:val="left" w:pos="360"/>
              </w:tabs>
              <w:spacing w:line="520" w:lineRule="exact"/>
              <w:rPr>
                <w:sz w:val="24"/>
                <w:szCs w:val="24"/>
              </w:rPr>
            </w:pPr>
            <w:r>
              <w:rPr>
                <w:sz w:val="24"/>
                <w:szCs w:val="24"/>
              </w:rPr>
              <w:t>电话：</w:t>
            </w:r>
          </w:p>
        </w:tc>
      </w:tr>
    </w:tbl>
    <w:p>
      <w:pPr>
        <w:rPr>
          <w:sz w:val="24"/>
          <w:szCs w:val="24"/>
        </w:rPr>
      </w:pPr>
    </w:p>
    <w:p>
      <w:pPr>
        <w:rPr>
          <w:szCs w:val="24"/>
        </w:rPr>
      </w:pPr>
      <w:r>
        <w:rPr>
          <w:sz w:val="24"/>
          <w:szCs w:val="24"/>
        </w:rPr>
        <w:t>时间：</w:t>
      </w:r>
      <w:r>
        <w:rPr>
          <w:rFonts w:hint="eastAsia"/>
          <w:sz w:val="24"/>
          <w:szCs w:val="24"/>
        </w:rPr>
        <w:t xml:space="preserve">  </w:t>
      </w:r>
      <w:r>
        <w:rPr>
          <w:sz w:val="24"/>
          <w:szCs w:val="24"/>
        </w:rPr>
        <w:t>年  月  日</w:t>
      </w:r>
    </w:p>
    <w:p>
      <w:pPr>
        <w:jc w:val="center"/>
        <w:rPr>
          <w:b/>
          <w:sz w:val="30"/>
          <w:szCs w:val="30"/>
        </w:rPr>
      </w:pPr>
      <w:r>
        <w:rPr>
          <w:b/>
          <w:sz w:val="30"/>
          <w:szCs w:val="30"/>
        </w:rPr>
        <w:br w:type="page"/>
      </w:r>
      <w:r>
        <w:rPr>
          <w:b/>
          <w:sz w:val="30"/>
          <w:szCs w:val="30"/>
        </w:rPr>
        <w:t>合同特殊条款</w:t>
      </w:r>
    </w:p>
    <w:p>
      <w:pPr>
        <w:tabs>
          <w:tab w:val="left" w:pos="360"/>
        </w:tabs>
        <w:spacing w:line="520" w:lineRule="exact"/>
        <w:ind w:firstLine="383" w:firstLineChars="171"/>
        <w:rPr>
          <w:color w:val="000000"/>
          <w:sz w:val="24"/>
          <w:szCs w:val="24"/>
        </w:rPr>
      </w:pPr>
    </w:p>
    <w:p>
      <w:pPr>
        <w:tabs>
          <w:tab w:val="left" w:pos="360"/>
        </w:tabs>
        <w:spacing w:line="520" w:lineRule="exact"/>
        <w:ind w:firstLine="383" w:firstLineChars="171"/>
        <w:rPr>
          <w:color w:val="000000"/>
          <w:sz w:val="24"/>
          <w:szCs w:val="24"/>
        </w:rPr>
      </w:pPr>
      <w:r>
        <w:rPr>
          <w:color w:val="000000"/>
          <w:sz w:val="24"/>
          <w:szCs w:val="24"/>
        </w:rPr>
        <w:t xml:space="preserve"> 合同特殊条款是合同一般条款的补充和修改。如果两者之间有抵触，应以特殊条款为准。</w:t>
      </w:r>
    </w:p>
    <w:p>
      <w:pPr>
        <w:tabs>
          <w:tab w:val="left" w:pos="360"/>
        </w:tabs>
        <w:spacing w:line="520" w:lineRule="exact"/>
        <w:ind w:firstLine="383" w:firstLineChars="171"/>
        <w:rPr>
          <w:color w:val="000000"/>
          <w:sz w:val="24"/>
          <w:szCs w:val="24"/>
        </w:rPr>
      </w:pPr>
      <w:r>
        <w:rPr>
          <w:color w:val="000000"/>
          <w:sz w:val="24"/>
          <w:szCs w:val="24"/>
        </w:rPr>
        <w:t xml:space="preserve"> 合同特殊条款由成交单位和货物（或工程、服务）需求方及代理方根据货物项目的具体情况协商拟订。</w:t>
      </w:r>
    </w:p>
    <w:p>
      <w:pPr>
        <w:pStyle w:val="9"/>
        <w:rPr>
          <w:rFonts w:ascii="Times New Roman" w:hAnsi="Times New Roman"/>
        </w:rPr>
      </w:pPr>
      <w:r>
        <w:rPr>
          <w:rFonts w:ascii="Times New Roman" w:hAnsi="Times New Roman" w:eastAsia="仿宋_GB2312"/>
          <w:b w:val="0"/>
          <w:bCs w:val="0"/>
          <w:color w:val="5F5F5F"/>
          <w:spacing w:val="20"/>
          <w:w w:val="66"/>
          <w:sz w:val="44"/>
          <w:szCs w:val="44"/>
        </w:rPr>
        <w:br w:type="page"/>
      </w:r>
      <w:r>
        <w:rPr>
          <w:rFonts w:ascii="Times New Roman" w:hAnsi="Times New Roman"/>
        </w:rPr>
        <w:t xml:space="preserve">第五部分  </w:t>
      </w:r>
      <w:r>
        <w:rPr>
          <w:rFonts w:ascii="Times New Roman" w:hAnsi="Times New Roman"/>
          <w:lang w:eastAsia="zh-CN"/>
        </w:rPr>
        <w:t>响应</w:t>
      </w:r>
      <w:r>
        <w:rPr>
          <w:rFonts w:ascii="Times New Roman" w:hAnsi="Times New Roman"/>
        </w:rPr>
        <w:t>文件格式</w:t>
      </w:r>
    </w:p>
    <w:p>
      <w:pPr>
        <w:autoSpaceDN w:val="0"/>
        <w:spacing w:line="360" w:lineRule="auto"/>
        <w:jc w:val="center"/>
        <w:rPr>
          <w:b/>
          <w:bCs/>
          <w:sz w:val="24"/>
        </w:rPr>
      </w:pPr>
      <w:r>
        <w:rPr>
          <w:b/>
          <w:bCs/>
          <w:sz w:val="24"/>
        </w:rPr>
        <w:t>响应文件封面格式</w:t>
      </w:r>
    </w:p>
    <w:p>
      <w:pPr>
        <w:autoSpaceDE w:val="0"/>
        <w:autoSpaceDN w:val="0"/>
        <w:adjustRightInd w:val="0"/>
        <w:spacing w:line="520" w:lineRule="exact"/>
      </w:pPr>
    </w:p>
    <w:p>
      <w:pPr>
        <w:autoSpaceDE w:val="0"/>
        <w:autoSpaceDN w:val="0"/>
        <w:adjustRightInd w:val="0"/>
        <w:spacing w:line="520" w:lineRule="exact"/>
        <w:rPr>
          <w:b/>
          <w:kern w:val="0"/>
          <w:sz w:val="24"/>
        </w:rPr>
      </w:pPr>
      <w:r>
        <w:drawing>
          <wp:anchor distT="0" distB="0" distL="114300" distR="114300" simplePos="0" relativeHeight="251661312"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pPr>
        <w:autoSpaceDE w:val="0"/>
        <w:autoSpaceDN w:val="0"/>
        <w:adjustRightInd w:val="0"/>
        <w:spacing w:line="520" w:lineRule="exact"/>
        <w:rPr>
          <w:b/>
          <w:kern w:val="0"/>
          <w:sz w:val="24"/>
        </w:rPr>
      </w:pPr>
    </w:p>
    <w:p>
      <w:pPr>
        <w:autoSpaceDE w:val="0"/>
        <w:autoSpaceDN w:val="0"/>
        <w:adjustRightInd w:val="0"/>
        <w:spacing w:line="520" w:lineRule="exact"/>
        <w:rPr>
          <w:b/>
          <w:kern w:val="0"/>
          <w:sz w:val="24"/>
        </w:rPr>
      </w:pPr>
    </w:p>
    <w:p>
      <w:pPr>
        <w:autoSpaceDE w:val="0"/>
        <w:autoSpaceDN w:val="0"/>
        <w:adjustRightInd w:val="0"/>
        <w:jc w:val="center"/>
        <w:rPr>
          <w:kern w:val="0"/>
          <w:sz w:val="144"/>
          <w:szCs w:val="144"/>
        </w:rPr>
      </w:pPr>
      <w:r>
        <w:rPr>
          <w:sz w:val="160"/>
          <w:szCs w:val="84"/>
        </w:rPr>
        <w:t>响 应</w:t>
      </w:r>
      <w:r>
        <w:rPr>
          <w:sz w:val="84"/>
          <w:szCs w:val="84"/>
        </w:rPr>
        <w:t xml:space="preserve"> </w:t>
      </w:r>
      <w:r>
        <w:rPr>
          <w:sz w:val="160"/>
          <w:szCs w:val="84"/>
        </w:rPr>
        <w:t>文</w:t>
      </w:r>
      <w:r>
        <w:rPr>
          <w:sz w:val="84"/>
          <w:szCs w:val="84"/>
        </w:rPr>
        <w:t xml:space="preserve"> </w:t>
      </w:r>
      <w:r>
        <w:rPr>
          <w:sz w:val="160"/>
          <w:szCs w:val="84"/>
        </w:rPr>
        <w:t>件</w:t>
      </w:r>
    </w:p>
    <w:p>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加盖电子签章 ）</w:t>
      </w:r>
    </w:p>
    <w:p>
      <w:pPr>
        <w:autoSpaceDE w:val="0"/>
        <w:autoSpaceDN w:val="0"/>
        <w:adjustRightInd w:val="0"/>
        <w:spacing w:line="520" w:lineRule="exact"/>
        <w:jc w:val="center"/>
        <w:rPr>
          <w:b/>
          <w:kern w:val="0"/>
          <w:sz w:val="36"/>
          <w:szCs w:val="36"/>
        </w:rPr>
      </w:pPr>
      <w:r>
        <w:rPr>
          <w:b/>
          <w:kern w:val="0"/>
          <w:sz w:val="36"/>
          <w:szCs w:val="36"/>
        </w:rPr>
        <w:t>第一阶段</w:t>
      </w:r>
    </w:p>
    <w:p>
      <w:pPr>
        <w:autoSpaceDE w:val="0"/>
        <w:autoSpaceDN w:val="0"/>
        <w:adjustRightInd w:val="0"/>
        <w:spacing w:line="520" w:lineRule="exact"/>
        <w:jc w:val="center"/>
        <w:rPr>
          <w:b/>
          <w:kern w:val="0"/>
          <w:sz w:val="24"/>
        </w:rPr>
      </w:pPr>
    </w:p>
    <w:p>
      <w:pPr>
        <w:spacing w:before="85" w:beforeLines="30" w:after="199" w:afterLines="70" w:line="540" w:lineRule="exact"/>
        <w:ind w:left="582" w:leftChars="300"/>
        <w:rPr>
          <w:b/>
          <w:sz w:val="34"/>
          <w:szCs w:val="34"/>
        </w:rPr>
      </w:pPr>
      <w:r>
        <w:rPr>
          <w:b/>
          <w:sz w:val="34"/>
          <w:szCs w:val="34"/>
        </w:rPr>
        <w:t>项目编号：</w:t>
      </w:r>
    </w:p>
    <w:p>
      <w:pPr>
        <w:spacing w:before="85" w:beforeLines="30" w:after="199" w:afterLines="70" w:line="540" w:lineRule="exact"/>
        <w:ind w:left="2027" w:leftChars="300" w:hanging="1445" w:hangingChars="446"/>
        <w:rPr>
          <w:b/>
          <w:sz w:val="34"/>
          <w:szCs w:val="34"/>
        </w:rPr>
      </w:pPr>
      <w:r>
        <w:rPr>
          <w:b/>
          <w:sz w:val="34"/>
          <w:szCs w:val="34"/>
        </w:rPr>
        <w:t>项目名称：</w:t>
      </w:r>
    </w:p>
    <w:p>
      <w:pPr>
        <w:spacing w:before="85" w:beforeLines="30" w:after="199" w:afterLines="70" w:line="540" w:lineRule="exact"/>
        <w:ind w:left="2027" w:leftChars="300" w:hanging="1445" w:hangingChars="446"/>
        <w:rPr>
          <w:b/>
          <w:sz w:val="34"/>
          <w:szCs w:val="34"/>
        </w:rPr>
      </w:pPr>
      <w:r>
        <w:rPr>
          <w:b/>
          <w:sz w:val="34"/>
          <w:szCs w:val="34"/>
        </w:rPr>
        <w:t>所投包号：</w:t>
      </w:r>
    </w:p>
    <w:p>
      <w:pPr>
        <w:spacing w:before="85" w:beforeLines="30" w:after="199" w:afterLines="70" w:line="540" w:lineRule="exact"/>
        <w:ind w:left="582" w:leftChars="300"/>
        <w:rPr>
          <w:b/>
          <w:sz w:val="34"/>
          <w:szCs w:val="34"/>
        </w:rPr>
      </w:pPr>
      <w:r>
        <w:rPr>
          <w:b/>
          <w:sz w:val="34"/>
          <w:szCs w:val="34"/>
        </w:rPr>
        <w:t>投标单位名称：</w:t>
      </w: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bCs/>
          <w:sz w:val="24"/>
        </w:rPr>
      </w:pPr>
      <w:r>
        <w:rPr>
          <w:b/>
          <w:sz w:val="34"/>
          <w:szCs w:val="34"/>
        </w:rPr>
        <w:t>谈判日期：   年   月   日</w:t>
      </w:r>
    </w:p>
    <w:p>
      <w:pPr>
        <w:widowControl/>
        <w:jc w:val="left"/>
        <w:rPr>
          <w:b/>
          <w:bCs/>
          <w:sz w:val="24"/>
        </w:rPr>
      </w:pPr>
      <w:r>
        <w:rPr>
          <w:b/>
          <w:bCs/>
          <w:sz w:val="24"/>
        </w:rPr>
        <w:br w:type="page"/>
      </w:r>
    </w:p>
    <w:p>
      <w:pPr>
        <w:autoSpaceDN w:val="0"/>
        <w:spacing w:line="360" w:lineRule="auto"/>
        <w:jc w:val="center"/>
        <w:rPr>
          <w:b/>
          <w:bCs/>
          <w:sz w:val="24"/>
        </w:rPr>
      </w:pPr>
      <w:r>
        <w:rPr>
          <w:b/>
          <w:sz w:val="24"/>
        </w:rPr>
        <w:t>第一阶段</w:t>
      </w:r>
      <w:r>
        <w:rPr>
          <w:b/>
          <w:bCs/>
          <w:sz w:val="24"/>
        </w:rPr>
        <w:t>响应文件总目录</w:t>
      </w:r>
    </w:p>
    <w:p>
      <w:pPr>
        <w:autoSpaceDN w:val="0"/>
        <w:spacing w:line="360" w:lineRule="auto"/>
        <w:jc w:val="center"/>
        <w:rPr>
          <w:b/>
          <w:bCs/>
          <w:sz w:val="24"/>
        </w:rPr>
      </w:pPr>
      <w:r>
        <w:rPr>
          <w:b/>
          <w:bCs/>
          <w:sz w:val="24"/>
        </w:rPr>
        <w:t>（需投标人自行编制）</w:t>
      </w:r>
    </w:p>
    <w:p>
      <w:pPr>
        <w:widowControl/>
        <w:jc w:val="center"/>
        <w:rPr>
          <w:b/>
          <w:sz w:val="24"/>
        </w:rPr>
      </w:pPr>
    </w:p>
    <w:p>
      <w:pPr>
        <w:spacing w:line="460" w:lineRule="exact"/>
        <w:jc w:val="left"/>
        <w:rPr>
          <w:b/>
          <w:kern w:val="0"/>
          <w:sz w:val="24"/>
          <w:szCs w:val="21"/>
        </w:rPr>
      </w:pPr>
      <w:r>
        <w:rPr>
          <w:b/>
          <w:sz w:val="24"/>
        </w:rPr>
        <w:br w:type="page"/>
      </w:r>
      <w:r>
        <w:rPr>
          <w:b/>
          <w:kern w:val="0"/>
          <w:sz w:val="24"/>
          <w:szCs w:val="21"/>
        </w:rPr>
        <w:t>附件1</w:t>
      </w:r>
    </w:p>
    <w:p>
      <w:pPr>
        <w:tabs>
          <w:tab w:val="left" w:pos="360"/>
        </w:tabs>
        <w:spacing w:line="560" w:lineRule="exact"/>
        <w:jc w:val="center"/>
        <w:rPr>
          <w:b/>
          <w:sz w:val="24"/>
        </w:rPr>
      </w:pPr>
      <w:r>
        <w:rPr>
          <w:b/>
          <w:sz w:val="24"/>
        </w:rPr>
        <w:t>响应书</w:t>
      </w:r>
    </w:p>
    <w:p>
      <w:pPr>
        <w:tabs>
          <w:tab w:val="left" w:pos="360"/>
        </w:tabs>
        <w:spacing w:line="560" w:lineRule="exact"/>
        <w:jc w:val="center"/>
        <w:rPr>
          <w:b/>
          <w:sz w:val="24"/>
        </w:rPr>
      </w:pPr>
    </w:p>
    <w:p>
      <w:pPr>
        <w:autoSpaceDE w:val="0"/>
        <w:autoSpaceDN w:val="0"/>
        <w:adjustRightInd w:val="0"/>
        <w:spacing w:line="520" w:lineRule="exact"/>
        <w:jc w:val="left"/>
        <w:rPr>
          <w:kern w:val="0"/>
          <w:sz w:val="24"/>
        </w:rPr>
      </w:pPr>
      <w:r>
        <w:rPr>
          <w:kern w:val="0"/>
          <w:sz w:val="24"/>
        </w:rPr>
        <w:t>致：天津市政府采购中心</w:t>
      </w:r>
    </w:p>
    <w:p>
      <w:pPr>
        <w:autoSpaceDE w:val="0"/>
        <w:autoSpaceDN w:val="0"/>
        <w:adjustRightInd w:val="0"/>
        <w:spacing w:line="360" w:lineRule="auto"/>
        <w:ind w:firstLine="480"/>
        <w:jc w:val="left"/>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）的谈判邀请，</w:t>
      </w:r>
      <w:r>
        <w:rPr>
          <w:rFonts w:hint="eastAsia"/>
          <w:sz w:val="24"/>
        </w:rPr>
        <w:t>谈判</w:t>
      </w:r>
      <w:r>
        <w:rPr>
          <w:sz w:val="24"/>
        </w:rPr>
        <w:t>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（投标单位名称、地址）提交网上应答及上传加盖电子签章的响应文件。</w:t>
      </w:r>
    </w:p>
    <w:p>
      <w:pPr>
        <w:autoSpaceDE w:val="0"/>
        <w:autoSpaceDN w:val="0"/>
        <w:adjustRightInd w:val="0"/>
        <w:spacing w:line="360" w:lineRule="auto"/>
        <w:ind w:firstLine="480"/>
        <w:jc w:val="left"/>
        <w:rPr>
          <w:kern w:val="0"/>
          <w:sz w:val="24"/>
        </w:rPr>
      </w:pPr>
      <w:r>
        <w:rPr>
          <w:kern w:val="0"/>
          <w:sz w:val="24"/>
        </w:rPr>
        <w:t>据此函，签字代表宣布同意如下：</w:t>
      </w:r>
    </w:p>
    <w:p>
      <w:pPr>
        <w:spacing w:line="360" w:lineRule="auto"/>
        <w:ind w:firstLine="448" w:firstLineChars="200"/>
        <w:rPr>
          <w:sz w:val="24"/>
        </w:rPr>
      </w:pPr>
      <w:r>
        <w:rPr>
          <w:sz w:val="24"/>
        </w:rPr>
        <w:t>1. 我公司将按谈判文件的规定履行合同责任和义务。</w:t>
      </w:r>
    </w:p>
    <w:p>
      <w:pPr>
        <w:spacing w:line="360" w:lineRule="auto"/>
        <w:ind w:firstLine="448" w:firstLineChars="200"/>
        <w:rPr>
          <w:sz w:val="24"/>
        </w:rPr>
      </w:pPr>
      <w:r>
        <w:rPr>
          <w:sz w:val="24"/>
        </w:rPr>
        <w:t>2. 我公司已详细审查全部谈判文件，包括更正公告以及全部参考资料和所有附件。我们完全理解并同意放弃对这方面有不明及误解的权利，并认为全部谈判文件（包括更正公告以及全部参考资料和所有附件）公平公正，无倾向性和排他性。</w:t>
      </w:r>
    </w:p>
    <w:p>
      <w:pPr>
        <w:spacing w:line="360" w:lineRule="auto"/>
        <w:ind w:firstLine="448" w:firstLineChars="200"/>
        <w:rPr>
          <w:sz w:val="24"/>
        </w:rPr>
      </w:pPr>
      <w:r>
        <w:rPr>
          <w:sz w:val="24"/>
        </w:rPr>
        <w:t>3. 我公司的谈判有效期为响应文件开启之日起60天。</w:t>
      </w:r>
    </w:p>
    <w:p>
      <w:pPr>
        <w:spacing w:line="360" w:lineRule="auto"/>
        <w:ind w:firstLine="448" w:firstLineChars="200"/>
        <w:rPr>
          <w:sz w:val="24"/>
        </w:rPr>
      </w:pPr>
      <w:r>
        <w:rPr>
          <w:sz w:val="24"/>
        </w:rPr>
        <w:t>4. 我公司同意按照采购人、采购代理机构要求提供的与投标有关的一切数据或资料，并声明响应文件及所提供的一切资料均真实有效。由于我公司提供资料不实而造成的责任和后果由我公司自行承担。</w:t>
      </w:r>
    </w:p>
    <w:p>
      <w:pPr>
        <w:spacing w:line="360" w:lineRule="auto"/>
        <w:ind w:firstLine="448" w:firstLineChars="200"/>
        <w:rPr>
          <w:sz w:val="24"/>
        </w:rPr>
      </w:pPr>
      <w:r>
        <w:rPr>
          <w:sz w:val="24"/>
        </w:rPr>
        <w:t>5. 我公司保证所投产品来自合法的供货渠道，若成交，则有义务向采购人提供其需要的有效书面证明材料。如果提供非法渠道的商品，视为欺诈，并承担相关责任。</w:t>
      </w:r>
    </w:p>
    <w:p>
      <w:pPr>
        <w:spacing w:line="360" w:lineRule="auto"/>
        <w:ind w:firstLine="448" w:firstLineChars="200"/>
        <w:rPr>
          <w:sz w:val="24"/>
        </w:rPr>
      </w:pPr>
      <w:r>
        <w:rPr>
          <w:sz w:val="24"/>
        </w:rPr>
        <w:t>6.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pPr>
        <w:spacing w:line="360" w:lineRule="auto"/>
        <w:ind w:firstLine="448" w:firstLineChars="200"/>
        <w:rPr>
          <w:sz w:val="24"/>
        </w:rPr>
      </w:pPr>
      <w:r>
        <w:rPr>
          <w:sz w:val="24"/>
        </w:rPr>
        <w:t>7. 我公司承诺完全符合《中华人民共和国政府采购法》、《中华人民共和国政府采购法实施条例》等法律法规规定，并随时接受采购人、采购代理机构的检查验证。在整个谈判过程中，我公司若有违规行为，我公司完全接受贵中心依照相关法律法规和谈判文件的规定给予处罚。</w:t>
      </w:r>
    </w:p>
    <w:p>
      <w:pPr>
        <w:spacing w:line="360" w:lineRule="auto"/>
        <w:ind w:firstLine="448" w:firstLineChars="200"/>
        <w:rPr>
          <w:sz w:val="24"/>
        </w:rPr>
      </w:pPr>
      <w:r>
        <w:rPr>
          <w:sz w:val="24"/>
        </w:rPr>
        <w:t>8.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w:t>
      </w:r>
      <w:r>
        <w:rPr>
          <w:rFonts w:hint="eastAsia"/>
          <w:sz w:val="24"/>
        </w:rPr>
        <w:t>具备履行合同所必需的设备和专业技术能力，</w:t>
      </w:r>
      <w:r>
        <w:rPr>
          <w:sz w:val="24"/>
          <w:szCs w:val="24"/>
        </w:rPr>
        <w:t>投标截止日前3年在经营活动中没有重大违法记录。</w:t>
      </w:r>
    </w:p>
    <w:p>
      <w:pPr>
        <w:spacing w:line="360" w:lineRule="auto"/>
        <w:ind w:firstLine="448" w:firstLineChars="200"/>
        <w:rPr>
          <w:sz w:val="24"/>
        </w:rPr>
      </w:pPr>
      <w:r>
        <w:rPr>
          <w:sz w:val="24"/>
        </w:rPr>
        <w:t>9. 我公司若成交，本承诺将成为合同不可分割的一部分，与合同具有同等的法律效力。</w:t>
      </w:r>
    </w:p>
    <w:p>
      <w:pPr>
        <w:spacing w:line="360" w:lineRule="auto"/>
        <w:ind w:firstLine="448" w:firstLineChars="200"/>
        <w:rPr>
          <w:sz w:val="24"/>
        </w:rPr>
      </w:pPr>
      <w:r>
        <w:rPr>
          <w:sz w:val="24"/>
        </w:rPr>
        <w:t>10. 如违反上述承诺，我公司投标无效且接受相关部门依法作出的处罚，并承担通过“天津市政府采购网”等相关媒体予以公布的任何风险和责任。</w:t>
      </w:r>
    </w:p>
    <w:p>
      <w:pPr>
        <w:spacing w:line="360" w:lineRule="auto"/>
        <w:ind w:firstLine="448" w:firstLineChars="200"/>
        <w:rPr>
          <w:sz w:val="24"/>
        </w:rPr>
      </w:pPr>
      <w:r>
        <w:rPr>
          <w:rFonts w:hint="eastAsia"/>
          <w:sz w:val="24"/>
        </w:rPr>
        <w:t>11</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pPr>
        <w:spacing w:line="360" w:lineRule="auto"/>
        <w:ind w:firstLine="448" w:firstLineChars="200"/>
        <w:rPr>
          <w:sz w:val="24"/>
        </w:rPr>
      </w:pPr>
      <w:r>
        <w:rPr>
          <w:rFonts w:hint="eastAsia"/>
          <w:sz w:val="24"/>
        </w:rPr>
        <w:t>纳税人识别号：</w:t>
      </w:r>
    </w:p>
    <w:p>
      <w:pPr>
        <w:spacing w:line="360" w:lineRule="auto"/>
        <w:ind w:firstLine="448" w:firstLineChars="200"/>
        <w:rPr>
          <w:sz w:val="24"/>
        </w:rPr>
      </w:pPr>
      <w:r>
        <w:rPr>
          <w:rFonts w:hint="eastAsia"/>
          <w:sz w:val="24"/>
        </w:rPr>
        <w:t>地址、电话：</w:t>
      </w:r>
    </w:p>
    <w:p>
      <w:pPr>
        <w:spacing w:line="360" w:lineRule="auto"/>
        <w:ind w:firstLine="448" w:firstLineChars="200"/>
        <w:rPr>
          <w:sz w:val="24"/>
        </w:rPr>
      </w:pPr>
      <w:r>
        <w:rPr>
          <w:rFonts w:hint="eastAsia"/>
          <w:sz w:val="24"/>
        </w:rPr>
        <w:t>开户行及账号：</w:t>
      </w:r>
    </w:p>
    <w:p>
      <w:pPr>
        <w:spacing w:line="360" w:lineRule="auto"/>
        <w:ind w:firstLine="448" w:firstLineChars="200"/>
        <w:rPr>
          <w:sz w:val="24"/>
        </w:rPr>
      </w:pPr>
      <w:r>
        <w:rPr>
          <w:rFonts w:hint="eastAsia"/>
          <w:sz w:val="24"/>
        </w:rPr>
        <w:t>开具发票类型：□增值税专用发票         □增值税普通发票</w:t>
      </w:r>
    </w:p>
    <w:p>
      <w:pPr>
        <w:spacing w:line="360" w:lineRule="auto"/>
        <w:ind w:firstLine="448" w:firstLineChars="200"/>
        <w:rPr>
          <w:sz w:val="24"/>
        </w:rPr>
      </w:pPr>
      <w:r>
        <w:rPr>
          <w:rFonts w:hint="eastAsia"/>
          <w:sz w:val="24"/>
        </w:rPr>
        <w:t>12. 我公司选择招标代理服务费</w:t>
      </w:r>
      <w:r>
        <w:rPr>
          <w:sz w:val="24"/>
        </w:rPr>
        <w:t>发票领取方式（请自行选择以下任一方式并在相应</w:t>
      </w:r>
      <w:r>
        <w:rPr>
          <w:rFonts w:hint="eastAsia"/>
          <w:sz w:val="24"/>
        </w:rPr>
        <w:t>□里划“√”</w:t>
      </w:r>
      <w:r>
        <w:rPr>
          <w:sz w:val="24"/>
        </w:rPr>
        <w:t>）：</w:t>
      </w:r>
    </w:p>
    <w:p>
      <w:pPr>
        <w:spacing w:line="360" w:lineRule="auto"/>
        <w:ind w:firstLine="448" w:firstLineChars="200"/>
        <w:rPr>
          <w:sz w:val="24"/>
        </w:rPr>
      </w:pPr>
      <w:r>
        <w:rPr>
          <w:rFonts w:hint="eastAsia"/>
          <w:b/>
          <w:sz w:val="24"/>
        </w:rPr>
        <w:t>□</w:t>
      </w:r>
      <w:r>
        <w:rPr>
          <w:b/>
          <w:sz w:val="24"/>
        </w:rPr>
        <w:t>上门自取</w:t>
      </w:r>
    </w:p>
    <w:p>
      <w:pPr>
        <w:spacing w:line="360" w:lineRule="auto"/>
        <w:ind w:firstLine="448" w:firstLineChars="200"/>
        <w:rPr>
          <w:b/>
          <w:sz w:val="24"/>
        </w:rPr>
      </w:pPr>
      <w:r>
        <w:rPr>
          <w:rFonts w:hint="eastAsia"/>
          <w:b/>
          <w:sz w:val="24"/>
        </w:rPr>
        <w:t>□</w:t>
      </w:r>
      <w:r>
        <w:rPr>
          <w:b/>
          <w:sz w:val="24"/>
        </w:rPr>
        <w:t>到付邮寄</w:t>
      </w:r>
    </w:p>
    <w:p>
      <w:pPr>
        <w:spacing w:line="360" w:lineRule="auto"/>
        <w:ind w:firstLine="448" w:firstLineChars="200"/>
        <w:rPr>
          <w:sz w:val="24"/>
        </w:rPr>
      </w:pPr>
      <w:r>
        <w:rPr>
          <w:sz w:val="24"/>
        </w:rPr>
        <w:t>邮寄地址</w:t>
      </w:r>
      <w:r>
        <w:rPr>
          <w:rFonts w:hint="eastAsia"/>
          <w:sz w:val="24"/>
        </w:rPr>
        <w:t>、邮编</w:t>
      </w:r>
      <w:r>
        <w:rPr>
          <w:sz w:val="24"/>
        </w:rPr>
        <w:t>：</w:t>
      </w:r>
    </w:p>
    <w:p>
      <w:pPr>
        <w:spacing w:line="360" w:lineRule="auto"/>
        <w:ind w:firstLine="448" w:firstLineChars="200"/>
        <w:rPr>
          <w:sz w:val="24"/>
        </w:rPr>
      </w:pPr>
      <w:r>
        <w:rPr>
          <w:sz w:val="24"/>
        </w:rPr>
        <w:t>邮寄联系人、手机号码：</w:t>
      </w:r>
    </w:p>
    <w:p>
      <w:pPr>
        <w:spacing w:line="360" w:lineRule="auto"/>
        <w:ind w:firstLine="5488" w:firstLineChars="2450"/>
        <w:rPr>
          <w:sz w:val="24"/>
        </w:rPr>
      </w:pPr>
      <w:r>
        <w:rPr>
          <w:sz w:val="24"/>
        </w:rPr>
        <w:t>供应商名称：</w:t>
      </w:r>
    </w:p>
    <w:p>
      <w:pPr>
        <w:spacing w:line="560" w:lineRule="exact"/>
        <w:ind w:firstLine="224" w:firstLineChars="100"/>
        <w:jc w:val="right"/>
        <w:rPr>
          <w:b/>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360"/>
        </w:tabs>
        <w:spacing w:after="285" w:afterLines="100" w:line="360" w:lineRule="auto"/>
        <w:rPr>
          <w:b/>
          <w:sz w:val="24"/>
        </w:rPr>
      </w:pPr>
      <w:r>
        <w:rPr>
          <w:b/>
          <w:sz w:val="24"/>
        </w:rPr>
        <w:br w:type="page"/>
      </w:r>
      <w:r>
        <w:rPr>
          <w:b/>
          <w:sz w:val="24"/>
        </w:rPr>
        <w:t>附件2</w:t>
      </w:r>
    </w:p>
    <w:p>
      <w:pPr>
        <w:autoSpaceDN w:val="0"/>
        <w:spacing w:line="360" w:lineRule="auto"/>
        <w:jc w:val="center"/>
        <w:rPr>
          <w:b/>
          <w:bCs/>
          <w:sz w:val="24"/>
        </w:rPr>
      </w:pPr>
      <w:r>
        <w:rPr>
          <w:b/>
          <w:bCs/>
          <w:sz w:val="24"/>
        </w:rPr>
        <w:t>供应商资格要求证明文件</w:t>
      </w:r>
    </w:p>
    <w:p>
      <w:pPr>
        <w:spacing w:line="460" w:lineRule="exact"/>
        <w:rPr>
          <w:sz w:val="24"/>
        </w:rPr>
      </w:pPr>
    </w:p>
    <w:p>
      <w:pPr>
        <w:spacing w:line="620" w:lineRule="exact"/>
        <w:rPr>
          <w:sz w:val="24"/>
        </w:rPr>
      </w:pPr>
    </w:p>
    <w:p>
      <w:pPr>
        <w:spacing w:line="620" w:lineRule="exact"/>
        <w:rPr>
          <w:sz w:val="24"/>
        </w:rPr>
      </w:pPr>
    </w:p>
    <w:p>
      <w:pPr>
        <w:spacing w:line="620" w:lineRule="exact"/>
        <w:rPr>
          <w:sz w:val="24"/>
        </w:rPr>
      </w:pPr>
    </w:p>
    <w:p>
      <w:pPr>
        <w:spacing w:line="620" w:lineRule="exact"/>
        <w:rPr>
          <w:sz w:val="24"/>
        </w:rPr>
      </w:pPr>
    </w:p>
    <w:p>
      <w:pPr>
        <w:spacing w:line="620" w:lineRule="exact"/>
        <w:rPr>
          <w:sz w:val="24"/>
        </w:rPr>
      </w:pPr>
    </w:p>
    <w:p>
      <w:pPr>
        <w:spacing w:line="620" w:lineRule="exact"/>
        <w:rPr>
          <w:sz w:val="24"/>
        </w:rPr>
      </w:pPr>
    </w:p>
    <w:p>
      <w:pPr>
        <w:spacing w:line="620" w:lineRule="exact"/>
        <w:rPr>
          <w:sz w:val="24"/>
        </w:rPr>
      </w:pPr>
    </w:p>
    <w:p>
      <w:pPr>
        <w:spacing w:line="620" w:lineRule="exact"/>
        <w:rPr>
          <w:sz w:val="24"/>
        </w:rPr>
      </w:pPr>
    </w:p>
    <w:p>
      <w:pPr>
        <w:spacing w:line="620" w:lineRule="exact"/>
        <w:rPr>
          <w:sz w:val="24"/>
        </w:rPr>
      </w:pPr>
    </w:p>
    <w:p>
      <w:pPr>
        <w:spacing w:line="620" w:lineRule="exact"/>
        <w:rPr>
          <w:sz w:val="24"/>
        </w:rPr>
      </w:pPr>
    </w:p>
    <w:p>
      <w:pPr>
        <w:spacing w:line="620" w:lineRule="exact"/>
        <w:rPr>
          <w:sz w:val="24"/>
        </w:rPr>
      </w:pPr>
    </w:p>
    <w:p>
      <w:pPr>
        <w:spacing w:line="460" w:lineRule="exact"/>
        <w:ind w:left="192"/>
        <w:rPr>
          <w:b/>
          <w:bCs/>
          <w:sz w:val="24"/>
        </w:rPr>
      </w:pPr>
      <w:r>
        <w:rPr>
          <w:sz w:val="24"/>
        </w:rPr>
        <w:t>注：相关证明材料应附在此页后面。</w:t>
      </w:r>
    </w:p>
    <w:p>
      <w:pPr>
        <w:spacing w:line="620" w:lineRule="exact"/>
        <w:rPr>
          <w:sz w:val="24"/>
        </w:rPr>
      </w:pPr>
    </w:p>
    <w:p>
      <w:pPr>
        <w:spacing w:line="460" w:lineRule="exact"/>
        <w:rPr>
          <w:b/>
          <w:sz w:val="24"/>
        </w:rPr>
      </w:pPr>
    </w:p>
    <w:p>
      <w:pPr>
        <w:spacing w:line="460" w:lineRule="exact"/>
        <w:jc w:val="left"/>
        <w:rPr>
          <w:b/>
          <w:sz w:val="24"/>
        </w:rPr>
      </w:pPr>
      <w:r>
        <w:rPr>
          <w:b/>
          <w:sz w:val="24"/>
        </w:rPr>
        <w:br w:type="page"/>
      </w:r>
      <w:r>
        <w:rPr>
          <w:b/>
          <w:sz w:val="24"/>
        </w:rPr>
        <w:t>附件3</w:t>
      </w:r>
    </w:p>
    <w:p>
      <w:pPr>
        <w:spacing w:line="460" w:lineRule="exact"/>
        <w:ind w:left="181"/>
        <w:jc w:val="center"/>
        <w:rPr>
          <w:b/>
          <w:sz w:val="24"/>
        </w:rPr>
      </w:pPr>
      <w:r>
        <w:rPr>
          <w:b/>
          <w:sz w:val="24"/>
        </w:rPr>
        <w:t>服务方案</w:t>
      </w:r>
    </w:p>
    <w:p>
      <w:pPr>
        <w:spacing w:line="460" w:lineRule="exact"/>
        <w:ind w:left="181"/>
        <w:jc w:val="center"/>
        <w:rPr>
          <w:b/>
          <w:sz w:val="24"/>
        </w:rPr>
      </w:pPr>
    </w:p>
    <w:p>
      <w:pPr>
        <w:tabs>
          <w:tab w:val="left" w:pos="10395"/>
        </w:tabs>
        <w:spacing w:line="460" w:lineRule="exact"/>
        <w:ind w:left="181" w:right="968"/>
        <w:rPr>
          <w:sz w:val="24"/>
        </w:rPr>
      </w:pPr>
      <w:r>
        <w:rPr>
          <w:sz w:val="24"/>
        </w:rPr>
        <w:t>项目编号：</w:t>
      </w:r>
      <w:r>
        <w:rPr>
          <w:sz w:val="24"/>
          <w:u w:val="single"/>
        </w:rPr>
        <w:t xml:space="preserve">                   </w:t>
      </w:r>
      <w:r>
        <w:rPr>
          <w:sz w:val="24"/>
        </w:rPr>
        <w:t xml:space="preserve">   </w:t>
      </w:r>
    </w:p>
    <w:p>
      <w:pPr>
        <w:tabs>
          <w:tab w:val="left" w:pos="10395"/>
        </w:tabs>
        <w:spacing w:line="460" w:lineRule="exact"/>
        <w:ind w:left="181" w:right="968"/>
        <w:rPr>
          <w:sz w:val="24"/>
          <w:u w:val="single"/>
        </w:rPr>
      </w:pPr>
      <w:r>
        <w:rPr>
          <w:sz w:val="24"/>
        </w:rPr>
        <w:t>项目名称：</w:t>
      </w:r>
      <w:r>
        <w:rPr>
          <w:sz w:val="24"/>
          <w:u w:val="single"/>
        </w:rPr>
        <w:t xml:space="preserve">                    </w:t>
      </w:r>
    </w:p>
    <w:p>
      <w:pPr>
        <w:tabs>
          <w:tab w:val="left" w:pos="10395"/>
        </w:tabs>
        <w:spacing w:line="460" w:lineRule="exact"/>
        <w:ind w:left="181" w:right="968"/>
        <w:rPr>
          <w:sz w:val="24"/>
          <w:u w:val="single"/>
        </w:rPr>
      </w:pPr>
      <w:r>
        <w:rPr>
          <w:sz w:val="24"/>
        </w:rPr>
        <w:t>包号：</w:t>
      </w:r>
      <w:r>
        <w:rPr>
          <w:sz w:val="24"/>
          <w:u w:val="single"/>
        </w:rPr>
        <w:t xml:space="preserve">                    </w:t>
      </w: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sz w:val="24"/>
        </w:rPr>
      </w:pPr>
    </w:p>
    <w:p>
      <w:pPr>
        <w:tabs>
          <w:tab w:val="left" w:pos="10605"/>
        </w:tabs>
        <w:spacing w:line="460" w:lineRule="exact"/>
        <w:ind w:left="210" w:right="653"/>
        <w:rPr>
          <w:b/>
          <w:sz w:val="24"/>
        </w:rPr>
      </w:pPr>
    </w:p>
    <w:p>
      <w:pPr>
        <w:spacing w:line="360" w:lineRule="auto"/>
        <w:ind w:firstLine="5488" w:firstLineChars="2450"/>
        <w:rPr>
          <w:sz w:val="24"/>
        </w:rPr>
      </w:pPr>
      <w:r>
        <w:rPr>
          <w:sz w:val="24"/>
        </w:rPr>
        <w:t>供应商名称：</w:t>
      </w:r>
    </w:p>
    <w:p>
      <w:pPr>
        <w:spacing w:line="360" w:lineRule="auto"/>
        <w:ind w:firstLine="5488" w:firstLineChars="2450"/>
        <w:rPr>
          <w:sz w:val="24"/>
        </w:rPr>
      </w:pPr>
    </w:p>
    <w:p>
      <w:pPr>
        <w:spacing w:line="560" w:lineRule="exact"/>
        <w:ind w:firstLine="224" w:firstLineChars="1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spacing w:line="460" w:lineRule="exact"/>
        <w:rPr>
          <w:b/>
          <w:sz w:val="24"/>
        </w:rPr>
      </w:pPr>
      <w:r>
        <w:rPr>
          <w:sz w:val="24"/>
        </w:rPr>
        <w:br w:type="page"/>
      </w:r>
      <w:r>
        <w:rPr>
          <w:b/>
          <w:sz w:val="24"/>
        </w:rPr>
        <w:t>附件4</w:t>
      </w:r>
    </w:p>
    <w:p>
      <w:pPr>
        <w:tabs>
          <w:tab w:val="left" w:pos="360"/>
        </w:tabs>
        <w:spacing w:line="560" w:lineRule="exact"/>
        <w:jc w:val="center"/>
        <w:rPr>
          <w:b/>
          <w:sz w:val="24"/>
        </w:rPr>
      </w:pPr>
      <w:r>
        <w:rPr>
          <w:b/>
          <w:sz w:val="24"/>
        </w:rPr>
        <w:t>谈判代表人授权书</w:t>
      </w:r>
    </w:p>
    <w:p>
      <w:pPr>
        <w:spacing w:line="360" w:lineRule="auto"/>
        <w:rPr>
          <w:sz w:val="24"/>
          <w:szCs w:val="21"/>
        </w:rPr>
      </w:pPr>
    </w:p>
    <w:p>
      <w:pPr>
        <w:spacing w:line="360" w:lineRule="auto"/>
        <w:rPr>
          <w:sz w:val="24"/>
          <w:szCs w:val="21"/>
        </w:rPr>
      </w:pPr>
      <w:r>
        <w:rPr>
          <w:sz w:val="24"/>
          <w:szCs w:val="21"/>
        </w:rPr>
        <w:t>致：天津市政府采购中心</w:t>
      </w:r>
    </w:p>
    <w:p>
      <w:pPr>
        <w:spacing w:line="360" w:lineRule="auto"/>
        <w:ind w:firstLine="448" w:firstLineChars="200"/>
        <w:rPr>
          <w:sz w:val="24"/>
          <w:szCs w:val="21"/>
        </w:rPr>
      </w:pPr>
      <w:r>
        <w:rPr>
          <w:sz w:val="24"/>
          <w:szCs w:val="21"/>
        </w:rPr>
        <w:t>我单位授权委托在职职工_______________（姓名，职务）（身份证号码：____________________、联系电话：_______________）作为谈判代表人以我方的名义参加贵中心______________________项目（项目编号：_______________）的投标活动，并代表我方全权办理针对上述项目的递交响应文件、谈判、响应文件澄清、签约等一切具体事务和签署相关文件。</w:t>
      </w:r>
    </w:p>
    <w:p>
      <w:pPr>
        <w:spacing w:line="360" w:lineRule="auto"/>
        <w:ind w:firstLine="448" w:firstLineChars="200"/>
        <w:rPr>
          <w:sz w:val="24"/>
          <w:szCs w:val="21"/>
        </w:rPr>
      </w:pPr>
      <w:r>
        <w:rPr>
          <w:sz w:val="24"/>
          <w:szCs w:val="21"/>
        </w:rPr>
        <w:t>我方对谈判代表人的签名事项负全部责任。</w:t>
      </w:r>
    </w:p>
    <w:p>
      <w:pPr>
        <w:spacing w:line="360" w:lineRule="auto"/>
        <w:ind w:firstLine="448" w:firstLineChars="200"/>
        <w:rPr>
          <w:sz w:val="24"/>
          <w:szCs w:val="21"/>
        </w:rPr>
      </w:pPr>
      <w:r>
        <w:rPr>
          <w:sz w:val="24"/>
          <w:szCs w:val="21"/>
        </w:rPr>
        <w:t>本授权书至谈判有效期结束前始终有效。</w:t>
      </w:r>
    </w:p>
    <w:p>
      <w:pPr>
        <w:snapToGrid w:val="0"/>
        <w:spacing w:line="360" w:lineRule="auto"/>
        <w:ind w:firstLine="448" w:firstLineChars="200"/>
        <w:rPr>
          <w:sz w:val="24"/>
          <w:szCs w:val="21"/>
        </w:rPr>
      </w:pPr>
      <w:r>
        <w:rPr>
          <w:sz w:val="24"/>
          <w:szCs w:val="21"/>
        </w:rPr>
        <w:t>谈判代表人无转委托权，特此委托。</w:t>
      </w:r>
    </w:p>
    <w:p>
      <w:pPr>
        <w:spacing w:line="360" w:lineRule="auto"/>
        <w:ind w:firstLine="448" w:firstLineChars="200"/>
        <w:rPr>
          <w:sz w:val="24"/>
        </w:rPr>
      </w:pPr>
    </w:p>
    <w:p>
      <w:pPr>
        <w:spacing w:line="360" w:lineRule="auto"/>
        <w:ind w:firstLine="448" w:firstLineChars="200"/>
        <w:rPr>
          <w:sz w:val="24"/>
        </w:rPr>
      </w:pPr>
    </w:p>
    <w:p>
      <w:pPr>
        <w:spacing w:line="360" w:lineRule="auto"/>
        <w:ind w:firstLine="448" w:firstLineChars="200"/>
        <w:rPr>
          <w:sz w:val="24"/>
        </w:rPr>
      </w:pPr>
    </w:p>
    <w:p>
      <w:pPr>
        <w:spacing w:line="360" w:lineRule="auto"/>
        <w:ind w:firstLine="4704" w:firstLineChars="2100"/>
        <w:rPr>
          <w:sz w:val="24"/>
        </w:rPr>
      </w:pPr>
      <w:r>
        <w:rPr>
          <w:sz w:val="24"/>
        </w:rPr>
        <w:t xml:space="preserve">     年   月   日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tcPr>
          <w:p>
            <w:pPr>
              <w:spacing w:line="360" w:lineRule="auto"/>
              <w:jc w:val="left"/>
              <w:rPr>
                <w:sz w:val="24"/>
              </w:rPr>
            </w:pPr>
            <w:r>
              <w:rPr>
                <w:sz w:val="24"/>
              </w:rPr>
              <w:t>谈判代表人身份证正面</w:t>
            </w: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p>
            <w:pPr>
              <w:spacing w:line="360" w:lineRule="auto"/>
              <w:jc w:val="left"/>
              <w:rPr>
                <w:sz w:val="24"/>
              </w:rPr>
            </w:pPr>
          </w:p>
        </w:tc>
        <w:tc>
          <w:tcPr>
            <w:tcW w:w="4264" w:type="dxa"/>
            <w:tcBorders>
              <w:top w:val="single" w:color="auto" w:sz="4" w:space="0"/>
              <w:left w:val="single" w:color="auto" w:sz="4" w:space="0"/>
              <w:bottom w:val="single" w:color="auto" w:sz="4" w:space="0"/>
              <w:right w:val="single" w:color="auto" w:sz="4" w:space="0"/>
            </w:tcBorders>
          </w:tcPr>
          <w:p>
            <w:pPr>
              <w:spacing w:line="360" w:lineRule="auto"/>
              <w:jc w:val="left"/>
              <w:rPr>
                <w:sz w:val="24"/>
              </w:rPr>
            </w:pPr>
            <w:r>
              <w:rPr>
                <w:sz w:val="24"/>
              </w:rPr>
              <w:t>谈判代表人身份证背面</w:t>
            </w:r>
          </w:p>
        </w:tc>
      </w:tr>
    </w:tbl>
    <w:p>
      <w:pPr>
        <w:spacing w:line="360" w:lineRule="auto"/>
        <w:ind w:firstLine="448" w:firstLineChars="200"/>
        <w:jc w:val="left"/>
        <w:rPr>
          <w:sz w:val="24"/>
        </w:rPr>
      </w:pPr>
    </w:p>
    <w:p>
      <w:pPr>
        <w:tabs>
          <w:tab w:val="left" w:pos="360"/>
        </w:tabs>
        <w:spacing w:after="285" w:afterLines="100" w:line="360" w:lineRule="auto"/>
        <w:rPr>
          <w:b/>
          <w:sz w:val="24"/>
        </w:rPr>
      </w:pPr>
      <w:r>
        <w:rPr>
          <w:kern w:val="0"/>
          <w:szCs w:val="21"/>
        </w:rPr>
        <w:br w:type="page"/>
      </w:r>
      <w:r>
        <w:rPr>
          <w:b/>
          <w:sz w:val="24"/>
        </w:rPr>
        <w:t>附件5-1</w:t>
      </w:r>
    </w:p>
    <w:p>
      <w:pPr>
        <w:autoSpaceDN w:val="0"/>
        <w:spacing w:line="360" w:lineRule="auto"/>
        <w:jc w:val="center"/>
        <w:rPr>
          <w:b/>
          <w:bCs/>
          <w:sz w:val="24"/>
        </w:rPr>
      </w:pPr>
      <w:r>
        <w:rPr>
          <w:b/>
          <w:bCs/>
          <w:sz w:val="24"/>
        </w:rPr>
        <w:t>商务要求点对点应答表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11"/>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谈判要求</w:t>
            </w:r>
          </w:p>
        </w:tc>
        <w:tc>
          <w:tcPr>
            <w:tcW w:w="145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pPr>
              <w:widowControl/>
              <w:jc w:val="center"/>
              <w:rPr>
                <w:color w:val="000000"/>
                <w:kern w:val="0"/>
                <w:szCs w:val="21"/>
              </w:rPr>
            </w:pPr>
            <w:r>
              <w:rPr>
                <w:color w:val="000000"/>
                <w:kern w:val="0"/>
                <w:szCs w:val="21"/>
              </w:rPr>
              <w:t>备注</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（一）报价要求</w:t>
            </w:r>
          </w:p>
        </w:tc>
      </w:tr>
      <w:tr>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（二）时间、地点要求</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（三）付款方式</w:t>
            </w:r>
          </w:p>
        </w:tc>
      </w:tr>
      <w:tr>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r>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color w:val="000000"/>
                <w:kern w:val="0"/>
                <w:szCs w:val="21"/>
              </w:rPr>
            </w:pPr>
            <w:r>
              <w:rPr>
                <w:color w:val="000000"/>
                <w:kern w:val="0"/>
                <w:szCs w:val="21"/>
              </w:rPr>
              <w:t>（四）投标保证金和履约保证金</w:t>
            </w:r>
          </w:p>
        </w:tc>
      </w:tr>
      <w:tr>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274"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145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8"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c>
          <w:tcPr>
            <w:tcW w:w="647" w:type="pct"/>
            <w:tcBorders>
              <w:top w:val="nil"/>
              <w:left w:val="nil"/>
              <w:bottom w:val="single" w:color="auto" w:sz="8" w:space="0"/>
              <w:right w:val="single" w:color="auto" w:sz="8" w:space="0"/>
            </w:tcBorders>
            <w:shd w:val="clear" w:color="auto" w:fill="auto"/>
            <w:vAlign w:val="center"/>
          </w:tcPr>
          <w:p>
            <w:pPr>
              <w:widowControl/>
              <w:jc w:val="left"/>
              <w:rPr>
                <w:color w:val="000000"/>
                <w:kern w:val="0"/>
                <w:szCs w:val="21"/>
              </w:rPr>
            </w:pPr>
            <w:r>
              <w:rPr>
                <w:color w:val="000000"/>
                <w:kern w:val="0"/>
                <w:szCs w:val="21"/>
              </w:rPr>
              <w:t>　</w:t>
            </w:r>
          </w:p>
        </w:tc>
      </w:tr>
    </w:tbl>
    <w:p>
      <w:pPr>
        <w:spacing w:line="620" w:lineRule="exact"/>
        <w:rPr>
          <w:sz w:val="24"/>
        </w:rPr>
      </w:pPr>
      <w:r>
        <w:rPr>
          <w:sz w:val="24"/>
        </w:rPr>
        <w:t>注：</w:t>
      </w:r>
    </w:p>
    <w:p>
      <w:pPr>
        <w:spacing w:line="360" w:lineRule="auto"/>
        <w:rPr>
          <w:sz w:val="24"/>
        </w:rPr>
      </w:pPr>
      <w:r>
        <w:rPr>
          <w:sz w:val="24"/>
        </w:rPr>
        <w:t>1. 不如实填写偏离情况的响应文件将视为虚假材料。</w:t>
      </w:r>
    </w:p>
    <w:p>
      <w:pPr>
        <w:spacing w:line="360" w:lineRule="auto"/>
        <w:rPr>
          <w:sz w:val="24"/>
        </w:rPr>
      </w:pPr>
      <w:r>
        <w:rPr>
          <w:sz w:val="24"/>
        </w:rPr>
        <w:t>2. 谈判要求指谈判文件中规定的具体要求，投标应答指响应文件的具体内容。</w:t>
      </w:r>
    </w:p>
    <w:p>
      <w:pPr>
        <w:spacing w:line="360" w:lineRule="auto"/>
        <w:rPr>
          <w:sz w:val="24"/>
        </w:rPr>
      </w:pPr>
      <w:r>
        <w:rPr>
          <w:sz w:val="24"/>
        </w:rPr>
        <w:t>4. 偏离说明指谈判要求与投标应答之间的不同之处。</w:t>
      </w:r>
    </w:p>
    <w:p>
      <w:pPr>
        <w:spacing w:line="360" w:lineRule="auto"/>
        <w:rPr>
          <w:sz w:val="24"/>
        </w:rPr>
      </w:pPr>
    </w:p>
    <w:p>
      <w:pPr>
        <w:spacing w:line="360" w:lineRule="auto"/>
        <w:ind w:firstLine="3808" w:firstLineChars="1700"/>
        <w:rPr>
          <w:sz w:val="24"/>
        </w:rPr>
      </w:pPr>
      <w:r>
        <w:rPr>
          <w:sz w:val="24"/>
        </w:rPr>
        <w:t>供应商名称：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360"/>
        </w:tabs>
        <w:spacing w:after="285" w:afterLines="100" w:line="360" w:lineRule="auto"/>
        <w:rPr>
          <w:b/>
          <w:sz w:val="24"/>
        </w:rPr>
      </w:pPr>
      <w:r>
        <w:rPr>
          <w:sz w:val="24"/>
        </w:rPr>
        <w:br w:type="page"/>
      </w:r>
      <w:r>
        <w:rPr>
          <w:b/>
          <w:sz w:val="24"/>
        </w:rPr>
        <w:t>附件5-2</w:t>
      </w:r>
    </w:p>
    <w:p>
      <w:pPr>
        <w:autoSpaceDN w:val="0"/>
        <w:spacing w:line="360" w:lineRule="auto"/>
        <w:jc w:val="center"/>
        <w:rPr>
          <w:b/>
          <w:bCs/>
          <w:sz w:val="24"/>
        </w:rPr>
      </w:pPr>
      <w:r>
        <w:rPr>
          <w:b/>
          <w:bCs/>
          <w:sz w:val="24"/>
        </w:rPr>
        <w:t>技术要求点对点应答表</w:t>
      </w:r>
    </w:p>
    <w:p>
      <w:pPr>
        <w:spacing w:line="460" w:lineRule="exact"/>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rPr>
          <w:sz w:val="24"/>
          <w:u w:val="single"/>
        </w:rPr>
      </w:pPr>
    </w:p>
    <w:tbl>
      <w:tblPr>
        <w:tblStyle w:val="11"/>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3922"/>
        <w:gridCol w:w="2438"/>
        <w:gridCol w:w="1289"/>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3922" w:type="dxa"/>
            <w:shd w:val="clear" w:color="auto" w:fill="auto"/>
            <w:vAlign w:val="center"/>
          </w:tcPr>
          <w:p>
            <w:pPr>
              <w:widowControl/>
              <w:snapToGrid w:val="0"/>
              <w:jc w:val="center"/>
              <w:rPr>
                <w:kern w:val="0"/>
                <w:sz w:val="24"/>
                <w:szCs w:val="21"/>
              </w:rPr>
            </w:pPr>
            <w:r>
              <w:rPr>
                <w:kern w:val="0"/>
                <w:sz w:val="24"/>
                <w:szCs w:val="21"/>
              </w:rPr>
              <w:t>谈判要求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1</w:t>
            </w:r>
          </w:p>
        </w:tc>
        <w:tc>
          <w:tcPr>
            <w:tcW w:w="3922" w:type="dxa"/>
            <w:shd w:val="clear" w:color="auto" w:fill="auto"/>
            <w:vAlign w:val="center"/>
          </w:tcPr>
          <w:p>
            <w:pPr>
              <w:widowControl/>
              <w:snapToGrid w:val="0"/>
              <w:jc w:val="center"/>
              <w:rPr>
                <w:kern w:val="0"/>
                <w:sz w:val="24"/>
                <w:szCs w:val="21"/>
              </w:rPr>
            </w:pPr>
            <w:r>
              <w:rPr>
                <w:kern w:val="0"/>
                <w:sz w:val="24"/>
                <w:szCs w:val="21"/>
              </w:rPr>
              <w:t>（一）</w:t>
            </w:r>
            <w:r>
              <w:rPr>
                <w:sz w:val="24"/>
              </w:rPr>
              <w:t>投标人须承诺所提供的服务、人员及设备符合相关国家强制性规定</w:t>
            </w:r>
            <w:r>
              <w:rPr>
                <w:bCs/>
                <w:sz w:val="24"/>
                <w:szCs w:val="24"/>
              </w:rPr>
              <w:t>。</w:t>
            </w: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5" w:type="dxa"/>
            <w:gridSpan w:val="5"/>
            <w:shd w:val="clear" w:color="auto" w:fill="auto"/>
            <w:vAlign w:val="center"/>
          </w:tcPr>
          <w:p>
            <w:pPr>
              <w:widowControl/>
              <w:snapToGrid w:val="0"/>
              <w:ind w:firstLine="224" w:firstLineChars="100"/>
              <w:rPr>
                <w:kern w:val="0"/>
                <w:sz w:val="24"/>
                <w:szCs w:val="21"/>
              </w:rPr>
            </w:pPr>
            <w:r>
              <w:rPr>
                <w:kern w:val="0"/>
                <w:sz w:val="24"/>
                <w:szCs w:val="21"/>
              </w:rPr>
              <w:t>2. 项目需求书要求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r>
              <w:rPr>
                <w:kern w:val="0"/>
                <w:sz w:val="24"/>
                <w:szCs w:val="21"/>
              </w:rPr>
              <w:t>序号</w:t>
            </w:r>
          </w:p>
        </w:tc>
        <w:tc>
          <w:tcPr>
            <w:tcW w:w="3922" w:type="dxa"/>
            <w:shd w:val="clear" w:color="auto" w:fill="auto"/>
            <w:vAlign w:val="center"/>
          </w:tcPr>
          <w:p>
            <w:pPr>
              <w:widowControl/>
              <w:snapToGrid w:val="0"/>
              <w:jc w:val="center"/>
              <w:rPr>
                <w:kern w:val="0"/>
                <w:sz w:val="24"/>
                <w:szCs w:val="21"/>
              </w:rPr>
            </w:pPr>
            <w:r>
              <w:rPr>
                <w:kern w:val="0"/>
                <w:sz w:val="24"/>
                <w:szCs w:val="21"/>
              </w:rPr>
              <w:t>谈判要求</w:t>
            </w:r>
          </w:p>
        </w:tc>
        <w:tc>
          <w:tcPr>
            <w:tcW w:w="2438" w:type="dxa"/>
            <w:shd w:val="clear" w:color="auto" w:fill="auto"/>
            <w:vAlign w:val="center"/>
          </w:tcPr>
          <w:p>
            <w:pPr>
              <w:widowControl/>
              <w:snapToGrid w:val="0"/>
              <w:jc w:val="center"/>
              <w:rPr>
                <w:kern w:val="0"/>
                <w:sz w:val="24"/>
                <w:szCs w:val="21"/>
              </w:rPr>
            </w:pPr>
            <w:r>
              <w:rPr>
                <w:kern w:val="0"/>
                <w:sz w:val="24"/>
                <w:szCs w:val="21"/>
              </w:rPr>
              <w:t>投标应答</w:t>
            </w:r>
          </w:p>
        </w:tc>
        <w:tc>
          <w:tcPr>
            <w:tcW w:w="1289" w:type="dxa"/>
            <w:shd w:val="clear" w:color="auto" w:fill="auto"/>
            <w:vAlign w:val="center"/>
          </w:tcPr>
          <w:p>
            <w:pPr>
              <w:widowControl/>
              <w:snapToGrid w:val="0"/>
              <w:jc w:val="center"/>
              <w:rPr>
                <w:kern w:val="0"/>
                <w:sz w:val="24"/>
                <w:szCs w:val="21"/>
              </w:rPr>
            </w:pPr>
            <w:r>
              <w:rPr>
                <w:kern w:val="0"/>
                <w:sz w:val="24"/>
                <w:szCs w:val="21"/>
              </w:rPr>
              <w:t>偏离说明</w:t>
            </w:r>
          </w:p>
        </w:tc>
        <w:tc>
          <w:tcPr>
            <w:tcW w:w="843" w:type="dxa"/>
            <w:shd w:val="clear" w:color="auto" w:fill="auto"/>
            <w:vAlign w:val="center"/>
          </w:tcPr>
          <w:p>
            <w:pPr>
              <w:widowControl/>
              <w:snapToGrid w:val="0"/>
              <w:jc w:val="center"/>
              <w:rPr>
                <w:kern w:val="0"/>
                <w:sz w:val="24"/>
                <w:szCs w:val="21"/>
              </w:rPr>
            </w:pPr>
            <w:r>
              <w:rPr>
                <w:kern w:val="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3922"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pPr>
              <w:widowControl/>
              <w:snapToGrid w:val="0"/>
              <w:jc w:val="center"/>
              <w:rPr>
                <w:kern w:val="0"/>
                <w:sz w:val="24"/>
                <w:szCs w:val="21"/>
              </w:rPr>
            </w:pPr>
          </w:p>
        </w:tc>
        <w:tc>
          <w:tcPr>
            <w:tcW w:w="3922" w:type="dxa"/>
            <w:shd w:val="clear" w:color="auto" w:fill="auto"/>
            <w:vAlign w:val="center"/>
          </w:tcPr>
          <w:p>
            <w:pPr>
              <w:widowControl/>
              <w:snapToGrid w:val="0"/>
              <w:jc w:val="center"/>
              <w:rPr>
                <w:kern w:val="0"/>
                <w:sz w:val="24"/>
                <w:szCs w:val="21"/>
              </w:rPr>
            </w:pPr>
          </w:p>
        </w:tc>
        <w:tc>
          <w:tcPr>
            <w:tcW w:w="2438" w:type="dxa"/>
            <w:shd w:val="clear" w:color="auto" w:fill="auto"/>
            <w:vAlign w:val="center"/>
          </w:tcPr>
          <w:p>
            <w:pPr>
              <w:widowControl/>
              <w:snapToGrid w:val="0"/>
              <w:jc w:val="center"/>
              <w:rPr>
                <w:kern w:val="0"/>
                <w:sz w:val="24"/>
                <w:szCs w:val="21"/>
              </w:rPr>
            </w:pPr>
          </w:p>
        </w:tc>
        <w:tc>
          <w:tcPr>
            <w:tcW w:w="1289" w:type="dxa"/>
            <w:shd w:val="clear" w:color="auto" w:fill="auto"/>
            <w:vAlign w:val="center"/>
          </w:tcPr>
          <w:p>
            <w:pPr>
              <w:widowControl/>
              <w:snapToGrid w:val="0"/>
              <w:jc w:val="center"/>
              <w:rPr>
                <w:kern w:val="0"/>
                <w:sz w:val="24"/>
                <w:szCs w:val="21"/>
              </w:rPr>
            </w:pPr>
          </w:p>
        </w:tc>
        <w:tc>
          <w:tcPr>
            <w:tcW w:w="843" w:type="dxa"/>
            <w:shd w:val="clear" w:color="auto" w:fill="auto"/>
            <w:vAlign w:val="center"/>
          </w:tcPr>
          <w:p>
            <w:pPr>
              <w:widowControl/>
              <w:snapToGrid w:val="0"/>
              <w:jc w:val="center"/>
              <w:rPr>
                <w:kern w:val="0"/>
                <w:sz w:val="24"/>
                <w:szCs w:val="21"/>
              </w:rPr>
            </w:pPr>
          </w:p>
        </w:tc>
      </w:tr>
    </w:tbl>
    <w:p>
      <w:pPr>
        <w:spacing w:line="620" w:lineRule="exact"/>
        <w:rPr>
          <w:sz w:val="24"/>
        </w:rPr>
      </w:pPr>
      <w:r>
        <w:rPr>
          <w:sz w:val="24"/>
        </w:rPr>
        <w:t>注：</w:t>
      </w:r>
    </w:p>
    <w:p>
      <w:pPr>
        <w:spacing w:line="360" w:lineRule="auto"/>
        <w:rPr>
          <w:sz w:val="24"/>
        </w:rPr>
      </w:pPr>
      <w:r>
        <w:rPr>
          <w:sz w:val="24"/>
        </w:rPr>
        <w:t>1. 不如实填写偏离情况的响应文件将视为虚假材料。</w:t>
      </w:r>
    </w:p>
    <w:p>
      <w:pPr>
        <w:spacing w:line="360" w:lineRule="auto"/>
        <w:rPr>
          <w:sz w:val="24"/>
        </w:rPr>
      </w:pPr>
      <w:r>
        <w:rPr>
          <w:sz w:val="24"/>
        </w:rPr>
        <w:t>2. 谈判要求指谈判文件中规定的具体要求，投标应答指响应文件的具体内容。</w:t>
      </w:r>
    </w:p>
    <w:p>
      <w:pPr>
        <w:spacing w:line="360" w:lineRule="auto"/>
        <w:rPr>
          <w:sz w:val="24"/>
        </w:rPr>
      </w:pPr>
      <w:r>
        <w:rPr>
          <w:sz w:val="24"/>
        </w:rPr>
        <w:t>3. 偏离说明指谈判要求与投标应答之间的不同之处。</w:t>
      </w:r>
    </w:p>
    <w:p>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谈判文件要求。投标人自行承担由此造成的一切后果。</w:t>
      </w:r>
    </w:p>
    <w:p>
      <w:pPr>
        <w:spacing w:line="360" w:lineRule="auto"/>
        <w:rPr>
          <w:sz w:val="24"/>
        </w:rPr>
      </w:pPr>
    </w:p>
    <w:p>
      <w:pPr>
        <w:spacing w:line="360" w:lineRule="auto"/>
        <w:ind w:firstLine="3808" w:firstLineChars="1700"/>
        <w:rPr>
          <w:sz w:val="24"/>
        </w:rPr>
      </w:pPr>
      <w:r>
        <w:rPr>
          <w:sz w:val="24"/>
        </w:rPr>
        <w:t>供应商名称：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360"/>
        </w:tabs>
        <w:spacing w:after="285" w:afterLines="100" w:line="360" w:lineRule="auto"/>
        <w:rPr>
          <w:b/>
          <w:sz w:val="24"/>
        </w:rPr>
      </w:pPr>
      <w:r>
        <w:rPr>
          <w:sz w:val="24"/>
        </w:rPr>
        <w:br w:type="page"/>
      </w:r>
      <w:r>
        <w:rPr>
          <w:b/>
          <w:sz w:val="24"/>
        </w:rPr>
        <w:t>附件6</w:t>
      </w:r>
    </w:p>
    <w:p>
      <w:pPr>
        <w:autoSpaceDN w:val="0"/>
        <w:spacing w:line="360" w:lineRule="auto"/>
        <w:jc w:val="center"/>
        <w:rPr>
          <w:b/>
          <w:bCs/>
          <w:sz w:val="24"/>
        </w:rPr>
      </w:pPr>
      <w:r>
        <w:rPr>
          <w:b/>
          <w:sz w:val="24"/>
        </w:rPr>
        <w:t>主要相关项目业绩一览表</w:t>
      </w:r>
    </w:p>
    <w:p>
      <w:pPr>
        <w:spacing w:line="460" w:lineRule="exact"/>
        <w:ind w:left="192"/>
        <w:rPr>
          <w:sz w:val="24"/>
        </w:rPr>
      </w:pPr>
    </w:p>
    <w:p>
      <w:pPr>
        <w:spacing w:line="460" w:lineRule="exact"/>
        <w:rPr>
          <w:sz w:val="24"/>
        </w:rPr>
      </w:pPr>
      <w:r>
        <w:rPr>
          <w:sz w:val="24"/>
        </w:rPr>
        <w:t>项目名称：</w:t>
      </w:r>
      <w:r>
        <w:rPr>
          <w:sz w:val="24"/>
          <w:u w:val="single"/>
        </w:rPr>
        <w:t xml:space="preserve">                    </w:t>
      </w:r>
    </w:p>
    <w:p>
      <w:pPr>
        <w:spacing w:line="460" w:lineRule="exact"/>
        <w:rPr>
          <w:sz w:val="24"/>
        </w:rPr>
      </w:pPr>
      <w:r>
        <w:rPr>
          <w:sz w:val="24"/>
        </w:rPr>
        <w:t>项目编号：</w:t>
      </w:r>
      <w:r>
        <w:rPr>
          <w:sz w:val="24"/>
          <w:u w:val="single"/>
        </w:rPr>
        <w:t xml:space="preserve">                    </w:t>
      </w:r>
    </w:p>
    <w:p>
      <w:pPr>
        <w:spacing w:line="460" w:lineRule="exact"/>
        <w:rPr>
          <w:sz w:val="24"/>
          <w:u w:val="single"/>
        </w:rPr>
      </w:pPr>
      <w:r>
        <w:rPr>
          <w:sz w:val="24"/>
        </w:rPr>
        <w:t>包号：</w:t>
      </w:r>
      <w:r>
        <w:rPr>
          <w:sz w:val="24"/>
          <w:u w:val="single"/>
        </w:rPr>
        <w:t xml:space="preserve">                        </w:t>
      </w:r>
    </w:p>
    <w:p>
      <w:pPr>
        <w:spacing w:line="460" w:lineRule="exact"/>
        <w:ind w:left="192"/>
        <w:rPr>
          <w:sz w:val="24"/>
        </w:rPr>
      </w:pPr>
    </w:p>
    <w:tbl>
      <w:tblPr>
        <w:tblStyle w:val="11"/>
        <w:tblW w:w="52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152"/>
        <w:gridCol w:w="716"/>
        <w:gridCol w:w="914"/>
        <w:gridCol w:w="1585"/>
        <w:gridCol w:w="1053"/>
        <w:gridCol w:w="716"/>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序号</w:t>
            </w: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甲方单位名称</w:t>
            </w: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项目内容</w:t>
            </w: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实施地点</w:t>
            </w: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甲方联系人及联系方式</w:t>
            </w: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项目起止时间</w:t>
            </w: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合同金额</w:t>
            </w: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sz w:val="24"/>
                <w:szCs w:val="24"/>
              </w:rPr>
              <w:t>证明材料所在页码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640"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0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881"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585"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c>
          <w:tcPr>
            <w:tcW w:w="1174" w:type="pct"/>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bl>
    <w:p>
      <w:pPr>
        <w:spacing w:line="560" w:lineRule="exact"/>
        <w:rPr>
          <w:sz w:val="24"/>
        </w:rPr>
      </w:pPr>
      <w:r>
        <w:rPr>
          <w:sz w:val="24"/>
        </w:rPr>
        <w:t>备注：若谈判文件第二部分要求提供业绩的，投标人所列业绩应按其要求将证明材料按顺序附后。</w:t>
      </w:r>
    </w:p>
    <w:p>
      <w:pPr>
        <w:spacing w:line="560" w:lineRule="exact"/>
        <w:rPr>
          <w:sz w:val="24"/>
        </w:rPr>
      </w:pPr>
    </w:p>
    <w:p>
      <w:pPr>
        <w:spacing w:line="360" w:lineRule="auto"/>
        <w:ind w:firstLine="3808" w:firstLineChars="1700"/>
        <w:rPr>
          <w:sz w:val="24"/>
        </w:rPr>
      </w:pPr>
      <w:r>
        <w:rPr>
          <w:sz w:val="24"/>
        </w:rPr>
        <w:t>供应商名称：</w:t>
      </w:r>
    </w:p>
    <w:p>
      <w:pPr>
        <w:spacing w:line="360" w:lineRule="auto"/>
        <w:ind w:firstLine="3808" w:firstLineChars="1700"/>
        <w:rPr>
          <w:sz w:val="24"/>
        </w:rPr>
      </w:pPr>
    </w:p>
    <w:p>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360"/>
        </w:tabs>
        <w:spacing w:line="360" w:lineRule="auto"/>
        <w:rPr>
          <w:rFonts w:hint="eastAsia" w:eastAsia="宋体"/>
          <w:b/>
          <w:sz w:val="24"/>
          <w:szCs w:val="24"/>
          <w:lang w:eastAsia="zh-CN"/>
        </w:rPr>
      </w:pPr>
      <w:r>
        <w:rPr>
          <w:sz w:val="24"/>
        </w:rPr>
        <w:br w:type="page"/>
      </w:r>
      <w:r>
        <w:rPr>
          <w:b/>
          <w:sz w:val="24"/>
          <w:szCs w:val="24"/>
        </w:rPr>
        <w:t>附件</w:t>
      </w:r>
      <w:r>
        <w:rPr>
          <w:rFonts w:hint="eastAsia"/>
          <w:b/>
          <w:sz w:val="24"/>
          <w:szCs w:val="24"/>
          <w:lang w:val="en-US" w:eastAsia="zh-CN"/>
        </w:rPr>
        <w:t>7</w:t>
      </w:r>
    </w:p>
    <w:p>
      <w:pPr>
        <w:tabs>
          <w:tab w:val="left" w:pos="360"/>
        </w:tabs>
        <w:spacing w:line="360" w:lineRule="auto"/>
        <w:ind w:firstLine="448" w:firstLineChars="200"/>
        <w:rPr>
          <w:b/>
          <w:bCs/>
          <w:sz w:val="24"/>
        </w:rPr>
      </w:pPr>
      <w:r>
        <w:rPr>
          <w:b/>
          <w:bCs/>
          <w:sz w:val="24"/>
        </w:rPr>
        <w:t xml:space="preserve"> </w:t>
      </w:r>
    </w:p>
    <w:p>
      <w:pPr>
        <w:tabs>
          <w:tab w:val="left" w:pos="360"/>
        </w:tabs>
        <w:spacing w:line="360" w:lineRule="auto"/>
        <w:jc w:val="center"/>
        <w:rPr>
          <w:b/>
          <w:bCs/>
          <w:sz w:val="24"/>
        </w:rPr>
      </w:pPr>
      <w:r>
        <w:rPr>
          <w:rFonts w:hint="eastAsia"/>
          <w:b/>
          <w:bCs/>
          <w:sz w:val="24"/>
        </w:rPr>
        <w:t>书面</w:t>
      </w:r>
      <w:r>
        <w:rPr>
          <w:b/>
          <w:bCs/>
          <w:sz w:val="24"/>
        </w:rPr>
        <w:t>声明</w:t>
      </w:r>
    </w:p>
    <w:p>
      <w:pPr>
        <w:pStyle w:val="27"/>
        <w:tabs>
          <w:tab w:val="left" w:pos="360"/>
        </w:tabs>
        <w:spacing w:line="360" w:lineRule="auto"/>
        <w:ind w:firstLine="446"/>
        <w:rPr>
          <w:sz w:val="24"/>
        </w:rPr>
      </w:pPr>
    </w:p>
    <w:p>
      <w:pPr>
        <w:pStyle w:val="27"/>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pPr>
        <w:pStyle w:val="27"/>
        <w:tabs>
          <w:tab w:val="left" w:pos="360"/>
        </w:tabs>
        <w:spacing w:line="360" w:lineRule="auto"/>
        <w:ind w:firstLine="446"/>
        <w:rPr>
          <w:sz w:val="24"/>
        </w:rPr>
      </w:pPr>
      <w:r>
        <w:rPr>
          <w:rFonts w:hint="eastAsia"/>
          <w:sz w:val="24"/>
        </w:rPr>
        <w:t>我单位具备良好的商业信誉和健全的财务会计制度，依法缴纳税收和社会保障资金。</w:t>
      </w:r>
    </w:p>
    <w:p>
      <w:pPr>
        <w:pStyle w:val="27"/>
        <w:tabs>
          <w:tab w:val="left" w:pos="360"/>
        </w:tabs>
        <w:spacing w:line="360" w:lineRule="auto"/>
        <w:ind w:firstLine="446"/>
        <w:rPr>
          <w:sz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日期：</w:t>
      </w:r>
    </w:p>
    <w:p>
      <w:pPr>
        <w:autoSpaceDE w:val="0"/>
        <w:autoSpaceDN w:val="0"/>
        <w:spacing w:line="500" w:lineRule="exact"/>
        <w:ind w:left="3840"/>
        <w:jc w:val="left"/>
        <w:rPr>
          <w:sz w:val="24"/>
          <w:szCs w:val="24"/>
        </w:rPr>
      </w:pPr>
    </w:p>
    <w:p>
      <w:pPr>
        <w:pStyle w:val="27"/>
        <w:tabs>
          <w:tab w:val="left" w:pos="360"/>
        </w:tabs>
        <w:spacing w:line="360" w:lineRule="auto"/>
        <w:ind w:firstLine="0" w:firstLineChars="0"/>
        <w:rPr>
          <w:sz w:val="24"/>
          <w:u w:val="single"/>
        </w:rPr>
      </w:pPr>
      <w:r>
        <w:rPr>
          <w:rFonts w:hint="eastAsia"/>
          <w:sz w:val="24"/>
          <w:u w:val="single"/>
        </w:rPr>
        <w:t xml:space="preserve">                                                                     </w:t>
      </w:r>
    </w:p>
    <w:p>
      <w:pPr>
        <w:pStyle w:val="27"/>
        <w:tabs>
          <w:tab w:val="left" w:pos="360"/>
        </w:tabs>
        <w:spacing w:line="360" w:lineRule="auto"/>
        <w:ind w:firstLine="446"/>
        <w:rPr>
          <w:sz w:val="24"/>
        </w:rPr>
      </w:pPr>
    </w:p>
    <w:p>
      <w:pPr>
        <w:pStyle w:val="27"/>
        <w:spacing w:line="360" w:lineRule="auto"/>
        <w:ind w:firstLine="0" w:firstLineChars="0"/>
        <w:jc w:val="center"/>
        <w:rPr>
          <w:b/>
          <w:sz w:val="24"/>
        </w:rPr>
      </w:pPr>
    </w:p>
    <w:p>
      <w:pPr>
        <w:pStyle w:val="27"/>
        <w:spacing w:line="360" w:lineRule="auto"/>
        <w:ind w:firstLine="0" w:firstLineChars="0"/>
        <w:jc w:val="center"/>
        <w:rPr>
          <w:b/>
          <w:sz w:val="24"/>
        </w:rPr>
      </w:pPr>
    </w:p>
    <w:p>
      <w:pPr>
        <w:pStyle w:val="27"/>
        <w:spacing w:line="360" w:lineRule="auto"/>
        <w:ind w:firstLine="0" w:firstLineChars="0"/>
        <w:jc w:val="center"/>
        <w:rPr>
          <w:b/>
          <w:sz w:val="24"/>
        </w:rPr>
      </w:pPr>
      <w:r>
        <w:rPr>
          <w:rFonts w:hint="eastAsia"/>
          <w:b/>
          <w:sz w:val="24"/>
        </w:rPr>
        <w:t>证明材料</w:t>
      </w:r>
    </w:p>
    <w:p>
      <w:pPr>
        <w:pStyle w:val="27"/>
        <w:tabs>
          <w:tab w:val="left" w:pos="360"/>
        </w:tabs>
        <w:spacing w:line="360" w:lineRule="auto"/>
        <w:ind w:firstLine="446"/>
        <w:rPr>
          <w:sz w:val="24"/>
        </w:rPr>
      </w:pPr>
    </w:p>
    <w:p>
      <w:pPr>
        <w:pStyle w:val="27"/>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pPr>
        <w:pStyle w:val="27"/>
        <w:tabs>
          <w:tab w:val="left" w:pos="360"/>
        </w:tabs>
        <w:spacing w:line="360" w:lineRule="auto"/>
        <w:ind w:firstLine="446"/>
        <w:rPr>
          <w:sz w:val="24"/>
        </w:rPr>
      </w:pPr>
    </w:p>
    <w:p>
      <w:pPr>
        <w:pStyle w:val="27"/>
        <w:tabs>
          <w:tab w:val="left" w:pos="360"/>
        </w:tabs>
        <w:spacing w:line="360" w:lineRule="auto"/>
        <w:ind w:firstLine="446"/>
        <w:rPr>
          <w:sz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p>
    <w:p>
      <w:pPr>
        <w:autoSpaceDE w:val="0"/>
        <w:autoSpaceDN w:val="0"/>
        <w:spacing w:line="500" w:lineRule="exact"/>
        <w:ind w:left="3840"/>
        <w:jc w:val="left"/>
        <w:rPr>
          <w:sz w:val="24"/>
          <w:szCs w:val="24"/>
        </w:rPr>
      </w:pPr>
      <w:r>
        <w:rPr>
          <w:sz w:val="24"/>
          <w:szCs w:val="24"/>
        </w:rPr>
        <w:t>投标人名称：</w:t>
      </w:r>
    </w:p>
    <w:p>
      <w:pPr>
        <w:autoSpaceDE w:val="0"/>
        <w:autoSpaceDN w:val="0"/>
        <w:spacing w:line="500" w:lineRule="exact"/>
        <w:ind w:left="3840"/>
        <w:jc w:val="left"/>
        <w:rPr>
          <w:sz w:val="24"/>
          <w:szCs w:val="24"/>
        </w:rPr>
      </w:pPr>
    </w:p>
    <w:p>
      <w:pPr>
        <w:autoSpaceDE w:val="0"/>
        <w:autoSpaceDN w:val="0"/>
        <w:spacing w:line="500" w:lineRule="exact"/>
        <w:ind w:left="3840"/>
        <w:jc w:val="left"/>
        <w:rPr>
          <w:b/>
          <w:sz w:val="24"/>
        </w:rPr>
      </w:pPr>
      <w:r>
        <w:rPr>
          <w:sz w:val="24"/>
          <w:szCs w:val="24"/>
        </w:rPr>
        <w:t>日期：</w:t>
      </w:r>
    </w:p>
    <w:p>
      <w:pPr>
        <w:tabs>
          <w:tab w:val="left" w:pos="360"/>
        </w:tabs>
        <w:spacing w:line="360" w:lineRule="auto"/>
        <w:ind w:firstLine="448" w:firstLineChars="200"/>
        <w:rPr>
          <w:b/>
          <w:sz w:val="24"/>
          <w:szCs w:val="24"/>
        </w:rPr>
      </w:pPr>
    </w:p>
    <w:p>
      <w:pPr>
        <w:spacing w:line="360" w:lineRule="auto"/>
        <w:ind w:right="84" w:firstLine="224" w:firstLineChars="100"/>
        <w:rPr>
          <w:b/>
          <w:sz w:val="24"/>
          <w:szCs w:val="24"/>
        </w:rPr>
      </w:pPr>
    </w:p>
    <w:p>
      <w:pPr>
        <w:spacing w:line="360" w:lineRule="auto"/>
        <w:ind w:right="84"/>
        <w:rPr>
          <w:b/>
          <w:sz w:val="24"/>
          <w:szCs w:val="24"/>
        </w:rPr>
      </w:pPr>
      <w:r>
        <w:rPr>
          <w:b/>
          <w:sz w:val="24"/>
          <w:szCs w:val="21"/>
        </w:rPr>
        <w:t>附件</w:t>
      </w:r>
      <w:r>
        <w:rPr>
          <w:rFonts w:hint="eastAsia"/>
          <w:b/>
          <w:sz w:val="24"/>
          <w:szCs w:val="21"/>
          <w:lang w:val="en-US" w:eastAsia="zh-CN"/>
        </w:rPr>
        <w:t>8</w:t>
      </w:r>
      <w:r>
        <w:rPr>
          <w:b/>
          <w:sz w:val="24"/>
          <w:szCs w:val="21"/>
        </w:rPr>
        <w:t>：投标人认为需要提供的其他材料</w:t>
      </w:r>
    </w:p>
    <w:p>
      <w:pPr>
        <w:spacing w:line="360" w:lineRule="auto"/>
        <w:ind w:right="84" w:firstLine="224" w:firstLineChars="100"/>
        <w:rPr>
          <w:position w:val="-40"/>
          <w:sz w:val="24"/>
          <w:szCs w:val="24"/>
        </w:rPr>
      </w:pPr>
      <w:r>
        <w:rPr>
          <w:sz w:val="24"/>
          <w:szCs w:val="24"/>
        </w:rPr>
        <w:t xml:space="preserve">  </w:t>
      </w:r>
    </w:p>
    <w:p>
      <w:pPr>
        <w:spacing w:line="460" w:lineRule="exact"/>
        <w:rPr>
          <w:sz w:val="24"/>
        </w:rPr>
      </w:pPr>
    </w:p>
    <w:p>
      <w:pPr>
        <w:autoSpaceDE w:val="0"/>
        <w:autoSpaceDN w:val="0"/>
        <w:adjustRightInd w:val="0"/>
        <w:spacing w:line="520" w:lineRule="exact"/>
        <w:rPr>
          <w:b/>
          <w:kern w:val="0"/>
          <w:sz w:val="24"/>
        </w:rPr>
      </w:pPr>
      <w:r>
        <w:rPr>
          <w:b/>
          <w:sz w:val="24"/>
        </w:rPr>
        <w:br w:type="page"/>
      </w:r>
    </w:p>
    <w:p>
      <w:pPr>
        <w:autoSpaceDE w:val="0"/>
        <w:autoSpaceDN w:val="0"/>
        <w:adjustRightInd w:val="0"/>
        <w:spacing w:line="520" w:lineRule="exact"/>
        <w:rPr>
          <w:b/>
          <w:kern w:val="0"/>
          <w:sz w:val="24"/>
        </w:rPr>
      </w:pPr>
      <w:r>
        <w:rPr>
          <w:b/>
          <w:kern w:val="0"/>
          <w:sz w:val="24"/>
        </w:rPr>
        <w:drawing>
          <wp:anchor distT="0" distB="0" distL="114300" distR="114300" simplePos="0" relativeHeight="251662336" behindDoc="0" locked="0" layoutInCell="1" allowOverlap="1">
            <wp:simplePos x="0" y="0"/>
            <wp:positionH relativeFrom="column">
              <wp:posOffset>26670</wp:posOffset>
            </wp:positionH>
            <wp:positionV relativeFrom="paragraph">
              <wp:posOffset>-150495</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pPr>
        <w:autoSpaceDE w:val="0"/>
        <w:autoSpaceDN w:val="0"/>
        <w:adjustRightInd w:val="0"/>
        <w:jc w:val="center"/>
        <w:rPr>
          <w:kern w:val="0"/>
          <w:sz w:val="144"/>
          <w:szCs w:val="144"/>
        </w:rPr>
      </w:pPr>
      <w:r>
        <w:rPr>
          <w:sz w:val="160"/>
          <w:szCs w:val="84"/>
        </w:rPr>
        <w:t>响 应</w:t>
      </w:r>
      <w:r>
        <w:rPr>
          <w:sz w:val="84"/>
          <w:szCs w:val="84"/>
        </w:rPr>
        <w:t xml:space="preserve"> </w:t>
      </w:r>
      <w:r>
        <w:rPr>
          <w:sz w:val="160"/>
          <w:szCs w:val="84"/>
        </w:rPr>
        <w:t>文</w:t>
      </w:r>
      <w:r>
        <w:rPr>
          <w:sz w:val="84"/>
          <w:szCs w:val="84"/>
        </w:rPr>
        <w:t xml:space="preserve"> </w:t>
      </w:r>
      <w:r>
        <w:rPr>
          <w:sz w:val="160"/>
          <w:szCs w:val="84"/>
        </w:rPr>
        <w:t>件</w:t>
      </w:r>
    </w:p>
    <w:p>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加盖电子签章 ）</w:t>
      </w:r>
    </w:p>
    <w:p>
      <w:pPr>
        <w:autoSpaceDE w:val="0"/>
        <w:autoSpaceDN w:val="0"/>
        <w:adjustRightInd w:val="0"/>
        <w:spacing w:line="520" w:lineRule="exact"/>
        <w:jc w:val="center"/>
        <w:rPr>
          <w:b/>
          <w:kern w:val="0"/>
          <w:sz w:val="36"/>
          <w:szCs w:val="36"/>
        </w:rPr>
      </w:pPr>
    </w:p>
    <w:p>
      <w:pPr>
        <w:autoSpaceDE w:val="0"/>
        <w:autoSpaceDN w:val="0"/>
        <w:adjustRightInd w:val="0"/>
        <w:spacing w:line="520" w:lineRule="exact"/>
        <w:jc w:val="center"/>
        <w:rPr>
          <w:b/>
          <w:kern w:val="0"/>
          <w:sz w:val="36"/>
          <w:szCs w:val="36"/>
        </w:rPr>
      </w:pPr>
      <w:r>
        <w:rPr>
          <w:b/>
          <w:kern w:val="0"/>
          <w:sz w:val="36"/>
          <w:szCs w:val="36"/>
        </w:rPr>
        <w:t>第二阶段</w:t>
      </w:r>
    </w:p>
    <w:p>
      <w:pPr>
        <w:autoSpaceDE w:val="0"/>
        <w:autoSpaceDN w:val="0"/>
        <w:adjustRightInd w:val="0"/>
        <w:spacing w:line="520" w:lineRule="exact"/>
        <w:jc w:val="center"/>
        <w:rPr>
          <w:b/>
          <w:kern w:val="0"/>
          <w:sz w:val="24"/>
        </w:rPr>
      </w:pPr>
    </w:p>
    <w:p>
      <w:pPr>
        <w:spacing w:before="85" w:beforeLines="30" w:after="199" w:afterLines="70" w:line="540" w:lineRule="exact"/>
        <w:ind w:left="582" w:leftChars="300"/>
        <w:rPr>
          <w:b/>
          <w:sz w:val="34"/>
          <w:szCs w:val="34"/>
        </w:rPr>
      </w:pPr>
      <w:r>
        <w:rPr>
          <w:b/>
          <w:sz w:val="34"/>
          <w:szCs w:val="34"/>
        </w:rPr>
        <w:t>项目编号：</w:t>
      </w:r>
    </w:p>
    <w:p>
      <w:pPr>
        <w:spacing w:before="85" w:beforeLines="30" w:after="199" w:afterLines="70" w:line="540" w:lineRule="exact"/>
        <w:ind w:left="2027" w:leftChars="300" w:hanging="1445" w:hangingChars="446"/>
        <w:rPr>
          <w:b/>
          <w:sz w:val="34"/>
          <w:szCs w:val="34"/>
        </w:rPr>
      </w:pPr>
      <w:r>
        <w:rPr>
          <w:b/>
          <w:sz w:val="34"/>
          <w:szCs w:val="34"/>
        </w:rPr>
        <w:t>项目名称：</w:t>
      </w:r>
    </w:p>
    <w:p>
      <w:pPr>
        <w:spacing w:before="85" w:beforeLines="30" w:after="199" w:afterLines="70" w:line="540" w:lineRule="exact"/>
        <w:ind w:left="2027" w:leftChars="300" w:hanging="1445" w:hangingChars="446"/>
        <w:rPr>
          <w:b/>
          <w:sz w:val="34"/>
          <w:szCs w:val="34"/>
        </w:rPr>
      </w:pPr>
      <w:r>
        <w:rPr>
          <w:b/>
          <w:sz w:val="34"/>
          <w:szCs w:val="34"/>
        </w:rPr>
        <w:t>所投包号：</w:t>
      </w:r>
    </w:p>
    <w:p>
      <w:pPr>
        <w:spacing w:before="85" w:beforeLines="30" w:after="199" w:afterLines="70" w:line="540" w:lineRule="exact"/>
        <w:ind w:left="582" w:leftChars="300"/>
        <w:rPr>
          <w:b/>
          <w:sz w:val="34"/>
          <w:szCs w:val="34"/>
        </w:rPr>
      </w:pPr>
      <w:r>
        <w:rPr>
          <w:b/>
          <w:sz w:val="34"/>
          <w:szCs w:val="34"/>
        </w:rPr>
        <w:t>投标单位名称：</w:t>
      </w: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sz w:val="34"/>
          <w:szCs w:val="34"/>
        </w:rPr>
      </w:pPr>
    </w:p>
    <w:p>
      <w:pPr>
        <w:spacing w:before="85" w:beforeLines="30" w:after="199" w:afterLines="70" w:line="540" w:lineRule="exact"/>
        <w:ind w:left="582" w:leftChars="300"/>
        <w:rPr>
          <w:b/>
          <w:sz w:val="34"/>
          <w:szCs w:val="34"/>
        </w:rPr>
      </w:pPr>
    </w:p>
    <w:p>
      <w:pPr>
        <w:spacing w:line="460" w:lineRule="exact"/>
        <w:ind w:firstLine="648" w:firstLineChars="200"/>
        <w:rPr>
          <w:b/>
          <w:sz w:val="24"/>
        </w:rPr>
      </w:pPr>
      <w:r>
        <w:rPr>
          <w:b/>
          <w:sz w:val="34"/>
          <w:szCs w:val="34"/>
        </w:rPr>
        <w:t>谈判日期：   年   月   日</w:t>
      </w:r>
      <w:r>
        <w:rPr>
          <w:b/>
          <w:bCs/>
          <w:sz w:val="24"/>
        </w:rPr>
        <w:br w:type="page"/>
      </w:r>
    </w:p>
    <w:p>
      <w:pPr>
        <w:tabs>
          <w:tab w:val="left" w:pos="360"/>
        </w:tabs>
        <w:spacing w:line="460" w:lineRule="exact"/>
        <w:jc w:val="center"/>
        <w:rPr>
          <w:b/>
          <w:sz w:val="24"/>
        </w:rPr>
      </w:pPr>
      <w:r>
        <w:rPr>
          <w:b/>
          <w:sz w:val="24"/>
        </w:rPr>
        <w:t>报价书</w:t>
      </w:r>
    </w:p>
    <w:p>
      <w:pPr>
        <w:tabs>
          <w:tab w:val="left" w:pos="360"/>
        </w:tabs>
        <w:spacing w:line="460" w:lineRule="exact"/>
        <w:jc w:val="center"/>
        <w:rPr>
          <w:b/>
          <w:sz w:val="24"/>
        </w:rPr>
      </w:pPr>
    </w:p>
    <w:p>
      <w:pPr>
        <w:spacing w:line="460" w:lineRule="exact"/>
        <w:rPr>
          <w:sz w:val="24"/>
        </w:rPr>
      </w:pPr>
      <w:r>
        <w:rPr>
          <w:sz w:val="24"/>
        </w:rPr>
        <w:t>致：天津市政府采购中心</w:t>
      </w:r>
    </w:p>
    <w:p>
      <w:pPr>
        <w:tabs>
          <w:tab w:val="left" w:pos="540"/>
          <w:tab w:val="left" w:pos="720"/>
        </w:tabs>
        <w:spacing w:line="460" w:lineRule="exact"/>
        <w:rPr>
          <w:sz w:val="24"/>
        </w:rPr>
      </w:pPr>
      <w:r>
        <w:rPr>
          <w:sz w:val="24"/>
        </w:rPr>
        <w:t xml:space="preserve">     根据贵方为天津市</w:t>
      </w:r>
      <w:r>
        <w:rPr>
          <w:sz w:val="24"/>
          <w:u w:val="single"/>
        </w:rPr>
        <w:t xml:space="preserve">                      </w:t>
      </w:r>
      <w:r>
        <w:rPr>
          <w:sz w:val="24"/>
        </w:rPr>
        <w:t>项目的竞争性谈判邀请（项目编号：</w:t>
      </w:r>
      <w:r>
        <w:rPr>
          <w:sz w:val="24"/>
          <w:u w:val="single"/>
        </w:rPr>
        <w:t xml:space="preserve">                      </w:t>
      </w:r>
      <w:r>
        <w:rPr>
          <w:sz w:val="24"/>
        </w:rPr>
        <w:t>），</w:t>
      </w:r>
      <w:r>
        <w:rPr>
          <w:rFonts w:hint="eastAsia"/>
          <w:sz w:val="24"/>
        </w:rPr>
        <w:t>谈判</w:t>
      </w:r>
      <w:r>
        <w:rPr>
          <w:sz w:val="24"/>
        </w:rPr>
        <w:t>代表人</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（投标人名称、地址）提交网上应答及上传加盖电子签章的响应文件。</w:t>
      </w:r>
    </w:p>
    <w:p>
      <w:pPr>
        <w:spacing w:line="460" w:lineRule="exact"/>
        <w:rPr>
          <w:sz w:val="24"/>
        </w:rPr>
      </w:pPr>
      <w:r>
        <w:rPr>
          <w:sz w:val="24"/>
        </w:rPr>
        <w:t>据此函，</w:t>
      </w:r>
      <w:r>
        <w:rPr>
          <w:rFonts w:hint="eastAsia"/>
          <w:sz w:val="24"/>
        </w:rPr>
        <w:t>谈判</w:t>
      </w:r>
      <w:r>
        <w:rPr>
          <w:sz w:val="24"/>
        </w:rPr>
        <w:t>代表人宣布同意如下：</w:t>
      </w:r>
    </w:p>
    <w:p>
      <w:pPr>
        <w:spacing w:line="460" w:lineRule="exact"/>
        <w:ind w:firstLine="448" w:firstLineChars="200"/>
        <w:jc w:val="left"/>
        <w:rPr>
          <w:sz w:val="24"/>
        </w:rPr>
      </w:pPr>
      <w:r>
        <w:rPr>
          <w:sz w:val="24"/>
        </w:rPr>
        <w:t>1.所附谈判报价表中规定的应提供的服务谈判总价为</w:t>
      </w:r>
    </w:p>
    <w:p>
      <w:pPr>
        <w:spacing w:line="460" w:lineRule="exact"/>
        <w:ind w:firstLine="448" w:firstLineChars="200"/>
        <w:jc w:val="left"/>
        <w:rPr>
          <w:sz w:val="24"/>
        </w:rPr>
      </w:pPr>
      <w:r>
        <w:rPr>
          <w:sz w:val="24"/>
        </w:rPr>
        <w:t>第一包：</w:t>
      </w:r>
    </w:p>
    <w:p>
      <w:pPr>
        <w:spacing w:line="460" w:lineRule="exact"/>
        <w:ind w:firstLine="448" w:firstLineChars="200"/>
        <w:jc w:val="left"/>
        <w:rPr>
          <w:sz w:val="24"/>
        </w:rPr>
      </w:pPr>
      <w:r>
        <w:rPr>
          <w:sz w:val="24"/>
          <w:u w:val="single"/>
        </w:rPr>
        <w:t xml:space="preserve">         </w:t>
      </w:r>
      <w:r>
        <w:rPr>
          <w:sz w:val="24"/>
        </w:rPr>
        <w:t>元（注明币种）</w:t>
      </w:r>
    </w:p>
    <w:p>
      <w:pPr>
        <w:spacing w:line="460" w:lineRule="exact"/>
        <w:ind w:left="432" w:leftChars="223"/>
        <w:jc w:val="left"/>
        <w:rPr>
          <w:sz w:val="24"/>
        </w:rPr>
      </w:pPr>
      <w:r>
        <w:rPr>
          <w:sz w:val="24"/>
        </w:rPr>
        <w:t>大写</w:t>
      </w:r>
      <w:r>
        <w:rPr>
          <w:sz w:val="24"/>
          <w:u w:val="single"/>
        </w:rPr>
        <w:t xml:space="preserve">                    </w:t>
      </w:r>
      <w:r>
        <w:rPr>
          <w:sz w:val="24"/>
        </w:rPr>
        <w:t>（文字表述）。</w:t>
      </w:r>
    </w:p>
    <w:p>
      <w:pPr>
        <w:spacing w:line="460" w:lineRule="exact"/>
        <w:ind w:left="432" w:leftChars="223"/>
        <w:jc w:val="left"/>
        <w:rPr>
          <w:sz w:val="24"/>
        </w:rPr>
      </w:pPr>
      <w:r>
        <w:rPr>
          <w:sz w:val="24"/>
        </w:rPr>
        <w:t>第二包：</w:t>
      </w:r>
    </w:p>
    <w:p>
      <w:pPr>
        <w:spacing w:line="460" w:lineRule="exact"/>
        <w:ind w:firstLine="448" w:firstLineChars="200"/>
        <w:jc w:val="left"/>
        <w:rPr>
          <w:sz w:val="24"/>
        </w:rPr>
      </w:pPr>
      <w:r>
        <w:rPr>
          <w:sz w:val="24"/>
          <w:u w:val="single"/>
        </w:rPr>
        <w:t xml:space="preserve">         </w:t>
      </w:r>
      <w:r>
        <w:rPr>
          <w:sz w:val="24"/>
        </w:rPr>
        <w:t>元（注明币种）</w:t>
      </w:r>
    </w:p>
    <w:p>
      <w:pPr>
        <w:spacing w:line="460" w:lineRule="exact"/>
        <w:ind w:left="432" w:leftChars="223"/>
        <w:jc w:val="left"/>
        <w:rPr>
          <w:sz w:val="24"/>
        </w:rPr>
      </w:pPr>
      <w:r>
        <w:rPr>
          <w:sz w:val="24"/>
        </w:rPr>
        <w:t>大写</w:t>
      </w:r>
      <w:r>
        <w:rPr>
          <w:sz w:val="24"/>
          <w:u w:val="single"/>
        </w:rPr>
        <w:t xml:space="preserve">                    </w:t>
      </w:r>
      <w:r>
        <w:rPr>
          <w:sz w:val="24"/>
        </w:rPr>
        <w:t>（文字表述）。</w:t>
      </w:r>
    </w:p>
    <w:p>
      <w:pPr>
        <w:spacing w:line="460" w:lineRule="exact"/>
        <w:ind w:firstLine="448" w:firstLineChars="200"/>
        <w:jc w:val="left"/>
        <w:rPr>
          <w:sz w:val="24"/>
        </w:rPr>
      </w:pPr>
      <w:r>
        <w:rPr>
          <w:sz w:val="24"/>
        </w:rPr>
        <w:t>………………………………………………</w:t>
      </w:r>
    </w:p>
    <w:p>
      <w:pPr>
        <w:spacing w:line="460" w:lineRule="exact"/>
        <w:rPr>
          <w:sz w:val="24"/>
        </w:rPr>
      </w:pPr>
      <w:r>
        <w:rPr>
          <w:sz w:val="24"/>
        </w:rPr>
        <w:t xml:space="preserve">    2.投标人已经对全部价格进行了认真核对，保证本报价真实、准确无误，并承担本价格所对应本项目的一切责任和义务。</w:t>
      </w:r>
    </w:p>
    <w:p>
      <w:pPr>
        <w:spacing w:line="460" w:lineRule="exact"/>
        <w:ind w:firstLine="471"/>
        <w:rPr>
          <w:sz w:val="24"/>
        </w:rPr>
      </w:pPr>
      <w:r>
        <w:rPr>
          <w:sz w:val="24"/>
        </w:rPr>
        <w:t>3.两个阶段响应文件一一对应、不可分割，共同构成我方对本项目的所有承诺。</w:t>
      </w:r>
    </w:p>
    <w:p>
      <w:pPr>
        <w:spacing w:line="460" w:lineRule="exact"/>
        <w:ind w:firstLine="471"/>
        <w:rPr>
          <w:sz w:val="24"/>
        </w:rPr>
      </w:pPr>
    </w:p>
    <w:p>
      <w:pPr>
        <w:spacing w:line="360" w:lineRule="auto"/>
        <w:ind w:firstLine="3808" w:firstLineChars="1700"/>
        <w:rPr>
          <w:sz w:val="24"/>
        </w:rPr>
      </w:pPr>
      <w:r>
        <w:rPr>
          <w:rFonts w:hint="eastAsia"/>
          <w:sz w:val="24"/>
        </w:rPr>
        <w:t>供应商名称：</w:t>
      </w:r>
    </w:p>
    <w:p>
      <w:pPr>
        <w:spacing w:line="360" w:lineRule="auto"/>
        <w:ind w:firstLine="3808" w:firstLineChars="1700"/>
        <w:rPr>
          <w:sz w:val="24"/>
        </w:rPr>
      </w:pPr>
    </w:p>
    <w:p>
      <w:pPr>
        <w:spacing w:line="360" w:lineRule="auto"/>
        <w:ind w:firstLine="3808" w:firstLineChars="1700"/>
        <w:rPr>
          <w:sz w:val="24"/>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pPr>
        <w:rPr>
          <w:b/>
          <w:sz w:val="24"/>
        </w:rPr>
      </w:pPr>
      <w:r>
        <w:br w:type="page"/>
      </w:r>
      <w:r>
        <w:rPr>
          <w:b/>
          <w:sz w:val="24"/>
        </w:rPr>
        <w:t>附件1</w:t>
      </w:r>
    </w:p>
    <w:p>
      <w:pPr>
        <w:tabs>
          <w:tab w:val="left" w:pos="3780"/>
          <w:tab w:val="left" w:pos="3960"/>
        </w:tabs>
        <w:spacing w:line="460" w:lineRule="exact"/>
        <w:jc w:val="center"/>
        <w:rPr>
          <w:b/>
          <w:sz w:val="24"/>
        </w:rPr>
      </w:pPr>
      <w:r>
        <w:rPr>
          <w:b/>
          <w:sz w:val="24"/>
        </w:rPr>
        <w:t>报价一览表</w:t>
      </w:r>
    </w:p>
    <w:p>
      <w:pPr>
        <w:spacing w:line="460" w:lineRule="exact"/>
        <w:rPr>
          <w:b/>
          <w:sz w:val="24"/>
        </w:rPr>
      </w:pPr>
      <w:r>
        <w:rPr>
          <w:b/>
          <w:sz w:val="24"/>
        </w:rPr>
        <w:t xml:space="preserve">  </w:t>
      </w:r>
      <w:r>
        <w:rPr>
          <w:sz w:val="24"/>
        </w:rPr>
        <w:t>项目编号：</w:t>
      </w:r>
      <w:r>
        <w:rPr>
          <w:sz w:val="24"/>
          <w:u w:val="single"/>
        </w:rPr>
        <w:t xml:space="preserve">                    </w:t>
      </w:r>
      <w:r>
        <w:rPr>
          <w:sz w:val="24"/>
        </w:rPr>
        <w:t xml:space="preserve">      </w:t>
      </w:r>
      <w:r>
        <w:rPr>
          <w:b/>
          <w:sz w:val="24"/>
        </w:rPr>
        <w:t xml:space="preserve">            </w:t>
      </w:r>
    </w:p>
    <w:p>
      <w:pPr>
        <w:spacing w:line="460" w:lineRule="exact"/>
        <w:rPr>
          <w:b/>
          <w:sz w:val="24"/>
        </w:rPr>
      </w:pPr>
      <w:r>
        <w:rPr>
          <w:b/>
          <w:sz w:val="24"/>
        </w:rPr>
        <w:t xml:space="preserve">  </w:t>
      </w:r>
      <w:r>
        <w:rPr>
          <w:sz w:val="24"/>
        </w:rPr>
        <w:t>项目名称：__________</w:t>
      </w:r>
      <w:r>
        <w:rPr>
          <w:sz w:val="24"/>
          <w:u w:val="single"/>
        </w:rPr>
        <w:t>___  __</w:t>
      </w:r>
      <w:r>
        <w:rPr>
          <w:sz w:val="24"/>
        </w:rPr>
        <w:t>_</w:t>
      </w:r>
      <w:r>
        <w:rPr>
          <w:b/>
          <w:sz w:val="24"/>
        </w:rPr>
        <w:t xml:space="preserve">                  </w:t>
      </w:r>
    </w:p>
    <w:p>
      <w:pPr>
        <w:spacing w:line="460" w:lineRule="exact"/>
        <w:rPr>
          <w:sz w:val="24"/>
        </w:rPr>
      </w:pPr>
      <w:r>
        <w:rPr>
          <w:sz w:val="24"/>
        </w:rPr>
        <w:t xml:space="preserve">  包号：</w:t>
      </w:r>
      <w:r>
        <w:rPr>
          <w:sz w:val="24"/>
          <w:u w:val="single"/>
        </w:rPr>
        <w:t xml:space="preserve">                        </w:t>
      </w:r>
    </w:p>
    <w:p>
      <w:pPr>
        <w:spacing w:line="460" w:lineRule="exact"/>
        <w:rPr>
          <w:b/>
          <w:sz w:val="24"/>
        </w:rPr>
      </w:pPr>
      <w:r>
        <w:rPr>
          <w:sz w:val="24"/>
        </w:rPr>
        <w:t xml:space="preserve">                                                            单位：元</w:t>
      </w:r>
      <w:r>
        <w:rPr>
          <w:b/>
          <w:sz w:val="24"/>
        </w:rPr>
        <w:t xml:space="preserve"> </w:t>
      </w:r>
    </w:p>
    <w:tbl>
      <w:tblPr>
        <w:tblStyle w:val="11"/>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651"/>
        <w:gridCol w:w="1373"/>
        <w:gridCol w:w="2052"/>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r>
              <w:rPr>
                <w:sz w:val="24"/>
              </w:rPr>
              <w:t>包号</w:t>
            </w:r>
          </w:p>
        </w:tc>
        <w:tc>
          <w:tcPr>
            <w:tcW w:w="1473" w:type="pct"/>
            <w:vAlign w:val="center"/>
          </w:tcPr>
          <w:p>
            <w:pPr>
              <w:spacing w:line="460" w:lineRule="exact"/>
              <w:jc w:val="center"/>
              <w:rPr>
                <w:sz w:val="24"/>
              </w:rPr>
            </w:pPr>
            <w:r>
              <w:rPr>
                <w:sz w:val="24"/>
              </w:rPr>
              <w:t>服务名称</w:t>
            </w:r>
          </w:p>
        </w:tc>
        <w:tc>
          <w:tcPr>
            <w:tcW w:w="763" w:type="pct"/>
            <w:vAlign w:val="center"/>
          </w:tcPr>
          <w:p>
            <w:pPr>
              <w:spacing w:line="460" w:lineRule="exact"/>
              <w:jc w:val="center"/>
              <w:rPr>
                <w:sz w:val="24"/>
              </w:rPr>
            </w:pPr>
            <w:r>
              <w:rPr>
                <w:sz w:val="24"/>
              </w:rPr>
              <w:t>数量</w:t>
            </w:r>
          </w:p>
        </w:tc>
        <w:tc>
          <w:tcPr>
            <w:tcW w:w="1140" w:type="pct"/>
            <w:vAlign w:val="center"/>
          </w:tcPr>
          <w:p>
            <w:pPr>
              <w:spacing w:line="460" w:lineRule="exact"/>
              <w:jc w:val="center"/>
              <w:rPr>
                <w:sz w:val="24"/>
              </w:rPr>
            </w:pPr>
            <w:r>
              <w:rPr>
                <w:sz w:val="24"/>
              </w:rPr>
              <w:t>投标总价</w:t>
            </w:r>
          </w:p>
        </w:tc>
        <w:tc>
          <w:tcPr>
            <w:tcW w:w="932" w:type="pct"/>
            <w:vAlign w:val="center"/>
          </w:tcPr>
          <w:p>
            <w:pPr>
              <w:spacing w:line="460" w:lineRule="exact"/>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Cs w:val="21"/>
              </w:rPr>
            </w:pPr>
          </w:p>
        </w:tc>
        <w:tc>
          <w:tcPr>
            <w:tcW w:w="1473" w:type="pct"/>
            <w:vAlign w:val="center"/>
          </w:tcPr>
          <w:p>
            <w:pPr>
              <w:spacing w:line="460" w:lineRule="exact"/>
              <w:jc w:val="center"/>
              <w:rPr>
                <w:szCs w:val="21"/>
              </w:rPr>
            </w:pPr>
          </w:p>
        </w:tc>
        <w:tc>
          <w:tcPr>
            <w:tcW w:w="763" w:type="pct"/>
            <w:vAlign w:val="center"/>
          </w:tcPr>
          <w:p>
            <w:pPr>
              <w:spacing w:line="460" w:lineRule="exact"/>
              <w:jc w:val="center"/>
              <w:rPr>
                <w:szCs w:val="21"/>
              </w:rPr>
            </w:pPr>
          </w:p>
        </w:tc>
        <w:tc>
          <w:tcPr>
            <w:tcW w:w="1140" w:type="pct"/>
            <w:vAlign w:val="center"/>
          </w:tcPr>
          <w:p>
            <w:pPr>
              <w:spacing w:line="460" w:lineRule="exact"/>
              <w:jc w:val="center"/>
              <w:rPr>
                <w:szCs w:val="21"/>
              </w:rPr>
            </w:pPr>
          </w:p>
        </w:tc>
        <w:tc>
          <w:tcPr>
            <w:tcW w:w="932" w:type="pct"/>
            <w:vAlign w:val="center"/>
          </w:tcPr>
          <w:p>
            <w:pPr>
              <w:spacing w:line="4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p>
        </w:tc>
        <w:tc>
          <w:tcPr>
            <w:tcW w:w="1473" w:type="pct"/>
            <w:vAlign w:val="center"/>
          </w:tcPr>
          <w:p>
            <w:pPr>
              <w:spacing w:line="460" w:lineRule="exact"/>
              <w:jc w:val="center"/>
              <w:rPr>
                <w:sz w:val="24"/>
              </w:rPr>
            </w:pPr>
          </w:p>
        </w:tc>
        <w:tc>
          <w:tcPr>
            <w:tcW w:w="763" w:type="pct"/>
            <w:vAlign w:val="center"/>
          </w:tcPr>
          <w:p>
            <w:pPr>
              <w:spacing w:line="460" w:lineRule="exact"/>
              <w:jc w:val="center"/>
              <w:rPr>
                <w:sz w:val="24"/>
              </w:rPr>
            </w:pPr>
          </w:p>
        </w:tc>
        <w:tc>
          <w:tcPr>
            <w:tcW w:w="1140" w:type="pct"/>
            <w:vAlign w:val="center"/>
          </w:tcPr>
          <w:p>
            <w:pPr>
              <w:spacing w:line="460" w:lineRule="exact"/>
              <w:jc w:val="center"/>
              <w:rPr>
                <w:sz w:val="24"/>
              </w:rPr>
            </w:pPr>
          </w:p>
        </w:tc>
        <w:tc>
          <w:tcPr>
            <w:tcW w:w="932" w:type="pct"/>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2" w:type="pct"/>
            <w:vAlign w:val="center"/>
          </w:tcPr>
          <w:p>
            <w:pPr>
              <w:spacing w:line="460" w:lineRule="exact"/>
              <w:jc w:val="center"/>
              <w:rPr>
                <w:sz w:val="24"/>
              </w:rPr>
            </w:pPr>
          </w:p>
        </w:tc>
        <w:tc>
          <w:tcPr>
            <w:tcW w:w="1473" w:type="pct"/>
            <w:vAlign w:val="center"/>
          </w:tcPr>
          <w:p>
            <w:pPr>
              <w:spacing w:line="460" w:lineRule="exact"/>
              <w:jc w:val="center"/>
              <w:rPr>
                <w:sz w:val="24"/>
              </w:rPr>
            </w:pPr>
          </w:p>
        </w:tc>
        <w:tc>
          <w:tcPr>
            <w:tcW w:w="763" w:type="pct"/>
            <w:vAlign w:val="center"/>
          </w:tcPr>
          <w:p>
            <w:pPr>
              <w:spacing w:line="460" w:lineRule="exact"/>
              <w:jc w:val="center"/>
              <w:rPr>
                <w:sz w:val="24"/>
              </w:rPr>
            </w:pPr>
          </w:p>
        </w:tc>
        <w:tc>
          <w:tcPr>
            <w:tcW w:w="1140" w:type="pct"/>
            <w:vAlign w:val="center"/>
          </w:tcPr>
          <w:p>
            <w:pPr>
              <w:spacing w:line="460" w:lineRule="exact"/>
              <w:jc w:val="center"/>
              <w:rPr>
                <w:sz w:val="24"/>
              </w:rPr>
            </w:pPr>
          </w:p>
        </w:tc>
        <w:tc>
          <w:tcPr>
            <w:tcW w:w="932" w:type="pct"/>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p>
        </w:tc>
        <w:tc>
          <w:tcPr>
            <w:tcW w:w="1473" w:type="pct"/>
            <w:vAlign w:val="center"/>
          </w:tcPr>
          <w:p>
            <w:pPr>
              <w:spacing w:line="460" w:lineRule="exact"/>
              <w:jc w:val="center"/>
              <w:rPr>
                <w:sz w:val="24"/>
              </w:rPr>
            </w:pPr>
          </w:p>
        </w:tc>
        <w:tc>
          <w:tcPr>
            <w:tcW w:w="763" w:type="pct"/>
            <w:vAlign w:val="center"/>
          </w:tcPr>
          <w:p>
            <w:pPr>
              <w:spacing w:line="460" w:lineRule="exact"/>
              <w:jc w:val="center"/>
              <w:rPr>
                <w:sz w:val="24"/>
              </w:rPr>
            </w:pPr>
          </w:p>
        </w:tc>
        <w:tc>
          <w:tcPr>
            <w:tcW w:w="1140" w:type="pct"/>
            <w:vAlign w:val="center"/>
          </w:tcPr>
          <w:p>
            <w:pPr>
              <w:spacing w:line="460" w:lineRule="exact"/>
              <w:jc w:val="center"/>
              <w:rPr>
                <w:sz w:val="24"/>
              </w:rPr>
            </w:pPr>
          </w:p>
        </w:tc>
        <w:tc>
          <w:tcPr>
            <w:tcW w:w="932" w:type="pct"/>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p>
        </w:tc>
        <w:tc>
          <w:tcPr>
            <w:tcW w:w="1473" w:type="pct"/>
            <w:vAlign w:val="center"/>
          </w:tcPr>
          <w:p>
            <w:pPr>
              <w:spacing w:line="460" w:lineRule="exact"/>
              <w:jc w:val="center"/>
              <w:rPr>
                <w:sz w:val="24"/>
              </w:rPr>
            </w:pPr>
          </w:p>
        </w:tc>
        <w:tc>
          <w:tcPr>
            <w:tcW w:w="763" w:type="pct"/>
            <w:vAlign w:val="center"/>
          </w:tcPr>
          <w:p>
            <w:pPr>
              <w:spacing w:line="460" w:lineRule="exact"/>
              <w:jc w:val="center"/>
              <w:rPr>
                <w:sz w:val="24"/>
              </w:rPr>
            </w:pPr>
          </w:p>
        </w:tc>
        <w:tc>
          <w:tcPr>
            <w:tcW w:w="1140" w:type="pct"/>
            <w:vAlign w:val="center"/>
          </w:tcPr>
          <w:p>
            <w:pPr>
              <w:spacing w:line="460" w:lineRule="exact"/>
              <w:jc w:val="center"/>
              <w:rPr>
                <w:sz w:val="24"/>
              </w:rPr>
            </w:pPr>
          </w:p>
        </w:tc>
        <w:tc>
          <w:tcPr>
            <w:tcW w:w="932" w:type="pct"/>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p>
        </w:tc>
        <w:tc>
          <w:tcPr>
            <w:tcW w:w="1473" w:type="pct"/>
            <w:vAlign w:val="center"/>
          </w:tcPr>
          <w:p>
            <w:pPr>
              <w:spacing w:line="460" w:lineRule="exact"/>
              <w:jc w:val="center"/>
              <w:rPr>
                <w:sz w:val="24"/>
              </w:rPr>
            </w:pPr>
          </w:p>
        </w:tc>
        <w:tc>
          <w:tcPr>
            <w:tcW w:w="763" w:type="pct"/>
            <w:vAlign w:val="center"/>
          </w:tcPr>
          <w:p>
            <w:pPr>
              <w:spacing w:line="460" w:lineRule="exact"/>
              <w:jc w:val="center"/>
              <w:rPr>
                <w:sz w:val="24"/>
              </w:rPr>
            </w:pPr>
          </w:p>
        </w:tc>
        <w:tc>
          <w:tcPr>
            <w:tcW w:w="1140" w:type="pct"/>
            <w:vAlign w:val="center"/>
          </w:tcPr>
          <w:p>
            <w:pPr>
              <w:spacing w:line="460" w:lineRule="exact"/>
              <w:jc w:val="center"/>
              <w:rPr>
                <w:sz w:val="24"/>
              </w:rPr>
            </w:pPr>
          </w:p>
        </w:tc>
        <w:tc>
          <w:tcPr>
            <w:tcW w:w="932" w:type="pct"/>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p>
        </w:tc>
        <w:tc>
          <w:tcPr>
            <w:tcW w:w="1473" w:type="pct"/>
            <w:vAlign w:val="center"/>
          </w:tcPr>
          <w:p>
            <w:pPr>
              <w:spacing w:line="460" w:lineRule="exact"/>
              <w:jc w:val="center"/>
              <w:rPr>
                <w:sz w:val="24"/>
              </w:rPr>
            </w:pPr>
          </w:p>
        </w:tc>
        <w:tc>
          <w:tcPr>
            <w:tcW w:w="763" w:type="pct"/>
            <w:vAlign w:val="center"/>
          </w:tcPr>
          <w:p>
            <w:pPr>
              <w:spacing w:line="460" w:lineRule="exact"/>
              <w:jc w:val="center"/>
              <w:rPr>
                <w:sz w:val="24"/>
              </w:rPr>
            </w:pPr>
          </w:p>
        </w:tc>
        <w:tc>
          <w:tcPr>
            <w:tcW w:w="1140" w:type="pct"/>
            <w:vAlign w:val="center"/>
          </w:tcPr>
          <w:p>
            <w:pPr>
              <w:spacing w:line="460" w:lineRule="exact"/>
              <w:jc w:val="center"/>
              <w:rPr>
                <w:sz w:val="24"/>
              </w:rPr>
            </w:pPr>
          </w:p>
        </w:tc>
        <w:tc>
          <w:tcPr>
            <w:tcW w:w="932" w:type="pct"/>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p>
        </w:tc>
        <w:tc>
          <w:tcPr>
            <w:tcW w:w="1473" w:type="pct"/>
            <w:vAlign w:val="center"/>
          </w:tcPr>
          <w:p>
            <w:pPr>
              <w:spacing w:line="460" w:lineRule="exact"/>
              <w:jc w:val="center"/>
              <w:rPr>
                <w:sz w:val="24"/>
              </w:rPr>
            </w:pPr>
          </w:p>
        </w:tc>
        <w:tc>
          <w:tcPr>
            <w:tcW w:w="763" w:type="pct"/>
            <w:vAlign w:val="center"/>
          </w:tcPr>
          <w:p>
            <w:pPr>
              <w:spacing w:line="460" w:lineRule="exact"/>
              <w:jc w:val="center"/>
              <w:rPr>
                <w:sz w:val="24"/>
              </w:rPr>
            </w:pPr>
          </w:p>
        </w:tc>
        <w:tc>
          <w:tcPr>
            <w:tcW w:w="1140" w:type="pct"/>
            <w:vAlign w:val="center"/>
          </w:tcPr>
          <w:p>
            <w:pPr>
              <w:spacing w:line="460" w:lineRule="exact"/>
              <w:jc w:val="center"/>
              <w:rPr>
                <w:sz w:val="24"/>
              </w:rPr>
            </w:pPr>
          </w:p>
        </w:tc>
        <w:tc>
          <w:tcPr>
            <w:tcW w:w="932" w:type="pct"/>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p>
        </w:tc>
        <w:tc>
          <w:tcPr>
            <w:tcW w:w="1473" w:type="pct"/>
            <w:vAlign w:val="center"/>
          </w:tcPr>
          <w:p>
            <w:pPr>
              <w:spacing w:line="460" w:lineRule="exact"/>
              <w:jc w:val="center"/>
              <w:rPr>
                <w:sz w:val="24"/>
              </w:rPr>
            </w:pPr>
          </w:p>
        </w:tc>
        <w:tc>
          <w:tcPr>
            <w:tcW w:w="763" w:type="pct"/>
            <w:vAlign w:val="center"/>
          </w:tcPr>
          <w:p>
            <w:pPr>
              <w:spacing w:line="460" w:lineRule="exact"/>
              <w:jc w:val="center"/>
              <w:rPr>
                <w:sz w:val="24"/>
              </w:rPr>
            </w:pPr>
          </w:p>
        </w:tc>
        <w:tc>
          <w:tcPr>
            <w:tcW w:w="1140" w:type="pct"/>
            <w:vAlign w:val="center"/>
          </w:tcPr>
          <w:p>
            <w:pPr>
              <w:spacing w:line="460" w:lineRule="exact"/>
              <w:jc w:val="center"/>
              <w:rPr>
                <w:sz w:val="24"/>
              </w:rPr>
            </w:pPr>
          </w:p>
        </w:tc>
        <w:tc>
          <w:tcPr>
            <w:tcW w:w="932" w:type="pct"/>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p>
        </w:tc>
        <w:tc>
          <w:tcPr>
            <w:tcW w:w="1473" w:type="pct"/>
            <w:vAlign w:val="center"/>
          </w:tcPr>
          <w:p>
            <w:pPr>
              <w:spacing w:line="460" w:lineRule="exact"/>
              <w:jc w:val="center"/>
              <w:rPr>
                <w:sz w:val="24"/>
              </w:rPr>
            </w:pPr>
          </w:p>
        </w:tc>
        <w:tc>
          <w:tcPr>
            <w:tcW w:w="763" w:type="pct"/>
            <w:vAlign w:val="center"/>
          </w:tcPr>
          <w:p>
            <w:pPr>
              <w:spacing w:line="460" w:lineRule="exact"/>
              <w:jc w:val="center"/>
              <w:rPr>
                <w:sz w:val="24"/>
              </w:rPr>
            </w:pPr>
          </w:p>
        </w:tc>
        <w:tc>
          <w:tcPr>
            <w:tcW w:w="1140" w:type="pct"/>
            <w:vAlign w:val="center"/>
          </w:tcPr>
          <w:p>
            <w:pPr>
              <w:spacing w:line="460" w:lineRule="exact"/>
              <w:jc w:val="center"/>
              <w:rPr>
                <w:sz w:val="24"/>
              </w:rPr>
            </w:pPr>
          </w:p>
        </w:tc>
        <w:tc>
          <w:tcPr>
            <w:tcW w:w="932" w:type="pct"/>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p>
        </w:tc>
        <w:tc>
          <w:tcPr>
            <w:tcW w:w="1473" w:type="pct"/>
            <w:vAlign w:val="center"/>
          </w:tcPr>
          <w:p>
            <w:pPr>
              <w:spacing w:line="460" w:lineRule="exact"/>
              <w:jc w:val="center"/>
              <w:rPr>
                <w:sz w:val="24"/>
              </w:rPr>
            </w:pPr>
          </w:p>
        </w:tc>
        <w:tc>
          <w:tcPr>
            <w:tcW w:w="763" w:type="pct"/>
            <w:vAlign w:val="center"/>
          </w:tcPr>
          <w:p>
            <w:pPr>
              <w:spacing w:line="460" w:lineRule="exact"/>
              <w:jc w:val="center"/>
              <w:rPr>
                <w:sz w:val="24"/>
              </w:rPr>
            </w:pPr>
          </w:p>
        </w:tc>
        <w:tc>
          <w:tcPr>
            <w:tcW w:w="1140" w:type="pct"/>
            <w:vAlign w:val="center"/>
          </w:tcPr>
          <w:p>
            <w:pPr>
              <w:spacing w:line="460" w:lineRule="exact"/>
              <w:jc w:val="center"/>
              <w:rPr>
                <w:sz w:val="24"/>
              </w:rPr>
            </w:pPr>
          </w:p>
        </w:tc>
        <w:tc>
          <w:tcPr>
            <w:tcW w:w="932" w:type="pct"/>
            <w:vAlign w:val="center"/>
          </w:tcPr>
          <w:p>
            <w:pPr>
              <w:spacing w:line="46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spacing w:line="460" w:lineRule="exact"/>
              <w:jc w:val="center"/>
              <w:rPr>
                <w:sz w:val="24"/>
              </w:rPr>
            </w:pPr>
          </w:p>
        </w:tc>
        <w:tc>
          <w:tcPr>
            <w:tcW w:w="1473" w:type="pct"/>
            <w:vAlign w:val="center"/>
          </w:tcPr>
          <w:p>
            <w:pPr>
              <w:spacing w:line="460" w:lineRule="exact"/>
              <w:jc w:val="center"/>
              <w:rPr>
                <w:sz w:val="24"/>
              </w:rPr>
            </w:pPr>
          </w:p>
        </w:tc>
        <w:tc>
          <w:tcPr>
            <w:tcW w:w="763" w:type="pct"/>
            <w:vAlign w:val="center"/>
          </w:tcPr>
          <w:p>
            <w:pPr>
              <w:spacing w:line="460" w:lineRule="exact"/>
              <w:jc w:val="center"/>
              <w:rPr>
                <w:sz w:val="24"/>
              </w:rPr>
            </w:pPr>
          </w:p>
        </w:tc>
        <w:tc>
          <w:tcPr>
            <w:tcW w:w="1140" w:type="pct"/>
            <w:vAlign w:val="center"/>
          </w:tcPr>
          <w:p>
            <w:pPr>
              <w:spacing w:line="460" w:lineRule="exact"/>
              <w:jc w:val="center"/>
              <w:rPr>
                <w:sz w:val="24"/>
              </w:rPr>
            </w:pPr>
          </w:p>
        </w:tc>
        <w:tc>
          <w:tcPr>
            <w:tcW w:w="932" w:type="pct"/>
            <w:vAlign w:val="center"/>
          </w:tcPr>
          <w:p>
            <w:pPr>
              <w:spacing w:line="460" w:lineRule="exact"/>
              <w:jc w:val="center"/>
              <w:rPr>
                <w:sz w:val="24"/>
              </w:rPr>
            </w:pPr>
          </w:p>
        </w:tc>
      </w:tr>
    </w:tbl>
    <w:p>
      <w:pPr>
        <w:spacing w:line="460" w:lineRule="exact"/>
        <w:ind w:left="180"/>
      </w:pPr>
    </w:p>
    <w:p>
      <w:pPr>
        <w:spacing w:line="460" w:lineRule="exact"/>
        <w:ind w:left="180"/>
      </w:pPr>
    </w:p>
    <w:p>
      <w:pPr>
        <w:spacing w:line="360" w:lineRule="auto"/>
        <w:ind w:firstLine="3808" w:firstLineChars="1700"/>
        <w:rPr>
          <w:sz w:val="24"/>
        </w:rPr>
      </w:pPr>
      <w:r>
        <w:rPr>
          <w:rFonts w:hint="eastAsia"/>
          <w:sz w:val="24"/>
        </w:rPr>
        <w:t>供应商名称：</w:t>
      </w:r>
    </w:p>
    <w:p>
      <w:pPr>
        <w:spacing w:line="360" w:lineRule="auto"/>
        <w:ind w:firstLine="3808" w:firstLineChars="1700"/>
        <w:rPr>
          <w:sz w:val="24"/>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pPr>
        <w:spacing w:line="460" w:lineRule="exact"/>
        <w:ind w:left="-163" w:leftChars="-171" w:hanging="168" w:hangingChars="75"/>
        <w:rPr>
          <w:sz w:val="24"/>
        </w:rPr>
      </w:pPr>
      <w:r>
        <w:rPr>
          <w:sz w:val="24"/>
        </w:rPr>
        <w:t xml:space="preserve"> </w:t>
      </w:r>
    </w:p>
    <w:p>
      <w:pPr>
        <w:spacing w:line="460" w:lineRule="exact"/>
        <w:ind w:left="-163" w:leftChars="-171" w:hanging="168" w:hangingChars="75"/>
        <w:rPr>
          <w:sz w:val="24"/>
        </w:rPr>
      </w:pPr>
    </w:p>
    <w:p>
      <w:pPr>
        <w:spacing w:line="460" w:lineRule="exact"/>
        <w:ind w:left="-163" w:leftChars="-171" w:hanging="168" w:hangingChars="75"/>
        <w:rPr>
          <w:sz w:val="24"/>
        </w:rPr>
      </w:pPr>
    </w:p>
    <w:p>
      <w:pPr>
        <w:widowControl/>
        <w:jc w:val="left"/>
        <w:rPr>
          <w:b/>
          <w:sz w:val="24"/>
        </w:rPr>
      </w:pPr>
      <w:r>
        <w:rPr>
          <w:b/>
          <w:sz w:val="24"/>
        </w:rPr>
        <w:br w:type="page"/>
      </w:r>
    </w:p>
    <w:p>
      <w:pPr>
        <w:spacing w:line="460" w:lineRule="exact"/>
        <w:jc w:val="left"/>
        <w:rPr>
          <w:b/>
          <w:sz w:val="24"/>
        </w:rPr>
      </w:pPr>
      <w:r>
        <w:rPr>
          <w:b/>
          <w:sz w:val="24"/>
        </w:rPr>
        <w:t>附件2</w:t>
      </w:r>
    </w:p>
    <w:p>
      <w:pPr>
        <w:tabs>
          <w:tab w:val="left" w:pos="3780"/>
          <w:tab w:val="left" w:pos="3960"/>
        </w:tabs>
        <w:spacing w:line="460" w:lineRule="exact"/>
        <w:rPr>
          <w:b/>
          <w:sz w:val="24"/>
        </w:rPr>
      </w:pPr>
    </w:p>
    <w:p>
      <w:pPr>
        <w:tabs>
          <w:tab w:val="left" w:pos="3780"/>
          <w:tab w:val="left" w:pos="3960"/>
        </w:tabs>
        <w:spacing w:line="460" w:lineRule="exact"/>
        <w:jc w:val="center"/>
        <w:rPr>
          <w:b/>
          <w:sz w:val="24"/>
        </w:rPr>
      </w:pPr>
      <w:r>
        <w:rPr>
          <w:b/>
          <w:sz w:val="24"/>
        </w:rPr>
        <w:t>报价分项一览表</w:t>
      </w:r>
    </w:p>
    <w:p>
      <w:pPr>
        <w:spacing w:line="460" w:lineRule="exact"/>
        <w:rPr>
          <w:b/>
          <w:sz w:val="24"/>
        </w:rPr>
      </w:pPr>
      <w:r>
        <w:rPr>
          <w:b/>
          <w:sz w:val="24"/>
        </w:rPr>
        <w:t xml:space="preserve">  </w:t>
      </w:r>
      <w:r>
        <w:rPr>
          <w:sz w:val="24"/>
        </w:rPr>
        <w:t>项目编号：</w:t>
      </w:r>
      <w:r>
        <w:rPr>
          <w:sz w:val="24"/>
          <w:u w:val="single"/>
        </w:rPr>
        <w:t xml:space="preserve">                    </w:t>
      </w:r>
      <w:r>
        <w:rPr>
          <w:sz w:val="24"/>
        </w:rPr>
        <w:t xml:space="preserve">      </w:t>
      </w:r>
      <w:r>
        <w:rPr>
          <w:b/>
          <w:sz w:val="24"/>
        </w:rPr>
        <w:t xml:space="preserve">            </w:t>
      </w:r>
    </w:p>
    <w:p>
      <w:pPr>
        <w:spacing w:line="460" w:lineRule="exact"/>
        <w:rPr>
          <w:b/>
          <w:sz w:val="24"/>
        </w:rPr>
      </w:pPr>
      <w:r>
        <w:rPr>
          <w:b/>
          <w:sz w:val="24"/>
        </w:rPr>
        <w:t xml:space="preserve">  </w:t>
      </w:r>
      <w:r>
        <w:rPr>
          <w:sz w:val="24"/>
        </w:rPr>
        <w:t>项目名称：__________________</w:t>
      </w:r>
      <w:r>
        <w:rPr>
          <w:b/>
          <w:sz w:val="24"/>
        </w:rPr>
        <w:t xml:space="preserve">                                  </w:t>
      </w:r>
    </w:p>
    <w:p>
      <w:pPr>
        <w:spacing w:line="460" w:lineRule="exact"/>
        <w:rPr>
          <w:sz w:val="24"/>
          <w:u w:val="single"/>
        </w:rPr>
      </w:pPr>
      <w:r>
        <w:rPr>
          <w:sz w:val="24"/>
        </w:rPr>
        <w:t xml:space="preserve">  包号：</w:t>
      </w:r>
      <w:r>
        <w:rPr>
          <w:sz w:val="24"/>
          <w:u w:val="single"/>
        </w:rPr>
        <w:t xml:space="preserve">                        </w:t>
      </w:r>
    </w:p>
    <w:p>
      <w:pPr>
        <w:spacing w:line="460" w:lineRule="exact"/>
        <w:rPr>
          <w:b/>
          <w:sz w:val="24"/>
        </w:rPr>
      </w:pPr>
      <w:r>
        <w:rPr>
          <w:sz w:val="24"/>
        </w:rPr>
        <w:t xml:space="preserve">                                                              单位：元</w:t>
      </w:r>
      <w:r>
        <w:rPr>
          <w:b/>
          <w:sz w:val="24"/>
        </w:rPr>
        <w:t xml:space="preserve">  </w:t>
      </w:r>
    </w:p>
    <w:tbl>
      <w:tblPr>
        <w:tblStyle w:val="11"/>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585"/>
        <w:gridCol w:w="1701"/>
        <w:gridCol w:w="2238"/>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8" w:type="dxa"/>
            <w:vAlign w:val="center"/>
          </w:tcPr>
          <w:p>
            <w:pPr>
              <w:widowControl/>
              <w:jc w:val="center"/>
              <w:rPr>
                <w:b/>
                <w:bCs/>
                <w:kern w:val="0"/>
                <w:sz w:val="24"/>
                <w:szCs w:val="24"/>
              </w:rPr>
            </w:pPr>
            <w:r>
              <w:rPr>
                <w:b/>
                <w:bCs/>
                <w:kern w:val="0"/>
                <w:sz w:val="24"/>
                <w:szCs w:val="24"/>
              </w:rPr>
              <w:t>项号</w:t>
            </w:r>
          </w:p>
        </w:tc>
        <w:tc>
          <w:tcPr>
            <w:tcW w:w="2585" w:type="dxa"/>
            <w:vAlign w:val="center"/>
          </w:tcPr>
          <w:p>
            <w:pPr>
              <w:widowControl/>
              <w:jc w:val="center"/>
              <w:rPr>
                <w:b/>
                <w:bCs/>
                <w:kern w:val="0"/>
                <w:sz w:val="24"/>
                <w:szCs w:val="24"/>
              </w:rPr>
            </w:pPr>
            <w:r>
              <w:rPr>
                <w:b/>
                <w:bCs/>
                <w:kern w:val="0"/>
                <w:sz w:val="24"/>
                <w:szCs w:val="24"/>
              </w:rPr>
              <w:t>服务名称</w:t>
            </w:r>
          </w:p>
        </w:tc>
        <w:tc>
          <w:tcPr>
            <w:tcW w:w="1701" w:type="dxa"/>
            <w:vAlign w:val="center"/>
          </w:tcPr>
          <w:p>
            <w:pPr>
              <w:widowControl/>
              <w:jc w:val="center"/>
              <w:rPr>
                <w:b/>
                <w:bCs/>
                <w:kern w:val="0"/>
                <w:sz w:val="24"/>
                <w:szCs w:val="24"/>
              </w:rPr>
            </w:pPr>
            <w:r>
              <w:rPr>
                <w:b/>
                <w:bCs/>
                <w:kern w:val="0"/>
                <w:sz w:val="24"/>
                <w:szCs w:val="24"/>
              </w:rPr>
              <w:t>总价</w:t>
            </w:r>
          </w:p>
        </w:tc>
        <w:tc>
          <w:tcPr>
            <w:tcW w:w="2238" w:type="dxa"/>
            <w:vAlign w:val="center"/>
          </w:tcPr>
          <w:p>
            <w:pPr>
              <w:widowControl/>
              <w:jc w:val="center"/>
              <w:rPr>
                <w:b/>
                <w:bCs/>
                <w:kern w:val="0"/>
                <w:sz w:val="24"/>
                <w:szCs w:val="24"/>
              </w:rPr>
            </w:pPr>
            <w:r>
              <w:rPr>
                <w:b/>
                <w:bCs/>
                <w:kern w:val="0"/>
                <w:sz w:val="24"/>
                <w:szCs w:val="24"/>
              </w:rPr>
              <w:t>数量</w:t>
            </w:r>
          </w:p>
        </w:tc>
        <w:tc>
          <w:tcPr>
            <w:tcW w:w="1848" w:type="dxa"/>
            <w:vAlign w:val="center"/>
          </w:tcPr>
          <w:p>
            <w:pPr>
              <w:widowControl/>
              <w:jc w:val="center"/>
              <w:rPr>
                <w:b/>
                <w:bCs/>
                <w:kern w:val="0"/>
                <w:sz w:val="24"/>
                <w:szCs w:val="24"/>
              </w:rPr>
            </w:pPr>
            <w:r>
              <w:rPr>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8" w:type="dxa"/>
            <w:vAlign w:val="center"/>
          </w:tcPr>
          <w:p>
            <w:pPr>
              <w:widowControl/>
              <w:jc w:val="center"/>
              <w:rPr>
                <w:kern w:val="0"/>
                <w:sz w:val="24"/>
                <w:szCs w:val="24"/>
              </w:rPr>
            </w:pPr>
            <w:r>
              <w:rPr>
                <w:kern w:val="0"/>
                <w:sz w:val="24"/>
                <w:szCs w:val="24"/>
              </w:rPr>
              <w:t>1</w:t>
            </w:r>
          </w:p>
        </w:tc>
        <w:tc>
          <w:tcPr>
            <w:tcW w:w="2585" w:type="dxa"/>
            <w:vAlign w:val="center"/>
          </w:tcPr>
          <w:p>
            <w:pPr>
              <w:widowControl/>
              <w:jc w:val="center"/>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sz w:val="24"/>
                <w:szCs w:val="24"/>
              </w:rPr>
            </w:pPr>
            <w:r>
              <w:rPr>
                <w:sz w:val="24"/>
                <w:szCs w:val="24"/>
              </w:rPr>
              <w:t>1项</w:t>
            </w: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250" w:type="dxa"/>
            <w:gridSpan w:val="5"/>
            <w:vAlign w:val="center"/>
          </w:tcPr>
          <w:p>
            <w:pPr>
              <w:widowControl/>
              <w:jc w:val="left"/>
              <w:rPr>
                <w:kern w:val="0"/>
                <w:sz w:val="24"/>
                <w:szCs w:val="24"/>
              </w:rPr>
            </w:pPr>
            <w:r>
              <w:rPr>
                <w:kern w:val="0"/>
                <w:sz w:val="24"/>
                <w:szCs w:val="24"/>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63" w:type="dxa"/>
            <w:gridSpan w:val="2"/>
            <w:vAlign w:val="center"/>
          </w:tcPr>
          <w:p>
            <w:pPr>
              <w:widowControl/>
              <w:jc w:val="left"/>
              <w:rPr>
                <w:b/>
                <w:sz w:val="24"/>
                <w:szCs w:val="24"/>
              </w:rPr>
            </w:pPr>
            <w:r>
              <w:rPr>
                <w:b/>
                <w:sz w:val="24"/>
                <w:szCs w:val="24"/>
              </w:rPr>
              <w:t>分项名称</w:t>
            </w:r>
          </w:p>
        </w:tc>
        <w:tc>
          <w:tcPr>
            <w:tcW w:w="1701" w:type="dxa"/>
            <w:vAlign w:val="center"/>
          </w:tcPr>
          <w:p>
            <w:pPr>
              <w:widowControl/>
              <w:jc w:val="center"/>
              <w:rPr>
                <w:b/>
                <w:kern w:val="0"/>
                <w:sz w:val="24"/>
                <w:szCs w:val="24"/>
              </w:rPr>
            </w:pPr>
            <w:r>
              <w:rPr>
                <w:b/>
                <w:kern w:val="0"/>
                <w:sz w:val="24"/>
                <w:szCs w:val="24"/>
              </w:rPr>
              <w:t>价格</w:t>
            </w:r>
          </w:p>
        </w:tc>
        <w:tc>
          <w:tcPr>
            <w:tcW w:w="2238" w:type="dxa"/>
            <w:vAlign w:val="center"/>
          </w:tcPr>
          <w:p>
            <w:pPr>
              <w:widowControl/>
              <w:jc w:val="center"/>
              <w:rPr>
                <w:b/>
                <w:kern w:val="0"/>
                <w:sz w:val="24"/>
                <w:szCs w:val="24"/>
              </w:rPr>
            </w:pPr>
            <w:r>
              <w:rPr>
                <w:b/>
                <w:kern w:val="0"/>
                <w:sz w:val="24"/>
                <w:szCs w:val="24"/>
              </w:rPr>
              <w:t>数量</w:t>
            </w:r>
          </w:p>
        </w:tc>
        <w:tc>
          <w:tcPr>
            <w:tcW w:w="1848" w:type="dxa"/>
            <w:vAlign w:val="center"/>
          </w:tcPr>
          <w:p>
            <w:pPr>
              <w:widowControl/>
              <w:jc w:val="center"/>
              <w:rPr>
                <w:b/>
                <w:bCs/>
                <w:kern w:val="0"/>
                <w:sz w:val="24"/>
                <w:szCs w:val="24"/>
              </w:rPr>
            </w:pPr>
            <w:r>
              <w:rPr>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63" w:type="dxa"/>
            <w:gridSpan w:val="2"/>
            <w:vAlign w:val="center"/>
          </w:tcPr>
          <w:p>
            <w:pPr>
              <w:widowControl/>
              <w:jc w:val="left"/>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63" w:type="dxa"/>
            <w:gridSpan w:val="2"/>
            <w:vAlign w:val="center"/>
          </w:tcPr>
          <w:p>
            <w:pPr>
              <w:widowControl/>
              <w:jc w:val="left"/>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63" w:type="dxa"/>
            <w:gridSpan w:val="2"/>
            <w:vAlign w:val="center"/>
          </w:tcPr>
          <w:p>
            <w:pPr>
              <w:widowControl/>
              <w:jc w:val="left"/>
              <w:rPr>
                <w:kern w:val="0"/>
                <w:sz w:val="24"/>
                <w:szCs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63" w:type="dxa"/>
            <w:gridSpan w:val="2"/>
            <w:vAlign w:val="center"/>
          </w:tcPr>
          <w:p>
            <w:pPr>
              <w:widowControl/>
              <w:jc w:val="left"/>
              <w:rPr>
                <w:sz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63" w:type="dxa"/>
            <w:gridSpan w:val="2"/>
            <w:vAlign w:val="center"/>
          </w:tcPr>
          <w:p>
            <w:pPr>
              <w:widowControl/>
              <w:jc w:val="left"/>
              <w:rPr>
                <w:sz w:val="24"/>
              </w:rPr>
            </w:pPr>
            <w:r>
              <w:rPr>
                <w:sz w:val="24"/>
              </w:rPr>
              <w:t>……</w:t>
            </w: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63" w:type="dxa"/>
            <w:gridSpan w:val="2"/>
            <w:vAlign w:val="center"/>
          </w:tcPr>
          <w:p>
            <w:pPr>
              <w:widowControl/>
              <w:jc w:val="left"/>
              <w:rPr>
                <w:sz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463" w:type="dxa"/>
            <w:gridSpan w:val="2"/>
            <w:vAlign w:val="center"/>
          </w:tcPr>
          <w:p>
            <w:pPr>
              <w:widowControl/>
              <w:jc w:val="center"/>
              <w:rPr>
                <w:sz w:val="24"/>
              </w:rPr>
            </w:pPr>
          </w:p>
        </w:tc>
        <w:tc>
          <w:tcPr>
            <w:tcW w:w="1701" w:type="dxa"/>
            <w:vAlign w:val="center"/>
          </w:tcPr>
          <w:p>
            <w:pPr>
              <w:widowControl/>
              <w:jc w:val="center"/>
              <w:rPr>
                <w:kern w:val="0"/>
                <w:sz w:val="24"/>
                <w:szCs w:val="24"/>
              </w:rPr>
            </w:pPr>
          </w:p>
        </w:tc>
        <w:tc>
          <w:tcPr>
            <w:tcW w:w="2238" w:type="dxa"/>
            <w:vAlign w:val="center"/>
          </w:tcPr>
          <w:p>
            <w:pPr>
              <w:widowControl/>
              <w:jc w:val="center"/>
              <w:rPr>
                <w:kern w:val="0"/>
                <w:sz w:val="24"/>
                <w:szCs w:val="24"/>
              </w:rPr>
            </w:pPr>
          </w:p>
        </w:tc>
        <w:tc>
          <w:tcPr>
            <w:tcW w:w="1848" w:type="dxa"/>
            <w:vAlign w:val="center"/>
          </w:tcPr>
          <w:p>
            <w:pPr>
              <w:widowControl/>
              <w:jc w:val="center"/>
              <w:rPr>
                <w:kern w:val="0"/>
                <w:sz w:val="24"/>
                <w:szCs w:val="24"/>
              </w:rPr>
            </w:pPr>
          </w:p>
        </w:tc>
      </w:tr>
    </w:tbl>
    <w:p>
      <w:pPr>
        <w:ind w:left="180"/>
        <w:rPr>
          <w:sz w:val="22"/>
          <w:szCs w:val="24"/>
        </w:rPr>
      </w:pPr>
      <w:r>
        <w:rPr>
          <w:sz w:val="22"/>
          <w:szCs w:val="24"/>
        </w:rPr>
        <w:t>注：1. 本表第一行填写本项目投标总价，须与</w:t>
      </w:r>
      <w:r>
        <w:rPr>
          <w:rFonts w:hint="eastAsia"/>
          <w:sz w:val="22"/>
          <w:szCs w:val="24"/>
        </w:rPr>
        <w:t>报价一览表</w:t>
      </w:r>
      <w:r>
        <w:rPr>
          <w:sz w:val="22"/>
          <w:szCs w:val="24"/>
        </w:rPr>
        <w:t>中投标总价保持一致。</w:t>
      </w:r>
    </w:p>
    <w:p>
      <w:pPr>
        <w:ind w:left="180" w:firstLine="408" w:firstLineChars="200"/>
      </w:pPr>
      <w:r>
        <w:rPr>
          <w:sz w:val="22"/>
          <w:szCs w:val="24"/>
        </w:rPr>
        <w:t>2. 下面应填写分项价格及分项名称（分项名称可根据实际情况增减、修改），分项价格汇总应等于总价。</w:t>
      </w:r>
    </w:p>
    <w:p>
      <w:pPr>
        <w:spacing w:line="360" w:lineRule="auto"/>
        <w:ind w:firstLine="3808" w:firstLineChars="1700"/>
        <w:rPr>
          <w:sz w:val="24"/>
        </w:rPr>
      </w:pPr>
      <w:r>
        <w:rPr>
          <w:rFonts w:hint="eastAsia"/>
          <w:sz w:val="24"/>
        </w:rPr>
        <w:t>供应商名称：</w:t>
      </w:r>
    </w:p>
    <w:p>
      <w:pPr>
        <w:spacing w:line="360" w:lineRule="auto"/>
        <w:ind w:firstLine="3808" w:firstLineChars="1700"/>
        <w:rPr>
          <w:sz w:val="24"/>
        </w:rPr>
      </w:pPr>
    </w:p>
    <w:p>
      <w:pPr>
        <w:spacing w:line="360" w:lineRule="auto"/>
        <w:ind w:firstLine="3808" w:firstLineChars="1700"/>
        <w:rPr>
          <w:sz w:val="24"/>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pPr>
        <w:spacing w:line="460" w:lineRule="exact"/>
        <w:ind w:left="192"/>
      </w:pPr>
    </w:p>
    <w:sectPr>
      <w:footerReference r:id="rId5"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50508B"/>
    <w:rsid w:val="000060AB"/>
    <w:rsid w:val="00007FBF"/>
    <w:rsid w:val="00012FFE"/>
    <w:rsid w:val="00030E8A"/>
    <w:rsid w:val="000375A2"/>
    <w:rsid w:val="0005158E"/>
    <w:rsid w:val="00062A35"/>
    <w:rsid w:val="000657A6"/>
    <w:rsid w:val="00086F17"/>
    <w:rsid w:val="00094EDD"/>
    <w:rsid w:val="000A7202"/>
    <w:rsid w:val="000E1960"/>
    <w:rsid w:val="000F1B7A"/>
    <w:rsid w:val="001335CB"/>
    <w:rsid w:val="00137461"/>
    <w:rsid w:val="001401D6"/>
    <w:rsid w:val="001636D9"/>
    <w:rsid w:val="00164745"/>
    <w:rsid w:val="00170F6F"/>
    <w:rsid w:val="001918A1"/>
    <w:rsid w:val="00195ED7"/>
    <w:rsid w:val="001A029C"/>
    <w:rsid w:val="001C18EA"/>
    <w:rsid w:val="001C1EA3"/>
    <w:rsid w:val="001C2A6A"/>
    <w:rsid w:val="001C3A9F"/>
    <w:rsid w:val="001F0EC9"/>
    <w:rsid w:val="001F3C35"/>
    <w:rsid w:val="00204581"/>
    <w:rsid w:val="0020653D"/>
    <w:rsid w:val="00210D9B"/>
    <w:rsid w:val="002128D1"/>
    <w:rsid w:val="00263B80"/>
    <w:rsid w:val="002713C3"/>
    <w:rsid w:val="00280F66"/>
    <w:rsid w:val="0028136E"/>
    <w:rsid w:val="00281F16"/>
    <w:rsid w:val="002862A6"/>
    <w:rsid w:val="00293C52"/>
    <w:rsid w:val="002A4715"/>
    <w:rsid w:val="002C41FD"/>
    <w:rsid w:val="002C5252"/>
    <w:rsid w:val="002C56C0"/>
    <w:rsid w:val="002D63C6"/>
    <w:rsid w:val="002F5760"/>
    <w:rsid w:val="00305EFB"/>
    <w:rsid w:val="00312A54"/>
    <w:rsid w:val="00332040"/>
    <w:rsid w:val="00332C0B"/>
    <w:rsid w:val="00345442"/>
    <w:rsid w:val="0035596C"/>
    <w:rsid w:val="003611F9"/>
    <w:rsid w:val="003867B3"/>
    <w:rsid w:val="003954BE"/>
    <w:rsid w:val="003A325A"/>
    <w:rsid w:val="003B53DE"/>
    <w:rsid w:val="003C011F"/>
    <w:rsid w:val="003C0533"/>
    <w:rsid w:val="003C6A52"/>
    <w:rsid w:val="003D5828"/>
    <w:rsid w:val="003E20C8"/>
    <w:rsid w:val="003E5F21"/>
    <w:rsid w:val="003E77E9"/>
    <w:rsid w:val="003F1CD4"/>
    <w:rsid w:val="003F2EEA"/>
    <w:rsid w:val="00431EFC"/>
    <w:rsid w:val="00453CD6"/>
    <w:rsid w:val="00474FBA"/>
    <w:rsid w:val="00477D0B"/>
    <w:rsid w:val="0049044A"/>
    <w:rsid w:val="00493B0D"/>
    <w:rsid w:val="004A2419"/>
    <w:rsid w:val="004A754B"/>
    <w:rsid w:val="004B69DA"/>
    <w:rsid w:val="004C316B"/>
    <w:rsid w:val="004D0FFB"/>
    <w:rsid w:val="004E1D43"/>
    <w:rsid w:val="0050508B"/>
    <w:rsid w:val="00514D6D"/>
    <w:rsid w:val="005160D8"/>
    <w:rsid w:val="005265E3"/>
    <w:rsid w:val="00535543"/>
    <w:rsid w:val="0054500B"/>
    <w:rsid w:val="00546F9D"/>
    <w:rsid w:val="005471DB"/>
    <w:rsid w:val="00563A34"/>
    <w:rsid w:val="0057438C"/>
    <w:rsid w:val="00575C04"/>
    <w:rsid w:val="005849F8"/>
    <w:rsid w:val="0059323B"/>
    <w:rsid w:val="00596863"/>
    <w:rsid w:val="005A41A3"/>
    <w:rsid w:val="005A47FA"/>
    <w:rsid w:val="005A5C6C"/>
    <w:rsid w:val="005A62C2"/>
    <w:rsid w:val="005B4028"/>
    <w:rsid w:val="005B6D83"/>
    <w:rsid w:val="005D4D5D"/>
    <w:rsid w:val="005E0149"/>
    <w:rsid w:val="005E15AD"/>
    <w:rsid w:val="005E1F24"/>
    <w:rsid w:val="005E3113"/>
    <w:rsid w:val="005F68CA"/>
    <w:rsid w:val="00615085"/>
    <w:rsid w:val="0063072F"/>
    <w:rsid w:val="006359D8"/>
    <w:rsid w:val="0066185C"/>
    <w:rsid w:val="00670E58"/>
    <w:rsid w:val="0067349A"/>
    <w:rsid w:val="006771DC"/>
    <w:rsid w:val="006773BE"/>
    <w:rsid w:val="0068608E"/>
    <w:rsid w:val="00686BF1"/>
    <w:rsid w:val="006C284C"/>
    <w:rsid w:val="006F0F1D"/>
    <w:rsid w:val="006F274D"/>
    <w:rsid w:val="006F6C69"/>
    <w:rsid w:val="007046E3"/>
    <w:rsid w:val="00716576"/>
    <w:rsid w:val="00721B94"/>
    <w:rsid w:val="00721D8C"/>
    <w:rsid w:val="00721E02"/>
    <w:rsid w:val="007313D6"/>
    <w:rsid w:val="00753CC2"/>
    <w:rsid w:val="00754452"/>
    <w:rsid w:val="00755F0D"/>
    <w:rsid w:val="00760722"/>
    <w:rsid w:val="007616AE"/>
    <w:rsid w:val="00764613"/>
    <w:rsid w:val="00776A33"/>
    <w:rsid w:val="00781F31"/>
    <w:rsid w:val="0078349D"/>
    <w:rsid w:val="007958D9"/>
    <w:rsid w:val="007B6642"/>
    <w:rsid w:val="007C5AEC"/>
    <w:rsid w:val="007C779F"/>
    <w:rsid w:val="007E2D1D"/>
    <w:rsid w:val="008059FF"/>
    <w:rsid w:val="008062D5"/>
    <w:rsid w:val="00807F40"/>
    <w:rsid w:val="00810B73"/>
    <w:rsid w:val="008122E6"/>
    <w:rsid w:val="00813271"/>
    <w:rsid w:val="00825AF0"/>
    <w:rsid w:val="0083089F"/>
    <w:rsid w:val="00861062"/>
    <w:rsid w:val="0088795D"/>
    <w:rsid w:val="00891624"/>
    <w:rsid w:val="008A4F9E"/>
    <w:rsid w:val="008B3367"/>
    <w:rsid w:val="008B49B8"/>
    <w:rsid w:val="008B506F"/>
    <w:rsid w:val="008C1B3B"/>
    <w:rsid w:val="008C4FFF"/>
    <w:rsid w:val="008D1ECF"/>
    <w:rsid w:val="008E0F08"/>
    <w:rsid w:val="008E1208"/>
    <w:rsid w:val="008E7DD6"/>
    <w:rsid w:val="008F7AE1"/>
    <w:rsid w:val="009015DA"/>
    <w:rsid w:val="009034F9"/>
    <w:rsid w:val="00933BCC"/>
    <w:rsid w:val="009340D6"/>
    <w:rsid w:val="009361E7"/>
    <w:rsid w:val="009524E0"/>
    <w:rsid w:val="0095491A"/>
    <w:rsid w:val="00963A5F"/>
    <w:rsid w:val="0098356B"/>
    <w:rsid w:val="00996FD6"/>
    <w:rsid w:val="00997B39"/>
    <w:rsid w:val="009A3EEB"/>
    <w:rsid w:val="009A78A0"/>
    <w:rsid w:val="009B3003"/>
    <w:rsid w:val="009C1265"/>
    <w:rsid w:val="009C4A63"/>
    <w:rsid w:val="009C7BF2"/>
    <w:rsid w:val="009D3A1A"/>
    <w:rsid w:val="009E3AA3"/>
    <w:rsid w:val="009E7D28"/>
    <w:rsid w:val="009F08A4"/>
    <w:rsid w:val="00A1514F"/>
    <w:rsid w:val="00A27925"/>
    <w:rsid w:val="00A3201B"/>
    <w:rsid w:val="00A50465"/>
    <w:rsid w:val="00A7624A"/>
    <w:rsid w:val="00A77F7F"/>
    <w:rsid w:val="00A86867"/>
    <w:rsid w:val="00A86F0C"/>
    <w:rsid w:val="00AA5989"/>
    <w:rsid w:val="00AB1B68"/>
    <w:rsid w:val="00AB2D60"/>
    <w:rsid w:val="00AD3A13"/>
    <w:rsid w:val="00AD7A33"/>
    <w:rsid w:val="00AF596C"/>
    <w:rsid w:val="00B01C64"/>
    <w:rsid w:val="00B0414F"/>
    <w:rsid w:val="00B139B9"/>
    <w:rsid w:val="00B423E5"/>
    <w:rsid w:val="00B54648"/>
    <w:rsid w:val="00B54995"/>
    <w:rsid w:val="00B568D9"/>
    <w:rsid w:val="00B64448"/>
    <w:rsid w:val="00B66F60"/>
    <w:rsid w:val="00B84BA6"/>
    <w:rsid w:val="00BA3E4B"/>
    <w:rsid w:val="00BA4484"/>
    <w:rsid w:val="00BA4BF7"/>
    <w:rsid w:val="00BA4F60"/>
    <w:rsid w:val="00BB24A3"/>
    <w:rsid w:val="00BB455D"/>
    <w:rsid w:val="00BC146F"/>
    <w:rsid w:val="00BC47E2"/>
    <w:rsid w:val="00BD6D3D"/>
    <w:rsid w:val="00BD6F11"/>
    <w:rsid w:val="00BE1D39"/>
    <w:rsid w:val="00BE59C0"/>
    <w:rsid w:val="00BF0242"/>
    <w:rsid w:val="00C00F8E"/>
    <w:rsid w:val="00C069A0"/>
    <w:rsid w:val="00C0790E"/>
    <w:rsid w:val="00C1102B"/>
    <w:rsid w:val="00C15A3F"/>
    <w:rsid w:val="00C166BD"/>
    <w:rsid w:val="00C215EE"/>
    <w:rsid w:val="00C44D0B"/>
    <w:rsid w:val="00C5510E"/>
    <w:rsid w:val="00C56595"/>
    <w:rsid w:val="00C5674E"/>
    <w:rsid w:val="00C651B1"/>
    <w:rsid w:val="00C85BC1"/>
    <w:rsid w:val="00CA7F15"/>
    <w:rsid w:val="00CC611A"/>
    <w:rsid w:val="00CC61D4"/>
    <w:rsid w:val="00CD14A9"/>
    <w:rsid w:val="00CE354B"/>
    <w:rsid w:val="00CE3A96"/>
    <w:rsid w:val="00D07118"/>
    <w:rsid w:val="00D233DD"/>
    <w:rsid w:val="00D65243"/>
    <w:rsid w:val="00D724A1"/>
    <w:rsid w:val="00D81DC3"/>
    <w:rsid w:val="00D85042"/>
    <w:rsid w:val="00D907C7"/>
    <w:rsid w:val="00DA2C2C"/>
    <w:rsid w:val="00DD6BDC"/>
    <w:rsid w:val="00DD73E7"/>
    <w:rsid w:val="00DE2C0E"/>
    <w:rsid w:val="00E23372"/>
    <w:rsid w:val="00E25911"/>
    <w:rsid w:val="00E300AE"/>
    <w:rsid w:val="00E45482"/>
    <w:rsid w:val="00E57D3E"/>
    <w:rsid w:val="00E86FA2"/>
    <w:rsid w:val="00E9048B"/>
    <w:rsid w:val="00E91057"/>
    <w:rsid w:val="00EA2C42"/>
    <w:rsid w:val="00EA6956"/>
    <w:rsid w:val="00EB2B69"/>
    <w:rsid w:val="00EB60D6"/>
    <w:rsid w:val="00EC3A73"/>
    <w:rsid w:val="00EC59EE"/>
    <w:rsid w:val="00ED18E8"/>
    <w:rsid w:val="00EE6EFF"/>
    <w:rsid w:val="00EF22A1"/>
    <w:rsid w:val="00EF4A85"/>
    <w:rsid w:val="00F449D8"/>
    <w:rsid w:val="00F700A7"/>
    <w:rsid w:val="00F710C3"/>
    <w:rsid w:val="00FA0D60"/>
    <w:rsid w:val="00FA228C"/>
    <w:rsid w:val="00FC1661"/>
    <w:rsid w:val="00FC1B68"/>
    <w:rsid w:val="00FD37BB"/>
    <w:rsid w:val="00FF7C66"/>
    <w:rsid w:val="0CE40585"/>
    <w:rsid w:val="21C21D29"/>
    <w:rsid w:val="233D55C3"/>
    <w:rsid w:val="2ED032CC"/>
    <w:rsid w:val="3DBA7065"/>
    <w:rsid w:val="40362E2E"/>
    <w:rsid w:val="412169AB"/>
    <w:rsid w:val="41F37C6E"/>
    <w:rsid w:val="5D486F60"/>
    <w:rsid w:val="71217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5"/>
    <w:qFormat/>
    <w:uiPriority w:val="0"/>
    <w:pPr>
      <w:keepNext/>
      <w:jc w:val="center"/>
      <w:outlineLvl w:val="0"/>
    </w:pPr>
    <w:rPr>
      <w:rFonts w:eastAsia="仿宋_GB2312"/>
      <w:bCs/>
      <w:sz w:val="44"/>
    </w:rPr>
  </w:style>
  <w:style w:type="paragraph" w:styleId="3">
    <w:name w:val="heading 3"/>
    <w:basedOn w:val="1"/>
    <w:next w:val="1"/>
    <w:link w:val="16"/>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2"/>
    <w:qFormat/>
    <w:uiPriority w:val="0"/>
    <w:rPr>
      <w:sz w:val="32"/>
    </w:rPr>
  </w:style>
  <w:style w:type="paragraph" w:styleId="5">
    <w:name w:val="Body Text Indent 2"/>
    <w:basedOn w:val="1"/>
    <w:link w:val="24"/>
    <w:unhideWhenUsed/>
    <w:qFormat/>
    <w:uiPriority w:val="99"/>
    <w:pPr>
      <w:spacing w:after="120" w:line="480" w:lineRule="auto"/>
      <w:ind w:left="420" w:leftChars="200"/>
    </w:pPr>
  </w:style>
  <w:style w:type="paragraph" w:styleId="6">
    <w:name w:val="Balloon Text"/>
    <w:basedOn w:val="1"/>
    <w:link w:val="18"/>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3"/>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qFormat/>
    <w:uiPriority w:val="0"/>
    <w:rPr>
      <w:rFonts w:hint="default" w:ascii="ˎ̥" w:hAnsi="ˎ̥"/>
      <w:color w:val="3E3E3E"/>
      <w:sz w:val="24"/>
      <w:szCs w:val="24"/>
      <w:u w:val="none"/>
    </w:rPr>
  </w:style>
  <w:style w:type="character" w:customStyle="1" w:styleId="15">
    <w:name w:val="标题 1 Char"/>
    <w:basedOn w:val="13"/>
    <w:link w:val="2"/>
    <w:qFormat/>
    <w:uiPriority w:val="0"/>
    <w:rPr>
      <w:rFonts w:ascii="Times New Roman" w:hAnsi="Times New Roman" w:eastAsia="仿宋_GB2312" w:cs="Times New Roman"/>
      <w:bCs/>
      <w:sz w:val="44"/>
      <w:szCs w:val="20"/>
    </w:rPr>
  </w:style>
  <w:style w:type="character" w:customStyle="1" w:styleId="16">
    <w:name w:val="标题 3 Char"/>
    <w:basedOn w:val="13"/>
    <w:link w:val="3"/>
    <w:qFormat/>
    <w:uiPriority w:val="0"/>
    <w:rPr>
      <w:rFonts w:ascii="Times New Roman" w:hAnsi="Times New Roman" w:eastAsia="宋体" w:cs="Times New Roman"/>
      <w:b/>
      <w:bCs/>
      <w:sz w:val="32"/>
      <w:szCs w:val="32"/>
    </w:rPr>
  </w:style>
  <w:style w:type="paragraph" w:customStyle="1" w:styleId="17">
    <w:name w:val="批注框文本1"/>
    <w:basedOn w:val="1"/>
    <w:semiHidden/>
    <w:qFormat/>
    <w:uiPriority w:val="0"/>
    <w:rPr>
      <w:sz w:val="16"/>
      <w:szCs w:val="16"/>
    </w:rPr>
  </w:style>
  <w:style w:type="character" w:customStyle="1" w:styleId="18">
    <w:name w:val="批注框文本 Char"/>
    <w:basedOn w:val="13"/>
    <w:link w:val="6"/>
    <w:qFormat/>
    <w:uiPriority w:val="0"/>
    <w:rPr>
      <w:rFonts w:ascii="Times New Roman" w:hAnsi="Times New Roman" w:eastAsia="宋体" w:cs="Times New Roman"/>
      <w:sz w:val="18"/>
      <w:szCs w:val="18"/>
    </w:rPr>
  </w:style>
  <w:style w:type="character" w:customStyle="1" w:styleId="19">
    <w:name w:val="页眉 Char"/>
    <w:basedOn w:val="13"/>
    <w:link w:val="8"/>
    <w:qFormat/>
    <w:uiPriority w:val="0"/>
    <w:rPr>
      <w:rFonts w:ascii="Times New Roman" w:hAnsi="Times New Roman" w:eastAsia="宋体" w:cs="Times New Roman"/>
      <w:sz w:val="18"/>
      <w:szCs w:val="18"/>
    </w:rPr>
  </w:style>
  <w:style w:type="character" w:customStyle="1" w:styleId="20">
    <w:name w:val="页脚 Char"/>
    <w:basedOn w:val="13"/>
    <w:link w:val="7"/>
    <w:qFormat/>
    <w:uiPriority w:val="0"/>
    <w:rPr>
      <w:rFonts w:ascii="Times New Roman" w:hAnsi="Times New Roman" w:eastAsia="宋体" w:cs="Times New Roman"/>
      <w:sz w:val="18"/>
      <w:szCs w:val="18"/>
    </w:rPr>
  </w:style>
  <w:style w:type="paragraph" w:customStyle="1" w:styleId="21">
    <w:name w:val="Default"/>
    <w:link w:val="28"/>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22">
    <w:name w:val="正文文本 Char"/>
    <w:basedOn w:val="13"/>
    <w:link w:val="4"/>
    <w:qFormat/>
    <w:uiPriority w:val="0"/>
    <w:rPr>
      <w:rFonts w:ascii="Times New Roman" w:hAnsi="Times New Roman" w:eastAsia="宋体" w:cs="Times New Roman"/>
      <w:sz w:val="32"/>
      <w:szCs w:val="20"/>
    </w:rPr>
  </w:style>
  <w:style w:type="character" w:customStyle="1" w:styleId="23">
    <w:name w:val="副标题 Char"/>
    <w:basedOn w:val="13"/>
    <w:link w:val="9"/>
    <w:qFormat/>
    <w:uiPriority w:val="11"/>
    <w:rPr>
      <w:rFonts w:ascii="Cambria" w:hAnsi="Cambria" w:eastAsia="宋体" w:cs="Times New Roman"/>
      <w:b/>
      <w:bCs/>
      <w:kern w:val="28"/>
      <w:sz w:val="32"/>
      <w:szCs w:val="32"/>
      <w:lang w:val="zh-CN" w:eastAsia="zh-CN"/>
    </w:rPr>
  </w:style>
  <w:style w:type="character" w:customStyle="1" w:styleId="24">
    <w:name w:val="正文文本缩进 2 Char"/>
    <w:basedOn w:val="13"/>
    <w:link w:val="5"/>
    <w:qFormat/>
    <w:uiPriority w:val="99"/>
    <w:rPr>
      <w:rFonts w:ascii="Times New Roman" w:hAnsi="Times New Roman" w:eastAsia="宋体" w:cs="Times New Roman"/>
      <w:szCs w:val="20"/>
    </w:rPr>
  </w:style>
  <w:style w:type="paragraph" w:customStyle="1" w:styleId="25">
    <w:name w:val="Char"/>
    <w:basedOn w:val="1"/>
    <w:qFormat/>
    <w:uiPriority w:val="0"/>
    <w:pPr>
      <w:tabs>
        <w:tab w:val="left" w:pos="360"/>
      </w:tabs>
    </w:pPr>
    <w:rPr>
      <w:sz w:val="24"/>
      <w:szCs w:val="24"/>
    </w:rPr>
  </w:style>
  <w:style w:type="paragraph" w:customStyle="1" w:styleId="26">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link w:val="29"/>
    <w:qFormat/>
    <w:uiPriority w:val="34"/>
    <w:pPr>
      <w:ind w:firstLine="420" w:firstLineChars="200"/>
    </w:pPr>
    <w:rPr>
      <w:sz w:val="28"/>
      <w:szCs w:val="24"/>
    </w:rPr>
  </w:style>
  <w:style w:type="character" w:customStyle="1" w:styleId="28">
    <w:name w:val="Default Char"/>
    <w:link w:val="21"/>
    <w:qFormat/>
    <w:locked/>
    <w:uiPriority w:val="0"/>
    <w:rPr>
      <w:rFonts w:ascii="......." w:hAnsi="Calibri" w:eastAsia="......." w:cs="......."/>
      <w:color w:val="000000"/>
      <w:kern w:val="0"/>
      <w:sz w:val="24"/>
      <w:szCs w:val="24"/>
    </w:rPr>
  </w:style>
  <w:style w:type="character" w:customStyle="1" w:styleId="29">
    <w:name w:val="列出段落 Char"/>
    <w:link w:val="27"/>
    <w:uiPriority w:val="34"/>
    <w:rPr>
      <w:rFonts w:ascii="Times New Roman" w:hAnsi="Times New Roman" w:eastAsia="宋体" w:cs="Times New Roman"/>
      <w:sz w:val="28"/>
      <w:szCs w:val="24"/>
    </w:rPr>
  </w:style>
  <w:style w:type="character" w:customStyle="1" w:styleId="30">
    <w:name w:val="纯文本 Char"/>
    <w:basedOn w:val="13"/>
    <w:semiHidden/>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3749</Words>
  <Characters>21370</Characters>
  <Lines>178</Lines>
  <Paragraphs>50</Paragraphs>
  <TotalTime>17</TotalTime>
  <ScaleCrop>false</ScaleCrop>
  <LinksUpToDate>false</LinksUpToDate>
  <CharactersWithSpaces>25069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2023-08-22T07:16:00Z</dcterms:created>
  <dc:creator>未定义</dc:creator>
  <cp:lastModifiedBy>WPS_1636026673</cp:lastModifiedBy>
  <dcterms:modified xsi:type="dcterms:W3CDTF">2023-09-19T07:33:06Z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F22C627236EA42409997C252437F26E4_12</vt:lpwstr>
  </property>
</Properties>
</file>