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29"/>
      </w:pPr>
    </w:p>
    <w:p w14:paraId="6433C32E">
      <w:pPr>
        <w:pStyle w:val="29"/>
      </w:pPr>
    </w:p>
    <w:p w14:paraId="2A055DBE">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中共天津市西青区委网络安全和信息化委员会办公室2026年西青区建设服务中心及信访办（矛调中心）办公楼物业社会化服务</w:t>
      </w:r>
      <w:r>
        <w:rPr>
          <w:rFonts w:hint="eastAsia" w:ascii="宋体" w:hAnsi="宋体" w:eastAsia="宋体" w:cs="Times New Roman"/>
          <w:b/>
          <w:color w:val="auto"/>
          <w:spacing w:val="40"/>
          <w:w w:val="66"/>
          <w:sz w:val="60"/>
          <w:szCs w:val="60"/>
        </w:rPr>
        <w:t>竞争性磋商文件</w:t>
      </w:r>
    </w:p>
    <w:p w14:paraId="402B784B">
      <w:pPr>
        <w:ind w:right="1025"/>
        <w:jc w:val="center"/>
        <w:rPr>
          <w:rFonts w:eastAsia="黑体"/>
          <w:b/>
          <w:color w:val="auto"/>
          <w:spacing w:val="40"/>
          <w:w w:val="66"/>
          <w:sz w:val="60"/>
          <w:szCs w:val="60"/>
        </w:rPr>
      </w:pPr>
    </w:p>
    <w:p w14:paraId="53704CB0">
      <w:pPr>
        <w:jc w:val="center"/>
        <w:rPr>
          <w:rFonts w:eastAsia="黑体"/>
          <w:b/>
          <w:color w:val="auto"/>
          <w:spacing w:val="40"/>
          <w:w w:val="66"/>
          <w:sz w:val="15"/>
          <w:szCs w:val="15"/>
        </w:rPr>
      </w:pPr>
      <w:r>
        <w:rPr>
          <w:rFonts w:eastAsia="黑体"/>
          <w:b/>
          <w:color w:val="auto"/>
          <w:spacing w:val="40"/>
          <w:w w:val="66"/>
          <w:sz w:val="56"/>
          <w:szCs w:val="56"/>
        </w:rPr>
        <w:t xml:space="preserve">            </w:t>
      </w:r>
    </w:p>
    <w:p w14:paraId="259A850E">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TJXQ-2026-D-0005</w:t>
      </w:r>
      <w:r>
        <w:rPr>
          <w:rFonts w:eastAsia="黑体"/>
          <w:color w:val="auto"/>
          <w:spacing w:val="40"/>
          <w:w w:val="66"/>
          <w:sz w:val="32"/>
          <w:szCs w:val="32"/>
        </w:rPr>
        <w:t>）</w:t>
      </w:r>
    </w:p>
    <w:p w14:paraId="4FF76F76">
      <w:pPr>
        <w:rPr>
          <w:color w:val="auto"/>
          <w:sz w:val="40"/>
        </w:rPr>
      </w:pPr>
    </w:p>
    <w:p w14:paraId="2CF1D86B">
      <w:pPr>
        <w:rPr>
          <w:color w:val="auto"/>
          <w:sz w:val="36"/>
        </w:rPr>
      </w:pPr>
    </w:p>
    <w:p w14:paraId="43B6734E">
      <w:pPr>
        <w:rPr>
          <w:color w:val="auto"/>
          <w:sz w:val="36"/>
        </w:rPr>
      </w:pPr>
    </w:p>
    <w:p w14:paraId="6FCBE2DD">
      <w:pPr>
        <w:rPr>
          <w:color w:val="auto"/>
          <w:sz w:val="36"/>
        </w:rPr>
      </w:pPr>
    </w:p>
    <w:p w14:paraId="571A6F70">
      <w:pPr>
        <w:rPr>
          <w:color w:val="auto"/>
          <w:sz w:val="36"/>
        </w:rPr>
      </w:pPr>
    </w:p>
    <w:p w14:paraId="031294BB">
      <w:pPr>
        <w:rPr>
          <w:color w:val="auto"/>
          <w:sz w:val="36"/>
        </w:rPr>
      </w:pPr>
    </w:p>
    <w:p w14:paraId="3B018E78">
      <w:pPr>
        <w:rPr>
          <w:color w:val="auto"/>
          <w:sz w:val="36"/>
        </w:rPr>
      </w:pPr>
    </w:p>
    <w:p w14:paraId="0C185104">
      <w:pPr>
        <w:rPr>
          <w:color w:val="auto"/>
          <w:sz w:val="36"/>
        </w:rPr>
      </w:pPr>
    </w:p>
    <w:p w14:paraId="16711178">
      <w:pPr>
        <w:rPr>
          <w:color w:val="auto"/>
          <w:sz w:val="36"/>
        </w:rPr>
      </w:pPr>
    </w:p>
    <w:p w14:paraId="45A43838">
      <w:pPr>
        <w:rPr>
          <w:color w:val="auto"/>
          <w:sz w:val="36"/>
        </w:rPr>
      </w:pPr>
    </w:p>
    <w:p w14:paraId="1D9D1D84">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0280169C">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auto"/>
          <w:kern w:val="0"/>
          <w:sz w:val="44"/>
          <w:szCs w:val="44"/>
          <w:lang w:val="en-US" w:eastAsia="zh-CN"/>
        </w:rPr>
        <w:t xml:space="preserve"> 2026</w:t>
      </w:r>
      <w:r>
        <w:rPr>
          <w:rFonts w:eastAsia="仿宋_GB2312"/>
          <w:b/>
          <w:bCs/>
          <w:color w:val="auto"/>
          <w:kern w:val="0"/>
          <w:sz w:val="44"/>
          <w:szCs w:val="44"/>
        </w:rPr>
        <w:t>.</w:t>
      </w:r>
      <w:r>
        <w:rPr>
          <w:rFonts w:hint="eastAsia" w:eastAsia="仿宋_GB2312"/>
          <w:b/>
          <w:bCs/>
          <w:color w:val="auto"/>
          <w:kern w:val="0"/>
          <w:sz w:val="44"/>
          <w:szCs w:val="44"/>
          <w:lang w:val="en-US" w:eastAsia="zh-CN"/>
        </w:rPr>
        <w:t>2</w:t>
      </w:r>
    </w:p>
    <w:p w14:paraId="6B4C9658">
      <w:pPr>
        <w:tabs>
          <w:tab w:val="left" w:pos="3281"/>
          <w:tab w:val="center" w:pos="4711"/>
        </w:tabs>
        <w:jc w:val="both"/>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中共天津市西青区委网络安全和信息化委员会办公室</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中共天津市西青区委网络安全和信息化委员会办公室2026年西青区建设服务中心及信访办（矛调中心）办公楼物业社会化服务</w:t>
      </w:r>
      <w:r>
        <w:rPr>
          <w:rFonts w:ascii="Times New Roman" w:hAnsi="Times New Roman" w:eastAsia="宋体" w:cs="Times New Roman"/>
          <w:color w:val="auto"/>
          <w:kern w:val="2"/>
        </w:rPr>
        <w:t>实施政府采购。现欢迎合格的供应商参加磋商。</w:t>
      </w:r>
    </w:p>
    <w:p w14:paraId="3DA95B7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中共天津市西青区委网络安全和信息化委员会办公室2026年西青区建设服务中心及信访办（矛调中心）办公楼物业社会化服务</w:t>
      </w:r>
    </w:p>
    <w:p w14:paraId="5FE8AA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TJXQ-2026-D-0005</w:t>
      </w:r>
    </w:p>
    <w:p w14:paraId="5BA7ED43">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二、项目内容</w:t>
      </w:r>
    </w:p>
    <w:p w14:paraId="27ED42F3">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第一包：物业服务1项。</w:t>
      </w:r>
    </w:p>
    <w:p w14:paraId="2D66578B">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三、项目预算</w:t>
      </w:r>
    </w:p>
    <w:p w14:paraId="26733069">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2625246元。</w:t>
      </w:r>
    </w:p>
    <w:p w14:paraId="17F2F314">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四、供应商资格要求（实质性要求）</w:t>
      </w:r>
    </w:p>
    <w:p w14:paraId="694C98AE">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bookmarkStart w:id="3" w:name="OLE_LINK4"/>
      <w:r>
        <w:rPr>
          <w:rFonts w:hint="eastAsia" w:ascii="Times New Roman" w:hAnsi="Times New Roman" w:eastAsia="宋体" w:cs="......."/>
          <w:color w:val="auto"/>
          <w:kern w:val="0"/>
          <w:sz w:val="24"/>
          <w:szCs w:val="24"/>
          <w:lang w:val="en-US" w:eastAsia="zh-CN" w:bidi="ar-SA"/>
        </w:rPr>
        <w:t>1、营业执照副本加盖公章的复印件。</w:t>
      </w:r>
    </w:p>
    <w:p w14:paraId="39A5FB7B">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2、本次招标不接受联合体投标。</w:t>
      </w:r>
    </w:p>
    <w:p w14:paraId="5364183C">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3、提交投标文件截止日前3年在经营活动中没有重大违法记录的书面声明（截至提交响应文件截止日成立不足3年的供应商可提供自成立以来无重大违法记录的书面声明）。</w:t>
      </w:r>
    </w:p>
    <w:p w14:paraId="379807D3">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4.投标人须提供2024年度经第三方会计师事务所审计的企业财务报告复印件或开标前 3 个月以内由银行出具的资信证明复印件加盖单位公章。</w:t>
      </w:r>
    </w:p>
    <w:p w14:paraId="16094729">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5．投标人须提供2025年01月至今缴纳社会保险费的相关证明材料。</w:t>
      </w:r>
    </w:p>
    <w:p w14:paraId="20A05A0C">
      <w:pPr>
        <w:widowControl w:val="0"/>
        <w:autoSpaceDE w:val="0"/>
        <w:autoSpaceDN w:val="0"/>
        <w:adjustRightInd w:val="0"/>
        <w:spacing w:line="360" w:lineRule="auto"/>
        <w:ind w:firstLine="480" w:firstLineChars="200"/>
        <w:jc w:val="both"/>
        <w:rPr>
          <w:rFonts w:hint="eastAsia"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6、本项目仅限中、小微企业、监狱企业、残疾人福利性单位参与，投标人须提供《中小企业声明函》或《残疾人福利性单位声明函》或属于监狱企业的证明文件。</w:t>
      </w:r>
    </w:p>
    <w:p w14:paraId="003B448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4CF5ADAD">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bookmarkStart w:id="4" w:name="OLE_LINK3"/>
      <w:r>
        <w:rPr>
          <w:rFonts w:ascii="Times New Roman" w:hAnsi="Times New Roman" w:eastAsia="宋体" w:cs="Times New Roman"/>
          <w:color w:val="auto"/>
          <w:kern w:val="0"/>
          <w:sz w:val="24"/>
          <w:szCs w:val="24"/>
          <w:lang w:val="en-US" w:eastAsia="zh-CN" w:bidi="ar-SA"/>
        </w:rPr>
        <w:t>（一）</w:t>
      </w:r>
      <w:r>
        <w:rPr>
          <w:rFonts w:hint="eastAsia" w:ascii="Times New Roman" w:hAnsi="Times New Roman" w:cs="Times New Roman" w:eastAsiaTheme="minorEastAsia"/>
          <w:color w:val="auto"/>
          <w:kern w:val="0"/>
          <w:sz w:val="24"/>
          <w:szCs w:val="24"/>
          <w:lang w:val="en-US" w:eastAsia="zh-CN" w:bidi="ar-SA"/>
        </w:rPr>
        <w:t>本项目专门面向中小企业采购</w:t>
      </w:r>
      <w:r>
        <w:rPr>
          <w:rFonts w:ascii="Times New Roman" w:hAnsi="Times New Roman" w:eastAsia="宋体" w:cs="Times New Roman"/>
          <w:color w:val="auto"/>
          <w:kern w:val="0"/>
          <w:sz w:val="24"/>
          <w:szCs w:val="24"/>
          <w:lang w:val="en-US" w:eastAsia="zh-CN" w:bidi="ar-SA"/>
        </w:rPr>
        <w:t>。</w:t>
      </w:r>
    </w:p>
    <w:p w14:paraId="3AD4757F">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ascii="Times New Roman" w:hAnsi="Times New Roman" w:eastAsia="宋体" w:cs="Times New Roman"/>
          <w:color w:val="auto"/>
          <w:kern w:val="0"/>
          <w:sz w:val="24"/>
          <w:szCs w:val="24"/>
          <w:lang w:val="en-US" w:eastAsia="zh-CN" w:bidi="ar-SA"/>
        </w:rPr>
        <w:t>（二）根据财政部发布的《关于政府采购支持监狱企业发展有关问题的通知》规定，监狱企业视同小微企业。</w:t>
      </w:r>
    </w:p>
    <w:p w14:paraId="09BB97A4">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（三）</w:t>
      </w:r>
      <w:r>
        <w:rPr>
          <w:rFonts w:hint="eastAsia" w:ascii="Times New Roman" w:hAnsi="Times New Roman" w:eastAsia="宋体" w:cs="......."/>
          <w:color w:val="auto"/>
          <w:kern w:val="0"/>
          <w:sz w:val="24"/>
          <w:szCs w:val="24"/>
          <w:lang w:val="en-US" w:eastAsia="zh-CN" w:bidi="ar-SA"/>
        </w:rPr>
        <w:t>根据财政部、民政部、中国残疾人联合会发布的《关于促进残疾人就业政府采购政策的通知》规定，残疾人福利性单位视同小微企业。</w:t>
      </w:r>
    </w:p>
    <w:p w14:paraId="5A053F76">
      <w:pPr>
        <w:widowControl w:val="0"/>
        <w:autoSpaceDE w:val="0"/>
        <w:autoSpaceDN w:val="0"/>
        <w:adjustRightInd w:val="0"/>
        <w:spacing w:line="360" w:lineRule="auto"/>
        <w:ind w:firstLine="480" w:firstLineChars="200"/>
        <w:jc w:val="both"/>
        <w:rPr>
          <w:rFonts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BE0A58E">
      <w:pPr>
        <w:widowControl w:val="0"/>
        <w:autoSpaceDE w:val="0"/>
        <w:autoSpaceDN w:val="0"/>
        <w:adjustRightInd w:val="0"/>
        <w:spacing w:line="360" w:lineRule="auto"/>
        <w:ind w:firstLine="480" w:firstLineChars="200"/>
        <w:jc w:val="both"/>
        <w:rPr>
          <w:rFonts w:ascii="Times New Roman" w:hAnsi="Times New Roman" w:eastAsia="宋体" w:cs="......."/>
          <w:color w:val="auto"/>
          <w:kern w:val="0"/>
          <w:sz w:val="24"/>
          <w:szCs w:val="24"/>
          <w:lang w:val="en-US" w:eastAsia="zh-CN" w:bidi="ar-SA"/>
        </w:rPr>
      </w:pPr>
      <w:r>
        <w:rPr>
          <w:rFonts w:hint="eastAsia" w:ascii="Times New Roman" w:hAnsi="Times New Roman" w:eastAsia="宋体" w:cs="......."/>
          <w:color w:val="auto"/>
          <w:kern w:val="0"/>
          <w:sz w:val="24"/>
          <w:szCs w:val="24"/>
          <w:lang w:val="en-US" w:eastAsia="zh-CN" w:bidi="ar-S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9FC9F47">
      <w:pPr>
        <w:widowControl w:val="0"/>
        <w:autoSpaceDE w:val="0"/>
        <w:autoSpaceDN w:val="0"/>
        <w:adjustRightInd w:val="0"/>
        <w:spacing w:line="360" w:lineRule="auto"/>
        <w:ind w:firstLine="480" w:firstLineChars="200"/>
        <w:jc w:val="both"/>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721F4813">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（六）根据《关于推动解决政府采购异常低价问题的通知》（财库〔2026〕2号）的要求，当供应商报价出现以下情形之一时，评标委员会应当启动对该供应商的异常低价审查程序：</w:t>
      </w:r>
    </w:p>
    <w:p w14:paraId="3D1D0699">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1. 供应商报价&lt;全部通过符合性审查供应商报价平均值×50%；</w:t>
      </w:r>
    </w:p>
    <w:p w14:paraId="25A2952D">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2. 供应商报价&lt;通过符合性审查的次低供应商报价×50%；</w:t>
      </w:r>
    </w:p>
    <w:p w14:paraId="3E0825F4">
      <w:pPr>
        <w:widowControl w:val="0"/>
        <w:autoSpaceDE w:val="0"/>
        <w:autoSpaceDN w:val="0"/>
        <w:adjustRightInd w:val="0"/>
        <w:spacing w:line="360" w:lineRule="auto"/>
        <w:ind w:firstLine="480" w:firstLineChars="200"/>
        <w:rPr>
          <w:rFonts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3. 供应商报价&lt;最高限价×45%；</w:t>
      </w:r>
    </w:p>
    <w:p w14:paraId="122A7198">
      <w:pPr>
        <w:widowControl w:val="0"/>
        <w:autoSpaceDE w:val="0"/>
        <w:autoSpaceDN w:val="0"/>
        <w:adjustRightInd w:val="0"/>
        <w:spacing w:line="360" w:lineRule="auto"/>
        <w:ind w:firstLine="480" w:firstLineChars="200"/>
        <w:rPr>
          <w:rFonts w:ascii="Times New Roman" w:hAnsi="Times New Roman" w:eastAsia="宋体" w:cs="......."/>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4. 评标委员会基于专业判断，认为供应商报价过低，有可能影响产品质量或者不能诚信履约的其他情形。</w:t>
      </w:r>
    </w:p>
    <w:p w14:paraId="308B39D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w:t>
      </w:r>
      <w:r>
        <w:rPr>
          <w:rFonts w:hint="eastAsia" w:ascii="Times New Roman" w:hAnsi="Times New Roman" w:eastAsia="宋体" w:cs="Times New Roman"/>
          <w:color w:val="auto"/>
          <w:highlight w:val="none"/>
        </w:rPr>
        <w:t>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，每</w:t>
      </w:r>
      <w:r>
        <w:rPr>
          <w:rFonts w:hint="eastAsia" w:ascii="Times New Roman" w:hAnsi="Times New Roman" w:eastAsia="宋体" w:cs="Times New Roman"/>
          <w:color w:val="auto"/>
        </w:rPr>
        <w:t>日</w:t>
      </w:r>
      <w:r>
        <w:rPr>
          <w:rFonts w:ascii="Times New Roman" w:hAnsi="Times New Roman" w:eastAsia="宋体" w:cs="Times New Roman"/>
          <w:color w:val="auto"/>
        </w:rPr>
        <w:t>9:00至17:00（北京时间，法定节假日除外）。</w:t>
      </w:r>
    </w:p>
    <w:p w14:paraId="119AF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29"/>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，使用天津</w:t>
      </w:r>
      <w:r>
        <w:rPr>
          <w:rFonts w:hint="eastAsia" w:ascii="Times New Roman" w:hAnsi="Times New Roman" w:eastAsia="宋体" w:cs="Times New Roman"/>
          <w:color w:val="auto"/>
        </w:rPr>
        <w:t>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。提</w:t>
      </w:r>
      <w:r>
        <w:rPr>
          <w:rFonts w:hint="eastAsia" w:ascii="Times New Roman" w:hAnsi="Times New Roman" w:eastAsia="宋体" w:cs="Times New Roman"/>
          <w:color w:val="auto"/>
        </w:rPr>
        <w:t>交电子响应文件截止时间前提交网上应答并分别上传加盖电子签章的第一、第二阶段电子响应文件（以通过天津公共资源电子签章客户端正确读取签章信息为准）方为有效响应。</w:t>
      </w:r>
    </w:p>
    <w:p w14:paraId="0643A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完成第</w:t>
      </w:r>
      <w:r>
        <w:rPr>
          <w:rFonts w:hint="eastAsia" w:ascii="Times New Roman" w:hAnsi="Times New Roman" w:eastAsia="宋体" w:cs="Times New Roman"/>
          <w:color w:val="auto"/>
        </w:rPr>
        <w:t>一阶段解密的方为有效响应。</w:t>
      </w:r>
    </w:p>
    <w:p w14:paraId="6BBC5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C8DE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8F094D0">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022-27934907 </w:t>
      </w:r>
    </w:p>
    <w:p w14:paraId="4DA8B15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3395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中共天津市西青区委网络安全和信息化委员会办公室</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val="en-US" w:eastAsia="zh-CN"/>
        </w:rPr>
        <w:t>天津市西青区柳口路35号</w:t>
      </w:r>
    </w:p>
    <w:p w14:paraId="32B055B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廉志文</w:t>
      </w:r>
    </w:p>
    <w:p w14:paraId="468C40FE">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（四）采购人联系电话：022-27934907</w:t>
      </w:r>
    </w:p>
    <w:p w14:paraId="5EEDF0E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F39DA1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w:t>
      </w:r>
      <w:bookmarkStart w:id="20" w:name="_GoBack"/>
      <w:bookmarkEnd w:id="20"/>
      <w:r>
        <w:rPr>
          <w:rFonts w:hint="eastAsia" w:ascii="Times New Roman" w:hAnsi="Times New Roman" w:eastAsia="宋体" w:cs="Times New Roman"/>
          <w:color w:val="auto"/>
          <w:highlight w:val="none"/>
        </w:rPr>
        <w:t>其权益受到损害之日起七个工作日内，按照本项目采购文件第三部分《投标须知》“8. 询问与质疑”的相关规定，以书面原件形式针对同一采购程序环节一次性提出质疑，否则不予受理。</w:t>
      </w:r>
    </w:p>
    <w:p w14:paraId="39C5EA6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298A4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中共天津市西青区委网络安全和信息化委员会办公室</w:t>
      </w:r>
    </w:p>
    <w:p w14:paraId="3EB23B7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宋体" w:hAnsi="宋体"/>
          <w:color w:val="auto"/>
          <w:sz w:val="24"/>
          <w:szCs w:val="24"/>
          <w:highlight w:val="none"/>
          <w:lang w:val="en-US" w:eastAsia="zh-CN"/>
        </w:rPr>
        <w:t>天津市西青区柳口路35号</w:t>
      </w:r>
    </w:p>
    <w:p w14:paraId="0F9480C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宋体" w:hAnsi="宋体"/>
          <w:color w:val="auto"/>
          <w:sz w:val="24"/>
          <w:szCs w:val="24"/>
          <w:highlight w:val="none"/>
          <w:lang w:val="en-US" w:eastAsia="zh-CN"/>
        </w:rPr>
        <w:t>廉志文</w:t>
      </w:r>
    </w:p>
    <w:p w14:paraId="64C8AF63">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宋体" w:hAnsi="宋体"/>
          <w:color w:val="000000"/>
          <w:sz w:val="24"/>
          <w:szCs w:val="24"/>
          <w:highlight w:val="none"/>
        </w:rPr>
        <w:t>022-</w:t>
      </w:r>
      <w:r>
        <w:rPr>
          <w:rFonts w:hint="eastAsia" w:ascii="宋体" w:hAnsi="宋体"/>
          <w:sz w:val="24"/>
          <w:szCs w:val="24"/>
          <w:highlight w:val="none"/>
        </w:rPr>
        <w:t>27934907</w:t>
      </w:r>
    </w:p>
    <w:p w14:paraId="13C5B8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FF0000"/>
          <w:sz w:val="24"/>
          <w:highlight w:val="none"/>
        </w:rPr>
      </w:pPr>
      <w:r>
        <w:rPr>
          <w:color w:val="auto"/>
          <w:sz w:val="24"/>
          <w:highlight w:val="none"/>
        </w:rPr>
        <w:t>2. 投标人的报价应包括：</w:t>
      </w:r>
      <w:r>
        <w:rPr>
          <w:rFonts w:hint="eastAsia" w:ascii="宋体" w:hAnsi="宋体" w:cs="宋体"/>
          <w:sz w:val="24"/>
          <w:highlight w:val="none"/>
        </w:rPr>
        <w:t>人员工资、福利、社险、项目经理公积金等人工费用、食堂食材、服装费、办公费、清洁耗材、维修耗材、餐厅耗材、烟道清洗费、设备维修维保、垃圾清运、四害消杀费、企业利润及税金等为完成招标文件规定的一切工作所需的全部费用。投标人所报价格应为最终价格。</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cs="宋体"/>
          <w:color w:val="auto"/>
          <w:sz w:val="24"/>
          <w:highlight w:val="none"/>
          <w:lang w:val="en-US" w:eastAsia="zh-CN"/>
        </w:rPr>
        <w:t>自合同签订之日起一年</w:t>
      </w:r>
      <w:r>
        <w:rPr>
          <w:rFonts w:hint="eastAsia" w:ascii="宋体" w:hAnsi="宋体" w:cs="宋体"/>
          <w:color w:val="auto"/>
          <w:sz w:val="24"/>
          <w:highlight w:val="none"/>
        </w:rPr>
        <w:t>（特殊情况以合同为准）</w:t>
      </w:r>
    </w:p>
    <w:p w14:paraId="39AC2F87">
      <w:pPr>
        <w:pStyle w:val="29"/>
        <w:spacing w:line="360" w:lineRule="auto"/>
        <w:ind w:firstLine="480" w:firstLineChars="200"/>
        <w:jc w:val="both"/>
        <w:rPr>
          <w:rFonts w:ascii="Times New Roman" w:hAnsi="Times New Roman" w:eastAsia="宋体" w:cs="Times New Roman"/>
          <w:color w:val="FF0000"/>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宋体" w:hAnsi="宋体" w:cs="宋体"/>
          <w:color w:val="auto"/>
          <w:sz w:val="24"/>
          <w:highlight w:val="none"/>
        </w:rPr>
        <w:t>西青区建设服务中心及西青区信访办</w:t>
      </w:r>
      <w:r>
        <w:rPr>
          <w:rFonts w:hint="eastAsia" w:ascii="宋体" w:hAnsi="宋体" w:cs="宋体"/>
          <w:sz w:val="24"/>
          <w:highlight w:val="none"/>
        </w:rPr>
        <w:t>(矛调中心)办公楼。</w:t>
      </w:r>
    </w:p>
    <w:p w14:paraId="71B999F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1D780F65">
      <w:pPr>
        <w:pStyle w:val="29"/>
        <w:spacing w:line="360" w:lineRule="auto"/>
        <w:ind w:firstLine="480" w:firstLineChars="200"/>
        <w:jc w:val="both"/>
        <w:rPr>
          <w:rFonts w:hint="eastAsia" w:ascii="宋体" w:hAnsi="宋体"/>
          <w:sz w:val="24"/>
          <w:highlight w:val="none"/>
        </w:rPr>
      </w:pPr>
      <w:r>
        <w:rPr>
          <w:rFonts w:hint="eastAsia" w:ascii="宋体" w:hAnsi="宋体"/>
          <w:sz w:val="24"/>
          <w:highlight w:val="none"/>
        </w:rPr>
        <w:t>按季度付款，在采购人方验收合格后于每季度15日前支付上一季度服务费。（特殊情况以合同为准）</w:t>
      </w:r>
    </w:p>
    <w:p w14:paraId="647A08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29"/>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2"/>
        <w:gridCol w:w="26"/>
        <w:gridCol w:w="1060"/>
        <w:gridCol w:w="6333"/>
        <w:gridCol w:w="648"/>
      </w:tblGrid>
      <w:tr w14:paraId="57B14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4619" w:type="pct"/>
            <w:gridSpan w:val="4"/>
            <w:noWrap w:val="0"/>
            <w:vAlign w:val="center"/>
          </w:tcPr>
          <w:p w14:paraId="278DC3C9">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bCs/>
                <w:sz w:val="24"/>
                <w:szCs w:val="24"/>
                <w:highlight w:val="none"/>
              </w:rPr>
              <w:t>第一部分 商务部分</w:t>
            </w:r>
          </w:p>
        </w:tc>
        <w:tc>
          <w:tcPr>
            <w:tcW w:w="380" w:type="pct"/>
            <w:noWrap w:val="0"/>
            <w:vAlign w:val="center"/>
          </w:tcPr>
          <w:p w14:paraId="42266A5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bCs/>
                <w:sz w:val="24"/>
                <w:szCs w:val="24"/>
                <w:highlight w:val="none"/>
              </w:rPr>
              <w:t>分值</w:t>
            </w:r>
          </w:p>
        </w:tc>
      </w:tr>
      <w:tr w14:paraId="7209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81" w:type="pct"/>
            <w:gridSpan w:val="2"/>
            <w:noWrap w:val="0"/>
            <w:vAlign w:val="center"/>
          </w:tcPr>
          <w:p w14:paraId="56BB398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bCs/>
                <w:sz w:val="24"/>
                <w:szCs w:val="24"/>
                <w:highlight w:val="none"/>
              </w:rPr>
              <w:t>1</w:t>
            </w:r>
          </w:p>
        </w:tc>
        <w:tc>
          <w:tcPr>
            <w:tcW w:w="622" w:type="pct"/>
            <w:noWrap w:val="0"/>
            <w:vAlign w:val="center"/>
          </w:tcPr>
          <w:p w14:paraId="5E579451">
            <w:pPr>
              <w:pageBreakBefore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价格</w:t>
            </w:r>
          </w:p>
        </w:tc>
        <w:tc>
          <w:tcPr>
            <w:tcW w:w="3715" w:type="pct"/>
            <w:noWrap w:val="0"/>
            <w:vAlign w:val="center"/>
          </w:tcPr>
          <w:p w14:paraId="25D30FF7">
            <w:pPr>
              <w:pageBreakBefore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（1）投标报价超过采购预算的，投标无效，未超过采购预算的投标报价按以下公式进行计算。</w:t>
            </w:r>
          </w:p>
          <w:p w14:paraId="5BEDABC2">
            <w:pPr>
              <w:pageBreakBefore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（2）投标报价得分=（评标基准价/投标报价）×10</w:t>
            </w:r>
          </w:p>
          <w:p w14:paraId="67663778">
            <w:pPr>
              <w:pageBreakBefore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注：满足招标文件要求且投标报价最低的投标报价为评标基准价。</w:t>
            </w:r>
          </w:p>
        </w:tc>
        <w:tc>
          <w:tcPr>
            <w:tcW w:w="380" w:type="pct"/>
            <w:noWrap w:val="0"/>
            <w:vAlign w:val="center"/>
          </w:tcPr>
          <w:p w14:paraId="49717AC5">
            <w:pPr>
              <w:pageBreakBefore w:val="0"/>
              <w:widowControl/>
              <w:kinsoku/>
              <w:wordWrap/>
              <w:overflowPunct/>
              <w:topLinePunct w:val="0"/>
              <w:autoSpaceDE/>
              <w:autoSpaceDN/>
              <w:bidi w:val="0"/>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10分</w:t>
            </w:r>
          </w:p>
        </w:tc>
      </w:tr>
      <w:tr w14:paraId="31936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4619" w:type="pct"/>
            <w:gridSpan w:val="4"/>
            <w:noWrap w:val="0"/>
            <w:vAlign w:val="center"/>
          </w:tcPr>
          <w:p w14:paraId="1F092EA2">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rPr>
              <w:t xml:space="preserve">第二部分 </w:t>
            </w:r>
            <w:r>
              <w:rPr>
                <w:rFonts w:hint="eastAsia" w:ascii="宋体" w:hAnsi="宋体" w:cs="宋体"/>
                <w:bCs/>
                <w:sz w:val="24"/>
                <w:szCs w:val="24"/>
                <w:highlight w:val="none"/>
                <w:lang w:eastAsia="zh-CN"/>
              </w:rPr>
              <w:t>客观分</w:t>
            </w:r>
          </w:p>
        </w:tc>
        <w:tc>
          <w:tcPr>
            <w:tcW w:w="380" w:type="pct"/>
            <w:noWrap w:val="0"/>
            <w:vAlign w:val="center"/>
          </w:tcPr>
          <w:p w14:paraId="0DEE4E95">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分值</w:t>
            </w:r>
          </w:p>
        </w:tc>
      </w:tr>
      <w:tr w14:paraId="40415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4A36685C">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637" w:type="pct"/>
            <w:gridSpan w:val="2"/>
            <w:noWrap w:val="0"/>
            <w:vAlign w:val="center"/>
          </w:tcPr>
          <w:p w14:paraId="4DB42EEA">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业绩</w:t>
            </w:r>
          </w:p>
        </w:tc>
        <w:tc>
          <w:tcPr>
            <w:tcW w:w="3715" w:type="pct"/>
            <w:noWrap w:val="0"/>
            <w:vAlign w:val="center"/>
          </w:tcPr>
          <w:p w14:paraId="6EC0672A">
            <w:pPr>
              <w:pageBreakBefore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完全按照以下要求提供投标人曾实施的与本项目内容相当的非住宅物业服务业绩，</w:t>
            </w:r>
            <w:r>
              <w:rPr>
                <w:rFonts w:hint="eastAsia" w:ascii="宋体" w:hAnsi="宋体" w:eastAsia="宋体" w:cs="宋体"/>
                <w:color w:val="auto"/>
                <w:kern w:val="0"/>
                <w:sz w:val="24"/>
                <w:szCs w:val="24"/>
                <w:highlight w:val="none"/>
                <w:lang w:val="zh-TW" w:eastAsia="zh-TW"/>
              </w:rPr>
              <w:t>按照以下要求执行</w:t>
            </w:r>
            <w:r>
              <w:rPr>
                <w:rFonts w:hint="eastAsia" w:ascii="宋体" w:hAnsi="宋体" w:eastAsia="宋体" w:cs="宋体"/>
                <w:color w:val="auto"/>
                <w:kern w:val="0"/>
                <w:sz w:val="24"/>
                <w:szCs w:val="24"/>
                <w:highlight w:val="none"/>
              </w:rPr>
              <w:t>提供的证明材料均不得遮挡涂黑，否则不予认定加分。（提供一个案例计</w:t>
            </w:r>
            <w:r>
              <w:rPr>
                <w:rFonts w:hint="eastAsia" w:ascii="宋体" w:hAnsi="宋体" w:eastAsia="宋体" w:cs="宋体"/>
                <w:color w:val="auto"/>
                <w:kern w:val="0"/>
                <w:sz w:val="24"/>
                <w:szCs w:val="24"/>
                <w:highlight w:val="none"/>
                <w:lang w:val="en-US" w:eastAsia="zh-CN"/>
              </w:rPr>
              <w:t>1</w:t>
            </w:r>
            <w:r>
              <w:rPr>
                <w:rFonts w:hint="eastAsia" w:ascii="宋体" w:hAnsi="宋体" w:eastAsia="宋体" w:cs="宋体"/>
                <w:color w:val="auto"/>
                <w:kern w:val="0"/>
                <w:sz w:val="24"/>
                <w:szCs w:val="24"/>
                <w:highlight w:val="none"/>
              </w:rPr>
              <w:t>分，最多</w:t>
            </w:r>
            <w:r>
              <w:rPr>
                <w:rFonts w:hint="eastAsia" w:ascii="宋体" w:hAnsi="宋体" w:eastAsia="宋体" w:cs="宋体"/>
                <w:color w:val="auto"/>
                <w:kern w:val="0"/>
                <w:sz w:val="24"/>
                <w:szCs w:val="24"/>
                <w:highlight w:val="none"/>
                <w:lang w:val="en-US" w:eastAsia="zh-CN"/>
              </w:rPr>
              <w:t>4</w:t>
            </w:r>
            <w:r>
              <w:rPr>
                <w:rFonts w:hint="eastAsia" w:ascii="宋体" w:hAnsi="宋体" w:eastAsia="宋体" w:cs="宋体"/>
                <w:color w:val="auto"/>
                <w:kern w:val="0"/>
                <w:sz w:val="24"/>
                <w:szCs w:val="24"/>
                <w:highlight w:val="none"/>
              </w:rPr>
              <w:t>分）</w:t>
            </w:r>
          </w:p>
          <w:p w14:paraId="73EC4D5E">
            <w:pPr>
              <w:pageBreakBefore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A. 合同原件扫描件。包括合同金额、买卖双方名称及盖章、物业服务期限（合同服务起始日期为2</w:t>
            </w:r>
            <w:r>
              <w:rPr>
                <w:rFonts w:hint="eastAsia" w:ascii="宋体" w:hAnsi="宋体" w:eastAsia="宋体" w:cs="宋体"/>
                <w:color w:val="auto"/>
                <w:kern w:val="0"/>
                <w:sz w:val="24"/>
                <w:szCs w:val="24"/>
                <w:highlight w:val="none"/>
                <w:lang w:val="en-US" w:eastAsia="zh-CN"/>
              </w:rPr>
              <w:t>023</w:t>
            </w:r>
            <w:r>
              <w:rPr>
                <w:rFonts w:hint="eastAsia" w:ascii="宋体" w:hAnsi="宋体" w:eastAsia="宋体" w:cs="宋体"/>
                <w:color w:val="auto"/>
                <w:kern w:val="0"/>
                <w:sz w:val="24"/>
                <w:szCs w:val="24"/>
                <w:highlight w:val="none"/>
              </w:rPr>
              <w:t>年1月1日或以后，且已经履行至少1年的时间）、物业服务内容</w:t>
            </w:r>
          </w:p>
          <w:p w14:paraId="68E587F7">
            <w:pPr>
              <w:pageBreakBefore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kern w:val="0"/>
                <w:sz w:val="24"/>
                <w:szCs w:val="24"/>
                <w:highlight w:val="none"/>
              </w:rPr>
              <w:t>B. 上述合同履行良好的相关证明材料原件扫描件（加盖上述合同甲方单位公章或上述合同中的甲方印章）。</w:t>
            </w:r>
          </w:p>
        </w:tc>
        <w:tc>
          <w:tcPr>
            <w:tcW w:w="380" w:type="pct"/>
            <w:noWrap w:val="0"/>
            <w:vAlign w:val="center"/>
          </w:tcPr>
          <w:p w14:paraId="52E48915">
            <w:pPr>
              <w:pageBreakBefore w:val="0"/>
              <w:kinsoku/>
              <w:wordWrap/>
              <w:overflowPunct/>
              <w:topLinePunct w:val="0"/>
              <w:autoSpaceDE/>
              <w:autoSpaceDN/>
              <w:bidi w:val="0"/>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tc>
      </w:tr>
      <w:tr w14:paraId="568FA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360041B9">
            <w:pPr>
              <w:pageBreakBefore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w:t>
            </w:r>
          </w:p>
        </w:tc>
        <w:tc>
          <w:tcPr>
            <w:tcW w:w="637" w:type="pct"/>
            <w:gridSpan w:val="2"/>
            <w:noWrap w:val="0"/>
            <w:vAlign w:val="center"/>
          </w:tcPr>
          <w:p w14:paraId="0847E02F">
            <w:pPr>
              <w:pageBreakBefore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投标人相关证书评价</w:t>
            </w:r>
          </w:p>
        </w:tc>
        <w:tc>
          <w:tcPr>
            <w:tcW w:w="3715" w:type="pct"/>
            <w:noWrap w:val="0"/>
            <w:vAlign w:val="center"/>
          </w:tcPr>
          <w:p w14:paraId="5BA99DF1">
            <w:pPr>
              <w:pageBreakBefore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投标人具备在有效期内的质量管理体系认证、职业健康安全管理体系认证、环境管理体系认证</w:t>
            </w:r>
            <w:r>
              <w:rPr>
                <w:rFonts w:hint="eastAsia" w:ascii="宋体" w:hAnsi="宋体" w:eastAsia="宋体" w:cs="宋体"/>
                <w:color w:val="auto"/>
                <w:kern w:val="0"/>
                <w:sz w:val="24"/>
                <w:szCs w:val="24"/>
                <w:highlight w:val="none"/>
                <w:lang w:eastAsia="zh-CN"/>
              </w:rPr>
              <w:t>、</w:t>
            </w:r>
            <w:r>
              <w:rPr>
                <w:rFonts w:hint="eastAsia" w:ascii="宋体" w:hAnsi="宋体" w:eastAsia="宋体" w:cs="宋体"/>
                <w:bCs/>
                <w:color w:val="auto"/>
                <w:kern w:val="2"/>
                <w:sz w:val="24"/>
                <w:szCs w:val="24"/>
                <w:highlight w:val="none"/>
                <w:lang w:val="en-US" w:eastAsia="zh-CN" w:bidi="ar-SA"/>
              </w:rPr>
              <w:t>食品安全管理体系认证</w:t>
            </w:r>
            <w:r>
              <w:rPr>
                <w:rFonts w:hint="eastAsia" w:ascii="宋体" w:hAnsi="宋体" w:eastAsia="宋体" w:cs="宋体"/>
                <w:color w:val="auto"/>
                <w:kern w:val="0"/>
                <w:sz w:val="24"/>
                <w:szCs w:val="24"/>
                <w:highlight w:val="none"/>
              </w:rPr>
              <w:t>，提供证书扫描件。具备1个证书得1分，最高</w:t>
            </w:r>
            <w:r>
              <w:rPr>
                <w:rFonts w:hint="eastAsia" w:ascii="宋体" w:hAnsi="宋体" w:eastAsia="宋体" w:cs="宋体"/>
                <w:color w:val="auto"/>
                <w:kern w:val="0"/>
                <w:sz w:val="24"/>
                <w:szCs w:val="24"/>
                <w:highlight w:val="none"/>
                <w:lang w:val="en-US" w:eastAsia="zh-CN"/>
              </w:rPr>
              <w:t>4</w:t>
            </w:r>
            <w:r>
              <w:rPr>
                <w:rFonts w:hint="eastAsia" w:ascii="宋体" w:hAnsi="宋体" w:eastAsia="宋体" w:cs="宋体"/>
                <w:color w:val="auto"/>
                <w:kern w:val="0"/>
                <w:sz w:val="24"/>
                <w:szCs w:val="24"/>
                <w:highlight w:val="none"/>
              </w:rPr>
              <w:t>分</w:t>
            </w:r>
          </w:p>
        </w:tc>
        <w:tc>
          <w:tcPr>
            <w:tcW w:w="380" w:type="pct"/>
            <w:noWrap w:val="0"/>
            <w:vAlign w:val="center"/>
          </w:tcPr>
          <w:p w14:paraId="1AF4EFCF">
            <w:pPr>
              <w:pageBreakBefore w:val="0"/>
              <w:kinsoku/>
              <w:wordWrap/>
              <w:overflowPunct/>
              <w:topLinePunct w:val="0"/>
              <w:autoSpaceDE/>
              <w:autoSpaceDN/>
              <w:bidi w:val="0"/>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tc>
      </w:tr>
      <w:tr w14:paraId="5D48F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66" w:type="pct"/>
            <w:noWrap w:val="0"/>
            <w:vAlign w:val="center"/>
          </w:tcPr>
          <w:p w14:paraId="06E168BE">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3</w:t>
            </w:r>
          </w:p>
        </w:tc>
        <w:tc>
          <w:tcPr>
            <w:tcW w:w="637" w:type="pct"/>
            <w:gridSpan w:val="2"/>
            <w:noWrap w:val="0"/>
            <w:vAlign w:val="center"/>
          </w:tcPr>
          <w:p w14:paraId="603E07D4">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项目经理评价</w:t>
            </w:r>
          </w:p>
        </w:tc>
        <w:tc>
          <w:tcPr>
            <w:tcW w:w="3715" w:type="pct"/>
            <w:noWrap w:val="0"/>
            <w:vAlign w:val="center"/>
          </w:tcPr>
          <w:p w14:paraId="2603D960">
            <w:pPr>
              <w:pageBreakBefore w:val="0"/>
              <w:kinsoku/>
              <w:wordWrap/>
              <w:overflowPunct/>
              <w:topLinePunct w:val="0"/>
              <w:autoSpaceDE/>
              <w:autoSpaceDN/>
              <w:bidi w:val="0"/>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投入的项目经理为投标单位正式员工，提供项目经理姓名、项目经理开标前半年内至少连续3个月的由投标单位或其分公司缴纳社会保险证明扫描件，否则不予认定加分。</w:t>
            </w:r>
          </w:p>
          <w:p w14:paraId="769077D0">
            <w:pPr>
              <w:pageBreakBefore w:val="0"/>
              <w:kinsoku/>
              <w:wordWrap/>
              <w:overflowPunct/>
              <w:topLinePunct w:val="0"/>
              <w:autoSpaceDE/>
              <w:autoSpaceDN/>
              <w:bidi w:val="0"/>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（1）提供项目经理毕业证书扫描件，该项目经理具有大本以上（含大本）学历的：2分，其他：0分；</w:t>
            </w:r>
          </w:p>
          <w:p w14:paraId="63F32688">
            <w:pPr>
              <w:pageBreakBefore w:val="0"/>
              <w:kinsoku/>
              <w:wordWrap/>
              <w:overflowPunct/>
              <w:topLinePunct w:val="0"/>
              <w:autoSpaceDE/>
              <w:autoSpaceDN/>
              <w:bidi w:val="0"/>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（2）投标单位承诺项目经理自取得第（1）项证书之日起具备五年（含五年）以上非住宅物业管理经验的：2分，其他：0分；</w:t>
            </w:r>
          </w:p>
          <w:p w14:paraId="588CC9CD">
            <w:pPr>
              <w:pageBreakBefore w:val="0"/>
              <w:kinsoku/>
              <w:wordWrap/>
              <w:overflowPunct/>
              <w:topLinePunct w:val="0"/>
              <w:autoSpaceDE/>
              <w:autoSpaceDN/>
              <w:bidi w:val="0"/>
              <w:spacing w:line="360" w:lineRule="auto"/>
              <w:textAlignment w:val="auto"/>
              <w:rPr>
                <w:rFonts w:hint="eastAsia" w:ascii="宋体" w:hAnsi="宋体" w:eastAsia="宋体" w:cs="宋体"/>
                <w:kern w:val="0"/>
                <w:sz w:val="24"/>
                <w:szCs w:val="24"/>
                <w:highlight w:val="none"/>
              </w:rPr>
            </w:pPr>
            <w:r>
              <w:rPr>
                <w:rFonts w:hint="eastAsia" w:ascii="宋体" w:hAnsi="宋体" w:eastAsia="宋体" w:cs="宋体"/>
                <w:sz w:val="24"/>
                <w:szCs w:val="24"/>
                <w:highlight w:val="none"/>
              </w:rPr>
              <w:t>（3）提供项目经理身份证扫描件，该项目经理年龄在45周岁或以下的：1分，其他：0分；</w:t>
            </w:r>
          </w:p>
        </w:tc>
        <w:tc>
          <w:tcPr>
            <w:tcW w:w="380" w:type="pct"/>
            <w:noWrap w:val="0"/>
            <w:vAlign w:val="center"/>
          </w:tcPr>
          <w:p w14:paraId="2FFBAB29">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5分</w:t>
            </w:r>
          </w:p>
        </w:tc>
      </w:tr>
      <w:tr w14:paraId="13BBB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66" w:type="pct"/>
            <w:noWrap w:val="0"/>
            <w:vAlign w:val="center"/>
          </w:tcPr>
          <w:p w14:paraId="20C0D03C">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p>
        </w:tc>
        <w:tc>
          <w:tcPr>
            <w:tcW w:w="637" w:type="pct"/>
            <w:gridSpan w:val="2"/>
            <w:noWrap w:val="0"/>
            <w:vAlign w:val="center"/>
          </w:tcPr>
          <w:p w14:paraId="580374E4">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派驻服务人员评价</w:t>
            </w:r>
          </w:p>
        </w:tc>
        <w:tc>
          <w:tcPr>
            <w:tcW w:w="3715" w:type="pct"/>
            <w:noWrap w:val="0"/>
            <w:vAlign w:val="center"/>
          </w:tcPr>
          <w:p w14:paraId="32FC2086">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（1）承诺全部物业人员均</w:t>
            </w:r>
            <w:r>
              <w:rPr>
                <w:rFonts w:hint="eastAsia" w:ascii="宋体" w:hAnsi="宋体" w:eastAsia="宋体" w:cs="宋体"/>
                <w:color w:val="auto"/>
                <w:kern w:val="0"/>
                <w:sz w:val="24"/>
                <w:szCs w:val="24"/>
                <w:highlight w:val="none"/>
                <w:lang w:eastAsia="zh-CN"/>
              </w:rPr>
              <w:t>为投标单位正式员工，</w:t>
            </w:r>
            <w:r>
              <w:rPr>
                <w:rFonts w:hint="eastAsia" w:ascii="宋体" w:hAnsi="宋体" w:eastAsia="宋体" w:cs="宋体"/>
                <w:color w:val="auto"/>
                <w:kern w:val="0"/>
                <w:sz w:val="24"/>
                <w:szCs w:val="24"/>
                <w:highlight w:val="none"/>
              </w:rPr>
              <w:t>满足项目需求书人员岗位要求且身体健康得2分，否则0分。</w:t>
            </w:r>
          </w:p>
          <w:p w14:paraId="559BB3E4">
            <w:pPr>
              <w:pageBreakBefore w:val="0"/>
              <w:kinsoku/>
              <w:wordWrap/>
              <w:overflowPunct/>
              <w:topLinePunct w:val="0"/>
              <w:autoSpaceDE/>
              <w:autoSpaceDN/>
              <w:bidi w:val="0"/>
              <w:spacing w:line="360" w:lineRule="auto"/>
              <w:textAlignment w:val="auto"/>
              <w:rPr>
                <w:rFonts w:hint="eastAsia" w:ascii="宋体" w:hAnsi="宋体" w:eastAsia="宋体" w:cs="宋体"/>
                <w:color w:val="auto"/>
                <w:kern w:val="0"/>
                <w:sz w:val="24"/>
                <w:szCs w:val="24"/>
                <w:highlight w:val="none"/>
              </w:rPr>
            </w:pPr>
            <w:bookmarkStart w:id="5" w:name="OLE_LINK18"/>
            <w:r>
              <w:rPr>
                <w:rFonts w:hint="eastAsia" w:ascii="宋体" w:hAnsi="宋体" w:eastAsia="宋体" w:cs="宋体"/>
                <w:color w:val="auto"/>
                <w:kern w:val="0"/>
                <w:sz w:val="24"/>
                <w:szCs w:val="24"/>
                <w:highlight w:val="none"/>
              </w:rPr>
              <w:t>（2）外围兼专项保洁1名：需具备《特种作业操作证（高处作业）》，且提供上述人员上述证书扫描件，</w:t>
            </w:r>
            <w:r>
              <w:rPr>
                <w:rFonts w:hint="eastAsia" w:ascii="宋体" w:hAnsi="宋体" w:eastAsia="宋体" w:cs="宋体"/>
                <w:color w:val="auto"/>
                <w:sz w:val="24"/>
                <w:szCs w:val="24"/>
                <w:highlight w:val="none"/>
              </w:rPr>
              <w:t>提供上述证书扫描件的：2分，其他：0分；</w:t>
            </w:r>
          </w:p>
          <w:bookmarkEnd w:id="5"/>
          <w:p w14:paraId="06F609BC">
            <w:pPr>
              <w:pageBreakBefore w:val="0"/>
              <w:kinsoku/>
              <w:wordWrap/>
              <w:overflowPunct/>
              <w:topLinePunct w:val="0"/>
              <w:autoSpaceDE/>
              <w:autoSpaceDN/>
              <w:bidi w:val="0"/>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（3）外围兼专项保洁：提供上述专项保洁（已提供证书扫描件的）开标前半年内</w:t>
            </w:r>
            <w:r>
              <w:rPr>
                <w:rFonts w:hint="eastAsia" w:ascii="宋体" w:hAnsi="宋体" w:eastAsia="宋体" w:cs="宋体"/>
                <w:color w:val="auto"/>
                <w:kern w:val="0"/>
                <w:sz w:val="24"/>
                <w:szCs w:val="24"/>
                <w:highlight w:val="none"/>
                <w:lang w:val="en-US" w:eastAsia="zh-CN"/>
              </w:rPr>
              <w:t>连续3个月</w:t>
            </w:r>
            <w:r>
              <w:rPr>
                <w:rFonts w:hint="eastAsia" w:ascii="宋体" w:hAnsi="宋体" w:eastAsia="宋体" w:cs="宋体"/>
                <w:color w:val="auto"/>
                <w:kern w:val="0"/>
                <w:sz w:val="24"/>
                <w:szCs w:val="24"/>
                <w:highlight w:val="none"/>
              </w:rPr>
              <w:t>的由投标单位或其分公司缴纳社会保险证明扫描件，</w:t>
            </w:r>
            <w:r>
              <w:rPr>
                <w:rFonts w:hint="eastAsia" w:ascii="宋体" w:hAnsi="宋体" w:eastAsia="宋体" w:cs="宋体"/>
                <w:color w:val="auto"/>
                <w:sz w:val="24"/>
                <w:szCs w:val="24"/>
                <w:highlight w:val="none"/>
              </w:rPr>
              <w:t>提供社保证明扫描件的：1分，其他：0分；</w:t>
            </w:r>
          </w:p>
          <w:p w14:paraId="5C59615A">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（4）空调机房运行人员：承诺拟投入本项目的空调机房运行人员均具备《特种作业操作证（制冷与空调作业）》，且提</w:t>
            </w:r>
            <w:bookmarkStart w:id="6" w:name="OLE_LINK26"/>
            <w:bookmarkStart w:id="7" w:name="OLE_LINK25"/>
            <w:r>
              <w:rPr>
                <w:rFonts w:hint="eastAsia" w:ascii="宋体" w:hAnsi="宋体" w:eastAsia="宋体" w:cs="宋体"/>
                <w:color w:val="auto"/>
                <w:kern w:val="0"/>
                <w:sz w:val="24"/>
                <w:szCs w:val="24"/>
                <w:highlight w:val="none"/>
              </w:rPr>
              <w:t>供上述人员上述证书扫描件，每个合格的证书扫描件得2分，最多2分；</w:t>
            </w:r>
            <w:bookmarkEnd w:id="6"/>
            <w:bookmarkEnd w:id="7"/>
          </w:p>
          <w:p w14:paraId="1FAC0EC7">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bookmarkStart w:id="8" w:name="OLE_LINK28"/>
            <w:bookmarkStart w:id="9" w:name="OLE_LINK27"/>
            <w:r>
              <w:rPr>
                <w:rFonts w:hint="eastAsia" w:ascii="宋体" w:hAnsi="宋体" w:eastAsia="宋体" w:cs="宋体"/>
                <w:color w:val="auto"/>
                <w:kern w:val="0"/>
                <w:sz w:val="24"/>
                <w:szCs w:val="24"/>
                <w:highlight w:val="none"/>
              </w:rPr>
              <w:t>（5）空调机房运行人员：提供上述空调机房运行人员（已提供证书扫描件的）开标前半年内</w:t>
            </w:r>
            <w:r>
              <w:rPr>
                <w:rFonts w:hint="eastAsia" w:ascii="宋体" w:hAnsi="宋体" w:eastAsia="宋体" w:cs="宋体"/>
                <w:color w:val="auto"/>
                <w:kern w:val="0"/>
                <w:sz w:val="24"/>
                <w:szCs w:val="24"/>
                <w:highlight w:val="none"/>
                <w:lang w:eastAsia="zh-CN"/>
              </w:rPr>
              <w:t>连续3个月</w:t>
            </w:r>
            <w:r>
              <w:rPr>
                <w:rFonts w:hint="eastAsia" w:ascii="宋体" w:hAnsi="宋体" w:eastAsia="宋体" w:cs="宋体"/>
                <w:color w:val="auto"/>
                <w:kern w:val="0"/>
                <w:sz w:val="24"/>
                <w:szCs w:val="24"/>
                <w:highlight w:val="none"/>
              </w:rPr>
              <w:t>的由投标单位或其分公司缴纳社会保险证明扫描件，每个合格的人员社保证明扫描件得1分，最多1分；</w:t>
            </w:r>
          </w:p>
          <w:bookmarkEnd w:id="8"/>
          <w:bookmarkEnd w:id="9"/>
          <w:p w14:paraId="08AD1905">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（6）</w:t>
            </w:r>
            <w:bookmarkStart w:id="10" w:name="OLE_LINK29"/>
            <w:bookmarkStart w:id="11" w:name="OLE_LINK30"/>
            <w:r>
              <w:rPr>
                <w:rFonts w:hint="eastAsia" w:ascii="宋体" w:hAnsi="宋体" w:eastAsia="宋体" w:cs="宋体"/>
                <w:color w:val="auto"/>
                <w:kern w:val="0"/>
                <w:sz w:val="24"/>
                <w:szCs w:val="24"/>
                <w:highlight w:val="none"/>
              </w:rPr>
              <w:t>综合维修工：承诺拟投入本项目的综合维修工中至少1人具备新《特种设备安全管理和作业人员证（特种设备安全管理）》，且提供上述人员上述证书扫描件得</w:t>
            </w:r>
            <w:r>
              <w:rPr>
                <w:rFonts w:hint="eastAsia" w:ascii="宋体" w:hAnsi="宋体" w:eastAsia="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分，其他0分；</w:t>
            </w:r>
          </w:p>
          <w:bookmarkEnd w:id="10"/>
          <w:bookmarkEnd w:id="11"/>
          <w:p w14:paraId="63D9765E">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bookmarkStart w:id="12" w:name="OLE_LINK31"/>
            <w:r>
              <w:rPr>
                <w:rFonts w:hint="eastAsia" w:ascii="宋体" w:hAnsi="宋体" w:eastAsia="宋体" w:cs="宋体"/>
                <w:color w:val="auto"/>
                <w:kern w:val="0"/>
                <w:sz w:val="24"/>
                <w:szCs w:val="24"/>
                <w:highlight w:val="none"/>
              </w:rPr>
              <w:t>（7）综合维修工：提供上述</w:t>
            </w:r>
            <w:r>
              <w:rPr>
                <w:rFonts w:hint="eastAsia" w:ascii="宋体" w:hAnsi="宋体" w:eastAsia="宋体" w:cs="宋体"/>
                <w:color w:val="auto"/>
                <w:kern w:val="0"/>
                <w:sz w:val="24"/>
                <w:szCs w:val="24"/>
                <w:highlight w:val="none"/>
                <w:lang w:val="en-US" w:eastAsia="zh-CN"/>
              </w:rPr>
              <w:t>综合</w:t>
            </w:r>
            <w:r>
              <w:rPr>
                <w:rFonts w:hint="eastAsia" w:ascii="宋体" w:hAnsi="宋体" w:eastAsia="宋体" w:cs="宋体"/>
                <w:color w:val="auto"/>
                <w:kern w:val="0"/>
                <w:sz w:val="24"/>
                <w:szCs w:val="24"/>
                <w:highlight w:val="none"/>
              </w:rPr>
              <w:t>维护工（已提供证书扫描件的）开标前半年内</w:t>
            </w:r>
            <w:r>
              <w:rPr>
                <w:rFonts w:hint="eastAsia" w:ascii="宋体" w:hAnsi="宋体" w:eastAsia="宋体" w:cs="宋体"/>
                <w:color w:val="auto"/>
                <w:kern w:val="0"/>
                <w:sz w:val="24"/>
                <w:szCs w:val="24"/>
                <w:highlight w:val="none"/>
                <w:lang w:eastAsia="zh-CN"/>
              </w:rPr>
              <w:t>连续3个月</w:t>
            </w:r>
            <w:r>
              <w:rPr>
                <w:rFonts w:hint="eastAsia" w:ascii="宋体" w:hAnsi="宋体" w:eastAsia="宋体" w:cs="宋体"/>
                <w:color w:val="auto"/>
                <w:kern w:val="0"/>
                <w:sz w:val="24"/>
                <w:szCs w:val="24"/>
                <w:highlight w:val="none"/>
              </w:rPr>
              <w:t>的由投标单位或其分公司缴纳社会保险证明扫描件，每个合格的人员社保证明扫描件得1分，</w:t>
            </w:r>
          </w:p>
          <w:p w14:paraId="5D46E612">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（8）秩序维护员及消防监控室值守人员：承诺拟投入本项目的秩序维护员及消防监控室值守人员至少</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人通过消防行业特有工种职业技能鉴定，持有</w:t>
            </w:r>
            <w:r>
              <w:rPr>
                <w:rFonts w:hint="eastAsia" w:ascii="宋体" w:hAnsi="宋体" w:eastAsia="宋体" w:cs="宋体"/>
                <w:color w:val="auto"/>
                <w:kern w:val="0"/>
                <w:sz w:val="24"/>
                <w:szCs w:val="24"/>
                <w:highlight w:val="none"/>
                <w:lang w:val="en-US" w:eastAsia="zh-CN"/>
              </w:rPr>
              <w:t>四级</w:t>
            </w:r>
            <w:r>
              <w:rPr>
                <w:rFonts w:hint="eastAsia" w:ascii="宋体" w:hAnsi="宋体" w:eastAsia="宋体" w:cs="宋体"/>
                <w:color w:val="auto"/>
                <w:kern w:val="0"/>
                <w:sz w:val="24"/>
                <w:szCs w:val="24"/>
                <w:highlight w:val="none"/>
                <w:lang w:eastAsia="zh-CN"/>
              </w:rPr>
              <w:t>或</w:t>
            </w:r>
            <w:r>
              <w:rPr>
                <w:rFonts w:hint="eastAsia" w:ascii="宋体" w:hAnsi="宋体" w:eastAsia="宋体" w:cs="宋体"/>
                <w:color w:val="auto"/>
                <w:kern w:val="0"/>
                <w:sz w:val="24"/>
                <w:szCs w:val="24"/>
                <w:highlight w:val="none"/>
              </w:rPr>
              <w:t>以上等级</w:t>
            </w:r>
            <w:r>
              <w:rPr>
                <w:rFonts w:hint="eastAsia" w:ascii="宋体" w:hAnsi="宋体" w:eastAsia="宋体" w:cs="宋体"/>
                <w:color w:val="auto"/>
                <w:kern w:val="0"/>
                <w:sz w:val="24"/>
                <w:szCs w:val="24"/>
                <w:highlight w:val="none"/>
                <w:lang w:eastAsia="zh-CN"/>
              </w:rPr>
              <w:t>（含</w:t>
            </w:r>
            <w:r>
              <w:rPr>
                <w:rFonts w:hint="eastAsia" w:ascii="宋体" w:hAnsi="宋体" w:eastAsia="宋体" w:cs="宋体"/>
                <w:color w:val="auto"/>
                <w:kern w:val="0"/>
                <w:sz w:val="24"/>
                <w:szCs w:val="24"/>
                <w:highlight w:val="none"/>
                <w:lang w:val="en-US" w:eastAsia="zh-CN"/>
              </w:rPr>
              <w:t>四</w:t>
            </w:r>
            <w:r>
              <w:rPr>
                <w:rFonts w:hint="eastAsia" w:ascii="宋体" w:hAnsi="宋体" w:eastAsia="宋体" w:cs="宋体"/>
                <w:color w:val="auto"/>
                <w:kern w:val="0"/>
                <w:sz w:val="24"/>
                <w:szCs w:val="24"/>
                <w:highlight w:val="none"/>
                <w:lang w:eastAsia="zh-CN"/>
              </w:rPr>
              <w:t>级）</w:t>
            </w:r>
            <w:r>
              <w:rPr>
                <w:rFonts w:hint="eastAsia" w:ascii="宋体" w:hAnsi="宋体" w:eastAsia="宋体" w:cs="宋体"/>
                <w:color w:val="auto"/>
                <w:kern w:val="0"/>
                <w:sz w:val="24"/>
                <w:szCs w:val="24"/>
                <w:highlight w:val="none"/>
              </w:rPr>
              <w:t>的职业资格证书，且提供上述人员上述证书扫描件，每个合格的证书扫描件得1分，最多</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分；</w:t>
            </w:r>
          </w:p>
          <w:p w14:paraId="5D59B819">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（9）秩序维护员秩序维护员及消防监控室值守人员：提供上述人员（已提供证书扫描件的）开标前半年内</w:t>
            </w:r>
            <w:r>
              <w:rPr>
                <w:rFonts w:hint="eastAsia" w:ascii="宋体" w:hAnsi="宋体" w:eastAsia="宋体" w:cs="宋体"/>
                <w:color w:val="auto"/>
                <w:kern w:val="0"/>
                <w:sz w:val="24"/>
                <w:szCs w:val="24"/>
                <w:highlight w:val="none"/>
                <w:lang w:eastAsia="zh-CN"/>
              </w:rPr>
              <w:t>连续3个月</w:t>
            </w:r>
            <w:r>
              <w:rPr>
                <w:rFonts w:hint="eastAsia" w:ascii="宋体" w:hAnsi="宋体" w:eastAsia="宋体" w:cs="宋体"/>
                <w:color w:val="auto"/>
                <w:kern w:val="0"/>
                <w:sz w:val="24"/>
                <w:szCs w:val="24"/>
                <w:highlight w:val="none"/>
              </w:rPr>
              <w:t>的由投标单位或其分公司缴纳社会保险证明扫描件，每个合格的人员社保证明扫描件得1分，最多6分；</w:t>
            </w:r>
          </w:p>
          <w:bookmarkEnd w:id="12"/>
          <w:p w14:paraId="7C00D2A6">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bookmarkStart w:id="13" w:name="OLE_LINK36"/>
            <w:bookmarkStart w:id="14" w:name="OLE_LINK35"/>
            <w:r>
              <w:rPr>
                <w:rFonts w:hint="eastAsia" w:ascii="宋体" w:hAnsi="宋体" w:eastAsia="宋体" w:cs="宋体"/>
                <w:color w:val="auto"/>
                <w:kern w:val="0"/>
                <w:sz w:val="24"/>
                <w:szCs w:val="24"/>
                <w:highlight w:val="none"/>
              </w:rPr>
              <w:t>（10）厨师：承诺拟投入本项目的厨师具备四级或以上（含四级）《中式烹调师职业技能等级证书》，且提供上述人员上述证书扫描件，每个合格的证书扫描件得2分，最多4分；</w:t>
            </w:r>
          </w:p>
          <w:bookmarkEnd w:id="13"/>
          <w:bookmarkEnd w:id="14"/>
          <w:p w14:paraId="132CF195">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bookmarkStart w:id="15" w:name="OLE_LINK37"/>
            <w:bookmarkStart w:id="16" w:name="OLE_LINK38"/>
            <w:r>
              <w:rPr>
                <w:rFonts w:hint="eastAsia" w:ascii="宋体" w:hAnsi="宋体" w:eastAsia="宋体" w:cs="宋体"/>
                <w:color w:val="auto"/>
                <w:kern w:val="0"/>
                <w:sz w:val="24"/>
                <w:szCs w:val="24"/>
                <w:highlight w:val="none"/>
              </w:rPr>
              <w:t>（11）厨师：提供上述厨师（已提供证书扫描件的）开标前半年内</w:t>
            </w:r>
            <w:r>
              <w:rPr>
                <w:rFonts w:hint="eastAsia" w:ascii="宋体" w:hAnsi="宋体" w:eastAsia="宋体" w:cs="宋体"/>
                <w:color w:val="auto"/>
                <w:kern w:val="0"/>
                <w:sz w:val="24"/>
                <w:szCs w:val="24"/>
                <w:highlight w:val="none"/>
                <w:lang w:eastAsia="zh-CN"/>
              </w:rPr>
              <w:t>连续3个月</w:t>
            </w:r>
            <w:r>
              <w:rPr>
                <w:rFonts w:hint="eastAsia" w:ascii="宋体" w:hAnsi="宋体" w:eastAsia="宋体" w:cs="宋体"/>
                <w:color w:val="auto"/>
                <w:kern w:val="0"/>
                <w:sz w:val="24"/>
                <w:szCs w:val="24"/>
                <w:highlight w:val="none"/>
              </w:rPr>
              <w:t>的由投标单位或其分公司缴纳社会保险证明扫描件，每个合格的人员社保证明扫描件得1分，最多2分；</w:t>
            </w:r>
          </w:p>
          <w:bookmarkEnd w:id="15"/>
          <w:bookmarkEnd w:id="16"/>
          <w:p w14:paraId="69108973">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（12）面点师：承诺拟投入本项目的面点师具备四级或以上（含四级）《中式面点师职业技能等级证书》，且提供上述人员上述证书扫描件，每个合格的证书扫描件得2分，最多4分；</w:t>
            </w:r>
          </w:p>
          <w:p w14:paraId="2031CBD4">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bookmarkStart w:id="17" w:name="OLE_LINK39"/>
            <w:r>
              <w:rPr>
                <w:rFonts w:hint="eastAsia" w:ascii="宋体" w:hAnsi="宋体" w:eastAsia="宋体" w:cs="宋体"/>
                <w:color w:val="auto"/>
                <w:kern w:val="0"/>
                <w:sz w:val="24"/>
                <w:szCs w:val="24"/>
                <w:highlight w:val="none"/>
              </w:rPr>
              <w:t>（13）面点师：提供上述面点师（已提供证书扫描件的）开标前半年内</w:t>
            </w:r>
            <w:r>
              <w:rPr>
                <w:rFonts w:hint="eastAsia" w:ascii="宋体" w:hAnsi="宋体" w:eastAsia="宋体" w:cs="宋体"/>
                <w:color w:val="auto"/>
                <w:kern w:val="0"/>
                <w:sz w:val="24"/>
                <w:szCs w:val="24"/>
                <w:highlight w:val="none"/>
                <w:lang w:eastAsia="zh-CN"/>
              </w:rPr>
              <w:t>连续3个月</w:t>
            </w:r>
            <w:r>
              <w:rPr>
                <w:rFonts w:hint="eastAsia" w:ascii="宋体" w:hAnsi="宋体" w:eastAsia="宋体" w:cs="宋体"/>
                <w:color w:val="auto"/>
                <w:kern w:val="0"/>
                <w:sz w:val="24"/>
                <w:szCs w:val="24"/>
                <w:highlight w:val="none"/>
              </w:rPr>
              <w:t>的由投标单位或其分公司缴纳社会保险证明扫描件，每个合格的人员社保证明扫描件得1分，最多2分。</w:t>
            </w:r>
            <w:bookmarkEnd w:id="17"/>
          </w:p>
          <w:p w14:paraId="2B7204DF">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14</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所有餐厅人员提供在有效期内的健康证复印件，满足得3分，不满足得0分。</w:t>
            </w:r>
          </w:p>
        </w:tc>
        <w:tc>
          <w:tcPr>
            <w:tcW w:w="380" w:type="pct"/>
            <w:noWrap w:val="0"/>
            <w:vAlign w:val="center"/>
          </w:tcPr>
          <w:p w14:paraId="05973D19">
            <w:pPr>
              <w:pageBreakBefore w:val="0"/>
              <w:kinsoku/>
              <w:wordWrap/>
              <w:overflowPunct/>
              <w:topLinePunct w:val="0"/>
              <w:autoSpaceDE/>
              <w:autoSpaceDN/>
              <w:bidi w:val="0"/>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分</w:t>
            </w:r>
          </w:p>
        </w:tc>
      </w:tr>
      <w:tr w14:paraId="487AF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66" w:type="pct"/>
            <w:noWrap w:val="0"/>
            <w:vAlign w:val="center"/>
          </w:tcPr>
          <w:p w14:paraId="23F1EC77">
            <w:pPr>
              <w:pageBreakBefore w:val="0"/>
              <w:kinsoku/>
              <w:wordWrap/>
              <w:overflowPunct/>
              <w:topLinePunct w:val="0"/>
              <w:autoSpaceDE/>
              <w:autoSpaceDN/>
              <w:bidi w:val="0"/>
              <w:spacing w:line="360" w:lineRule="auto"/>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637" w:type="pct"/>
            <w:gridSpan w:val="2"/>
            <w:noWrap w:val="0"/>
            <w:vAlign w:val="center"/>
          </w:tcPr>
          <w:p w14:paraId="3C2C8C10">
            <w:pPr>
              <w:pageBreakBefore w:val="0"/>
              <w:kinsoku/>
              <w:wordWrap/>
              <w:overflowPunct/>
              <w:topLinePunct w:val="0"/>
              <w:autoSpaceDE/>
              <w:autoSpaceDN/>
              <w:bidi w:val="0"/>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保洁耗材评价</w:t>
            </w:r>
          </w:p>
        </w:tc>
        <w:tc>
          <w:tcPr>
            <w:tcW w:w="3715" w:type="pct"/>
            <w:noWrap w:val="0"/>
            <w:vAlign w:val="center"/>
          </w:tcPr>
          <w:p w14:paraId="022E4662">
            <w:pPr>
              <w:pageBreakBefore w:val="0"/>
              <w:kinsoku/>
              <w:wordWrap/>
              <w:overflowPunct/>
              <w:topLinePunct w:val="0"/>
              <w:autoSpaceDE/>
              <w:autoSpaceDN/>
              <w:bidi w:val="0"/>
              <w:spacing w:line="360" w:lineRule="auto"/>
              <w:jc w:val="left"/>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提供具有检测资质的第三方检测机构出具的针对拟投入本项目保洁耗材的CMA检测报告扫描件，每个合格的扫描件得0.5分，最多2分。</w:t>
            </w:r>
          </w:p>
        </w:tc>
        <w:tc>
          <w:tcPr>
            <w:tcW w:w="380" w:type="pct"/>
            <w:noWrap w:val="0"/>
            <w:vAlign w:val="center"/>
          </w:tcPr>
          <w:p w14:paraId="5D78E938">
            <w:pPr>
              <w:pageBreakBefore w:val="0"/>
              <w:kinsoku/>
              <w:wordWrap/>
              <w:overflowPunct/>
              <w:topLinePunct w:val="0"/>
              <w:autoSpaceDE/>
              <w:autoSpaceDN/>
              <w:bidi w:val="0"/>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2分</w:t>
            </w:r>
          </w:p>
        </w:tc>
      </w:tr>
      <w:tr w14:paraId="31CDB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19" w:type="pct"/>
            <w:gridSpan w:val="4"/>
            <w:noWrap w:val="0"/>
            <w:vAlign w:val="center"/>
          </w:tcPr>
          <w:p w14:paraId="12E99E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Cs/>
                <w:sz w:val="24"/>
                <w:szCs w:val="24"/>
                <w:highlight w:val="none"/>
                <w:lang w:val="en-US" w:eastAsia="zh-CN"/>
              </w:rPr>
            </w:pPr>
            <w:r>
              <w:rPr>
                <w:rFonts w:hint="eastAsia" w:ascii="宋体" w:hAnsi="宋体" w:eastAsia="宋体" w:cs="宋体"/>
                <w:bCs/>
                <w:sz w:val="24"/>
                <w:szCs w:val="24"/>
                <w:highlight w:val="none"/>
              </w:rPr>
              <w:t>第三部分</w:t>
            </w:r>
            <w:r>
              <w:rPr>
                <w:rFonts w:hint="eastAsia" w:ascii="宋体" w:hAnsi="宋体" w:cs="宋体"/>
                <w:bCs/>
                <w:sz w:val="24"/>
                <w:szCs w:val="24"/>
                <w:highlight w:val="none"/>
                <w:lang w:val="en-US" w:eastAsia="zh-CN"/>
              </w:rPr>
              <w:t xml:space="preserve">  主观分</w:t>
            </w:r>
          </w:p>
        </w:tc>
        <w:tc>
          <w:tcPr>
            <w:tcW w:w="380" w:type="pct"/>
            <w:noWrap w:val="0"/>
            <w:vAlign w:val="center"/>
          </w:tcPr>
          <w:p w14:paraId="0E156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分值</w:t>
            </w:r>
          </w:p>
        </w:tc>
      </w:tr>
      <w:tr w14:paraId="77982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575CE8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637" w:type="pct"/>
            <w:gridSpan w:val="2"/>
            <w:noWrap w:val="0"/>
            <w:vAlign w:val="center"/>
          </w:tcPr>
          <w:p w14:paraId="37D8C3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人员培训方案评价</w:t>
            </w:r>
          </w:p>
        </w:tc>
        <w:tc>
          <w:tcPr>
            <w:tcW w:w="3715" w:type="pct"/>
            <w:noWrap w:val="0"/>
            <w:vAlign w:val="center"/>
          </w:tcPr>
          <w:p w14:paraId="43D4B7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人员培训方案应包含培训计划、培训方式、培训目标、言行规范、仪表仪容、公众形象等。</w:t>
            </w:r>
          </w:p>
          <w:p w14:paraId="109504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每提供上述1项内容的得0.5分，最多3分。</w:t>
            </w:r>
          </w:p>
        </w:tc>
        <w:tc>
          <w:tcPr>
            <w:tcW w:w="380" w:type="pct"/>
            <w:noWrap w:val="0"/>
            <w:vAlign w:val="center"/>
          </w:tcPr>
          <w:p w14:paraId="394B53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3分</w:t>
            </w:r>
          </w:p>
        </w:tc>
      </w:tr>
      <w:tr w14:paraId="4CD33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678FCD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p>
        </w:tc>
        <w:tc>
          <w:tcPr>
            <w:tcW w:w="637" w:type="pct"/>
            <w:gridSpan w:val="2"/>
            <w:noWrap w:val="0"/>
            <w:vAlign w:val="center"/>
          </w:tcPr>
          <w:p w14:paraId="35857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人员岗位配置评价</w:t>
            </w:r>
          </w:p>
        </w:tc>
        <w:tc>
          <w:tcPr>
            <w:tcW w:w="3715" w:type="pct"/>
            <w:noWrap w:val="0"/>
            <w:vAlign w:val="center"/>
          </w:tcPr>
          <w:p w14:paraId="6FDEA04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人员岗位配置</w:t>
            </w:r>
            <w:r>
              <w:rPr>
                <w:rFonts w:hint="eastAsia" w:ascii="宋体" w:hAnsi="宋体" w:eastAsia="宋体" w:cs="宋体"/>
                <w:kern w:val="0"/>
                <w:sz w:val="24"/>
                <w:szCs w:val="24"/>
                <w:highlight w:val="none"/>
                <w:lang w:eastAsia="zh-CN"/>
              </w:rPr>
              <w:t>方案</w:t>
            </w:r>
            <w:r>
              <w:rPr>
                <w:rFonts w:hint="eastAsia" w:ascii="宋体" w:hAnsi="宋体" w:eastAsia="宋体" w:cs="宋体"/>
                <w:sz w:val="24"/>
                <w:szCs w:val="24"/>
                <w:highlight w:val="none"/>
              </w:rPr>
              <w:t>满足项目需求书要求，无瑕疵：</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分；</w:t>
            </w:r>
          </w:p>
          <w:p w14:paraId="3C1304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人员岗位配置</w:t>
            </w:r>
            <w:r>
              <w:rPr>
                <w:rFonts w:hint="eastAsia" w:ascii="宋体" w:hAnsi="宋体" w:eastAsia="宋体" w:cs="宋体"/>
                <w:sz w:val="24"/>
                <w:szCs w:val="24"/>
                <w:highlight w:val="none"/>
              </w:rPr>
              <w:t>方案内容存在1处瑕疵：3分；</w:t>
            </w:r>
          </w:p>
          <w:p w14:paraId="779A86C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人员岗位配置</w:t>
            </w:r>
            <w:r>
              <w:rPr>
                <w:rFonts w:hint="eastAsia" w:ascii="宋体" w:hAnsi="宋体" w:eastAsia="宋体" w:cs="宋体"/>
                <w:sz w:val="24"/>
                <w:szCs w:val="24"/>
                <w:highlight w:val="none"/>
              </w:rPr>
              <w:t>方案内容存在2处瑕疵：1分；</w:t>
            </w:r>
          </w:p>
          <w:p w14:paraId="14709B0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w:t>
            </w:r>
            <w:r>
              <w:rPr>
                <w:rFonts w:hint="eastAsia" w:ascii="宋体" w:hAnsi="宋体" w:eastAsia="宋体" w:cs="宋体"/>
                <w:kern w:val="0"/>
                <w:sz w:val="24"/>
                <w:szCs w:val="24"/>
                <w:highlight w:val="none"/>
              </w:rPr>
              <w:t>人员岗位配置</w:t>
            </w:r>
            <w:r>
              <w:rPr>
                <w:rFonts w:hint="eastAsia" w:ascii="宋体" w:hAnsi="宋体" w:eastAsia="宋体" w:cs="宋体"/>
                <w:sz w:val="24"/>
                <w:szCs w:val="24"/>
                <w:highlight w:val="none"/>
              </w:rPr>
              <w:t>方案或不满足项目需求书要求或内容存在2处以上瑕疵：0分；</w:t>
            </w:r>
          </w:p>
          <w:p w14:paraId="194BAE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7CF1EB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分</w:t>
            </w:r>
          </w:p>
        </w:tc>
      </w:tr>
      <w:tr w14:paraId="68E01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672EE9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37" w:type="pct"/>
            <w:gridSpan w:val="2"/>
            <w:noWrap w:val="0"/>
            <w:vAlign w:val="center"/>
          </w:tcPr>
          <w:p w14:paraId="641E91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针对本项目特点的专业化管理方案评价</w:t>
            </w:r>
          </w:p>
        </w:tc>
        <w:tc>
          <w:tcPr>
            <w:tcW w:w="3715" w:type="pct"/>
            <w:noWrap w:val="0"/>
            <w:vAlign w:val="center"/>
          </w:tcPr>
          <w:p w14:paraId="44994CF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内容、管理方案的全面性、专业性、可操作性等方面分析评价。</w:t>
            </w:r>
          </w:p>
          <w:p w14:paraId="15669F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满足项目需求书要求，无瑕疵：</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分；</w:t>
            </w:r>
          </w:p>
          <w:p w14:paraId="7A0723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w:t>
            </w:r>
          </w:p>
          <w:p w14:paraId="668608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w:t>
            </w:r>
          </w:p>
          <w:p w14:paraId="5904FB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未提供方案或不满足项目需求书要求或内容存在2处以上瑕疵：0分；</w:t>
            </w:r>
          </w:p>
          <w:p w14:paraId="282D14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4F0E99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分</w:t>
            </w:r>
          </w:p>
        </w:tc>
      </w:tr>
      <w:tr w14:paraId="04364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23E4D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p>
        </w:tc>
        <w:tc>
          <w:tcPr>
            <w:tcW w:w="637" w:type="pct"/>
            <w:gridSpan w:val="2"/>
            <w:noWrap w:val="0"/>
            <w:vAlign w:val="center"/>
          </w:tcPr>
          <w:p w14:paraId="296D07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对项目重点、难点的理解评价</w:t>
            </w:r>
          </w:p>
        </w:tc>
        <w:tc>
          <w:tcPr>
            <w:tcW w:w="3715" w:type="pct"/>
            <w:noWrap w:val="0"/>
            <w:vAlign w:val="center"/>
          </w:tcPr>
          <w:p w14:paraId="211122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对项目重点、难点理解准确，能完全满足项目要求：</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w:t>
            </w:r>
          </w:p>
          <w:p w14:paraId="69DACF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对项目重点、难点理解存在1处瑕疵：</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w:t>
            </w:r>
          </w:p>
          <w:p w14:paraId="7D1260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对项目重点、难点理解存在2处瑕疵：1分；</w:t>
            </w:r>
          </w:p>
          <w:p w14:paraId="223C91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对项目重点、难点理解存在2处以上瑕疵：0分；</w:t>
            </w:r>
          </w:p>
          <w:p w14:paraId="63CE73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79DE0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4分</w:t>
            </w:r>
          </w:p>
        </w:tc>
      </w:tr>
      <w:tr w14:paraId="606B7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1E3D60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5</w:t>
            </w:r>
          </w:p>
        </w:tc>
        <w:tc>
          <w:tcPr>
            <w:tcW w:w="637" w:type="pct"/>
            <w:gridSpan w:val="2"/>
            <w:noWrap w:val="0"/>
            <w:vAlign w:val="center"/>
          </w:tcPr>
          <w:p w14:paraId="084BC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应急预案评价</w:t>
            </w:r>
          </w:p>
        </w:tc>
        <w:tc>
          <w:tcPr>
            <w:tcW w:w="3715" w:type="pct"/>
            <w:noWrap w:val="0"/>
            <w:vAlign w:val="center"/>
          </w:tcPr>
          <w:p w14:paraId="21BA7E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针对本项目的应急保障措施、处理措施的实用性、可行性等方面分析评价。</w:t>
            </w:r>
          </w:p>
          <w:p w14:paraId="4F52ED5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满足项目需求书要求，无瑕疵：</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分；</w:t>
            </w:r>
          </w:p>
          <w:p w14:paraId="1E2C3F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方案内容存在1处瑕疵：3分；</w:t>
            </w:r>
          </w:p>
          <w:p w14:paraId="47FB46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57DE0A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未提供方案或不满足项目需求书要求或内容存在2处以上瑕疵：0分；</w:t>
            </w:r>
          </w:p>
          <w:p w14:paraId="1D7ECC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3A1E6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分</w:t>
            </w:r>
          </w:p>
        </w:tc>
      </w:tr>
      <w:tr w14:paraId="467F0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41F990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6</w:t>
            </w:r>
          </w:p>
        </w:tc>
        <w:tc>
          <w:tcPr>
            <w:tcW w:w="637" w:type="pct"/>
            <w:gridSpan w:val="2"/>
            <w:noWrap w:val="0"/>
            <w:vAlign w:val="center"/>
          </w:tcPr>
          <w:p w14:paraId="25B400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人员保密管理方案评价</w:t>
            </w:r>
          </w:p>
        </w:tc>
        <w:tc>
          <w:tcPr>
            <w:tcW w:w="3715" w:type="pct"/>
            <w:noWrap w:val="0"/>
            <w:vAlign w:val="center"/>
          </w:tcPr>
          <w:p w14:paraId="5454AB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针对本项目的保密管理制度、处理措施的规范性、可行性等方面分析评价。</w:t>
            </w:r>
          </w:p>
          <w:p w14:paraId="344743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满足项目需求书要求，无瑕疵：3分；</w:t>
            </w:r>
          </w:p>
          <w:p w14:paraId="38FE0A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505DDE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73A79D0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未提供方案或不满足项目需求书要求或内容存在2处以上瑕疵：0分；</w:t>
            </w:r>
          </w:p>
          <w:p w14:paraId="21FC1F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621221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3分</w:t>
            </w:r>
          </w:p>
        </w:tc>
      </w:tr>
      <w:tr w14:paraId="7F715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61B35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7</w:t>
            </w:r>
          </w:p>
        </w:tc>
        <w:tc>
          <w:tcPr>
            <w:tcW w:w="637" w:type="pct"/>
            <w:gridSpan w:val="2"/>
            <w:noWrap w:val="0"/>
            <w:vAlign w:val="center"/>
          </w:tcPr>
          <w:p w14:paraId="26821B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人员稳定性方案评价</w:t>
            </w:r>
          </w:p>
        </w:tc>
        <w:tc>
          <w:tcPr>
            <w:tcW w:w="3715" w:type="pct"/>
            <w:noWrap w:val="0"/>
            <w:vAlign w:val="center"/>
          </w:tcPr>
          <w:p w14:paraId="5966B9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针对本项目的</w:t>
            </w:r>
            <w:r>
              <w:rPr>
                <w:rFonts w:hint="eastAsia" w:ascii="宋体" w:hAnsi="宋体" w:eastAsia="宋体" w:cs="宋体"/>
                <w:kern w:val="0"/>
                <w:sz w:val="24"/>
                <w:szCs w:val="24"/>
                <w:highlight w:val="none"/>
                <w:lang w:eastAsia="zh-CN"/>
              </w:rPr>
              <w:t>人员稳定性方案进行</w:t>
            </w:r>
            <w:r>
              <w:rPr>
                <w:rFonts w:hint="eastAsia" w:ascii="宋体" w:hAnsi="宋体" w:eastAsia="宋体" w:cs="宋体"/>
                <w:kern w:val="0"/>
                <w:sz w:val="24"/>
                <w:szCs w:val="24"/>
                <w:highlight w:val="none"/>
              </w:rPr>
              <w:t>分析评价。</w:t>
            </w:r>
          </w:p>
          <w:p w14:paraId="78653E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满足项目需求书要求，无瑕疵：3分；</w:t>
            </w:r>
          </w:p>
          <w:p w14:paraId="54A145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方案内容存在1处瑕疵：2分；</w:t>
            </w:r>
          </w:p>
          <w:p w14:paraId="3E18D9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方案内容存在2处瑕疵：1分；</w:t>
            </w:r>
          </w:p>
          <w:p w14:paraId="51B349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未提供方案或不满足项目需求书要求或内容存在2处以上瑕疵：0分；</w:t>
            </w:r>
          </w:p>
          <w:p w14:paraId="247080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292DB9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3分</w:t>
            </w:r>
          </w:p>
        </w:tc>
      </w:tr>
      <w:tr w14:paraId="12C46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266" w:type="pct"/>
            <w:noWrap w:val="0"/>
            <w:vAlign w:val="center"/>
          </w:tcPr>
          <w:p w14:paraId="6998DE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8</w:t>
            </w:r>
          </w:p>
        </w:tc>
        <w:tc>
          <w:tcPr>
            <w:tcW w:w="637" w:type="pct"/>
            <w:gridSpan w:val="2"/>
            <w:noWrap w:val="0"/>
            <w:vAlign w:val="center"/>
          </w:tcPr>
          <w:p w14:paraId="0BDDED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安全防范措施</w:t>
            </w:r>
          </w:p>
        </w:tc>
        <w:tc>
          <w:tcPr>
            <w:tcW w:w="3715" w:type="pct"/>
            <w:noWrap w:val="0"/>
            <w:vAlign w:val="center"/>
          </w:tcPr>
          <w:p w14:paraId="0D44DB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针对本项目的安全防范措施</w:t>
            </w:r>
            <w:r>
              <w:rPr>
                <w:rFonts w:hint="eastAsia" w:ascii="宋体" w:hAnsi="宋体" w:eastAsia="宋体" w:cs="宋体"/>
                <w:kern w:val="0"/>
                <w:sz w:val="24"/>
                <w:szCs w:val="24"/>
                <w:highlight w:val="none"/>
                <w:lang w:eastAsia="zh-CN"/>
              </w:rPr>
              <w:t>进行</w:t>
            </w:r>
            <w:r>
              <w:rPr>
                <w:rFonts w:hint="eastAsia" w:ascii="宋体" w:hAnsi="宋体" w:eastAsia="宋体" w:cs="宋体"/>
                <w:kern w:val="0"/>
                <w:sz w:val="24"/>
                <w:szCs w:val="24"/>
                <w:highlight w:val="none"/>
              </w:rPr>
              <w:t>分析评价。</w:t>
            </w:r>
          </w:p>
          <w:p w14:paraId="5B0E75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满足项目需求书要求，无瑕疵：</w:t>
            </w:r>
            <w:r>
              <w:rPr>
                <w:rFonts w:hint="eastAsia" w:ascii="宋体" w:hAnsi="宋体" w:eastAsia="宋体" w:cs="宋体"/>
                <w:kern w:val="0"/>
                <w:sz w:val="24"/>
                <w:szCs w:val="24"/>
                <w:highlight w:val="none"/>
                <w:lang w:val="en-US" w:eastAsia="zh-CN"/>
              </w:rPr>
              <w:t>4</w:t>
            </w:r>
            <w:r>
              <w:rPr>
                <w:rFonts w:hint="eastAsia" w:ascii="宋体" w:hAnsi="宋体" w:eastAsia="宋体" w:cs="宋体"/>
                <w:kern w:val="0"/>
                <w:sz w:val="24"/>
                <w:szCs w:val="24"/>
                <w:highlight w:val="none"/>
              </w:rPr>
              <w:t>分；</w:t>
            </w:r>
          </w:p>
          <w:p w14:paraId="4C2975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方案内容存在1处瑕疵：2分；</w:t>
            </w:r>
          </w:p>
          <w:p w14:paraId="7E217E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方案内容存在2处瑕疵：1分；</w:t>
            </w:r>
          </w:p>
          <w:p w14:paraId="301427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未提供方案或不满足项目需求书要求或内容存在2处以上瑕疵：0分；</w:t>
            </w:r>
          </w:p>
          <w:p w14:paraId="2F59AEA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80" w:type="pct"/>
            <w:noWrap w:val="0"/>
            <w:vAlign w:val="center"/>
          </w:tcPr>
          <w:p w14:paraId="780BA9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4分</w:t>
            </w:r>
          </w:p>
        </w:tc>
      </w:tr>
    </w:tbl>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w:t>
      </w:r>
      <w:r>
        <w:rPr>
          <w:rFonts w:hint="eastAsia"/>
          <w:color w:val="auto"/>
          <w:sz w:val="24"/>
        </w:rPr>
        <w:t>目属于</w:t>
      </w:r>
      <w:r>
        <w:rPr>
          <w:rFonts w:hint="eastAsia"/>
          <w:color w:val="auto"/>
          <w:sz w:val="24"/>
          <w:lang w:val="en-US" w:eastAsia="zh-CN"/>
        </w:rPr>
        <w:t>物业管理</w:t>
      </w:r>
      <w:r>
        <w:rPr>
          <w:rFonts w:hint="eastAsia"/>
          <w:color w:val="auto"/>
          <w:sz w:val="24"/>
        </w:rPr>
        <w:t>行业。</w:t>
      </w:r>
    </w:p>
    <w:p w14:paraId="1BB3E990">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1、实质性技术需求</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7"/>
        <w:gridCol w:w="1800"/>
        <w:gridCol w:w="1591"/>
        <w:gridCol w:w="1829"/>
        <w:gridCol w:w="2475"/>
      </w:tblGrid>
      <w:tr w14:paraId="79BD9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5" w:type="pct"/>
            <w:noWrap w:val="0"/>
            <w:vAlign w:val="center"/>
          </w:tcPr>
          <w:p w14:paraId="209800F1">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序号</w:t>
            </w:r>
          </w:p>
        </w:tc>
        <w:tc>
          <w:tcPr>
            <w:tcW w:w="1056" w:type="pct"/>
            <w:noWrap w:val="0"/>
            <w:vAlign w:val="center"/>
          </w:tcPr>
          <w:p w14:paraId="763E022C">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采购项名称</w:t>
            </w:r>
          </w:p>
        </w:tc>
        <w:tc>
          <w:tcPr>
            <w:tcW w:w="933" w:type="pct"/>
            <w:noWrap w:val="0"/>
            <w:vAlign w:val="center"/>
          </w:tcPr>
          <w:p w14:paraId="769AC0C0">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数量和单位</w:t>
            </w:r>
          </w:p>
        </w:tc>
        <w:tc>
          <w:tcPr>
            <w:tcW w:w="1073" w:type="pct"/>
            <w:noWrap w:val="0"/>
            <w:vAlign w:val="center"/>
          </w:tcPr>
          <w:p w14:paraId="40B67AB5">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实质性需求条款</w:t>
            </w:r>
          </w:p>
        </w:tc>
        <w:tc>
          <w:tcPr>
            <w:tcW w:w="1451" w:type="pct"/>
            <w:noWrap w:val="0"/>
            <w:vAlign w:val="center"/>
          </w:tcPr>
          <w:p w14:paraId="138317EA">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原因说明</w:t>
            </w:r>
          </w:p>
        </w:tc>
      </w:tr>
      <w:tr w14:paraId="4056D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5" w:type="pct"/>
            <w:noWrap w:val="0"/>
            <w:vAlign w:val="center"/>
          </w:tcPr>
          <w:p w14:paraId="7F3A4C94">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w:t>
            </w:r>
          </w:p>
        </w:tc>
        <w:tc>
          <w:tcPr>
            <w:tcW w:w="1056" w:type="pct"/>
            <w:noWrap w:val="0"/>
            <w:vAlign w:val="center"/>
          </w:tcPr>
          <w:p w14:paraId="50ED5055">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202</w:t>
            </w:r>
            <w:r>
              <w:rPr>
                <w:rFonts w:hint="eastAsia" w:ascii="宋体" w:hAnsi="宋体" w:eastAsia="宋体" w:cs="Times New Roman"/>
                <w:sz w:val="24"/>
                <w:szCs w:val="24"/>
                <w:highlight w:val="none"/>
                <w:lang w:val="en-US" w:eastAsia="zh-CN"/>
              </w:rPr>
              <w:t>6</w:t>
            </w:r>
            <w:r>
              <w:rPr>
                <w:rFonts w:hint="eastAsia" w:ascii="宋体" w:hAnsi="宋体" w:eastAsia="宋体" w:cs="Times New Roman"/>
                <w:sz w:val="24"/>
                <w:szCs w:val="24"/>
                <w:highlight w:val="none"/>
              </w:rPr>
              <w:t>年西青区建设服务中心及信访办(矛调中心)办公楼物业</w:t>
            </w:r>
            <w:r>
              <w:rPr>
                <w:rFonts w:ascii="宋体" w:hAnsi="宋体" w:eastAsia="宋体" w:cs="Times New Roman"/>
                <w:sz w:val="24"/>
                <w:szCs w:val="24"/>
                <w:highlight w:val="none"/>
              </w:rPr>
              <w:t>社会化</w:t>
            </w:r>
            <w:r>
              <w:rPr>
                <w:rFonts w:hint="eastAsia" w:ascii="宋体" w:hAnsi="宋体" w:eastAsia="宋体" w:cs="Times New Roman"/>
                <w:sz w:val="24"/>
                <w:szCs w:val="24"/>
                <w:highlight w:val="none"/>
              </w:rPr>
              <w:t>服务</w:t>
            </w:r>
          </w:p>
        </w:tc>
        <w:tc>
          <w:tcPr>
            <w:tcW w:w="933" w:type="pct"/>
            <w:noWrap w:val="0"/>
            <w:vAlign w:val="center"/>
          </w:tcPr>
          <w:p w14:paraId="0D2208D8">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 项</w:t>
            </w:r>
          </w:p>
        </w:tc>
        <w:tc>
          <w:tcPr>
            <w:tcW w:w="1073" w:type="pct"/>
            <w:noWrap w:val="0"/>
            <w:vAlign w:val="center"/>
          </w:tcPr>
          <w:p w14:paraId="41B1B14A">
            <w:pPr>
              <w:spacing w:line="360" w:lineRule="auto"/>
              <w:jc w:val="left"/>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（1）投标人须承诺所提供的服务、人员及设备符合相关强制性规定。</w:t>
            </w:r>
          </w:p>
          <w:p w14:paraId="13E1552F">
            <w:pPr>
              <w:spacing w:line="360" w:lineRule="auto"/>
              <w:jc w:val="left"/>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（2）根据《中华人民共和国劳动合同法》及其他法律法规的要求，本项目中标供应商须与实施物业管理服务人员签订用工合同，按国家及天津市相关政策规定，支付工资、加班费和福利费及缴纳社会保险。</w:t>
            </w:r>
          </w:p>
          <w:p w14:paraId="26942BCE">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（3）项目经理及其他技术人员须具备国家相关部门颁发的在有效期内的资质证书，项目实施过程中保证持证上岗。</w:t>
            </w:r>
          </w:p>
          <w:p w14:paraId="6A488F86">
            <w:pPr>
              <w:spacing w:line="360" w:lineRule="auto"/>
              <w:jc w:val="left"/>
              <w:rPr>
                <w:rFonts w:hint="eastAsia" w:ascii="宋体" w:hAnsi="宋体" w:eastAsia="宋体" w:cs="Times New Roman"/>
                <w:kern w:val="0"/>
                <w:sz w:val="24"/>
                <w:szCs w:val="24"/>
                <w:highlight w:val="none"/>
              </w:rPr>
            </w:pPr>
            <w:r>
              <w:rPr>
                <w:rFonts w:hint="eastAsia" w:ascii="宋体" w:hAnsi="宋体" w:eastAsia="宋体" w:cs="Times New Roman"/>
                <w:kern w:val="0"/>
                <w:sz w:val="24"/>
                <w:szCs w:val="24"/>
                <w:highlight w:val="none"/>
              </w:rPr>
              <w:t>(4)投标人需提供食堂原材料，投标人需按照招标人要求，根据实际用餐标准，按需采购粮油、蔬菜、水产、猪牛羊肉、禽蛋、水果等原材料。投标人需全年提供三餐餐饮服务（含法定节假日），用餐标准30元/人/天</w:t>
            </w:r>
            <w:r>
              <w:rPr>
                <w:rFonts w:hint="eastAsia" w:ascii="宋体" w:hAnsi="宋体" w:eastAsia="宋体" w:cs="Times New Roman"/>
                <w:color w:val="auto"/>
                <w:kern w:val="0"/>
                <w:sz w:val="24"/>
                <w:szCs w:val="24"/>
                <w:highlight w:val="none"/>
              </w:rPr>
              <w:t>，其中财政担负27元，个人担负3元</w:t>
            </w:r>
            <w:r>
              <w:rPr>
                <w:rFonts w:hint="eastAsia" w:ascii="宋体" w:hAnsi="宋体" w:eastAsia="宋体" w:cs="Times New Roman"/>
                <w:b/>
                <w:bCs/>
                <w:color w:val="auto"/>
                <w:kern w:val="0"/>
                <w:sz w:val="24"/>
                <w:szCs w:val="24"/>
                <w:highlight w:val="none"/>
                <w:lang w:val="en-US" w:eastAsia="zh-CN"/>
              </w:rPr>
              <w:t>（</w:t>
            </w:r>
            <w:r>
              <w:rPr>
                <w:rFonts w:hint="eastAsia" w:ascii="宋体" w:hAnsi="宋体" w:eastAsia="宋体" w:cs="Times New Roman"/>
                <w:b w:val="0"/>
                <w:bCs w:val="0"/>
                <w:color w:val="auto"/>
                <w:kern w:val="0"/>
                <w:sz w:val="24"/>
                <w:szCs w:val="24"/>
                <w:highlight w:val="none"/>
                <w:lang w:val="en-US" w:eastAsia="zh-CN"/>
              </w:rPr>
              <w:t>个人负担部分不包含在本项目预算金额内，由供应商向个人另行收取。）</w:t>
            </w:r>
            <w:r>
              <w:rPr>
                <w:rFonts w:hint="eastAsia" w:ascii="宋体" w:hAnsi="宋体" w:eastAsia="宋体" w:cs="Times New Roman"/>
                <w:color w:val="auto"/>
                <w:kern w:val="0"/>
                <w:sz w:val="24"/>
                <w:szCs w:val="24"/>
                <w:highlight w:val="none"/>
              </w:rPr>
              <w:t>，用餐人数</w:t>
            </w:r>
            <w:r>
              <w:rPr>
                <w:rFonts w:hint="eastAsia" w:ascii="宋体" w:hAnsi="宋体" w:eastAsia="宋体" w:cs="Times New Roman"/>
                <w:color w:val="auto"/>
                <w:kern w:val="0"/>
                <w:sz w:val="24"/>
                <w:szCs w:val="24"/>
                <w:highlight w:val="none"/>
                <w:lang w:val="en-US" w:eastAsia="zh-CN"/>
              </w:rPr>
              <w:t>146</w:t>
            </w:r>
            <w:r>
              <w:rPr>
                <w:rFonts w:hint="eastAsia" w:ascii="宋体" w:hAnsi="宋体" w:eastAsia="宋体" w:cs="Times New Roman"/>
                <w:color w:val="auto"/>
                <w:kern w:val="0"/>
                <w:sz w:val="24"/>
                <w:szCs w:val="24"/>
                <w:highlight w:val="none"/>
              </w:rPr>
              <w:t>人，</w:t>
            </w:r>
            <w:r>
              <w:rPr>
                <w:rFonts w:hint="eastAsia" w:ascii="宋体" w:hAnsi="宋体" w:eastAsia="宋体" w:cs="Times New Roman"/>
                <w:b w:val="0"/>
                <w:bCs w:val="0"/>
                <w:color w:val="auto"/>
                <w:kern w:val="0"/>
                <w:sz w:val="24"/>
                <w:szCs w:val="24"/>
                <w:highlight w:val="none"/>
                <w:lang w:val="en-US" w:eastAsia="zh-CN"/>
              </w:rPr>
              <w:t>每月按21.5个工作日核算，</w:t>
            </w:r>
            <w:r>
              <w:rPr>
                <w:rFonts w:hint="eastAsia" w:ascii="宋体" w:hAnsi="宋体" w:eastAsia="宋体" w:cs="Times New Roman"/>
                <w:color w:val="auto"/>
                <w:kern w:val="0"/>
                <w:sz w:val="24"/>
                <w:szCs w:val="24"/>
                <w:highlight w:val="none"/>
              </w:rPr>
              <w:t>餐费据实结算。本项目食堂为包工包料，投标人所采购的食</w:t>
            </w:r>
            <w:r>
              <w:rPr>
                <w:rFonts w:hint="eastAsia" w:ascii="宋体" w:hAnsi="宋体" w:eastAsia="宋体" w:cs="Times New Roman"/>
                <w:kern w:val="0"/>
                <w:sz w:val="24"/>
                <w:szCs w:val="24"/>
                <w:highlight w:val="none"/>
              </w:rPr>
              <w:t>材需经招标方认可同意方可加工制作，投标人须按照招标人提供的菜单提供餐饮服务。</w:t>
            </w:r>
          </w:p>
        </w:tc>
        <w:tc>
          <w:tcPr>
            <w:tcW w:w="1451" w:type="pct"/>
            <w:noWrap w:val="0"/>
            <w:vAlign w:val="center"/>
          </w:tcPr>
          <w:p w14:paraId="37B1B24D">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为建设服务中心及信访办(矛调中心)办公楼</w:t>
            </w: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家单位近</w:t>
            </w:r>
            <w:r>
              <w:rPr>
                <w:rFonts w:hint="eastAsia" w:ascii="宋体" w:hAnsi="宋体" w:eastAsia="宋体" w:cs="Times New Roman"/>
                <w:sz w:val="24"/>
                <w:szCs w:val="24"/>
                <w:highlight w:val="none"/>
                <w:lang w:val="en-US" w:eastAsia="zh-CN"/>
              </w:rPr>
              <w:t>146</w:t>
            </w:r>
            <w:r>
              <w:rPr>
                <w:rFonts w:hint="eastAsia" w:ascii="宋体" w:hAnsi="宋体" w:eastAsia="宋体" w:cs="Times New Roman"/>
                <w:sz w:val="24"/>
                <w:szCs w:val="24"/>
                <w:highlight w:val="none"/>
              </w:rPr>
              <w:t>名工作人员安全考虑，投标人必须提供符合规定的设备设施及服务。相关工作人员应具有相应的资质。</w:t>
            </w:r>
          </w:p>
          <w:p w14:paraId="0F83085A">
            <w:pPr>
              <w:spacing w:line="360" w:lineRule="auto"/>
              <w:jc w:val="left"/>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所有物业服务人员的工资标准应不低于天津市的最低工资标准，投标人必须按照有关规定为所有物业服务人员缴纳保险等。</w:t>
            </w:r>
          </w:p>
        </w:tc>
      </w:tr>
    </w:tbl>
    <w:p w14:paraId="37C25821">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2、一般技术需求</w:t>
      </w:r>
    </w:p>
    <w:tbl>
      <w:tblPr>
        <w:tblStyle w:val="1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1"/>
        <w:gridCol w:w="1790"/>
        <w:gridCol w:w="1441"/>
        <w:gridCol w:w="4467"/>
      </w:tblGrid>
      <w:tr w14:paraId="550F4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2" w:type="pct"/>
            <w:noWrap w:val="0"/>
            <w:vAlign w:val="center"/>
          </w:tcPr>
          <w:p w14:paraId="5F75DED5">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序号</w:t>
            </w:r>
          </w:p>
        </w:tc>
        <w:tc>
          <w:tcPr>
            <w:tcW w:w="1050" w:type="pct"/>
            <w:noWrap w:val="0"/>
            <w:vAlign w:val="center"/>
          </w:tcPr>
          <w:p w14:paraId="451F242D">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采购项名称</w:t>
            </w:r>
          </w:p>
        </w:tc>
        <w:tc>
          <w:tcPr>
            <w:tcW w:w="845" w:type="pct"/>
            <w:noWrap w:val="0"/>
            <w:vAlign w:val="center"/>
          </w:tcPr>
          <w:p w14:paraId="21E096EB">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数量和单位</w:t>
            </w:r>
          </w:p>
        </w:tc>
        <w:tc>
          <w:tcPr>
            <w:tcW w:w="2620" w:type="pct"/>
            <w:noWrap w:val="0"/>
            <w:vAlign w:val="center"/>
          </w:tcPr>
          <w:p w14:paraId="00A369F3">
            <w:pPr>
              <w:spacing w:line="36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需求条款</w:t>
            </w:r>
          </w:p>
        </w:tc>
      </w:tr>
      <w:tr w14:paraId="6A936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2" w:type="pct"/>
            <w:noWrap w:val="0"/>
            <w:vAlign w:val="center"/>
          </w:tcPr>
          <w:p w14:paraId="7BB8B4CA">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w:t>
            </w:r>
          </w:p>
        </w:tc>
        <w:tc>
          <w:tcPr>
            <w:tcW w:w="1050" w:type="pct"/>
            <w:noWrap w:val="0"/>
            <w:vAlign w:val="center"/>
          </w:tcPr>
          <w:p w14:paraId="2886AC7F">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202</w:t>
            </w:r>
            <w:r>
              <w:rPr>
                <w:rFonts w:hint="eastAsia" w:ascii="宋体" w:hAnsi="宋体" w:eastAsia="宋体" w:cs="Times New Roman"/>
                <w:sz w:val="24"/>
                <w:szCs w:val="24"/>
                <w:highlight w:val="none"/>
                <w:lang w:val="en-US" w:eastAsia="zh-CN"/>
              </w:rPr>
              <w:t>6</w:t>
            </w:r>
            <w:r>
              <w:rPr>
                <w:rFonts w:hint="eastAsia" w:ascii="宋体" w:hAnsi="宋体" w:eastAsia="宋体" w:cs="Times New Roman"/>
                <w:sz w:val="24"/>
                <w:szCs w:val="24"/>
                <w:highlight w:val="none"/>
              </w:rPr>
              <w:t>年西青区建设服务中心及信访办(矛调中心)办公楼物业</w:t>
            </w:r>
            <w:r>
              <w:rPr>
                <w:rFonts w:ascii="宋体" w:hAnsi="宋体" w:eastAsia="宋体" w:cs="Times New Roman"/>
                <w:sz w:val="24"/>
                <w:szCs w:val="24"/>
                <w:highlight w:val="none"/>
              </w:rPr>
              <w:t>社会化</w:t>
            </w:r>
            <w:r>
              <w:rPr>
                <w:rFonts w:hint="eastAsia" w:ascii="宋体" w:hAnsi="宋体" w:eastAsia="宋体" w:cs="Times New Roman"/>
                <w:sz w:val="24"/>
                <w:szCs w:val="24"/>
                <w:highlight w:val="none"/>
              </w:rPr>
              <w:t>服务</w:t>
            </w:r>
          </w:p>
        </w:tc>
        <w:tc>
          <w:tcPr>
            <w:tcW w:w="845" w:type="pct"/>
            <w:noWrap w:val="0"/>
            <w:vAlign w:val="center"/>
          </w:tcPr>
          <w:p w14:paraId="5BD2AC21">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1 项</w:t>
            </w:r>
          </w:p>
        </w:tc>
        <w:tc>
          <w:tcPr>
            <w:tcW w:w="2620" w:type="pct"/>
            <w:noWrap w:val="0"/>
            <w:vAlign w:val="center"/>
          </w:tcPr>
          <w:p w14:paraId="75C0A99D">
            <w:pPr>
              <w:spacing w:line="360" w:lineRule="auto"/>
              <w:jc w:val="left"/>
              <w:rPr>
                <w:rFonts w:hint="eastAsia" w:ascii="宋体" w:hAnsi="宋体" w:eastAsia="宋体" w:cs="Times New Roman"/>
                <w:b/>
                <w:sz w:val="24"/>
                <w:szCs w:val="24"/>
                <w:highlight w:val="none"/>
              </w:rPr>
            </w:pPr>
            <w:r>
              <w:rPr>
                <w:rFonts w:hint="eastAsia" w:ascii="宋体" w:hAnsi="宋体" w:eastAsia="宋体" w:cs="Times New Roman"/>
                <w:b/>
                <w:sz w:val="24"/>
                <w:szCs w:val="24"/>
                <w:highlight w:val="none"/>
              </w:rPr>
              <w:t>1、</w:t>
            </w:r>
            <w:r>
              <w:rPr>
                <w:rFonts w:ascii="宋体" w:hAnsi="宋体" w:eastAsia="宋体" w:cs="Times New Roman"/>
                <w:b/>
                <w:sz w:val="24"/>
                <w:szCs w:val="24"/>
                <w:highlight w:val="none"/>
              </w:rPr>
              <w:t>日常一般性维修、维护和管理</w:t>
            </w:r>
            <w:r>
              <w:rPr>
                <w:rFonts w:hint="eastAsia" w:ascii="宋体" w:hAnsi="宋体" w:eastAsia="宋体" w:cs="Times New Roman"/>
                <w:b/>
                <w:sz w:val="24"/>
                <w:szCs w:val="24"/>
                <w:highlight w:val="none"/>
              </w:rPr>
              <w:t>（不少于</w:t>
            </w:r>
            <w:r>
              <w:rPr>
                <w:rFonts w:ascii="宋体" w:hAnsi="宋体" w:eastAsia="宋体" w:cs="Times New Roman"/>
                <w:b/>
                <w:sz w:val="24"/>
                <w:szCs w:val="24"/>
                <w:highlight w:val="none"/>
              </w:rPr>
              <w:t>1</w:t>
            </w:r>
            <w:r>
              <w:rPr>
                <w:rFonts w:hint="eastAsia" w:ascii="宋体" w:hAnsi="宋体" w:eastAsia="宋体" w:cs="Times New Roman"/>
                <w:b/>
                <w:sz w:val="24"/>
                <w:szCs w:val="24"/>
                <w:highlight w:val="none"/>
              </w:rPr>
              <w:t>人）</w:t>
            </w:r>
          </w:p>
          <w:p w14:paraId="7D776AF1">
            <w:pPr>
              <w:spacing w:line="360" w:lineRule="auto"/>
              <w:jc w:val="left"/>
              <w:rPr>
                <w:rFonts w:ascii="宋体" w:hAnsi="宋体" w:eastAsia="宋体" w:cs="Times New Roman"/>
                <w:b/>
                <w:sz w:val="24"/>
                <w:szCs w:val="24"/>
                <w:highlight w:val="none"/>
              </w:rPr>
            </w:pPr>
            <w:r>
              <w:rPr>
                <w:rFonts w:hint="eastAsia" w:ascii="宋体" w:hAnsi="宋体" w:eastAsia="宋体" w:cs="Times New Roman"/>
                <w:b/>
                <w:sz w:val="24"/>
                <w:szCs w:val="24"/>
                <w:highlight w:val="none"/>
              </w:rPr>
              <w:t>（1）</w:t>
            </w:r>
            <w:r>
              <w:rPr>
                <w:rFonts w:ascii="宋体" w:hAnsi="宋体" w:eastAsia="宋体" w:cs="Times New Roman"/>
                <w:b/>
                <w:sz w:val="24"/>
                <w:szCs w:val="24"/>
                <w:highlight w:val="none"/>
              </w:rPr>
              <w:t>楼宇日常养护维修：</w:t>
            </w:r>
            <w:r>
              <w:rPr>
                <w:rFonts w:ascii="宋体" w:hAnsi="宋体" w:eastAsia="宋体" w:cs="Times New Roman"/>
                <w:sz w:val="24"/>
                <w:szCs w:val="24"/>
                <w:highlight w:val="none"/>
              </w:rPr>
              <w:t>保持办公楼（区）办公室、会议室、公共区域、卫生间、走廊、屋面及各小单体的原有完好等级和正常使用，进行日常养护和及时修复等维护管理工作。</w:t>
            </w:r>
          </w:p>
          <w:p w14:paraId="7D1954D6">
            <w:pPr>
              <w:spacing w:line="360" w:lineRule="auto"/>
              <w:jc w:val="left"/>
              <w:rPr>
                <w:rFonts w:ascii="宋体" w:hAnsi="宋体" w:eastAsia="宋体" w:cs="Times New Roman"/>
                <w:sz w:val="24"/>
                <w:szCs w:val="24"/>
                <w:highlight w:val="none"/>
              </w:rPr>
            </w:pPr>
            <w:r>
              <w:rPr>
                <w:rFonts w:hint="eastAsia" w:ascii="宋体" w:hAnsi="宋体" w:eastAsia="宋体" w:cs="Times New Roman"/>
                <w:b/>
                <w:sz w:val="24"/>
                <w:szCs w:val="24"/>
                <w:highlight w:val="none"/>
              </w:rPr>
              <w:t>（2）</w:t>
            </w:r>
            <w:r>
              <w:rPr>
                <w:rFonts w:ascii="宋体" w:hAnsi="宋体" w:eastAsia="宋体" w:cs="Times New Roman"/>
                <w:b/>
                <w:sz w:val="24"/>
                <w:szCs w:val="24"/>
                <w:highlight w:val="none"/>
              </w:rPr>
              <w:t>公共设施、门窗、办公家具的日常维修管理</w:t>
            </w:r>
            <w:r>
              <w:rPr>
                <w:rFonts w:hint="eastAsia" w:ascii="宋体" w:hAnsi="宋体" w:eastAsia="宋体" w:cs="Times New Roman"/>
                <w:b/>
                <w:sz w:val="24"/>
                <w:szCs w:val="24"/>
                <w:highlight w:val="none"/>
              </w:rPr>
              <w:t>：</w:t>
            </w:r>
            <w:r>
              <w:rPr>
                <w:rFonts w:hint="eastAsia" w:ascii="宋体" w:hAnsi="宋体" w:eastAsia="宋体" w:cs="Times New Roman"/>
                <w:bCs/>
                <w:sz w:val="24"/>
                <w:szCs w:val="24"/>
                <w:highlight w:val="none"/>
              </w:rPr>
              <w:t>负责</w:t>
            </w:r>
            <w:r>
              <w:rPr>
                <w:rFonts w:ascii="宋体" w:hAnsi="宋体" w:eastAsia="宋体" w:cs="Times New Roman"/>
                <w:sz w:val="24"/>
                <w:szCs w:val="24"/>
                <w:highlight w:val="none"/>
              </w:rPr>
              <w:t>公共设施</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包括各类宣传栏、护栏、室内外照明设施、标牌导向标识、交通导示系统</w:t>
            </w:r>
            <w:r>
              <w:rPr>
                <w:rFonts w:hint="eastAsia" w:ascii="宋体" w:hAnsi="宋体" w:eastAsia="宋体" w:cs="Times New Roman"/>
                <w:sz w:val="24"/>
                <w:szCs w:val="24"/>
                <w:highlight w:val="none"/>
              </w:rPr>
              <w:t>等）</w:t>
            </w:r>
            <w:r>
              <w:rPr>
                <w:rFonts w:ascii="宋体" w:hAnsi="宋体" w:eastAsia="宋体" w:cs="Times New Roman"/>
                <w:sz w:val="24"/>
                <w:szCs w:val="24"/>
                <w:highlight w:val="none"/>
              </w:rPr>
              <w:t>日常管理及维修</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公共设施无破损、变形，无明显锈蚀</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照明设施、各类标识清洁、完好。</w:t>
            </w:r>
            <w:r>
              <w:rPr>
                <w:rFonts w:hint="eastAsia" w:ascii="宋体" w:hAnsi="宋体" w:eastAsia="宋体" w:cs="Times New Roman"/>
                <w:sz w:val="24"/>
                <w:szCs w:val="24"/>
                <w:highlight w:val="none"/>
              </w:rPr>
              <w:t>负责</w:t>
            </w:r>
            <w:r>
              <w:rPr>
                <w:rFonts w:ascii="宋体" w:hAnsi="宋体" w:eastAsia="宋体" w:cs="Times New Roman"/>
                <w:sz w:val="24"/>
                <w:szCs w:val="24"/>
                <w:highlight w:val="none"/>
              </w:rPr>
              <w:t>办公家具、门窗、门锁等每日巡查，维修及时，保证正常使用，完成各类小型物件安装工作。配合</w:t>
            </w:r>
            <w:r>
              <w:rPr>
                <w:rFonts w:hint="eastAsia" w:ascii="宋体" w:hAnsi="宋体" w:eastAsia="宋体" w:cs="Times New Roman"/>
                <w:sz w:val="24"/>
                <w:szCs w:val="24"/>
                <w:highlight w:val="none"/>
              </w:rPr>
              <w:t>各单位进行</w:t>
            </w:r>
            <w:r>
              <w:rPr>
                <w:rFonts w:ascii="宋体" w:hAnsi="宋体" w:eastAsia="宋体" w:cs="Times New Roman"/>
                <w:sz w:val="24"/>
                <w:szCs w:val="24"/>
                <w:highlight w:val="none"/>
              </w:rPr>
              <w:t>小型物件安装。单次</w:t>
            </w:r>
            <w:r>
              <w:rPr>
                <w:rFonts w:hint="eastAsia" w:ascii="宋体" w:hAnsi="宋体" w:eastAsia="宋体" w:cs="Times New Roman"/>
                <w:color w:val="auto"/>
                <w:sz w:val="24"/>
                <w:szCs w:val="24"/>
                <w:highlight w:val="none"/>
              </w:rPr>
              <w:t>500</w:t>
            </w:r>
            <w:r>
              <w:rPr>
                <w:rFonts w:hint="eastAsia" w:ascii="宋体" w:hAnsi="宋体" w:eastAsia="宋体" w:cs="Times New Roman"/>
                <w:sz w:val="24"/>
                <w:szCs w:val="24"/>
                <w:highlight w:val="none"/>
              </w:rPr>
              <w:t>元以下的维修由中标方承担。</w:t>
            </w:r>
          </w:p>
          <w:p w14:paraId="43B45230">
            <w:pPr>
              <w:spacing w:line="360" w:lineRule="auto"/>
              <w:jc w:val="left"/>
              <w:rPr>
                <w:rFonts w:ascii="宋体" w:hAnsi="宋体" w:eastAsia="宋体" w:cs="Times New Roman"/>
                <w:bCs/>
                <w:sz w:val="24"/>
                <w:szCs w:val="24"/>
                <w:highlight w:val="none"/>
              </w:rPr>
            </w:pPr>
            <w:r>
              <w:rPr>
                <w:rFonts w:hint="eastAsia" w:ascii="宋体" w:hAnsi="宋体" w:eastAsia="宋体" w:cs="Times New Roman"/>
                <w:b/>
                <w:sz w:val="24"/>
                <w:szCs w:val="24"/>
                <w:highlight w:val="none"/>
              </w:rPr>
              <w:t>2</w:t>
            </w:r>
            <w:r>
              <w:rPr>
                <w:rFonts w:ascii="宋体" w:hAnsi="宋体" w:eastAsia="宋体" w:cs="Times New Roman"/>
                <w:b/>
                <w:sz w:val="24"/>
                <w:szCs w:val="24"/>
                <w:highlight w:val="none"/>
              </w:rPr>
              <w:t>、</w:t>
            </w:r>
            <w:r>
              <w:rPr>
                <w:rFonts w:hint="eastAsia" w:ascii="宋体" w:hAnsi="宋体" w:eastAsia="宋体" w:cs="Times New Roman"/>
                <w:b/>
                <w:sz w:val="24"/>
                <w:szCs w:val="24"/>
                <w:highlight w:val="none"/>
              </w:rPr>
              <w:t>空调、消防、监控、供水、供电、电梯等</w:t>
            </w:r>
            <w:r>
              <w:rPr>
                <w:rFonts w:ascii="宋体" w:hAnsi="宋体" w:eastAsia="宋体" w:cs="Times New Roman"/>
                <w:b/>
                <w:sz w:val="24"/>
                <w:szCs w:val="24"/>
                <w:highlight w:val="none"/>
              </w:rPr>
              <w:t>系统运行维护</w:t>
            </w:r>
            <w:r>
              <w:rPr>
                <w:rFonts w:hint="eastAsia" w:ascii="宋体" w:hAnsi="宋体" w:eastAsia="宋体" w:cs="Times New Roman"/>
                <w:b/>
                <w:sz w:val="24"/>
                <w:szCs w:val="24"/>
                <w:highlight w:val="none"/>
              </w:rPr>
              <w:t>（不少于1人）：</w:t>
            </w:r>
            <w:r>
              <w:rPr>
                <w:rFonts w:hint="eastAsia" w:ascii="宋体" w:hAnsi="宋体" w:eastAsia="宋体" w:cs="Times New Roman"/>
                <w:bCs/>
                <w:sz w:val="24"/>
                <w:szCs w:val="24"/>
                <w:highlight w:val="none"/>
              </w:rPr>
              <w:t>对西青区建设服务中心及信访办(矛调中心)办公楼空调、消防、监控、供水、供电、电梯等</w:t>
            </w:r>
            <w:r>
              <w:rPr>
                <w:rFonts w:ascii="宋体" w:hAnsi="宋体" w:eastAsia="宋体" w:cs="Times New Roman"/>
                <w:bCs/>
                <w:sz w:val="24"/>
                <w:szCs w:val="24"/>
                <w:highlight w:val="none"/>
              </w:rPr>
              <w:t>系统进行日常管理和维修</w:t>
            </w:r>
            <w:r>
              <w:rPr>
                <w:rFonts w:hint="eastAsia" w:ascii="宋体" w:hAnsi="宋体" w:eastAsia="宋体" w:cs="Times New Roman"/>
                <w:bCs/>
                <w:sz w:val="24"/>
                <w:szCs w:val="24"/>
                <w:highlight w:val="none"/>
              </w:rPr>
              <w:t>，保证其</w:t>
            </w:r>
            <w:r>
              <w:rPr>
                <w:rFonts w:ascii="宋体" w:hAnsi="宋体" w:eastAsia="宋体" w:cs="Times New Roman"/>
                <w:bCs/>
                <w:sz w:val="24"/>
                <w:szCs w:val="24"/>
                <w:highlight w:val="none"/>
              </w:rPr>
              <w:t>正常运行。</w:t>
            </w:r>
          </w:p>
          <w:p w14:paraId="018D3DF7">
            <w:pPr>
              <w:spacing w:line="360" w:lineRule="auto"/>
              <w:jc w:val="left"/>
              <w:rPr>
                <w:rFonts w:ascii="宋体" w:hAnsi="宋体" w:eastAsia="宋体" w:cs="Times New Roman"/>
                <w:b/>
                <w:sz w:val="24"/>
                <w:szCs w:val="24"/>
                <w:highlight w:val="none"/>
              </w:rPr>
            </w:pPr>
            <w:r>
              <w:rPr>
                <w:rFonts w:hint="eastAsia" w:ascii="宋体" w:hAnsi="宋体" w:eastAsia="宋体" w:cs="Times New Roman"/>
                <w:b/>
                <w:sz w:val="24"/>
                <w:szCs w:val="24"/>
                <w:highlight w:val="none"/>
              </w:rPr>
              <w:t>（1）</w:t>
            </w:r>
            <w:r>
              <w:rPr>
                <w:rFonts w:ascii="宋体" w:hAnsi="宋体" w:eastAsia="宋体" w:cs="Times New Roman"/>
                <w:b/>
                <w:sz w:val="24"/>
                <w:szCs w:val="24"/>
                <w:highlight w:val="none"/>
              </w:rPr>
              <w:t>服务标准</w:t>
            </w:r>
            <w:r>
              <w:rPr>
                <w:rFonts w:ascii="宋体" w:hAnsi="宋体" w:eastAsia="宋体" w:cs="Times New Roman"/>
                <w:b/>
                <w:sz w:val="24"/>
                <w:szCs w:val="24"/>
                <w:highlight w:val="none"/>
              </w:rPr>
              <w:tab/>
            </w:r>
            <w:r>
              <w:rPr>
                <w:rFonts w:hint="eastAsia" w:ascii="宋体" w:hAnsi="宋体" w:eastAsia="宋体" w:cs="Times New Roman"/>
                <w:b/>
                <w:sz w:val="24"/>
                <w:szCs w:val="24"/>
                <w:highlight w:val="none"/>
              </w:rPr>
              <w:t>：</w:t>
            </w:r>
            <w:r>
              <w:rPr>
                <w:rFonts w:ascii="宋体" w:hAnsi="宋体" w:eastAsia="宋体" w:cs="Times New Roman"/>
                <w:sz w:val="24"/>
                <w:szCs w:val="24"/>
                <w:highlight w:val="none"/>
              </w:rPr>
              <w:t>建立</w:t>
            </w:r>
            <w:r>
              <w:rPr>
                <w:rFonts w:hint="eastAsia" w:ascii="宋体" w:hAnsi="宋体" w:eastAsia="宋体" w:cs="Times New Roman"/>
                <w:sz w:val="24"/>
                <w:szCs w:val="24"/>
                <w:highlight w:val="none"/>
              </w:rPr>
              <w:t>以上各类系统</w:t>
            </w:r>
            <w:r>
              <w:rPr>
                <w:rFonts w:ascii="宋体" w:hAnsi="宋体" w:eastAsia="宋体" w:cs="Times New Roman"/>
                <w:sz w:val="24"/>
                <w:szCs w:val="24"/>
                <w:highlight w:val="none"/>
              </w:rPr>
              <w:t>运行管理制度和安全操作规程</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保证</w:t>
            </w:r>
            <w:r>
              <w:rPr>
                <w:rFonts w:hint="eastAsia" w:ascii="宋体" w:hAnsi="宋体" w:eastAsia="宋体" w:cs="Times New Roman"/>
                <w:sz w:val="24"/>
                <w:szCs w:val="24"/>
                <w:highlight w:val="none"/>
              </w:rPr>
              <w:t>以上各类</w:t>
            </w:r>
            <w:r>
              <w:rPr>
                <w:rFonts w:ascii="宋体" w:hAnsi="宋体" w:eastAsia="宋体" w:cs="Times New Roman"/>
                <w:sz w:val="24"/>
                <w:szCs w:val="24"/>
                <w:highlight w:val="none"/>
              </w:rPr>
              <w:t>系统安全运行和正常使用</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定期检修</w:t>
            </w:r>
            <w:r>
              <w:rPr>
                <w:rFonts w:hint="eastAsia" w:ascii="宋体" w:hAnsi="宋体" w:eastAsia="宋体" w:cs="Times New Roman"/>
                <w:sz w:val="24"/>
                <w:szCs w:val="24"/>
                <w:highlight w:val="none"/>
              </w:rPr>
              <w:t>维护以上各类系统设备</w:t>
            </w:r>
            <w:r>
              <w:rPr>
                <w:rFonts w:ascii="宋体" w:hAnsi="宋体" w:eastAsia="宋体" w:cs="Times New Roman"/>
                <w:sz w:val="24"/>
                <w:szCs w:val="24"/>
                <w:highlight w:val="none"/>
              </w:rPr>
              <w:t>，保证</w:t>
            </w:r>
            <w:r>
              <w:rPr>
                <w:rFonts w:hint="eastAsia" w:ascii="宋体" w:hAnsi="宋体" w:eastAsia="宋体" w:cs="Times New Roman"/>
                <w:sz w:val="24"/>
                <w:szCs w:val="24"/>
                <w:highlight w:val="none"/>
              </w:rPr>
              <w:t>各类</w:t>
            </w:r>
            <w:r>
              <w:rPr>
                <w:rFonts w:ascii="宋体" w:hAnsi="宋体" w:eastAsia="宋体" w:cs="Times New Roman"/>
                <w:sz w:val="24"/>
                <w:szCs w:val="24"/>
                <w:highlight w:val="none"/>
              </w:rPr>
              <w:t>设备、设施处于良好状态</w:t>
            </w:r>
            <w:r>
              <w:rPr>
                <w:rFonts w:hint="eastAsia" w:ascii="宋体" w:hAnsi="宋体" w:eastAsia="宋体" w:cs="Times New Roman"/>
                <w:sz w:val="24"/>
                <w:szCs w:val="24"/>
                <w:highlight w:val="none"/>
              </w:rPr>
              <w:t>；以上各类</w:t>
            </w:r>
            <w:r>
              <w:rPr>
                <w:rFonts w:ascii="宋体" w:hAnsi="宋体" w:eastAsia="宋体" w:cs="Times New Roman"/>
                <w:sz w:val="24"/>
                <w:szCs w:val="24"/>
                <w:highlight w:val="none"/>
              </w:rPr>
              <w:t>系统出现运行故障后，维修人员应在10分钟内到达现场维修，并做好记录，维修合格率100%。</w:t>
            </w:r>
          </w:p>
          <w:p w14:paraId="70D49818">
            <w:pPr>
              <w:spacing w:line="360" w:lineRule="auto"/>
              <w:jc w:val="left"/>
              <w:rPr>
                <w:rFonts w:ascii="宋体" w:hAnsi="宋体" w:eastAsia="宋体" w:cs="Times New Roman"/>
                <w:sz w:val="24"/>
                <w:szCs w:val="24"/>
                <w:highlight w:val="none"/>
              </w:rPr>
            </w:pPr>
            <w:r>
              <w:rPr>
                <w:rFonts w:hint="eastAsia" w:ascii="宋体" w:hAnsi="宋体" w:eastAsia="宋体" w:cs="Times New Roman"/>
                <w:b/>
                <w:sz w:val="24"/>
                <w:szCs w:val="24"/>
                <w:highlight w:val="none"/>
              </w:rPr>
              <w:t>（</w:t>
            </w:r>
            <w:r>
              <w:rPr>
                <w:rFonts w:ascii="宋体" w:hAnsi="宋体" w:eastAsia="宋体" w:cs="Times New Roman"/>
                <w:b/>
                <w:sz w:val="24"/>
                <w:szCs w:val="24"/>
                <w:highlight w:val="none"/>
              </w:rPr>
              <w:t>2</w:t>
            </w:r>
            <w:r>
              <w:rPr>
                <w:rFonts w:hint="eastAsia" w:ascii="宋体" w:hAnsi="宋体" w:eastAsia="宋体" w:cs="Times New Roman"/>
                <w:b/>
                <w:sz w:val="24"/>
                <w:szCs w:val="24"/>
                <w:highlight w:val="none"/>
              </w:rPr>
              <w:t>）</w:t>
            </w:r>
            <w:r>
              <w:rPr>
                <w:rFonts w:ascii="宋体" w:hAnsi="宋体" w:eastAsia="宋体" w:cs="Times New Roman"/>
                <w:b/>
                <w:sz w:val="24"/>
                <w:szCs w:val="24"/>
                <w:highlight w:val="none"/>
              </w:rPr>
              <w:t>服务要求</w:t>
            </w:r>
            <w:r>
              <w:rPr>
                <w:rFonts w:hint="eastAsia" w:ascii="宋体" w:hAnsi="宋体" w:eastAsia="宋体" w:cs="Times New Roman"/>
                <w:b/>
                <w:sz w:val="24"/>
                <w:szCs w:val="24"/>
                <w:highlight w:val="none"/>
              </w:rPr>
              <w:t>：</w:t>
            </w:r>
            <w:r>
              <w:rPr>
                <w:rFonts w:ascii="宋体" w:hAnsi="宋体" w:eastAsia="宋体" w:cs="Times New Roman"/>
                <w:sz w:val="24"/>
                <w:szCs w:val="24"/>
                <w:highlight w:val="none"/>
              </w:rPr>
              <w:t>建立各项设备档案</w:t>
            </w:r>
            <w:r>
              <w:rPr>
                <w:rFonts w:hint="eastAsia" w:ascii="宋体" w:hAnsi="宋体" w:eastAsia="宋体" w:cs="Times New Roman"/>
                <w:sz w:val="24"/>
                <w:szCs w:val="24"/>
                <w:highlight w:val="none"/>
              </w:rPr>
              <w:t>；</w:t>
            </w:r>
            <w:r>
              <w:rPr>
                <w:rFonts w:ascii="宋体" w:hAnsi="宋体" w:eastAsia="宋体" w:cs="Times New Roman"/>
                <w:sz w:val="24"/>
                <w:szCs w:val="24"/>
                <w:highlight w:val="none"/>
              </w:rPr>
              <w:t>建立、落实</w:t>
            </w:r>
            <w:r>
              <w:rPr>
                <w:rFonts w:hint="eastAsia" w:ascii="宋体" w:hAnsi="宋体" w:eastAsia="宋体" w:cs="Times New Roman"/>
                <w:sz w:val="24"/>
                <w:szCs w:val="24"/>
                <w:highlight w:val="none"/>
              </w:rPr>
              <w:t>以上各系统</w:t>
            </w:r>
            <w:r>
              <w:rPr>
                <w:rFonts w:ascii="宋体" w:hAnsi="宋体" w:eastAsia="宋体" w:cs="Times New Roman"/>
                <w:sz w:val="24"/>
                <w:szCs w:val="24"/>
                <w:highlight w:val="none"/>
              </w:rPr>
              <w:t>运行制度，24</w:t>
            </w:r>
            <w:r>
              <w:rPr>
                <w:rFonts w:hint="eastAsia" w:ascii="宋体" w:hAnsi="宋体" w:eastAsia="宋体" w:cs="Times New Roman"/>
                <w:sz w:val="24"/>
                <w:szCs w:val="24"/>
                <w:highlight w:val="none"/>
              </w:rPr>
              <w:t>小时运行维修值班制度等；</w:t>
            </w:r>
            <w:r>
              <w:rPr>
                <w:rFonts w:ascii="宋体" w:hAnsi="宋体" w:eastAsia="宋体" w:cs="Times New Roman"/>
                <w:sz w:val="24"/>
                <w:szCs w:val="24"/>
                <w:highlight w:val="none"/>
              </w:rPr>
              <w:t>及时排除故障，保证</w:t>
            </w:r>
            <w:r>
              <w:rPr>
                <w:rFonts w:hint="eastAsia" w:ascii="宋体" w:hAnsi="宋体" w:eastAsia="宋体" w:cs="Times New Roman"/>
                <w:sz w:val="24"/>
                <w:szCs w:val="24"/>
                <w:highlight w:val="none"/>
              </w:rPr>
              <w:t>设备设施完好；</w:t>
            </w:r>
            <w:r>
              <w:rPr>
                <w:rFonts w:ascii="宋体" w:hAnsi="宋体" w:eastAsia="宋体" w:cs="Times New Roman"/>
                <w:sz w:val="24"/>
                <w:szCs w:val="24"/>
                <w:highlight w:val="none"/>
              </w:rPr>
              <w:t>按时开启</w:t>
            </w:r>
            <w:r>
              <w:rPr>
                <w:rFonts w:hint="eastAsia" w:ascii="宋体" w:hAnsi="宋体" w:eastAsia="宋体" w:cs="Times New Roman"/>
                <w:sz w:val="24"/>
                <w:szCs w:val="24"/>
                <w:highlight w:val="none"/>
              </w:rPr>
              <w:t>各类设备设施；承担设施设备运行维保及清洗费用。</w:t>
            </w:r>
          </w:p>
          <w:p w14:paraId="0794C75F">
            <w:pPr>
              <w:spacing w:line="360" w:lineRule="auto"/>
              <w:jc w:val="left"/>
              <w:rPr>
                <w:rFonts w:ascii="宋体" w:hAnsi="宋体" w:eastAsia="宋体" w:cs="Times New Roman"/>
                <w:b/>
                <w:sz w:val="24"/>
                <w:szCs w:val="24"/>
                <w:highlight w:val="none"/>
              </w:rPr>
            </w:pPr>
            <w:r>
              <w:rPr>
                <w:rFonts w:hint="eastAsia" w:ascii="宋体" w:hAnsi="宋体" w:eastAsia="宋体" w:cs="Times New Roman"/>
                <w:b/>
                <w:sz w:val="24"/>
                <w:szCs w:val="24"/>
                <w:highlight w:val="none"/>
              </w:rPr>
              <w:t>3.清洁保洁服务（不少于</w:t>
            </w:r>
            <w:r>
              <w:rPr>
                <w:rFonts w:hint="eastAsia" w:ascii="宋体" w:hAnsi="宋体" w:eastAsia="宋体" w:cs="Times New Roman"/>
                <w:b/>
                <w:sz w:val="24"/>
                <w:szCs w:val="24"/>
                <w:highlight w:val="none"/>
                <w:lang w:val="en-US" w:eastAsia="zh-CN"/>
              </w:rPr>
              <w:t>6</w:t>
            </w:r>
            <w:r>
              <w:rPr>
                <w:rFonts w:hint="eastAsia" w:ascii="宋体" w:hAnsi="宋体" w:eastAsia="宋体" w:cs="Times New Roman"/>
                <w:b/>
                <w:sz w:val="24"/>
                <w:szCs w:val="24"/>
                <w:highlight w:val="none"/>
              </w:rPr>
              <w:t>人）：</w:t>
            </w:r>
            <w:r>
              <w:rPr>
                <w:rFonts w:hint="eastAsia" w:ascii="宋体" w:hAnsi="宋体" w:eastAsia="宋体" w:cs="Times New Roman"/>
                <w:sz w:val="24"/>
                <w:szCs w:val="24"/>
                <w:highlight w:val="none"/>
              </w:rPr>
              <w:t>负责服务范围内所有楼宇的公共区域（包括楼梯间、走廊、大厅、洗手间、会议室、电梯厅、庭院、外场、地库等）清洁保洁</w:t>
            </w:r>
            <w:r>
              <w:rPr>
                <w:rFonts w:hint="eastAsia" w:ascii="宋体" w:hAnsi="宋体" w:eastAsia="宋体" w:cs="Times New Roman"/>
                <w:b/>
                <w:sz w:val="24"/>
                <w:szCs w:val="24"/>
                <w:highlight w:val="none"/>
              </w:rPr>
              <w:t>；</w:t>
            </w:r>
            <w:r>
              <w:rPr>
                <w:rFonts w:hint="eastAsia" w:ascii="宋体" w:hAnsi="宋体" w:eastAsia="宋体" w:cs="Times New Roman"/>
                <w:sz w:val="24"/>
                <w:szCs w:val="24"/>
                <w:highlight w:val="none"/>
              </w:rPr>
              <w:t>生活垃圾收集、清运（负责缴纳垃圾清运费）。清洁保洁作业中涉及到的清洁设备、工具、耗材、药剂由中标方提供。具体要求如下：</w:t>
            </w:r>
          </w:p>
          <w:p w14:paraId="20F43C64">
            <w:pPr>
              <w:spacing w:line="360" w:lineRule="auto"/>
              <w:jc w:val="left"/>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（1）公共区域</w:t>
            </w:r>
          </w:p>
          <w:p w14:paraId="51237ABE">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①地面光亮无水迹、污迹，无尘物。</w:t>
            </w:r>
          </w:p>
          <w:p w14:paraId="2BF586AD">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②楼梯、走廊、指示牌、门牌、通风窗口、地角线、墙壁、柱子、顶板无尘和无污物。</w:t>
            </w:r>
          </w:p>
          <w:p w14:paraId="5AFA0194">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③垃圾筒内垃圾不超过</w:t>
            </w:r>
            <w:r>
              <w:rPr>
                <w:rFonts w:ascii="宋体" w:hAnsi="宋体" w:eastAsia="宋体" w:cs="Times New Roman"/>
                <w:sz w:val="24"/>
                <w:szCs w:val="24"/>
                <w:highlight w:val="none"/>
              </w:rPr>
              <w:t>1/2</w:t>
            </w:r>
            <w:r>
              <w:rPr>
                <w:rFonts w:hint="eastAsia" w:ascii="宋体" w:hAnsi="宋体" w:eastAsia="宋体" w:cs="Times New Roman"/>
                <w:sz w:val="24"/>
                <w:szCs w:val="24"/>
                <w:highlight w:val="none"/>
              </w:rPr>
              <w:t>，并摆放整齐，外观干净。</w:t>
            </w:r>
          </w:p>
          <w:p w14:paraId="5D460CAA">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④花盆外观干净，花叶无尘土，花盆内无杂物。</w:t>
            </w:r>
          </w:p>
          <w:p w14:paraId="32EA0C92">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⑤所有台面无污迹、水迹。</w:t>
            </w:r>
          </w:p>
          <w:p w14:paraId="1BB1AABF">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⑥厅堂内无蚊蝇。</w:t>
            </w:r>
          </w:p>
          <w:p w14:paraId="252AA844">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⑦灯饰和其它饰物无尘土、破损。</w:t>
            </w:r>
          </w:p>
          <w:p w14:paraId="37515973">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⑧大厅入口地台、梯级、墙壁表面、所有玻璃门窗及设施无尘土，无污迹。</w:t>
            </w:r>
          </w:p>
          <w:p w14:paraId="7E2475C1">
            <w:pPr>
              <w:spacing w:line="360" w:lineRule="auto"/>
              <w:jc w:val="left"/>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w:t>
            </w:r>
            <w:r>
              <w:rPr>
                <w:rFonts w:ascii="宋体" w:hAnsi="宋体" w:eastAsia="宋体" w:cs="Times New Roman"/>
                <w:b/>
                <w:bCs/>
                <w:sz w:val="24"/>
                <w:szCs w:val="24"/>
                <w:highlight w:val="none"/>
              </w:rPr>
              <w:t>2</w:t>
            </w:r>
            <w:r>
              <w:rPr>
                <w:rFonts w:hint="eastAsia" w:ascii="宋体" w:hAnsi="宋体" w:eastAsia="宋体" w:cs="Times New Roman"/>
                <w:b/>
                <w:bCs/>
                <w:sz w:val="24"/>
                <w:szCs w:val="24"/>
                <w:highlight w:val="none"/>
              </w:rPr>
              <w:t>）卫生间</w:t>
            </w:r>
          </w:p>
          <w:p w14:paraId="2FCB8551">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①门、窗、天花板、墙壁、隔板无尘物、无污迹。</w:t>
            </w:r>
          </w:p>
          <w:p w14:paraId="224C0D98">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②玻璃、镜面明亮无水迹。</w:t>
            </w:r>
          </w:p>
          <w:p w14:paraId="524EF044">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③地面墙角无尘、无污迹、无杂物、无蛛网、无水迹。</w:t>
            </w:r>
          </w:p>
          <w:p w14:paraId="50C6DD69">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④地面、水龙头、弯管、马桶座及盖、水箱等无污迹、无污物，电镀件明亮。</w:t>
            </w:r>
          </w:p>
          <w:p w14:paraId="0A49DD93">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⑤便池无尘、无污迹、无杂物，小便池内放置香精球，并及时更换。</w:t>
            </w:r>
          </w:p>
          <w:p w14:paraId="3D95FB00">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⑥桶内垃圾不超</w:t>
            </w:r>
            <w:r>
              <w:rPr>
                <w:rFonts w:ascii="宋体" w:hAnsi="宋体" w:eastAsia="宋体" w:cs="Times New Roman"/>
                <w:sz w:val="24"/>
                <w:szCs w:val="24"/>
                <w:highlight w:val="none"/>
              </w:rPr>
              <w:t>1/2</w:t>
            </w:r>
            <w:r>
              <w:rPr>
                <w:rFonts w:hint="eastAsia" w:ascii="宋体" w:hAnsi="宋体" w:eastAsia="宋体" w:cs="Times New Roman"/>
                <w:sz w:val="24"/>
                <w:szCs w:val="24"/>
                <w:highlight w:val="none"/>
              </w:rPr>
              <w:t>。</w:t>
            </w:r>
          </w:p>
          <w:p w14:paraId="666AF62F">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⑦设备（烘手器、灯、开关、暧气、通风口、门锁等）无尘、无污迹。</w:t>
            </w:r>
          </w:p>
          <w:p w14:paraId="4243EDBF">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⑧空气清新、无异味，提供</w:t>
            </w:r>
            <w:r>
              <w:rPr>
                <w:rFonts w:ascii="宋体" w:hAnsi="宋体" w:eastAsia="宋体" w:cs="Times New Roman"/>
                <w:sz w:val="24"/>
                <w:szCs w:val="24"/>
                <w:highlight w:val="none"/>
              </w:rPr>
              <w:t>并</w:t>
            </w:r>
            <w:r>
              <w:rPr>
                <w:rFonts w:hint="eastAsia" w:ascii="宋体" w:hAnsi="宋体" w:eastAsia="宋体" w:cs="Times New Roman"/>
                <w:sz w:val="24"/>
                <w:szCs w:val="24"/>
                <w:highlight w:val="none"/>
              </w:rPr>
              <w:t>及时补充卫生纸、擦手纸、洗手液等客用品。</w:t>
            </w:r>
          </w:p>
          <w:p w14:paraId="11E836EA">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⑨墩布间干净、整洁、无杂物，物品码放整齐，不囤积，及时进行消毒消杀。</w:t>
            </w:r>
          </w:p>
          <w:p w14:paraId="67AF154B">
            <w:pPr>
              <w:spacing w:line="360" w:lineRule="auto"/>
              <w:jc w:val="left"/>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w:t>
            </w:r>
            <w:r>
              <w:rPr>
                <w:rFonts w:ascii="宋体" w:hAnsi="宋体" w:eastAsia="宋体" w:cs="Times New Roman"/>
                <w:b/>
                <w:bCs/>
                <w:sz w:val="24"/>
                <w:szCs w:val="24"/>
                <w:highlight w:val="none"/>
              </w:rPr>
              <w:t>3</w:t>
            </w:r>
            <w:r>
              <w:rPr>
                <w:rFonts w:hint="eastAsia" w:ascii="宋体" w:hAnsi="宋体" w:eastAsia="宋体" w:cs="Times New Roman"/>
                <w:b/>
                <w:bCs/>
                <w:sz w:val="24"/>
                <w:szCs w:val="24"/>
                <w:highlight w:val="none"/>
              </w:rPr>
              <w:t>）庭院、外场保洁</w:t>
            </w:r>
          </w:p>
          <w:p w14:paraId="313B1D8F">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①庭院、广场地面清洁无废弃物。</w:t>
            </w:r>
          </w:p>
          <w:p w14:paraId="2B888BA9">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②保洁重点是烟头、废纸、杂物等，随时捡拾入桶。</w:t>
            </w:r>
          </w:p>
          <w:p w14:paraId="69F49939">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③垃圾清运及时，垃圾站消毒，无蚊蝇滋生。</w:t>
            </w:r>
          </w:p>
          <w:p w14:paraId="5366EA27">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④清扫及时，地面无积水、积雪。</w:t>
            </w:r>
          </w:p>
          <w:p w14:paraId="18FC45DA">
            <w:pPr>
              <w:spacing w:line="360" w:lineRule="auto"/>
              <w:jc w:val="left"/>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w:t>
            </w:r>
            <w:r>
              <w:rPr>
                <w:rFonts w:ascii="宋体" w:hAnsi="宋体" w:eastAsia="宋体" w:cs="Times New Roman"/>
                <w:b/>
                <w:bCs/>
                <w:sz w:val="24"/>
                <w:szCs w:val="24"/>
                <w:highlight w:val="none"/>
              </w:rPr>
              <w:t>4</w:t>
            </w:r>
            <w:r>
              <w:rPr>
                <w:rFonts w:hint="eastAsia" w:ascii="宋体" w:hAnsi="宋体" w:eastAsia="宋体" w:cs="Times New Roman"/>
                <w:b/>
                <w:bCs/>
                <w:sz w:val="24"/>
                <w:szCs w:val="24"/>
                <w:highlight w:val="none"/>
              </w:rPr>
              <w:t>）电梯厅保洁</w:t>
            </w:r>
          </w:p>
          <w:p w14:paraId="2F193608">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①电梯门表面、轿箱内壁、指示牌无尘土、印迹，表面光亮。</w:t>
            </w:r>
          </w:p>
          <w:p w14:paraId="21EC7D37">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②电梯天花板、门缝无尘土。</w:t>
            </w:r>
          </w:p>
          <w:p w14:paraId="7E243039">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③井道、槽底清洁，无杂物。</w:t>
            </w:r>
          </w:p>
          <w:p w14:paraId="3EB275ED">
            <w:pPr>
              <w:spacing w:line="360" w:lineRule="auto"/>
              <w:jc w:val="left"/>
              <w:rPr>
                <w:rFonts w:ascii="宋体" w:hAnsi="宋体" w:eastAsia="宋体" w:cs="Times New Roman"/>
                <w:sz w:val="24"/>
                <w:szCs w:val="24"/>
                <w:highlight w:val="none"/>
              </w:rPr>
            </w:pPr>
            <w:r>
              <w:rPr>
                <w:rFonts w:hint="eastAsia" w:ascii="宋体" w:hAnsi="宋体" w:eastAsia="宋体" w:cs="Times New Roman"/>
                <w:sz w:val="24"/>
                <w:szCs w:val="24"/>
                <w:highlight w:val="none"/>
              </w:rPr>
              <w:t>④电梯大堂、走廊表面干净、明亮。</w:t>
            </w:r>
          </w:p>
          <w:p w14:paraId="55ED681B">
            <w:pPr>
              <w:spacing w:line="360" w:lineRule="auto"/>
              <w:jc w:val="left"/>
              <w:rPr>
                <w:rFonts w:ascii="宋体" w:hAnsi="宋体" w:eastAsia="宋体" w:cs="Times New Roman"/>
                <w:b/>
                <w:sz w:val="24"/>
                <w:szCs w:val="24"/>
                <w:highlight w:val="none"/>
              </w:rPr>
            </w:pPr>
            <w:r>
              <w:rPr>
                <w:rFonts w:hint="eastAsia" w:ascii="宋体" w:hAnsi="宋体" w:eastAsia="宋体" w:cs="Times New Roman"/>
                <w:b/>
                <w:sz w:val="24"/>
                <w:szCs w:val="24"/>
                <w:highlight w:val="none"/>
              </w:rPr>
              <w:t>4.秩序维护服务（不少于</w:t>
            </w:r>
            <w:r>
              <w:rPr>
                <w:rFonts w:hint="eastAsia" w:ascii="宋体" w:hAnsi="宋体" w:eastAsia="宋体" w:cs="Times New Roman"/>
                <w:b/>
                <w:sz w:val="24"/>
                <w:szCs w:val="24"/>
                <w:highlight w:val="none"/>
                <w:lang w:val="en-US" w:eastAsia="zh-CN"/>
              </w:rPr>
              <w:t>10</w:t>
            </w:r>
            <w:r>
              <w:rPr>
                <w:rFonts w:hint="eastAsia" w:ascii="宋体" w:hAnsi="宋体" w:eastAsia="宋体" w:cs="Times New Roman"/>
                <w:b/>
                <w:sz w:val="24"/>
                <w:szCs w:val="24"/>
                <w:highlight w:val="none"/>
              </w:rPr>
              <w:t>人）：</w:t>
            </w:r>
            <w:r>
              <w:rPr>
                <w:rFonts w:hint="eastAsia" w:ascii="宋体" w:hAnsi="宋体" w:eastAsia="宋体" w:cs="Times New Roman"/>
                <w:bCs/>
                <w:sz w:val="24"/>
                <w:szCs w:val="24"/>
                <w:highlight w:val="none"/>
              </w:rPr>
              <w:t>为建设服务中心及信访办(矛调中心)办公楼提供工作时间门岗服务，对来人来访进行登记、查验、</w:t>
            </w:r>
            <w:r>
              <w:rPr>
                <w:rFonts w:ascii="宋体" w:hAnsi="宋体" w:eastAsia="宋体" w:cs="Times New Roman"/>
                <w:bCs/>
                <w:sz w:val="24"/>
                <w:szCs w:val="24"/>
                <w:highlight w:val="none"/>
              </w:rPr>
              <w:t>导访</w:t>
            </w:r>
            <w:r>
              <w:rPr>
                <w:rFonts w:hint="eastAsia" w:ascii="宋体" w:hAnsi="宋体" w:eastAsia="宋体" w:cs="Times New Roman"/>
                <w:bCs/>
                <w:sz w:val="24"/>
                <w:szCs w:val="24"/>
                <w:highlight w:val="none"/>
              </w:rPr>
              <w:t>，做好安全保卫工作；后院值班室24小时值班，做好车辆停放指引，车辆摆放有序。具体要求如下：</w:t>
            </w:r>
          </w:p>
          <w:p w14:paraId="4147B038">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w:t>
            </w:r>
            <w:r>
              <w:rPr>
                <w:rFonts w:ascii="宋体" w:hAnsi="宋体" w:eastAsia="宋体" w:cs="Times New Roman"/>
                <w:bCs/>
                <w:sz w:val="24"/>
                <w:szCs w:val="24"/>
                <w:highlight w:val="none"/>
              </w:rPr>
              <w:t>1</w:t>
            </w:r>
            <w:r>
              <w:rPr>
                <w:rFonts w:hint="eastAsia" w:ascii="宋体" w:hAnsi="宋体" w:eastAsia="宋体" w:cs="Times New Roman"/>
                <w:bCs/>
                <w:sz w:val="24"/>
                <w:szCs w:val="24"/>
                <w:highlight w:val="none"/>
              </w:rPr>
              <w:t>）建立、健全和落实内部治安管理规章制度；秩序维护人员必须通过政审，政治可靠，品行端正，有较强的保密、安全意识，组织纪律观念强，退、复、转军人及中共党员优先。</w:t>
            </w:r>
          </w:p>
          <w:p w14:paraId="73E33FB8">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（2）严格执行验证、登记制度，后院值班室门岗</w:t>
            </w:r>
            <w:r>
              <w:rPr>
                <w:rFonts w:ascii="宋体" w:hAnsi="宋体" w:eastAsia="宋体" w:cs="Times New Roman"/>
                <w:bCs/>
                <w:sz w:val="24"/>
                <w:szCs w:val="24"/>
                <w:highlight w:val="none"/>
              </w:rPr>
              <w:t>24</w:t>
            </w:r>
            <w:r>
              <w:rPr>
                <w:rFonts w:hint="eastAsia" w:ascii="宋体" w:hAnsi="宋体" w:eastAsia="宋体" w:cs="Times New Roman"/>
                <w:bCs/>
                <w:sz w:val="24"/>
                <w:szCs w:val="24"/>
                <w:highlight w:val="none"/>
              </w:rPr>
              <w:t>小时值班，了解并能熟练使</w:t>
            </w:r>
          </w:p>
          <w:p w14:paraId="723B3D42">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用和掌握门禁系统，及时识别外来人员，杜绝闲杂人员进入机关，做好对易燃易爆、放射、剧毒等危险品的安全检查及防范工作，负责对携带的大宗物品进行检查。</w:t>
            </w:r>
          </w:p>
          <w:p w14:paraId="7E1D6629">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（3）庭院、办公楼（区）秩序良好，道路畅通，车辆停放有序，机动车、自行车停车场秩序井然。紧急情况下组织人员疏散，布置安全标识。物业范围内发生交通事故，</w:t>
            </w:r>
            <w:r>
              <w:rPr>
                <w:rFonts w:ascii="宋体" w:hAnsi="宋体" w:eastAsia="宋体" w:cs="Times New Roman"/>
                <w:bCs/>
                <w:sz w:val="24"/>
                <w:szCs w:val="24"/>
                <w:highlight w:val="none"/>
              </w:rPr>
              <w:t>5</w:t>
            </w:r>
            <w:r>
              <w:rPr>
                <w:rFonts w:hint="eastAsia" w:ascii="宋体" w:hAnsi="宋体" w:eastAsia="宋体" w:cs="Times New Roman"/>
                <w:bCs/>
                <w:sz w:val="24"/>
                <w:szCs w:val="24"/>
                <w:highlight w:val="none"/>
              </w:rPr>
              <w:t>分钟到到达现场，保护现场疏导交通。</w:t>
            </w:r>
          </w:p>
          <w:p w14:paraId="4AF48BB8">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（4）能及时发现和处理各种安全和事故隐患，确保机关不发生安全方面问题，并能迅速有效处置突发事件。</w:t>
            </w:r>
          </w:p>
          <w:p w14:paraId="65C4754C">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（5）制定应急工作预案，提高处理应急事故的能力。做好重大活动，重要领导、宾客及重大节日的安全保卫工作。</w:t>
            </w:r>
          </w:p>
          <w:p w14:paraId="128135D5">
            <w:pPr>
              <w:spacing w:line="360" w:lineRule="auto"/>
              <w:jc w:val="left"/>
              <w:rPr>
                <w:rFonts w:hint="eastAsia" w:ascii="宋体" w:hAnsi="宋体" w:eastAsia="宋体" w:cs="Times New Roman"/>
                <w:b/>
                <w:sz w:val="24"/>
                <w:szCs w:val="24"/>
                <w:highlight w:val="none"/>
              </w:rPr>
            </w:pPr>
            <w:r>
              <w:rPr>
                <w:rFonts w:hint="eastAsia" w:ascii="宋体" w:hAnsi="宋体" w:eastAsia="宋体" w:cs="Times New Roman"/>
                <w:b/>
                <w:sz w:val="24"/>
                <w:szCs w:val="24"/>
                <w:highlight w:val="none"/>
              </w:rPr>
              <w:t>5.会议服务（无人数要求，可以在其他项目调配使用）：</w:t>
            </w:r>
            <w:r>
              <w:rPr>
                <w:rFonts w:hint="eastAsia" w:ascii="宋体" w:hAnsi="宋体" w:eastAsia="宋体" w:cs="Times New Roman"/>
                <w:bCs/>
                <w:sz w:val="24"/>
                <w:szCs w:val="24"/>
                <w:highlight w:val="none"/>
              </w:rPr>
              <w:t>在工作时间为办公楼（区）的会议室、贵宾室举办的各类会议、接待活动提供会议服务。具体要求如下：</w:t>
            </w:r>
          </w:p>
          <w:p w14:paraId="5E1F1C8A">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（1）会议服务人员要求30岁以下，政治可靠，保密意识强，要具有良好的服务意识，具备会务接待的礼仪知识，服务得体大方，礼貌热情，坚守岗位，随时为本楼层办公需要提供服务。</w:t>
            </w:r>
          </w:p>
          <w:p w14:paraId="1224EC28">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（2）会前按要求摆放桌、椅、会标、台签、水杯、毛巾、纸、笔、饮用水，空调、音响、话筒、投影、灯光等设施良好，保持室内整洁，保证设备正常运行使用。</w:t>
            </w:r>
          </w:p>
          <w:p w14:paraId="01B7A778">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（3）按要求做好会议服务，一般性会议提供续水等普通服务，特殊性会议、活动提供礼仪性服务，会议期间服务人员不准远离会场，站立于会议室门前，每间隔15分钟续水一次。</w:t>
            </w:r>
          </w:p>
          <w:p w14:paraId="0FE2A7F3">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（4）按规范做好杯具、毛巾的洗消工作</w:t>
            </w:r>
          </w:p>
          <w:p w14:paraId="699C8B8F">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（5）会后及时整理会场，有关设备、用品回库。保持会议室经常性的清洁卫生、器具完好。</w:t>
            </w:r>
          </w:p>
          <w:p w14:paraId="1E9251BF">
            <w:pPr>
              <w:spacing w:line="360" w:lineRule="auto"/>
              <w:jc w:val="left"/>
              <w:rPr>
                <w:rFonts w:hint="eastAsia" w:ascii="宋体" w:hAnsi="宋体" w:eastAsia="宋体" w:cs="Times New Roman"/>
                <w:b/>
                <w:sz w:val="24"/>
                <w:szCs w:val="24"/>
                <w:highlight w:val="none"/>
              </w:rPr>
            </w:pPr>
            <w:r>
              <w:rPr>
                <w:rFonts w:hint="eastAsia" w:ascii="宋体" w:hAnsi="宋体" w:eastAsia="宋体" w:cs="Times New Roman"/>
                <w:b/>
                <w:sz w:val="24"/>
                <w:szCs w:val="24"/>
                <w:highlight w:val="none"/>
              </w:rPr>
              <w:t>6.餐饮服务（不少于</w:t>
            </w:r>
            <w:r>
              <w:rPr>
                <w:rFonts w:hint="eastAsia" w:ascii="宋体" w:hAnsi="宋体" w:eastAsia="宋体" w:cs="Times New Roman"/>
                <w:b/>
                <w:sz w:val="24"/>
                <w:szCs w:val="24"/>
                <w:highlight w:val="none"/>
                <w:lang w:val="en-US" w:eastAsia="zh-CN"/>
              </w:rPr>
              <w:t>8</w:t>
            </w:r>
            <w:r>
              <w:rPr>
                <w:rFonts w:hint="eastAsia" w:ascii="宋体" w:hAnsi="宋体" w:eastAsia="宋体" w:cs="Times New Roman"/>
                <w:b/>
                <w:sz w:val="24"/>
                <w:szCs w:val="24"/>
                <w:highlight w:val="none"/>
              </w:rPr>
              <w:t>人）：</w:t>
            </w:r>
            <w:r>
              <w:rPr>
                <w:rFonts w:hint="eastAsia" w:ascii="宋体" w:hAnsi="宋体" w:eastAsia="宋体" w:cs="Times New Roman"/>
                <w:bCs/>
                <w:sz w:val="24"/>
                <w:szCs w:val="24"/>
                <w:highlight w:val="none"/>
              </w:rPr>
              <w:t>为建设服务中心及信访办(矛调中心)办公楼全体工作人员提供早餐、午餐、晚间值班人员用餐及临时加班用餐。具体要求如下：</w:t>
            </w:r>
          </w:p>
          <w:p w14:paraId="5767BEBC">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（1）制定科学、合理、切实可行的餐饮管理服务方案。菜肴搭配合理，营养膳食，菜品样式多种选择，具备开发各种饭菜花色品种的能力，满足9</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rPr>
              <w:t>%以上用餐人员的口味，并掌握好供应时间节点，按需操作和供应，减少浪费。</w:t>
            </w:r>
          </w:p>
          <w:p w14:paraId="2662D1C1">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（2）建立食品卫生管理制度、原材料管理制度、设备管理制度、岗位职责、工作规程、工作计划、考核标准。抓好卫生和安全工作，加强安全保卫、防火教育，确保餐厅厨房安全。</w:t>
            </w:r>
          </w:p>
          <w:p w14:paraId="020613D3">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（3）贯彻执行食品卫生制度，把好食品和原辅料卫生质量关，严格按照《食品</w:t>
            </w:r>
            <w:r>
              <w:rPr>
                <w:rFonts w:hint="eastAsia" w:ascii="宋体" w:hAnsi="宋体" w:eastAsia="宋体" w:cs="Times New Roman"/>
                <w:bCs/>
                <w:sz w:val="24"/>
                <w:szCs w:val="24"/>
                <w:highlight w:val="none"/>
                <w:lang w:val="en-US" w:eastAsia="zh-CN"/>
              </w:rPr>
              <w:t>安全</w:t>
            </w:r>
            <w:r>
              <w:rPr>
                <w:rFonts w:hint="eastAsia" w:ascii="宋体" w:hAnsi="宋体" w:eastAsia="宋体" w:cs="Times New Roman"/>
                <w:bCs/>
                <w:sz w:val="24"/>
                <w:szCs w:val="24"/>
                <w:highlight w:val="none"/>
              </w:rPr>
              <w:t>法》要求采购食品原材料，必须保证食品原材料是应季鲜疏，严禁采购腐败变质食品和过期食品，坚决杜绝不洁和变质食</w:t>
            </w:r>
          </w:p>
          <w:p w14:paraId="5431F6FE">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品及菜肴进厨房、上餐桌，发现质量问题，立即撤换，并进行调查、核实，及时提出处理意见和整改措施，消除影响，造成严重后果，相关人员要承担经济和法律责任。认真记录并保持仓库规定的温度、湿度，做到防火、防潮、防霉变。食堂工作人员必须保持食品和冰箱存放食品的清洁卫生。合理储存食品，做到餐具和食品生熟、荤素分开，防止食品相互交叉污染，严格执行库房管理制度，在食品有效期限内遵循先入先出原则，防止食品过期。</w:t>
            </w:r>
          </w:p>
          <w:p w14:paraId="02BCA2E9">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（4）餐饮服务做到主动、热情、耐心、周到。工作人员上岗着装统一，衣帽整洁，带好口罩，佩戴工号牌；不在食品加工区域和餐饮供应场所吸烟。</w:t>
            </w:r>
          </w:p>
          <w:p w14:paraId="017A44B4">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（5）餐厅保持清洁，门窗光亮，空气清新、畅通；桌椅干净无尘，地面清洁，有饭菜打翻，及时清理；餐具严格消毒，无污垢，无异味。</w:t>
            </w:r>
          </w:p>
          <w:p w14:paraId="776F1868">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6）对餐饮的设备设施进行日常维护和保养，正确使用与维护厨房设备，加强日常管理，防止发生事故，严禁人为损坏。每日检查冰箱、案台、电源等的运转情况和卫生情况，每日对燃气灶具开关、燃气管、减压阀等设备定期进行安全检查。定期进行烟道清洗。发现故障和安全隐患及时进行维修，确保燃气灶具安全使用。</w:t>
            </w:r>
          </w:p>
          <w:p w14:paraId="5019DBA1">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7）做好食堂内各种物品表面的清洁和消毒。地面：无污染，湿式清扫，有效消毒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w:t>
            </w:r>
          </w:p>
          <w:p w14:paraId="36D247D4">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8）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38BC12C5">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（9）中标方提供餐厅日常运营涉及的纸巾、一次性耗用品等低值易耗品（包括洗涤剂、餐巾纸、牙签、菜刀、菜墩等）。</w:t>
            </w:r>
          </w:p>
          <w:p w14:paraId="5A1A943C">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w:t>
            </w:r>
            <w:r>
              <w:rPr>
                <w:rFonts w:ascii="宋体" w:hAnsi="宋体" w:eastAsia="宋体" w:cs="Times New Roman"/>
                <w:bCs/>
                <w:sz w:val="24"/>
                <w:szCs w:val="24"/>
                <w:highlight w:val="none"/>
              </w:rPr>
              <w:t>10</w:t>
            </w:r>
            <w:r>
              <w:rPr>
                <w:rFonts w:hint="eastAsia" w:ascii="宋体" w:hAnsi="宋体" w:eastAsia="宋体" w:cs="Times New Roman"/>
                <w:bCs/>
                <w:sz w:val="24"/>
                <w:szCs w:val="24"/>
                <w:highlight w:val="none"/>
              </w:rPr>
              <w:t>）中标方负责办理食堂员工的健康证，保证炊管人员持证上岗，所有服务人员必须有《健康证》，并定期体检。</w:t>
            </w:r>
          </w:p>
          <w:p w14:paraId="00AD504C">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（1</w:t>
            </w:r>
            <w:r>
              <w:rPr>
                <w:rFonts w:ascii="宋体" w:hAnsi="宋体" w:eastAsia="宋体" w:cs="Times New Roman"/>
                <w:bCs/>
                <w:sz w:val="24"/>
                <w:szCs w:val="24"/>
                <w:highlight w:val="none"/>
              </w:rPr>
              <w:t>1</w:t>
            </w:r>
            <w:r>
              <w:rPr>
                <w:rFonts w:hint="eastAsia" w:ascii="宋体" w:hAnsi="宋体" w:eastAsia="宋体" w:cs="Times New Roman"/>
                <w:bCs/>
                <w:sz w:val="24"/>
                <w:szCs w:val="24"/>
                <w:highlight w:val="none"/>
              </w:rPr>
              <w:t>）中标方接受卫生防疫部门定期对食堂卫生进行防疫检查，接受招标人对原材料及成品价格的检查。</w:t>
            </w:r>
          </w:p>
          <w:p w14:paraId="4E286578">
            <w:pPr>
              <w:spacing w:line="360" w:lineRule="auto"/>
              <w:jc w:val="lef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rPr>
              <w:t>（1</w:t>
            </w:r>
            <w:r>
              <w:rPr>
                <w:rFonts w:ascii="宋体" w:hAnsi="宋体" w:eastAsia="宋体" w:cs="Times New Roman"/>
                <w:bCs/>
                <w:sz w:val="24"/>
                <w:szCs w:val="24"/>
                <w:highlight w:val="none"/>
              </w:rPr>
              <w:t>2</w:t>
            </w:r>
            <w:r>
              <w:rPr>
                <w:rFonts w:hint="eastAsia" w:ascii="宋体" w:hAnsi="宋体" w:eastAsia="宋体" w:cs="Times New Roman"/>
                <w:bCs/>
                <w:sz w:val="24"/>
                <w:szCs w:val="24"/>
                <w:highlight w:val="none"/>
              </w:rPr>
              <w:t>）中标方负责每月及时购置燃气，根据需要进行四害消杀，保证正常为建设服务中心及信访办所有工作人员提供餐饮。</w:t>
            </w:r>
          </w:p>
          <w:p w14:paraId="4A9C01F0">
            <w:pPr>
              <w:spacing w:line="360" w:lineRule="auto"/>
              <w:jc w:val="left"/>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（1</w:t>
            </w:r>
            <w:r>
              <w:rPr>
                <w:rFonts w:ascii="宋体" w:hAnsi="宋体" w:eastAsia="宋体" w:cs="Times New Roman"/>
                <w:bCs/>
                <w:sz w:val="24"/>
                <w:szCs w:val="24"/>
                <w:highlight w:val="none"/>
              </w:rPr>
              <w:t>3</w:t>
            </w:r>
            <w:r>
              <w:rPr>
                <w:rFonts w:hint="eastAsia" w:ascii="宋体" w:hAnsi="宋体" w:eastAsia="宋体" w:cs="Times New Roman"/>
                <w:bCs/>
                <w:sz w:val="24"/>
                <w:szCs w:val="24"/>
                <w:highlight w:val="none"/>
              </w:rPr>
              <w:t>）菜单附后</w:t>
            </w:r>
          </w:p>
          <w:p w14:paraId="6936AADA">
            <w:pPr>
              <w:spacing w:line="360" w:lineRule="auto"/>
              <w:jc w:val="left"/>
              <w:rPr>
                <w:rFonts w:ascii="宋体" w:hAnsi="宋体" w:eastAsia="宋体" w:cs="Times New Roman"/>
                <w:bCs/>
                <w:sz w:val="24"/>
                <w:szCs w:val="24"/>
                <w:highlight w:val="none"/>
              </w:rPr>
            </w:pPr>
            <w:r>
              <w:rPr>
                <w:rFonts w:hint="eastAsia" w:ascii="宋体" w:hAnsi="宋体" w:eastAsia="宋体" w:cs="Times New Roman"/>
                <w:b/>
                <w:sz w:val="24"/>
                <w:szCs w:val="24"/>
                <w:highlight w:val="none"/>
              </w:rPr>
              <w:t>7</w:t>
            </w:r>
            <w:r>
              <w:rPr>
                <w:rFonts w:ascii="宋体" w:hAnsi="宋体" w:eastAsia="宋体" w:cs="Times New Roman"/>
                <w:b/>
                <w:sz w:val="24"/>
                <w:szCs w:val="24"/>
                <w:highlight w:val="none"/>
              </w:rPr>
              <w:t>.</w:t>
            </w:r>
            <w:r>
              <w:rPr>
                <w:rFonts w:hint="eastAsia" w:ascii="宋体" w:hAnsi="宋体" w:eastAsia="宋体" w:cs="Times New Roman"/>
                <w:b/>
                <w:sz w:val="24"/>
                <w:szCs w:val="24"/>
                <w:highlight w:val="none"/>
              </w:rPr>
              <w:t>消防监控（不少于6人）：</w:t>
            </w:r>
            <w:r>
              <w:rPr>
                <w:rFonts w:hint="eastAsia" w:ascii="宋体" w:hAnsi="宋体" w:eastAsia="宋体" w:cs="Times New Roman"/>
                <w:bCs/>
                <w:sz w:val="24"/>
                <w:szCs w:val="24"/>
                <w:highlight w:val="none"/>
              </w:rPr>
              <w:t>负责建设服务中心消防监控室2</w:t>
            </w:r>
            <w:r>
              <w:rPr>
                <w:rFonts w:ascii="宋体" w:hAnsi="宋体" w:eastAsia="宋体" w:cs="Times New Roman"/>
                <w:bCs/>
                <w:sz w:val="24"/>
                <w:szCs w:val="24"/>
                <w:highlight w:val="none"/>
              </w:rPr>
              <w:t>4</w:t>
            </w:r>
            <w:r>
              <w:rPr>
                <w:rFonts w:hint="eastAsia" w:ascii="宋体" w:hAnsi="宋体" w:eastAsia="宋体" w:cs="Times New Roman"/>
                <w:bCs/>
                <w:sz w:val="24"/>
                <w:szCs w:val="24"/>
                <w:highlight w:val="none"/>
              </w:rPr>
              <w:t>小时值守，及时发现并报告各类问题，值守人数、资质等要符合相关法律法规、制度规章的要求。</w:t>
            </w:r>
          </w:p>
          <w:p w14:paraId="7FCD35AC">
            <w:pPr>
              <w:spacing w:line="360" w:lineRule="auto"/>
              <w:jc w:val="left"/>
              <w:rPr>
                <w:rFonts w:hint="eastAsia" w:ascii="宋体" w:hAnsi="宋体" w:eastAsia="宋体" w:cs="Times New Roman"/>
                <w:sz w:val="24"/>
                <w:szCs w:val="24"/>
                <w:highlight w:val="none"/>
              </w:rPr>
            </w:pPr>
            <w:r>
              <w:rPr>
                <w:rFonts w:hint="eastAsia" w:ascii="宋体" w:hAnsi="宋体" w:eastAsia="宋体" w:cs="Times New Roman"/>
                <w:b/>
                <w:sz w:val="24"/>
                <w:szCs w:val="24"/>
                <w:highlight w:val="none"/>
              </w:rPr>
              <w:t>8</w:t>
            </w:r>
            <w:r>
              <w:rPr>
                <w:rFonts w:ascii="宋体" w:hAnsi="宋体" w:eastAsia="宋体" w:cs="Times New Roman"/>
                <w:b/>
                <w:sz w:val="24"/>
                <w:szCs w:val="24"/>
                <w:highlight w:val="none"/>
              </w:rPr>
              <w:t>.</w:t>
            </w:r>
            <w:r>
              <w:rPr>
                <w:rFonts w:hint="eastAsia" w:ascii="宋体" w:hAnsi="宋体" w:eastAsia="宋体" w:cs="Times New Roman"/>
                <w:b/>
                <w:sz w:val="24"/>
                <w:szCs w:val="24"/>
                <w:highlight w:val="none"/>
              </w:rPr>
              <w:t>其他：</w:t>
            </w:r>
            <w:r>
              <w:rPr>
                <w:rFonts w:hint="eastAsia" w:ascii="宋体" w:hAnsi="宋体" w:eastAsia="宋体" w:cs="Times New Roman"/>
                <w:bCs/>
                <w:sz w:val="24"/>
                <w:szCs w:val="24"/>
                <w:highlight w:val="none"/>
              </w:rPr>
              <w:t>中标方负责缴纳垃圾清运费、烟道清洗费、四害消杀费、电梯维保费用等各类物业运行相关费用，负责建设服务中心及信访办(矛调中心)办公楼公共区域疫情防控工作，防控措施积极有力、及时投入防控物资。负责协调各相关单位召开会议，研究讨论各项物业运行事项。</w:t>
            </w:r>
            <w:r>
              <w:rPr>
                <w:rFonts w:hint="eastAsia" w:ascii="宋体" w:hAnsi="宋体" w:eastAsia="宋体" w:cs="Times New Roman"/>
                <w:bCs/>
                <w:color w:val="auto"/>
                <w:sz w:val="24"/>
                <w:szCs w:val="24"/>
                <w:highlight w:val="none"/>
              </w:rPr>
              <w:t>本项目人员配置</w:t>
            </w:r>
            <w:r>
              <w:rPr>
                <w:rFonts w:hint="eastAsia" w:ascii="宋体" w:hAnsi="宋体" w:eastAsia="宋体" w:cs="Times New Roman"/>
                <w:bCs/>
                <w:color w:val="auto"/>
                <w:sz w:val="24"/>
                <w:szCs w:val="24"/>
                <w:highlight w:val="none"/>
                <w:lang w:val="en-US" w:eastAsia="zh-CN"/>
              </w:rPr>
              <w:t>不少于33</w:t>
            </w:r>
            <w:r>
              <w:rPr>
                <w:rFonts w:hint="eastAsia" w:ascii="宋体" w:hAnsi="宋体" w:eastAsia="宋体" w:cs="Times New Roman"/>
                <w:bCs/>
                <w:color w:val="auto"/>
                <w:sz w:val="24"/>
                <w:szCs w:val="24"/>
                <w:highlight w:val="none"/>
              </w:rPr>
              <w:t>人，分别为</w:t>
            </w:r>
            <w:r>
              <w:rPr>
                <w:rFonts w:hint="eastAsia" w:ascii="宋体" w:hAnsi="宋体" w:eastAsia="宋体" w:cs="Times New Roman"/>
                <w:bCs/>
                <w:color w:val="auto"/>
                <w:sz w:val="24"/>
                <w:szCs w:val="24"/>
                <w:highlight w:val="none"/>
                <w:lang w:eastAsia="zh-CN"/>
              </w:rPr>
              <w:t>：</w:t>
            </w:r>
            <w:r>
              <w:rPr>
                <w:rFonts w:hint="eastAsia" w:ascii="宋体" w:hAnsi="宋体" w:eastAsia="宋体" w:cs="Times New Roman"/>
                <w:bCs/>
                <w:color w:val="auto"/>
                <w:sz w:val="24"/>
                <w:szCs w:val="24"/>
                <w:highlight w:val="none"/>
              </w:rPr>
              <w:t>项目经理1人</w:t>
            </w:r>
            <w:r>
              <w:rPr>
                <w:rFonts w:hint="eastAsia" w:ascii="宋体" w:hAnsi="宋体" w:eastAsia="宋体" w:cs="Times New Roman"/>
                <w:bCs/>
                <w:color w:val="auto"/>
                <w:sz w:val="24"/>
                <w:szCs w:val="24"/>
                <w:highlight w:val="none"/>
                <w:lang w:eastAsia="zh-CN"/>
              </w:rPr>
              <w:t>；</w:t>
            </w:r>
            <w:r>
              <w:rPr>
                <w:rFonts w:hint="eastAsia" w:ascii="宋体" w:hAnsi="宋体" w:eastAsia="宋体" w:cs="Times New Roman"/>
                <w:bCs/>
                <w:color w:val="auto"/>
                <w:sz w:val="24"/>
                <w:szCs w:val="24"/>
                <w:highlight w:val="none"/>
              </w:rPr>
              <w:t>保洁员不少于</w:t>
            </w:r>
            <w:r>
              <w:rPr>
                <w:rFonts w:hint="eastAsia" w:ascii="宋体" w:hAnsi="宋体" w:eastAsia="宋体" w:cs="Times New Roman"/>
                <w:bCs/>
                <w:color w:val="auto"/>
                <w:sz w:val="24"/>
                <w:szCs w:val="24"/>
                <w:highlight w:val="none"/>
                <w:lang w:val="en-US" w:eastAsia="zh-CN"/>
              </w:rPr>
              <w:t>6</w:t>
            </w:r>
            <w:r>
              <w:rPr>
                <w:rFonts w:hint="eastAsia" w:ascii="宋体" w:hAnsi="宋体" w:eastAsia="宋体" w:cs="Times New Roman"/>
                <w:bCs/>
                <w:color w:val="auto"/>
                <w:sz w:val="24"/>
                <w:szCs w:val="24"/>
                <w:highlight w:val="none"/>
              </w:rPr>
              <w:t>人</w:t>
            </w:r>
            <w:r>
              <w:rPr>
                <w:rFonts w:hint="eastAsia" w:ascii="宋体" w:hAnsi="宋体" w:eastAsia="宋体" w:cs="Times New Roman"/>
                <w:bCs/>
                <w:color w:val="auto"/>
                <w:sz w:val="24"/>
                <w:szCs w:val="24"/>
                <w:highlight w:val="none"/>
                <w:lang w:val="en-US" w:eastAsia="zh-CN"/>
              </w:rPr>
              <w:t>（其中信访办矛调中心办公楼提供常驻保洁服务的人员不得少于2人)；</w:t>
            </w:r>
            <w:r>
              <w:rPr>
                <w:rFonts w:hint="eastAsia" w:ascii="宋体" w:hAnsi="宋体" w:eastAsia="宋体" w:cs="Times New Roman"/>
                <w:bCs/>
                <w:color w:val="auto"/>
                <w:sz w:val="24"/>
                <w:szCs w:val="24"/>
                <w:highlight w:val="none"/>
                <w:lang w:eastAsia="zh-CN"/>
              </w:rPr>
              <w:t>综合维修工</w:t>
            </w:r>
            <w:r>
              <w:rPr>
                <w:rFonts w:hint="eastAsia" w:ascii="宋体" w:hAnsi="宋体" w:eastAsia="宋体" w:cs="Times New Roman"/>
                <w:bCs/>
                <w:color w:val="auto"/>
                <w:sz w:val="24"/>
                <w:szCs w:val="24"/>
                <w:highlight w:val="none"/>
                <w:lang w:val="en-US" w:eastAsia="zh-CN"/>
              </w:rPr>
              <w:t>不少于1人；</w:t>
            </w:r>
            <w:r>
              <w:rPr>
                <w:rFonts w:hint="eastAsia" w:ascii="宋体" w:hAnsi="宋体" w:eastAsia="宋体" w:cs="Times New Roman"/>
                <w:bCs/>
                <w:color w:val="auto"/>
                <w:sz w:val="24"/>
                <w:szCs w:val="24"/>
                <w:highlight w:val="none"/>
                <w:lang w:eastAsia="zh-CN"/>
              </w:rPr>
              <w:t>空调机房值守</w:t>
            </w:r>
            <w:r>
              <w:rPr>
                <w:rFonts w:hint="eastAsia" w:ascii="宋体" w:hAnsi="宋体" w:eastAsia="宋体" w:cs="Times New Roman"/>
                <w:bCs/>
                <w:color w:val="auto"/>
                <w:sz w:val="24"/>
                <w:szCs w:val="24"/>
                <w:highlight w:val="none"/>
                <w:lang w:val="en-US" w:eastAsia="zh-CN"/>
              </w:rPr>
              <w:t>不少于1人；</w:t>
            </w:r>
            <w:r>
              <w:rPr>
                <w:rFonts w:hint="eastAsia" w:ascii="宋体" w:hAnsi="宋体" w:eastAsia="宋体" w:cs="Times New Roman"/>
                <w:bCs/>
                <w:color w:val="auto"/>
                <w:sz w:val="24"/>
                <w:szCs w:val="24"/>
                <w:highlight w:val="none"/>
                <w:lang w:eastAsia="zh-CN"/>
              </w:rPr>
              <w:t>秩序维护</w:t>
            </w:r>
            <w:r>
              <w:rPr>
                <w:rFonts w:hint="eastAsia" w:ascii="宋体" w:hAnsi="宋体" w:eastAsia="宋体" w:cs="Times New Roman"/>
                <w:bCs/>
                <w:color w:val="auto"/>
                <w:sz w:val="24"/>
                <w:szCs w:val="24"/>
                <w:highlight w:val="none"/>
                <w:lang w:val="en-US" w:eastAsia="zh-CN"/>
              </w:rPr>
              <w:t>人员不少于10人（其中信访办矛调中心办公楼提供常驻秩序维护服务的人员不得少于6人)；</w:t>
            </w:r>
            <w:r>
              <w:rPr>
                <w:rFonts w:hint="eastAsia" w:ascii="宋体" w:hAnsi="宋体" w:eastAsia="宋体" w:cs="Times New Roman"/>
                <w:bCs/>
                <w:color w:val="auto"/>
                <w:sz w:val="24"/>
                <w:szCs w:val="24"/>
                <w:highlight w:val="none"/>
                <w:lang w:eastAsia="zh-CN"/>
              </w:rPr>
              <w:t>餐饮人员</w:t>
            </w:r>
            <w:r>
              <w:rPr>
                <w:rFonts w:hint="eastAsia" w:ascii="宋体" w:hAnsi="宋体" w:eastAsia="宋体" w:cs="Times New Roman"/>
                <w:bCs/>
                <w:color w:val="auto"/>
                <w:sz w:val="24"/>
                <w:szCs w:val="24"/>
                <w:highlight w:val="none"/>
                <w:lang w:val="en-US" w:eastAsia="zh-CN"/>
              </w:rPr>
              <w:t>不少于8人；</w:t>
            </w:r>
            <w:r>
              <w:rPr>
                <w:rFonts w:hint="eastAsia" w:ascii="宋体" w:hAnsi="宋体" w:eastAsia="宋体" w:cs="Times New Roman"/>
                <w:bCs/>
                <w:color w:val="auto"/>
                <w:sz w:val="24"/>
                <w:szCs w:val="24"/>
                <w:highlight w:val="none"/>
                <w:lang w:eastAsia="zh-CN"/>
              </w:rPr>
              <w:t>消防监控值守</w:t>
            </w:r>
            <w:r>
              <w:rPr>
                <w:rFonts w:hint="eastAsia" w:ascii="宋体" w:hAnsi="宋体" w:eastAsia="宋体" w:cs="Times New Roman"/>
                <w:bCs/>
                <w:color w:val="auto"/>
                <w:sz w:val="24"/>
                <w:szCs w:val="24"/>
                <w:highlight w:val="none"/>
                <w:lang w:val="en-US" w:eastAsia="zh-CN"/>
              </w:rPr>
              <w:t>不少于6人。</w:t>
            </w:r>
          </w:p>
        </w:tc>
      </w:tr>
    </w:tbl>
    <w:p w14:paraId="4262CCF0">
      <w:pPr>
        <w:keepNext w:val="0"/>
        <w:keepLines w:val="0"/>
        <w:pageBreakBefore w:val="0"/>
        <w:kinsoku/>
        <w:wordWrap/>
        <w:overflowPunct/>
        <w:topLinePunct w:val="0"/>
        <w:autoSpaceDE/>
        <w:autoSpaceDN/>
        <w:bidi w:val="0"/>
        <w:adjustRightInd/>
        <w:snapToGrid/>
        <w:spacing w:line="36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就餐标准：</w:t>
      </w:r>
    </w:p>
    <w:tbl>
      <w:tblPr>
        <w:tblStyle w:val="16"/>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846"/>
        <w:gridCol w:w="847"/>
        <w:gridCol w:w="847"/>
        <w:gridCol w:w="697"/>
        <w:gridCol w:w="782"/>
        <w:gridCol w:w="719"/>
        <w:gridCol w:w="770"/>
        <w:gridCol w:w="729"/>
        <w:gridCol w:w="719"/>
        <w:gridCol w:w="715"/>
      </w:tblGrid>
      <w:tr w14:paraId="08A48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97" w:type="pct"/>
            <w:noWrap w:val="0"/>
            <w:vAlign w:val="center"/>
          </w:tcPr>
          <w:p w14:paraId="6F3C301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餐别</w:t>
            </w:r>
          </w:p>
        </w:tc>
        <w:tc>
          <w:tcPr>
            <w:tcW w:w="497" w:type="pct"/>
            <w:noWrap w:val="0"/>
            <w:vAlign w:val="center"/>
          </w:tcPr>
          <w:p w14:paraId="06C8F5C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小菜</w:t>
            </w:r>
          </w:p>
        </w:tc>
        <w:tc>
          <w:tcPr>
            <w:tcW w:w="497" w:type="pct"/>
            <w:noWrap w:val="0"/>
            <w:vAlign w:val="center"/>
          </w:tcPr>
          <w:p w14:paraId="0BC26E3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鸡蛋</w:t>
            </w:r>
          </w:p>
        </w:tc>
        <w:tc>
          <w:tcPr>
            <w:tcW w:w="497" w:type="pct"/>
            <w:noWrap w:val="0"/>
            <w:vAlign w:val="center"/>
          </w:tcPr>
          <w:p w14:paraId="71E2D4B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特色小吃</w:t>
            </w:r>
          </w:p>
        </w:tc>
        <w:tc>
          <w:tcPr>
            <w:tcW w:w="409" w:type="pct"/>
            <w:noWrap w:val="0"/>
            <w:vAlign w:val="center"/>
          </w:tcPr>
          <w:p w14:paraId="0BC8914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面食</w:t>
            </w:r>
          </w:p>
        </w:tc>
        <w:tc>
          <w:tcPr>
            <w:tcW w:w="459" w:type="pct"/>
            <w:noWrap w:val="0"/>
            <w:vAlign w:val="center"/>
          </w:tcPr>
          <w:p w14:paraId="23D053A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汤</w:t>
            </w:r>
          </w:p>
        </w:tc>
        <w:tc>
          <w:tcPr>
            <w:tcW w:w="422" w:type="pct"/>
            <w:noWrap w:val="0"/>
            <w:vAlign w:val="center"/>
          </w:tcPr>
          <w:p w14:paraId="6F98057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主荤</w:t>
            </w:r>
          </w:p>
        </w:tc>
        <w:tc>
          <w:tcPr>
            <w:tcW w:w="452" w:type="pct"/>
            <w:noWrap w:val="0"/>
            <w:vAlign w:val="center"/>
          </w:tcPr>
          <w:p w14:paraId="1BC6E8D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次荤</w:t>
            </w:r>
          </w:p>
        </w:tc>
        <w:tc>
          <w:tcPr>
            <w:tcW w:w="428" w:type="pct"/>
            <w:noWrap w:val="0"/>
            <w:vAlign w:val="center"/>
          </w:tcPr>
          <w:p w14:paraId="5AE98B6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素菜</w:t>
            </w:r>
          </w:p>
        </w:tc>
        <w:tc>
          <w:tcPr>
            <w:tcW w:w="422" w:type="pct"/>
            <w:noWrap w:val="0"/>
            <w:vAlign w:val="center"/>
          </w:tcPr>
          <w:p w14:paraId="7E3F986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水果</w:t>
            </w:r>
          </w:p>
        </w:tc>
        <w:tc>
          <w:tcPr>
            <w:tcW w:w="416" w:type="pct"/>
            <w:noWrap w:val="0"/>
            <w:vAlign w:val="center"/>
          </w:tcPr>
          <w:p w14:paraId="7FC81B9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牛奶</w:t>
            </w:r>
          </w:p>
        </w:tc>
      </w:tr>
      <w:tr w14:paraId="3ACC1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97" w:type="pct"/>
            <w:noWrap w:val="0"/>
            <w:vAlign w:val="center"/>
          </w:tcPr>
          <w:p w14:paraId="63C9A77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早餐</w:t>
            </w:r>
          </w:p>
        </w:tc>
        <w:tc>
          <w:tcPr>
            <w:tcW w:w="497" w:type="pct"/>
            <w:noWrap w:val="0"/>
            <w:vAlign w:val="center"/>
          </w:tcPr>
          <w:p w14:paraId="4E60B21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8</w:t>
            </w:r>
          </w:p>
        </w:tc>
        <w:tc>
          <w:tcPr>
            <w:tcW w:w="497" w:type="pct"/>
            <w:noWrap w:val="0"/>
            <w:vAlign w:val="center"/>
          </w:tcPr>
          <w:p w14:paraId="63BF9D7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97" w:type="pct"/>
            <w:noWrap w:val="0"/>
            <w:vAlign w:val="center"/>
          </w:tcPr>
          <w:p w14:paraId="0BC1448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09" w:type="pct"/>
            <w:noWrap w:val="0"/>
            <w:vAlign w:val="center"/>
          </w:tcPr>
          <w:p w14:paraId="5217FA5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459" w:type="pct"/>
            <w:noWrap w:val="0"/>
            <w:vAlign w:val="center"/>
          </w:tcPr>
          <w:p w14:paraId="3F8E476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422" w:type="pct"/>
            <w:noWrap w:val="0"/>
            <w:vAlign w:val="center"/>
          </w:tcPr>
          <w:p w14:paraId="4B9BAF1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52" w:type="pct"/>
            <w:noWrap w:val="0"/>
            <w:vAlign w:val="center"/>
          </w:tcPr>
          <w:p w14:paraId="13454B8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28" w:type="pct"/>
            <w:noWrap w:val="0"/>
            <w:vAlign w:val="center"/>
          </w:tcPr>
          <w:p w14:paraId="7468FBE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22" w:type="pct"/>
            <w:noWrap w:val="0"/>
            <w:vAlign w:val="center"/>
          </w:tcPr>
          <w:p w14:paraId="7140DB8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16" w:type="pct"/>
            <w:noWrap w:val="0"/>
            <w:vAlign w:val="center"/>
          </w:tcPr>
          <w:p w14:paraId="12DB2DB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r>
      <w:tr w14:paraId="547B5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97" w:type="pct"/>
            <w:noWrap w:val="0"/>
            <w:vAlign w:val="center"/>
          </w:tcPr>
          <w:p w14:paraId="6D27DF5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中餐</w:t>
            </w:r>
          </w:p>
        </w:tc>
        <w:tc>
          <w:tcPr>
            <w:tcW w:w="497" w:type="pct"/>
            <w:noWrap w:val="0"/>
            <w:vAlign w:val="center"/>
          </w:tcPr>
          <w:p w14:paraId="489F7E0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noWrap w:val="0"/>
            <w:vAlign w:val="center"/>
          </w:tcPr>
          <w:p w14:paraId="5233DB1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noWrap w:val="0"/>
            <w:vAlign w:val="center"/>
          </w:tcPr>
          <w:p w14:paraId="55F742B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09" w:type="pct"/>
            <w:noWrap w:val="0"/>
            <w:vAlign w:val="center"/>
          </w:tcPr>
          <w:p w14:paraId="7094AE7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459" w:type="pct"/>
            <w:noWrap w:val="0"/>
            <w:vAlign w:val="center"/>
          </w:tcPr>
          <w:p w14:paraId="2AC2CC2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22" w:type="pct"/>
            <w:noWrap w:val="0"/>
            <w:vAlign w:val="center"/>
          </w:tcPr>
          <w:p w14:paraId="4A12097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52" w:type="pct"/>
            <w:noWrap w:val="0"/>
            <w:vAlign w:val="center"/>
          </w:tcPr>
          <w:p w14:paraId="2BBD71B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28" w:type="pct"/>
            <w:noWrap w:val="0"/>
            <w:vAlign w:val="center"/>
          </w:tcPr>
          <w:p w14:paraId="420743E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22" w:type="pct"/>
            <w:noWrap w:val="0"/>
            <w:vAlign w:val="center"/>
          </w:tcPr>
          <w:p w14:paraId="62B5141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16" w:type="pct"/>
            <w:noWrap w:val="0"/>
            <w:vAlign w:val="center"/>
          </w:tcPr>
          <w:p w14:paraId="2DD3C6A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14:paraId="3921C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97" w:type="pct"/>
            <w:noWrap w:val="0"/>
            <w:vAlign w:val="center"/>
          </w:tcPr>
          <w:p w14:paraId="347DEBA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晚餐</w:t>
            </w:r>
          </w:p>
        </w:tc>
        <w:tc>
          <w:tcPr>
            <w:tcW w:w="497" w:type="pct"/>
            <w:noWrap w:val="0"/>
            <w:vAlign w:val="center"/>
          </w:tcPr>
          <w:p w14:paraId="6F55053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noWrap w:val="0"/>
            <w:vAlign w:val="center"/>
          </w:tcPr>
          <w:p w14:paraId="7B62E16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noWrap w:val="0"/>
            <w:vAlign w:val="center"/>
          </w:tcPr>
          <w:p w14:paraId="6C29560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09" w:type="pct"/>
            <w:noWrap w:val="0"/>
            <w:vAlign w:val="center"/>
          </w:tcPr>
          <w:p w14:paraId="0F44096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59" w:type="pct"/>
            <w:noWrap w:val="0"/>
            <w:vAlign w:val="center"/>
          </w:tcPr>
          <w:p w14:paraId="70E4B0C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22" w:type="pct"/>
            <w:noWrap w:val="0"/>
            <w:vAlign w:val="center"/>
          </w:tcPr>
          <w:p w14:paraId="067BFA9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52" w:type="pct"/>
            <w:noWrap w:val="0"/>
            <w:vAlign w:val="center"/>
          </w:tcPr>
          <w:p w14:paraId="0D7E4DC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28" w:type="pct"/>
            <w:noWrap w:val="0"/>
            <w:vAlign w:val="center"/>
          </w:tcPr>
          <w:p w14:paraId="03DDCF9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22" w:type="pct"/>
            <w:noWrap w:val="0"/>
            <w:vAlign w:val="center"/>
          </w:tcPr>
          <w:p w14:paraId="4E1F814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16" w:type="pct"/>
            <w:noWrap w:val="0"/>
            <w:vAlign w:val="center"/>
          </w:tcPr>
          <w:p w14:paraId="7DD4C09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14:paraId="3FFA1DE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5000" w:type="pct"/>
            <w:gridSpan w:val="11"/>
            <w:tcBorders>
              <w:top w:val="single" w:color="auto" w:sz="4" w:space="0"/>
              <w:left w:val="single" w:color="auto" w:sz="4" w:space="0"/>
              <w:bottom w:val="single" w:color="auto" w:sz="4" w:space="0"/>
              <w:right w:val="single" w:color="auto" w:sz="4" w:space="0"/>
            </w:tcBorders>
            <w:noWrap w:val="0"/>
            <w:vAlign w:val="center"/>
          </w:tcPr>
          <w:p w14:paraId="7E0794D7">
            <w:pPr>
              <w:keepNext w:val="0"/>
              <w:keepLines w:val="0"/>
              <w:pageBreakBefore w:val="0"/>
              <w:widowControl/>
              <w:kinsoku/>
              <w:wordWrap/>
              <w:overflowPunct/>
              <w:topLinePunct w:val="0"/>
              <w:autoSpaceDE/>
              <w:autoSpaceDN/>
              <w:bidi w:val="0"/>
              <w:adjustRightInd/>
              <w:snapToGrid/>
              <w:spacing w:line="360" w:lineRule="auto"/>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2、菜单示例</w:t>
            </w:r>
          </w:p>
        </w:tc>
      </w:tr>
      <w:tr w14:paraId="7864246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restart"/>
            <w:tcBorders>
              <w:top w:val="single" w:color="auto" w:sz="4" w:space="0"/>
              <w:left w:val="single" w:color="000000" w:sz="4" w:space="0"/>
              <w:bottom w:val="single" w:color="auto" w:sz="4" w:space="0"/>
              <w:right w:val="single" w:color="000000" w:sz="4" w:space="0"/>
            </w:tcBorders>
            <w:noWrap w:val="0"/>
            <w:vAlign w:val="center"/>
          </w:tcPr>
          <w:p w14:paraId="37867AA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早点</w:t>
            </w:r>
          </w:p>
        </w:tc>
        <w:tc>
          <w:tcPr>
            <w:tcW w:w="497" w:type="pct"/>
            <w:vMerge w:val="restart"/>
            <w:tcBorders>
              <w:top w:val="single" w:color="auto" w:sz="4" w:space="0"/>
              <w:left w:val="single" w:color="000000" w:sz="4" w:space="0"/>
              <w:bottom w:val="single" w:color="auto" w:sz="4" w:space="0"/>
              <w:right w:val="single" w:color="000000" w:sz="4" w:space="0"/>
            </w:tcBorders>
            <w:noWrap w:val="0"/>
            <w:vAlign w:val="center"/>
          </w:tcPr>
          <w:p w14:paraId="51D307C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汤粥类</w:t>
            </w:r>
          </w:p>
        </w:tc>
        <w:tc>
          <w:tcPr>
            <w:tcW w:w="497" w:type="pct"/>
            <w:tcBorders>
              <w:top w:val="single" w:color="auto" w:sz="4" w:space="0"/>
              <w:left w:val="single" w:color="000000" w:sz="4" w:space="0"/>
              <w:bottom w:val="single" w:color="auto" w:sz="4" w:space="0"/>
              <w:right w:val="single" w:color="000000" w:sz="4" w:space="0"/>
            </w:tcBorders>
            <w:noWrap w:val="0"/>
            <w:vAlign w:val="center"/>
          </w:tcPr>
          <w:p w14:paraId="72926E3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每日必备</w:t>
            </w:r>
          </w:p>
        </w:tc>
        <w:tc>
          <w:tcPr>
            <w:tcW w:w="3507" w:type="pct"/>
            <w:gridSpan w:val="8"/>
            <w:tcBorders>
              <w:top w:val="single" w:color="auto" w:sz="4" w:space="0"/>
              <w:left w:val="single" w:color="000000" w:sz="4" w:space="0"/>
              <w:bottom w:val="single" w:color="auto" w:sz="4" w:space="0"/>
              <w:right w:val="single" w:color="000000" w:sz="4" w:space="0"/>
            </w:tcBorders>
            <w:noWrap w:val="0"/>
            <w:vAlign w:val="center"/>
          </w:tcPr>
          <w:p w14:paraId="08751D5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豆浆、油条</w:t>
            </w:r>
          </w:p>
        </w:tc>
      </w:tr>
      <w:tr w14:paraId="145DB25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auto" w:sz="4" w:space="0"/>
              <w:left w:val="single" w:color="000000" w:sz="4" w:space="0"/>
              <w:bottom w:val="single" w:color="000000" w:sz="4" w:space="0"/>
              <w:right w:val="single" w:color="000000" w:sz="4" w:space="0"/>
            </w:tcBorders>
            <w:noWrap w:val="0"/>
            <w:vAlign w:val="center"/>
          </w:tcPr>
          <w:p w14:paraId="06FF3ED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auto" w:sz="4" w:space="0"/>
              <w:left w:val="single" w:color="000000" w:sz="4" w:space="0"/>
              <w:bottom w:val="single" w:color="000000" w:sz="4" w:space="0"/>
              <w:right w:val="single" w:color="000000" w:sz="4" w:space="0"/>
            </w:tcBorders>
            <w:noWrap w:val="0"/>
            <w:vAlign w:val="center"/>
          </w:tcPr>
          <w:p w14:paraId="643C46C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auto" w:sz="4" w:space="0"/>
              <w:left w:val="single" w:color="000000" w:sz="4" w:space="0"/>
              <w:bottom w:val="single" w:color="000000" w:sz="4" w:space="0"/>
              <w:right w:val="single" w:color="000000" w:sz="4" w:space="0"/>
            </w:tcBorders>
            <w:noWrap w:val="0"/>
            <w:vAlign w:val="center"/>
          </w:tcPr>
          <w:p w14:paraId="5DB384D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粥3种</w:t>
            </w:r>
          </w:p>
        </w:tc>
        <w:tc>
          <w:tcPr>
            <w:tcW w:w="3507" w:type="pct"/>
            <w:gridSpan w:val="8"/>
            <w:tcBorders>
              <w:top w:val="single" w:color="auto" w:sz="4" w:space="0"/>
              <w:left w:val="single" w:color="000000" w:sz="4" w:space="0"/>
              <w:bottom w:val="single" w:color="000000" w:sz="4" w:space="0"/>
              <w:right w:val="single" w:color="000000" w:sz="4" w:space="0"/>
            </w:tcBorders>
            <w:noWrap w:val="0"/>
            <w:vAlign w:val="center"/>
          </w:tcPr>
          <w:p w14:paraId="6162AFF3">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玉米粥、棒渣粥、八宝粥、小米粥、黑米粥、绿豆大米粥、红枣枸杞粥、银耳百合粥、皮蛋瘦肉粥、银杏百合粥、赤豆薏米粥、麦片粥、南瓜粥、地瓜棒渣粥、蔬菜粥、山药粥、桂圆枸杞粥。</w:t>
            </w:r>
          </w:p>
        </w:tc>
      </w:tr>
      <w:tr w14:paraId="7DE5962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3AFEE8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6A94AB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75CBA20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汤1种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32B346BC">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西红柿鸡蛋汤、紫菜汤、瓜片蛋花汤、酸辣汤、醋浇汤、鱼头养生汤、虫草排骨汤、羊杂汤、虾皮白菜汤、虾皮冬瓜汤、疙瘩汤、杂菌养生汤、木须汤、粉丝全贝汤、青萝粉丝汤、菠菜蛋花汤、养生雪梨汤。</w:t>
            </w:r>
          </w:p>
        </w:tc>
      </w:tr>
      <w:tr w14:paraId="3C997D9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24212E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1E0F255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主食类</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2EDF018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每日必备</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2A28E40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茶鸡蛋、煎鸡蛋、白水蛋、卤鸡蛋、虎皮鸡蛋（选二种）</w:t>
            </w:r>
          </w:p>
        </w:tc>
      </w:tr>
      <w:tr w14:paraId="022E59B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5F63FA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B4C0B7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3D9053B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主食4种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75DA3018">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家常大饼、葱花饼、椒盐大饼、麻酱饼、烧饼夹火腿、手抓饼、大饼夹鸡蛋、油酥烧饼、老豆腐、锅巴菜、云吞、煎包、窝头、双色花卷、馅饼、肉笼、豆沙包、蒸饺、茄夹、藕夹、素丸子、蝴蝶卷、三鲜盒子</w:t>
            </w:r>
          </w:p>
        </w:tc>
      </w:tr>
      <w:tr w14:paraId="664D3C2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4303D3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5810B37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副食类</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5664E89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每日必备</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65645748">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自制小菜4种：香葱豆腐、皮蛋豆腐、什锦豆腐、炝拌藕片、炝拌瓜条、拌双耳、浇油土豆丝、浇油豆芽、爽口萝卜丝、浇油海带丝、葱香豆腐丝、炝拌三丁、糖醋心里美、西芹果仁、酸辣土豆丝、蒜泥黄瓜、蒜泥茄条、蚝油生菜、炝拌洋白菜、八宝菠菜、素什锦、浇油苦菊、蒜泥皮冻、炝拌双花、西芹腐竹、咸鸭蛋、葱花鸡蛋、香葱鸡蛋、瓜丝鸡蛋、虾酱鸡蛋、酱牛肉、老火腿</w:t>
            </w:r>
          </w:p>
        </w:tc>
      </w:tr>
      <w:tr w14:paraId="1523D2C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6A4D9D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10457B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0B19C33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甜点</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0AE42B79">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梅花酥、大理石蛋糕、春卷、白皮佛手酥、麻团、虾片、椒盐交心、布丁蛋糕、披萨</w:t>
            </w:r>
          </w:p>
        </w:tc>
      </w:tr>
      <w:tr w14:paraId="5BA50AA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379364A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午餐</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60BC92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主荤2道</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4FA0F8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炖菜</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0F9E1D23">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叉烧肉、红烧肉、红烧猪手、香辣大虾、红焖羊排、家熬河鱼、酱香排骨、香菇鸡块、小炒牛肉、盐水大虾、咕咾肉、糖醋鸡柳、孜然羊肉、杭椒牛柳、羊蝎子、黄焖土鸡、清蒸鲽鱼、清蒸龙利鱼、红烧带鱼、椒盐带鱼、香炸多春鱼、香炸沙丁鱼、清蒸鲈鱼、干烧平昌、清炒虾仁、椒盐虾仁、扒肘条</w:t>
            </w:r>
          </w:p>
        </w:tc>
      </w:tr>
      <w:tr w14:paraId="30CA42E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6D1DF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48BBCC4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次荤3道</w:t>
            </w: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304F517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restart"/>
            <w:tcBorders>
              <w:top w:val="single" w:color="000000" w:sz="4" w:space="0"/>
              <w:left w:val="single" w:color="000000" w:sz="4" w:space="0"/>
              <w:bottom w:val="single" w:color="000000" w:sz="4" w:space="0"/>
              <w:right w:val="single" w:color="000000" w:sz="4" w:space="0"/>
            </w:tcBorders>
            <w:noWrap w:val="0"/>
            <w:vAlign w:val="center"/>
          </w:tcPr>
          <w:p w14:paraId="4ED1C0B2">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辣炒豆芽、木须肉、蒜薹肉丝、西芹肉丝、肉末豆腐、炒合菜、木须虾仁、回锅肉、鱼香肉丝、宫保鸡丁、肉片地三鲜、京酱肉丝、杏鲍菇肉片、肉片千叶、苜蓿豆腐、黄瓜鸡蛋、青椒木耳鸡蛋、肉片茄子、西芹火腿、葱爆豆片、蚝油肉片、肉松平菇、干煸豆角、肉片豆角、油爆双鲜、干煸鱿鱼须、香辣三丁、家常豆腐、丝瓜鸡蛋、西芹腊肉、老爆三、腰果西芹、肉片烧腐竹、海米西芹、京味小炒肉、过年菜、苜蓿培根</w:t>
            </w:r>
          </w:p>
        </w:tc>
      </w:tr>
      <w:tr w14:paraId="3B73D0B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4D94B6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C6F8F1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26D6A5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23817070">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p>
        </w:tc>
      </w:tr>
      <w:tr w14:paraId="305E052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0F6821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22E1A1D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素菜2道</w:t>
            </w: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6999A0E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restart"/>
            <w:tcBorders>
              <w:top w:val="single" w:color="000000" w:sz="4" w:space="0"/>
              <w:left w:val="single" w:color="000000" w:sz="4" w:space="0"/>
              <w:bottom w:val="single" w:color="000000" w:sz="4" w:space="0"/>
              <w:right w:val="single" w:color="000000" w:sz="4" w:space="0"/>
            </w:tcBorders>
            <w:noWrap w:val="0"/>
            <w:vAlign w:val="center"/>
          </w:tcPr>
          <w:p w14:paraId="6E1DD139">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韭菜豆芽、辣炒豆芽、番茄菜花、西芹香干、西芹百合、素烧冬瓜、松仁玉米、开涤白菜、家常茄子、家常土豆丝、油焖豆腐、葱爆豆腐、虾皮小白菜、清炒油麦菜、酱爆圆白菜、醋溜白菜、素烧茄子、清炒豆角、鲍汁冬瓜、鲍汁双花、葱烧木耳、韭菜香干、西芹炒河粉、小炒千叶、尖椒土豆片、香辣豆皮、砂锅豆腐、木耳山药、雪里红</w:t>
            </w:r>
          </w:p>
        </w:tc>
      </w:tr>
      <w:tr w14:paraId="6A51E68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7492AF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8F30F0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B807C8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3694058C">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p>
        </w:tc>
      </w:tr>
      <w:tr w14:paraId="06605F6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C2E20E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1FB983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2390D5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1E0EB4C7">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p>
        </w:tc>
      </w:tr>
      <w:tr w14:paraId="7487000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1726D8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56B5A44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凉菜1道</w:t>
            </w: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06D6D5F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restart"/>
            <w:tcBorders>
              <w:top w:val="single" w:color="000000" w:sz="4" w:space="0"/>
              <w:left w:val="single" w:color="000000" w:sz="4" w:space="0"/>
              <w:bottom w:val="single" w:color="000000" w:sz="4" w:space="0"/>
              <w:right w:val="single" w:color="000000" w:sz="4" w:space="0"/>
            </w:tcBorders>
            <w:noWrap w:val="0"/>
            <w:vAlign w:val="center"/>
          </w:tcPr>
          <w:p w14:paraId="51E1D2A6">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姜汁藕片、酸辣蕨根粉、五香豆丝、老醋木耳、老醋蛰头、大拌菜、爽口田七、果仁三丁、橙汁瓜条、鲮鱼油麦、蒜泥笋丝、红油金针菇、香葱豆腐、西芹果仁、木耳山药、杏仁苦瓜、爽口苦菊、爽口菜心、红油土豆丝、浇油白菜、蒜香双花、鸡丝拉皮、浇油雪里红、蒜泥豆角、浇油海带丝</w:t>
            </w:r>
          </w:p>
        </w:tc>
      </w:tr>
      <w:tr w14:paraId="30E70F2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312"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1046E1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9F42BC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7A41E2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409B29AC">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p>
        </w:tc>
      </w:tr>
      <w:tr w14:paraId="3710BE5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E7469E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2B290A3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小吃</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19785B8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1791665A">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牛肉拉面、陕西臊子面、小卤面、过桥米线、四川担担面、扬州烧面、酱油炒饭、烧饼</w:t>
            </w:r>
          </w:p>
        </w:tc>
      </w:tr>
      <w:tr w14:paraId="49A3E6B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CAB538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2634D22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主食4种</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129621A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787FE6D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同上任选3种，外加米饭、馒头、花卷馅类一种</w:t>
            </w:r>
          </w:p>
        </w:tc>
      </w:tr>
      <w:tr w14:paraId="493D057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2D54BF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133D7EE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汤粥共3种</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756421E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粥1种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48883AD4">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同上任选1种</w:t>
            </w:r>
          </w:p>
        </w:tc>
      </w:tr>
      <w:tr w14:paraId="3BE3C7D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043258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4F6092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0C8EC2E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汤2种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103FB61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同上任选2种</w:t>
            </w:r>
          </w:p>
        </w:tc>
      </w:tr>
      <w:tr w14:paraId="52758A2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600D085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晚餐</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7769D86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荤菜4道</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26B7FA3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01B55916">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同上任选4种</w:t>
            </w:r>
          </w:p>
        </w:tc>
      </w:tr>
      <w:tr w14:paraId="288BB25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EEEDE4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6F44504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素菜2道</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50A61ED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7F0AD95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同上任选2种</w:t>
            </w:r>
          </w:p>
        </w:tc>
      </w:tr>
      <w:tr w14:paraId="37E3767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A89F19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40ABFEC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主食3道</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423AF59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每日必备</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4D1CF313">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花卷、馒头、米饭、馅类</w:t>
            </w:r>
          </w:p>
        </w:tc>
      </w:tr>
      <w:tr w14:paraId="1595994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4A9968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14:paraId="24210B6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汤粥各1种</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3C8CFCE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粥1种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36E6274C">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同上任选1种</w:t>
            </w:r>
          </w:p>
        </w:tc>
      </w:tr>
      <w:tr w14:paraId="635D3B6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15" w:type="dxa"/>
            <w:left w:w="15" w:type="dxa"/>
            <w:bottom w:w="15" w:type="dxa"/>
            <w:right w:w="15" w:type="dxa"/>
          </w:tblCellMar>
        </w:tblPrEx>
        <w:trPr>
          <w:trHeight w:val="23" w:hRule="atLeast"/>
        </w:trPr>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0AB8A0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04424B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497" w:type="pct"/>
            <w:tcBorders>
              <w:top w:val="single" w:color="000000" w:sz="4" w:space="0"/>
              <w:left w:val="single" w:color="000000" w:sz="4" w:space="0"/>
              <w:bottom w:val="single" w:color="000000" w:sz="4" w:space="0"/>
              <w:right w:val="single" w:color="000000" w:sz="4" w:space="0"/>
            </w:tcBorders>
            <w:noWrap w:val="0"/>
            <w:vAlign w:val="center"/>
          </w:tcPr>
          <w:p w14:paraId="6DD2957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汤1种</w:t>
            </w:r>
          </w:p>
        </w:tc>
        <w:tc>
          <w:tcPr>
            <w:tcW w:w="3507" w:type="pct"/>
            <w:gridSpan w:val="8"/>
            <w:tcBorders>
              <w:top w:val="single" w:color="000000" w:sz="4" w:space="0"/>
              <w:left w:val="single" w:color="000000" w:sz="4" w:space="0"/>
              <w:bottom w:val="single" w:color="000000" w:sz="4" w:space="0"/>
              <w:right w:val="single" w:color="000000" w:sz="4" w:space="0"/>
            </w:tcBorders>
            <w:noWrap w:val="0"/>
            <w:vAlign w:val="center"/>
          </w:tcPr>
          <w:p w14:paraId="2B2B523E">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kern w:val="0"/>
                <w:sz w:val="24"/>
                <w:szCs w:val="24"/>
                <w:highlight w:val="none"/>
              </w:rPr>
              <w:t>同上任选1种</w:t>
            </w:r>
          </w:p>
        </w:tc>
      </w:tr>
    </w:tbl>
    <w:p w14:paraId="3562F783">
      <w:pPr>
        <w:tabs>
          <w:tab w:val="left" w:pos="210"/>
        </w:tabs>
        <w:autoSpaceDE w:val="0"/>
        <w:autoSpaceDN w:val="0"/>
        <w:adjustRightInd w:val="0"/>
        <w:spacing w:line="560" w:lineRule="exact"/>
        <w:ind w:firstLine="480"/>
        <w:rPr>
          <w:rFonts w:hint="eastAsia" w:ascii="宋体" w:hAnsi="宋体"/>
          <w:color w:val="FF0000"/>
          <w:sz w:val="24"/>
        </w:rPr>
      </w:pPr>
    </w:p>
    <w:p w14:paraId="2DC60A5D">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29"/>
        <w:spacing w:line="360" w:lineRule="auto"/>
        <w:jc w:val="center"/>
        <w:rPr>
          <w:rFonts w:ascii="Times New Roman" w:hAnsi="Times New Roman" w:eastAsia="宋体" w:cs="Times New Roman"/>
          <w:color w:val="auto"/>
        </w:rPr>
      </w:pPr>
      <w:bookmarkStart w:id="18" w:name="_Toc411426751"/>
    </w:p>
    <w:p w14:paraId="4417B6D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29"/>
        <w:spacing w:line="360" w:lineRule="auto"/>
        <w:ind w:firstLine="480" w:firstLineChars="200"/>
        <w:jc w:val="both"/>
        <w:rPr>
          <w:rFonts w:ascii="Times New Roman" w:hAnsi="Times New Roman" w:eastAsia="宋体" w:cs="Times New Roman"/>
          <w:color w:val="auto"/>
        </w:rPr>
      </w:pPr>
    </w:p>
    <w:p w14:paraId="3E5C342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29"/>
        <w:spacing w:line="360" w:lineRule="auto"/>
        <w:ind w:firstLine="480" w:firstLineChars="200"/>
        <w:jc w:val="both"/>
        <w:rPr>
          <w:rFonts w:ascii="Times New Roman" w:hAnsi="Times New Roman" w:eastAsia="宋体" w:cs="Times New Roman"/>
          <w:color w:val="auto"/>
        </w:rPr>
      </w:pPr>
    </w:p>
    <w:p w14:paraId="7B1385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29"/>
        <w:spacing w:line="360" w:lineRule="auto"/>
        <w:jc w:val="center"/>
        <w:rPr>
          <w:rFonts w:ascii="Times New Roman" w:hAnsi="Times New Roman" w:eastAsia="宋体" w:cs="Times New Roman"/>
          <w:color w:val="auto"/>
        </w:rPr>
      </w:pPr>
    </w:p>
    <w:p w14:paraId="780E6F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29"/>
        <w:spacing w:line="360" w:lineRule="auto"/>
        <w:ind w:firstLine="480" w:firstLineChars="200"/>
        <w:jc w:val="both"/>
        <w:rPr>
          <w:rFonts w:ascii="Times New Roman" w:hAnsi="Times New Roman" w:eastAsia="宋体" w:cs="Times New Roman"/>
          <w:color w:val="auto"/>
        </w:rPr>
      </w:pPr>
    </w:p>
    <w:p w14:paraId="74C6E4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29"/>
        <w:spacing w:line="360" w:lineRule="auto"/>
        <w:ind w:firstLine="480" w:firstLineChars="200"/>
        <w:jc w:val="both"/>
        <w:rPr>
          <w:rFonts w:ascii="Times New Roman" w:hAnsi="Times New Roman" w:eastAsia="宋体" w:cs="Times New Roman"/>
          <w:color w:val="auto"/>
        </w:rPr>
      </w:pPr>
    </w:p>
    <w:p w14:paraId="2094E16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29"/>
        <w:spacing w:line="360" w:lineRule="auto"/>
        <w:ind w:firstLine="480" w:firstLineChars="200"/>
        <w:jc w:val="both"/>
        <w:rPr>
          <w:rFonts w:ascii="Times New Roman" w:hAnsi="Times New Roman" w:eastAsia="宋体" w:cs="Times New Roman"/>
          <w:color w:val="auto"/>
        </w:rPr>
      </w:pPr>
    </w:p>
    <w:p w14:paraId="14B7D13C">
      <w:pPr>
        <w:pStyle w:val="29"/>
        <w:snapToGrid w:val="0"/>
        <w:spacing w:line="360" w:lineRule="auto"/>
        <w:ind w:firstLine="480" w:firstLineChars="200"/>
        <w:jc w:val="both"/>
        <w:rPr>
          <w:rFonts w:ascii="Times New Roman" w:hAnsi="Times New Roman" w:eastAsia="宋体" w:cs="Times New Roman"/>
          <w:color w:val="auto"/>
        </w:rPr>
      </w:pPr>
    </w:p>
    <w:p w14:paraId="0FEA1676">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18"/>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19" w:name="_Toc411426753"/>
      <w:r>
        <w:t>第五部分  响应文件格式</w:t>
      </w:r>
      <w:bookmarkEnd w:id="19"/>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37"/>
        <w:tabs>
          <w:tab w:val="left" w:pos="360"/>
        </w:tabs>
        <w:spacing w:line="360" w:lineRule="auto"/>
        <w:ind w:firstLine="480"/>
        <w:rPr>
          <w:sz w:val="24"/>
          <w:lang w:eastAsia="zh-CN"/>
        </w:rPr>
      </w:pPr>
    </w:p>
    <w:p w14:paraId="28B93B0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37"/>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37"/>
        <w:tabs>
          <w:tab w:val="left" w:pos="360"/>
        </w:tabs>
        <w:spacing w:line="360" w:lineRule="auto"/>
        <w:ind w:firstLine="480"/>
        <w:rPr>
          <w:sz w:val="24"/>
          <w:lang w:eastAsia="zh-CN"/>
        </w:rPr>
      </w:pPr>
    </w:p>
    <w:p w14:paraId="74BBB443">
      <w:pPr>
        <w:pStyle w:val="37"/>
        <w:spacing w:line="360" w:lineRule="auto"/>
        <w:ind w:firstLine="0" w:firstLineChars="0"/>
        <w:jc w:val="center"/>
        <w:rPr>
          <w:b/>
          <w:sz w:val="24"/>
          <w:lang w:eastAsia="zh-CN"/>
        </w:rPr>
      </w:pPr>
    </w:p>
    <w:p w14:paraId="0925E9A6">
      <w:pPr>
        <w:pStyle w:val="37"/>
        <w:spacing w:line="360" w:lineRule="auto"/>
        <w:ind w:firstLine="0" w:firstLineChars="0"/>
        <w:jc w:val="center"/>
        <w:rPr>
          <w:b/>
          <w:sz w:val="24"/>
          <w:lang w:eastAsia="zh-CN"/>
        </w:rPr>
      </w:pPr>
    </w:p>
    <w:p w14:paraId="5BD39334">
      <w:pPr>
        <w:pStyle w:val="37"/>
        <w:spacing w:line="360" w:lineRule="auto"/>
        <w:ind w:firstLine="0" w:firstLineChars="0"/>
        <w:jc w:val="center"/>
        <w:rPr>
          <w:b/>
          <w:sz w:val="24"/>
          <w:lang w:eastAsia="zh-CN"/>
        </w:rPr>
      </w:pPr>
      <w:r>
        <w:rPr>
          <w:rFonts w:hint="eastAsia"/>
          <w:b/>
          <w:sz w:val="24"/>
          <w:lang w:eastAsia="zh-CN"/>
        </w:rPr>
        <w:t>证明材料</w:t>
      </w:r>
    </w:p>
    <w:p w14:paraId="1AA43AD6">
      <w:pPr>
        <w:pStyle w:val="37"/>
        <w:tabs>
          <w:tab w:val="left" w:pos="360"/>
        </w:tabs>
        <w:spacing w:line="360" w:lineRule="auto"/>
        <w:ind w:firstLine="480"/>
        <w:rPr>
          <w:sz w:val="24"/>
          <w:lang w:eastAsia="zh-CN"/>
        </w:rPr>
      </w:pPr>
    </w:p>
    <w:p w14:paraId="1796B92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37"/>
        <w:tabs>
          <w:tab w:val="left" w:pos="360"/>
        </w:tabs>
        <w:spacing w:line="360" w:lineRule="auto"/>
        <w:ind w:firstLine="480"/>
        <w:rPr>
          <w:sz w:val="24"/>
          <w:lang w:eastAsia="zh-CN"/>
        </w:rPr>
      </w:pPr>
    </w:p>
    <w:p w14:paraId="2E381CD0">
      <w:pPr>
        <w:pStyle w:val="37"/>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E035E9"/>
    <w:rsid w:val="025A0660"/>
    <w:rsid w:val="07E13EC2"/>
    <w:rsid w:val="07FE5294"/>
    <w:rsid w:val="08B2685C"/>
    <w:rsid w:val="0E7476E7"/>
    <w:rsid w:val="0E8042DE"/>
    <w:rsid w:val="1030329B"/>
    <w:rsid w:val="13D82E87"/>
    <w:rsid w:val="164069C7"/>
    <w:rsid w:val="16C60AD4"/>
    <w:rsid w:val="18CF093C"/>
    <w:rsid w:val="1A4B194F"/>
    <w:rsid w:val="1A657C9B"/>
    <w:rsid w:val="1B040E15"/>
    <w:rsid w:val="1CE3359A"/>
    <w:rsid w:val="1F006B10"/>
    <w:rsid w:val="228D276C"/>
    <w:rsid w:val="233E3803"/>
    <w:rsid w:val="281B5C24"/>
    <w:rsid w:val="29A97AD5"/>
    <w:rsid w:val="34EE4299"/>
    <w:rsid w:val="350757C1"/>
    <w:rsid w:val="3E955F68"/>
    <w:rsid w:val="406B5793"/>
    <w:rsid w:val="40830212"/>
    <w:rsid w:val="430D73BE"/>
    <w:rsid w:val="44134CD1"/>
    <w:rsid w:val="4AA100D4"/>
    <w:rsid w:val="4BC86043"/>
    <w:rsid w:val="4F3A122B"/>
    <w:rsid w:val="53583BBF"/>
    <w:rsid w:val="55B33581"/>
    <w:rsid w:val="59747B68"/>
    <w:rsid w:val="59DF6954"/>
    <w:rsid w:val="5AEC1FC0"/>
    <w:rsid w:val="5DDC779B"/>
    <w:rsid w:val="60B723C8"/>
    <w:rsid w:val="60E962C8"/>
    <w:rsid w:val="62FC162C"/>
    <w:rsid w:val="642B176B"/>
    <w:rsid w:val="64B0159A"/>
    <w:rsid w:val="6A603400"/>
    <w:rsid w:val="71AB2EE2"/>
    <w:rsid w:val="79E11D2C"/>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73</Pages>
  <Words>31822</Words>
  <Characters>33303</Characters>
  <Lines>246</Lines>
  <Paragraphs>69</Paragraphs>
  <TotalTime>34</TotalTime>
  <ScaleCrop>false</ScaleCrop>
  <LinksUpToDate>false</LinksUpToDate>
  <CharactersWithSpaces>34804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沈川</cp:lastModifiedBy>
  <cp:lastPrinted>2015-08-04T03:01:00Z</cp:lastPrinted>
  <dcterms:modified xsi:type="dcterms:W3CDTF">2026-02-11T01:00:46Z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