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6"/>
        <w:rPr>
          <w:rFonts w:hint="eastAsia"/>
        </w:rPr>
      </w:pPr>
    </w:p>
    <w:p w14:paraId="6433C32E">
      <w:pPr>
        <w:pStyle w:val="36"/>
        <w:rPr>
          <w:color w:val="auto"/>
        </w:rPr>
      </w:pPr>
    </w:p>
    <w:p w14:paraId="2A055DBE">
      <w:pPr>
        <w:ind w:right="105"/>
        <w:jc w:val="center"/>
        <w:rPr>
          <w:rFonts w:ascii="宋体" w:hAnsi="宋体"/>
          <w:b/>
          <w:spacing w:val="40"/>
          <w:w w:val="66"/>
          <w:sz w:val="60"/>
          <w:szCs w:val="60"/>
        </w:rPr>
      </w:pPr>
      <w:r>
        <w:rPr>
          <w:rFonts w:hint="eastAsia" w:ascii="宋体" w:hAnsi="宋体"/>
          <w:b/>
          <w:spacing w:val="40"/>
          <w:w w:val="66"/>
          <w:sz w:val="60"/>
          <w:szCs w:val="60"/>
        </w:rPr>
        <w:t>天津市西青区应急管理局西青区安防网危险化学品在线监测平台前端采集系统运行维护服务项目竞争性磋商文件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TJXQ-2025-D-0050</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eastAsia="黑体"/>
          <w:spacing w:val="20"/>
          <w:w w:val="66"/>
          <w:sz w:val="44"/>
          <w:szCs w:val="44"/>
        </w:rPr>
      </w:pPr>
      <w:r>
        <w:rPr>
          <w:rFonts w:eastAsia="黑体"/>
          <w:spacing w:val="20"/>
          <w:w w:val="66"/>
          <w:sz w:val="44"/>
          <w:szCs w:val="44"/>
        </w:rPr>
        <w:t>天津市</w:t>
      </w:r>
      <w:r>
        <w:rPr>
          <w:rFonts w:hint="eastAsia" w:eastAsia="黑体"/>
          <w:spacing w:val="20"/>
          <w:w w:val="66"/>
          <w:sz w:val="44"/>
          <w:szCs w:val="44"/>
        </w:rPr>
        <w:t>西青区财政服务中心</w:t>
      </w: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kern w:val="0"/>
          <w:sz w:val="44"/>
          <w:szCs w:val="44"/>
        </w:rPr>
        <w:t xml:space="preserve">  </w:t>
      </w: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12</w:t>
      </w: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1"/>
        <w:rPr>
          <w:sz w:val="28"/>
          <w:szCs w:val="28"/>
        </w:rPr>
      </w:pPr>
      <w:r>
        <w:rPr>
          <w:rFonts w:hint="eastAsia"/>
          <w:sz w:val="28"/>
          <w:szCs w:val="28"/>
        </w:rPr>
        <w:t>第一部分  磋商邀请函</w:t>
      </w:r>
    </w:p>
    <w:p w14:paraId="25DF5243"/>
    <w:p w14:paraId="52091B77">
      <w:pPr>
        <w:pStyle w:val="11"/>
        <w:rPr>
          <w:sz w:val="28"/>
          <w:szCs w:val="28"/>
        </w:rPr>
      </w:pPr>
      <w:r>
        <w:rPr>
          <w:rFonts w:hint="eastAsia"/>
          <w:sz w:val="28"/>
          <w:szCs w:val="28"/>
        </w:rPr>
        <w:t>第二部分  磋商项目要求</w:t>
      </w:r>
    </w:p>
    <w:p w14:paraId="5E6049AF"/>
    <w:p w14:paraId="5C0316FD">
      <w:pPr>
        <w:pStyle w:val="11"/>
        <w:rPr>
          <w:sz w:val="28"/>
          <w:szCs w:val="28"/>
        </w:rPr>
      </w:pPr>
      <w:r>
        <w:rPr>
          <w:rFonts w:hint="eastAsia"/>
          <w:sz w:val="28"/>
          <w:szCs w:val="28"/>
        </w:rPr>
        <w:t>第三部分  供应商须知</w:t>
      </w:r>
    </w:p>
    <w:p w14:paraId="49016502"/>
    <w:p w14:paraId="71C59303">
      <w:pPr>
        <w:pStyle w:val="11"/>
        <w:rPr>
          <w:sz w:val="28"/>
          <w:szCs w:val="28"/>
        </w:rPr>
      </w:pPr>
      <w:r>
        <w:rPr>
          <w:rFonts w:hint="eastAsia"/>
          <w:sz w:val="28"/>
          <w:szCs w:val="28"/>
        </w:rPr>
        <w:t>第四部分  合同草案</w:t>
      </w:r>
    </w:p>
    <w:p w14:paraId="589BAE0A"/>
    <w:p w14:paraId="0FEC5709">
      <w:pPr>
        <w:pStyle w:val="11"/>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6"/>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天津市西青区应急管理局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天津市西青区政府采购中心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天津市西青区应急管理局西青区安防网危险化学品在线监测平台前端采集系统运行维护服务项目</w:t>
      </w:r>
      <w:r>
        <w:rPr>
          <w:rFonts w:ascii="Times New Roman" w:hAnsi="Times New Roman" w:eastAsia="宋体" w:cs="Times New Roman"/>
          <w:color w:val="auto"/>
          <w:kern w:val="2"/>
        </w:rPr>
        <w:t>实施政府采购。现欢迎合格的供应商参加磋商。</w:t>
      </w:r>
    </w:p>
    <w:p w14:paraId="3DA95B70">
      <w:pPr>
        <w:pStyle w:val="36"/>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autoSpaceDE w:val="0"/>
        <w:autoSpaceDN w:val="0"/>
        <w:adjustRightInd w:val="0"/>
        <w:spacing w:line="360" w:lineRule="auto"/>
        <w:ind w:firstLine="480" w:firstLineChars="200"/>
        <w:rPr>
          <w:sz w:val="24"/>
          <w:szCs w:val="32"/>
        </w:rPr>
      </w:pPr>
      <w:r>
        <w:rPr>
          <w:sz w:val="24"/>
          <w:szCs w:val="32"/>
        </w:rPr>
        <w:t>（一）项目名称：</w:t>
      </w:r>
      <w:r>
        <w:rPr>
          <w:rFonts w:hint="eastAsia"/>
          <w:sz w:val="24"/>
          <w:szCs w:val="32"/>
        </w:rPr>
        <w:t>天津市西青区应急管理局西青区安防网危险化学品在线监测平台前端采集系统运行维护服务项目</w:t>
      </w:r>
    </w:p>
    <w:p w14:paraId="5FE8AA24">
      <w:pPr>
        <w:autoSpaceDE w:val="0"/>
        <w:autoSpaceDN w:val="0"/>
        <w:adjustRightInd w:val="0"/>
        <w:spacing w:line="360" w:lineRule="auto"/>
        <w:ind w:firstLine="480" w:firstLineChars="200"/>
        <w:rPr>
          <w:sz w:val="24"/>
          <w:szCs w:val="32"/>
        </w:rPr>
      </w:pPr>
      <w:r>
        <w:rPr>
          <w:sz w:val="24"/>
          <w:szCs w:val="32"/>
        </w:rPr>
        <w:t>（二）项目编号：</w:t>
      </w:r>
      <w:r>
        <w:rPr>
          <w:rFonts w:hint="eastAsia"/>
          <w:sz w:val="24"/>
          <w:szCs w:val="32"/>
        </w:rPr>
        <w:t>TJXQ-2025-D-0050</w:t>
      </w:r>
    </w:p>
    <w:p w14:paraId="5BA7ED43">
      <w:pPr>
        <w:autoSpaceDE w:val="0"/>
        <w:autoSpaceDN w:val="0"/>
        <w:adjustRightInd w:val="0"/>
        <w:spacing w:line="360" w:lineRule="auto"/>
        <w:ind w:firstLine="480" w:firstLineChars="200"/>
        <w:rPr>
          <w:sz w:val="24"/>
          <w:szCs w:val="32"/>
        </w:rPr>
      </w:pPr>
      <w:r>
        <w:rPr>
          <w:sz w:val="24"/>
          <w:szCs w:val="32"/>
        </w:rPr>
        <w:t>二、项目内容</w:t>
      </w:r>
    </w:p>
    <w:p w14:paraId="27ED42F3">
      <w:pPr>
        <w:autoSpaceDE w:val="0"/>
        <w:autoSpaceDN w:val="0"/>
        <w:adjustRightInd w:val="0"/>
        <w:spacing w:line="360" w:lineRule="auto"/>
        <w:ind w:firstLine="480" w:firstLineChars="200"/>
        <w:rPr>
          <w:sz w:val="24"/>
          <w:szCs w:val="32"/>
        </w:rPr>
      </w:pPr>
      <w:r>
        <w:rPr>
          <w:rFonts w:hint="eastAsia"/>
          <w:sz w:val="24"/>
          <w:szCs w:val="32"/>
        </w:rPr>
        <w:t>第一包：系统运行维护服务1项。</w:t>
      </w:r>
    </w:p>
    <w:p w14:paraId="2D66578B">
      <w:pPr>
        <w:autoSpaceDE w:val="0"/>
        <w:autoSpaceDN w:val="0"/>
        <w:adjustRightInd w:val="0"/>
        <w:spacing w:line="360" w:lineRule="auto"/>
        <w:ind w:firstLine="480" w:firstLineChars="200"/>
        <w:rPr>
          <w:sz w:val="24"/>
          <w:szCs w:val="32"/>
        </w:rPr>
      </w:pPr>
      <w:r>
        <w:rPr>
          <w:rFonts w:hint="eastAsia"/>
          <w:sz w:val="24"/>
          <w:szCs w:val="32"/>
        </w:rPr>
        <w:t>三、项目预算</w:t>
      </w:r>
    </w:p>
    <w:p w14:paraId="26733069">
      <w:pPr>
        <w:autoSpaceDE w:val="0"/>
        <w:autoSpaceDN w:val="0"/>
        <w:adjustRightInd w:val="0"/>
        <w:spacing w:line="360" w:lineRule="auto"/>
        <w:ind w:firstLine="480" w:firstLineChars="200"/>
        <w:rPr>
          <w:sz w:val="24"/>
          <w:szCs w:val="32"/>
        </w:rPr>
      </w:pPr>
      <w:r>
        <w:rPr>
          <w:rFonts w:hint="eastAsia"/>
          <w:sz w:val="24"/>
          <w:szCs w:val="32"/>
        </w:rPr>
        <w:t>500000元。</w:t>
      </w:r>
    </w:p>
    <w:p w14:paraId="17F2F314">
      <w:pPr>
        <w:autoSpaceDE w:val="0"/>
        <w:autoSpaceDN w:val="0"/>
        <w:adjustRightInd w:val="0"/>
        <w:spacing w:line="360" w:lineRule="auto"/>
        <w:ind w:firstLine="480" w:firstLineChars="200"/>
        <w:rPr>
          <w:sz w:val="24"/>
          <w:szCs w:val="32"/>
        </w:rPr>
      </w:pPr>
      <w:r>
        <w:rPr>
          <w:rFonts w:hint="eastAsia"/>
          <w:sz w:val="24"/>
          <w:szCs w:val="32"/>
        </w:rPr>
        <w:t>四</w:t>
      </w:r>
      <w:r>
        <w:rPr>
          <w:sz w:val="24"/>
          <w:szCs w:val="32"/>
        </w:rPr>
        <w:t>、供应商资格要求（实质性要求）</w:t>
      </w:r>
    </w:p>
    <w:p w14:paraId="694C98AE">
      <w:pPr>
        <w:autoSpaceDE w:val="0"/>
        <w:autoSpaceDN w:val="0"/>
        <w:adjustRightInd w:val="0"/>
        <w:spacing w:line="360" w:lineRule="auto"/>
        <w:ind w:firstLine="480" w:firstLineChars="200"/>
        <w:rPr>
          <w:sz w:val="24"/>
          <w:szCs w:val="32"/>
        </w:rPr>
      </w:pPr>
      <w:bookmarkStart w:id="3" w:name="OLE_LINK4"/>
      <w:r>
        <w:rPr>
          <w:rFonts w:hint="eastAsia"/>
          <w:sz w:val="24"/>
          <w:szCs w:val="32"/>
        </w:rPr>
        <w:t>1、营业执照副本加盖公章的复印件。</w:t>
      </w:r>
    </w:p>
    <w:p w14:paraId="39A5FB7B">
      <w:pPr>
        <w:autoSpaceDE w:val="0"/>
        <w:autoSpaceDN w:val="0"/>
        <w:adjustRightInd w:val="0"/>
        <w:spacing w:line="360" w:lineRule="auto"/>
        <w:ind w:firstLine="480" w:firstLineChars="200"/>
        <w:rPr>
          <w:sz w:val="24"/>
          <w:szCs w:val="32"/>
        </w:rPr>
      </w:pPr>
      <w:r>
        <w:rPr>
          <w:rFonts w:hint="eastAsia"/>
          <w:sz w:val="24"/>
          <w:szCs w:val="32"/>
        </w:rPr>
        <w:t>2、本次招标不接受联合体投标。</w:t>
      </w:r>
    </w:p>
    <w:p w14:paraId="5364183C">
      <w:pPr>
        <w:autoSpaceDE w:val="0"/>
        <w:autoSpaceDN w:val="0"/>
        <w:adjustRightInd w:val="0"/>
        <w:spacing w:line="360" w:lineRule="auto"/>
        <w:ind w:firstLine="480" w:firstLineChars="200"/>
        <w:rPr>
          <w:sz w:val="24"/>
          <w:szCs w:val="32"/>
        </w:rPr>
      </w:pPr>
      <w:r>
        <w:rPr>
          <w:rFonts w:hint="eastAsia"/>
          <w:sz w:val="24"/>
          <w:szCs w:val="32"/>
        </w:rPr>
        <w:t>3、</w:t>
      </w:r>
      <w:r>
        <w:rPr>
          <w:sz w:val="24"/>
          <w:szCs w:val="32"/>
        </w:rPr>
        <w:t>提交</w:t>
      </w:r>
      <w:r>
        <w:rPr>
          <w:rFonts w:hint="eastAsia"/>
          <w:sz w:val="24"/>
          <w:szCs w:val="32"/>
        </w:rPr>
        <w:t>投标</w:t>
      </w:r>
      <w:r>
        <w:rPr>
          <w:sz w:val="24"/>
          <w:szCs w:val="32"/>
        </w:rPr>
        <w:t>文件截止日前3年在经营活动中没有重大违法记录的书面声明（截至提交响应文件截止日成立不足3年的供应商可提供自成立以来无重大违法记录的书面声明）</w:t>
      </w:r>
      <w:r>
        <w:rPr>
          <w:rFonts w:hint="eastAsia"/>
          <w:sz w:val="24"/>
          <w:szCs w:val="32"/>
        </w:rPr>
        <w:t>。</w:t>
      </w:r>
    </w:p>
    <w:p w14:paraId="16045104">
      <w:pPr>
        <w:autoSpaceDE w:val="0"/>
        <w:autoSpaceDN w:val="0"/>
        <w:adjustRightInd w:val="0"/>
        <w:spacing w:line="360" w:lineRule="auto"/>
        <w:ind w:firstLine="480" w:firstLineChars="200"/>
        <w:rPr>
          <w:sz w:val="24"/>
          <w:szCs w:val="32"/>
        </w:rPr>
      </w:pPr>
      <w:r>
        <w:rPr>
          <w:rFonts w:hint="eastAsia"/>
          <w:sz w:val="24"/>
          <w:szCs w:val="32"/>
        </w:rPr>
        <w:t>4</w:t>
      </w:r>
      <w:r>
        <w:rPr>
          <w:sz w:val="24"/>
          <w:szCs w:val="32"/>
        </w:rPr>
        <w:t>. 财务状况报告等相关材料：A.经第三方会计师事务所审计的</w:t>
      </w:r>
      <w:r>
        <w:rPr>
          <w:rFonts w:hint="eastAsia"/>
          <w:sz w:val="24"/>
          <w:szCs w:val="32"/>
        </w:rPr>
        <w:t>2024年</w:t>
      </w:r>
      <w:r>
        <w:rPr>
          <w:sz w:val="24"/>
          <w:szCs w:val="32"/>
        </w:rPr>
        <w:t>度</w:t>
      </w:r>
      <w:r>
        <w:rPr>
          <w:rFonts w:hint="eastAsia"/>
          <w:sz w:val="24"/>
          <w:szCs w:val="32"/>
        </w:rPr>
        <w:t>企业</w:t>
      </w:r>
      <w:r>
        <w:rPr>
          <w:sz w:val="24"/>
          <w:szCs w:val="32"/>
        </w:rPr>
        <w:t>财务报告</w:t>
      </w:r>
      <w:r>
        <w:rPr>
          <w:rFonts w:hint="eastAsia"/>
          <w:sz w:val="24"/>
          <w:szCs w:val="32"/>
        </w:rPr>
        <w:t>复印</w:t>
      </w:r>
      <w:r>
        <w:rPr>
          <w:sz w:val="24"/>
          <w:szCs w:val="32"/>
        </w:rPr>
        <w:t>件</w:t>
      </w:r>
      <w:r>
        <w:rPr>
          <w:rFonts w:hint="eastAsia"/>
          <w:sz w:val="24"/>
          <w:szCs w:val="32"/>
        </w:rPr>
        <w:t>，加盖单位公章</w:t>
      </w:r>
      <w:r>
        <w:rPr>
          <w:sz w:val="24"/>
          <w:szCs w:val="32"/>
        </w:rPr>
        <w:t>。 B.</w:t>
      </w:r>
      <w:r>
        <w:rPr>
          <w:rFonts w:hint="eastAsia"/>
          <w:sz w:val="24"/>
          <w:szCs w:val="32"/>
        </w:rPr>
        <w:t>响应文件开启日</w:t>
      </w:r>
      <w:r>
        <w:rPr>
          <w:sz w:val="24"/>
          <w:szCs w:val="32"/>
        </w:rPr>
        <w:t>前</w:t>
      </w:r>
      <w:r>
        <w:rPr>
          <w:rFonts w:hint="eastAsia"/>
          <w:sz w:val="24"/>
          <w:szCs w:val="32"/>
        </w:rPr>
        <w:t>六个月内开具的银行资信证明复印件，加盖单位公章</w:t>
      </w:r>
      <w:r>
        <w:rPr>
          <w:sz w:val="24"/>
          <w:szCs w:val="32"/>
        </w:rPr>
        <w:t>。 注：A、B两项提供任意一项均可</w:t>
      </w:r>
    </w:p>
    <w:p w14:paraId="16094729">
      <w:pPr>
        <w:autoSpaceDE w:val="0"/>
        <w:autoSpaceDN w:val="0"/>
        <w:adjustRightInd w:val="0"/>
        <w:spacing w:line="360" w:lineRule="auto"/>
        <w:ind w:firstLine="480" w:firstLineChars="200"/>
        <w:rPr>
          <w:sz w:val="24"/>
          <w:szCs w:val="32"/>
        </w:rPr>
      </w:pPr>
      <w:r>
        <w:rPr>
          <w:rFonts w:hint="eastAsia"/>
          <w:sz w:val="24"/>
          <w:szCs w:val="32"/>
        </w:rPr>
        <w:t>5．提供响应文件开启日</w:t>
      </w:r>
      <w:r>
        <w:rPr>
          <w:sz w:val="24"/>
          <w:szCs w:val="32"/>
        </w:rPr>
        <w:t>前</w:t>
      </w:r>
      <w:r>
        <w:rPr>
          <w:rFonts w:hint="eastAsia"/>
          <w:sz w:val="24"/>
          <w:szCs w:val="32"/>
        </w:rPr>
        <w:t>6个月内任意1个月的依法缴纳税收和社会保障资金的相关证明文件复印件并加盖单位公章（依法免税或不需要缴纳社会保障资金的供应商，应提供相应证明其依法免税或不需要缴纳社会保障资金的证明材料并加盖单位公章）</w:t>
      </w:r>
    </w:p>
    <w:p w14:paraId="029621D2">
      <w:pPr>
        <w:autoSpaceDE w:val="0"/>
        <w:autoSpaceDN w:val="0"/>
        <w:adjustRightInd w:val="0"/>
        <w:spacing w:line="360" w:lineRule="auto"/>
        <w:ind w:firstLine="480" w:firstLineChars="200"/>
        <w:rPr>
          <w:sz w:val="24"/>
          <w:szCs w:val="32"/>
        </w:rPr>
      </w:pPr>
      <w:r>
        <w:rPr>
          <w:rFonts w:hint="eastAsia"/>
          <w:sz w:val="24"/>
          <w:szCs w:val="32"/>
        </w:rPr>
        <w:t>6.</w:t>
      </w:r>
      <w:r>
        <w:rPr>
          <w:sz w:val="24"/>
          <w:szCs w:val="32"/>
        </w:rPr>
        <w:t>本项目仅限</w:t>
      </w:r>
      <w:r>
        <w:rPr>
          <w:rFonts w:hint="eastAsia"/>
          <w:sz w:val="24"/>
          <w:szCs w:val="32"/>
        </w:rPr>
        <w:t>中</w:t>
      </w:r>
      <w:r>
        <w:rPr>
          <w:sz w:val="24"/>
          <w:szCs w:val="32"/>
        </w:rPr>
        <w:t>、</w:t>
      </w:r>
      <w:r>
        <w:rPr>
          <w:rFonts w:hint="eastAsia"/>
          <w:sz w:val="24"/>
          <w:szCs w:val="32"/>
        </w:rPr>
        <w:t>小微</w:t>
      </w:r>
      <w:r>
        <w:rPr>
          <w:sz w:val="24"/>
          <w:szCs w:val="32"/>
        </w:rPr>
        <w:t>企业、监狱企业、残疾人福利性单位参与，投标人须提供《中小企业声明函》或《残疾人福利性单位声明函》或属于监狱企业的证明文件。</w:t>
      </w:r>
    </w:p>
    <w:p w14:paraId="003B4487">
      <w:pPr>
        <w:autoSpaceDE w:val="0"/>
        <w:autoSpaceDN w:val="0"/>
        <w:adjustRightInd w:val="0"/>
        <w:spacing w:line="360" w:lineRule="auto"/>
        <w:ind w:firstLine="480" w:firstLineChars="200"/>
        <w:rPr>
          <w:sz w:val="24"/>
          <w:szCs w:val="32"/>
        </w:rPr>
      </w:pPr>
      <w:r>
        <w:rPr>
          <w:rFonts w:hint="eastAsia"/>
          <w:sz w:val="24"/>
          <w:szCs w:val="32"/>
        </w:rPr>
        <w:t>五</w:t>
      </w:r>
      <w:r>
        <w:rPr>
          <w:sz w:val="24"/>
          <w:szCs w:val="32"/>
        </w:rPr>
        <w:t>、项目需要落实的政府采购政策</w:t>
      </w:r>
    </w:p>
    <w:bookmarkEnd w:id="3"/>
    <w:p w14:paraId="3178374F">
      <w:pPr>
        <w:autoSpaceDE w:val="0"/>
        <w:autoSpaceDN w:val="0"/>
        <w:adjustRightInd w:val="0"/>
        <w:spacing w:line="360" w:lineRule="auto"/>
        <w:ind w:firstLine="480" w:firstLineChars="200"/>
        <w:rPr>
          <w:sz w:val="24"/>
          <w:szCs w:val="32"/>
        </w:rPr>
      </w:pPr>
      <w:r>
        <w:rPr>
          <w:sz w:val="24"/>
          <w:szCs w:val="32"/>
        </w:rPr>
        <w:t>（一）按照国家节能环保政策执行。</w:t>
      </w:r>
    </w:p>
    <w:p w14:paraId="5525A35D">
      <w:pPr>
        <w:autoSpaceDE w:val="0"/>
        <w:autoSpaceDN w:val="0"/>
        <w:adjustRightInd w:val="0"/>
        <w:spacing w:line="360" w:lineRule="auto"/>
        <w:ind w:firstLine="480" w:firstLineChars="200"/>
        <w:rPr>
          <w:sz w:val="24"/>
          <w:szCs w:val="32"/>
        </w:rPr>
      </w:pPr>
      <w:r>
        <w:rPr>
          <w:sz w:val="24"/>
          <w:szCs w:val="32"/>
        </w:rPr>
        <w:t>（二）本项目仅限</w:t>
      </w:r>
      <w:r>
        <w:rPr>
          <w:rFonts w:hint="eastAsia"/>
          <w:sz w:val="24"/>
          <w:szCs w:val="32"/>
        </w:rPr>
        <w:t>中</w:t>
      </w:r>
      <w:r>
        <w:rPr>
          <w:sz w:val="24"/>
          <w:szCs w:val="32"/>
        </w:rPr>
        <w:t>、</w:t>
      </w:r>
      <w:r>
        <w:rPr>
          <w:rFonts w:hint="eastAsia"/>
          <w:sz w:val="24"/>
          <w:szCs w:val="32"/>
        </w:rPr>
        <w:t>小微</w:t>
      </w:r>
      <w:r>
        <w:rPr>
          <w:sz w:val="24"/>
          <w:szCs w:val="32"/>
        </w:rPr>
        <w:t>企业、监狱企业、残疾人福利性单位参与，投标人须提供《中小企业声明函》或《残疾人福利性单位声明函》或属于监狱企业的证明文件。</w:t>
      </w:r>
    </w:p>
    <w:p w14:paraId="46EE1676">
      <w:pPr>
        <w:autoSpaceDE w:val="0"/>
        <w:autoSpaceDN w:val="0"/>
        <w:adjustRightInd w:val="0"/>
        <w:spacing w:line="360" w:lineRule="auto"/>
        <w:ind w:firstLine="480" w:firstLineChars="200"/>
        <w:rPr>
          <w:sz w:val="24"/>
          <w:szCs w:val="32"/>
        </w:rPr>
      </w:pPr>
      <w:r>
        <w:rPr>
          <w:sz w:val="24"/>
          <w:szCs w:val="32"/>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autoSpaceDE w:val="0"/>
        <w:autoSpaceDN w:val="0"/>
        <w:adjustRightInd w:val="0"/>
        <w:spacing w:line="360" w:lineRule="auto"/>
        <w:ind w:firstLine="480" w:firstLineChars="200"/>
        <w:rPr>
          <w:sz w:val="24"/>
          <w:szCs w:val="32"/>
        </w:rPr>
      </w:pPr>
      <w:r>
        <w:rPr>
          <w:sz w:val="24"/>
          <w:szCs w:val="32"/>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08B39D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highlight w:val="none"/>
        </w:rPr>
        <w:t>2025年</w:t>
      </w:r>
      <w:r>
        <w:rPr>
          <w:rFonts w:hint="eastAsia" w:ascii="宋体" w:hAnsi="宋体"/>
          <w:color w:val="auto"/>
          <w:highlight w:val="none"/>
          <w:lang w:val="en-US" w:eastAsia="zh-CN"/>
        </w:rPr>
        <w:t>12</w:t>
      </w:r>
      <w:r>
        <w:rPr>
          <w:rFonts w:hint="eastAsia" w:ascii="宋体" w:hAnsi="宋体"/>
          <w:color w:val="auto"/>
          <w:highlight w:val="none"/>
        </w:rPr>
        <w:t>月</w:t>
      </w:r>
      <w:r>
        <w:rPr>
          <w:rFonts w:hint="eastAsia" w:ascii="宋体" w:hAnsi="宋体"/>
          <w:color w:val="auto"/>
          <w:highlight w:val="none"/>
          <w:lang w:val="en-US" w:eastAsia="zh-CN"/>
        </w:rPr>
        <w:t>25</w:t>
      </w:r>
      <w:r>
        <w:rPr>
          <w:rFonts w:hint="eastAsia" w:ascii="宋体" w:hAnsi="宋体"/>
          <w:color w:val="auto"/>
          <w:highlight w:val="none"/>
        </w:rPr>
        <w:t>日</w:t>
      </w:r>
      <w:r>
        <w:rPr>
          <w:rFonts w:hint="eastAsia" w:ascii="Times New Roman" w:hAnsi="Times New Roman" w:eastAsia="宋体" w:cs="Times New Roman"/>
          <w:color w:val="auto"/>
          <w:highlight w:val="none"/>
        </w:rPr>
        <w:t>至</w:t>
      </w:r>
      <w:r>
        <w:rPr>
          <w:rFonts w:hint="eastAsia" w:ascii="宋体" w:hAnsi="宋体"/>
          <w:color w:val="auto"/>
          <w:highlight w:val="none"/>
        </w:rPr>
        <w:t>202</w:t>
      </w:r>
      <w:r>
        <w:rPr>
          <w:rFonts w:hint="eastAsia" w:ascii="宋体" w:hAnsi="宋体"/>
          <w:color w:val="auto"/>
          <w:highlight w:val="none"/>
          <w:lang w:val="en-US" w:eastAsia="zh-CN"/>
        </w:rPr>
        <w:t>6</w:t>
      </w:r>
      <w:r>
        <w:rPr>
          <w:rFonts w:hint="eastAsia" w:ascii="宋体" w:hAnsi="宋体"/>
          <w:color w:val="auto"/>
          <w:highlight w:val="none"/>
        </w:rPr>
        <w:t>年</w:t>
      </w:r>
      <w:r>
        <w:rPr>
          <w:rFonts w:hint="eastAsia" w:ascii="宋体" w:hAnsi="宋体"/>
          <w:color w:val="auto"/>
          <w:highlight w:val="none"/>
          <w:lang w:val="en-US" w:eastAsia="zh-CN"/>
        </w:rPr>
        <w:t>1</w:t>
      </w:r>
      <w:r>
        <w:rPr>
          <w:rFonts w:hint="eastAsia" w:ascii="宋体" w:hAnsi="宋体"/>
          <w:color w:val="auto"/>
          <w:highlight w:val="none"/>
        </w:rPr>
        <w:t>月</w:t>
      </w:r>
      <w:r>
        <w:rPr>
          <w:rFonts w:hint="eastAsia" w:ascii="宋体" w:hAnsi="宋体"/>
          <w:color w:val="auto"/>
          <w:highlight w:val="none"/>
          <w:lang w:val="en-US" w:eastAsia="zh-CN"/>
        </w:rPr>
        <w:t>4</w:t>
      </w:r>
      <w:r>
        <w:rPr>
          <w:rFonts w:hint="eastAsia" w:ascii="宋体" w:hAnsi="宋体"/>
          <w:color w:val="auto"/>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下载竞争性磋商文件。</w:t>
      </w:r>
    </w:p>
    <w:p w14:paraId="74D714F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6"/>
        <w:spacing w:line="360" w:lineRule="auto"/>
        <w:ind w:firstLine="480" w:firstLineChars="200"/>
        <w:jc w:val="both"/>
        <w:rPr>
          <w:rFonts w:ascii="Times New Roman" w:hAnsi="Times New Roman" w:eastAsia="宋体" w:cs="Times New Roman"/>
          <w:color w:val="auto"/>
        </w:rPr>
      </w:pPr>
      <w:r>
        <w:rPr>
          <w:rFonts w:hint="eastAsia" w:ascii="宋体" w:hAnsi="宋体"/>
          <w:color w:val="auto"/>
          <w:highlight w:val="none"/>
        </w:rPr>
        <w:t>2025年</w:t>
      </w:r>
      <w:r>
        <w:rPr>
          <w:rFonts w:hint="eastAsia" w:ascii="宋体" w:hAnsi="宋体"/>
          <w:color w:val="auto"/>
          <w:highlight w:val="none"/>
          <w:lang w:val="en-US" w:eastAsia="zh-CN"/>
        </w:rPr>
        <w:t>12</w:t>
      </w:r>
      <w:r>
        <w:rPr>
          <w:rFonts w:hint="eastAsia" w:ascii="宋体" w:hAnsi="宋体"/>
          <w:color w:val="auto"/>
          <w:highlight w:val="none"/>
        </w:rPr>
        <w:t>月</w:t>
      </w:r>
      <w:r>
        <w:rPr>
          <w:rFonts w:hint="eastAsia" w:ascii="宋体" w:hAnsi="宋体"/>
          <w:color w:val="auto"/>
          <w:highlight w:val="none"/>
          <w:lang w:val="en-US" w:eastAsia="zh-CN"/>
        </w:rPr>
        <w:t>25</w:t>
      </w:r>
      <w:r>
        <w:rPr>
          <w:rFonts w:hint="eastAsia" w:ascii="宋体" w:hAnsi="宋体"/>
          <w:color w:val="auto"/>
          <w:highlight w:val="none"/>
        </w:rPr>
        <w:t>日</w:t>
      </w:r>
      <w:r>
        <w:rPr>
          <w:rFonts w:hint="eastAsia" w:ascii="Times New Roman" w:hAnsi="Times New Roman" w:eastAsia="宋体" w:cs="Times New Roman"/>
          <w:color w:val="auto"/>
          <w:highlight w:val="none"/>
        </w:rPr>
        <w:t>9:00至</w:t>
      </w:r>
      <w:r>
        <w:rPr>
          <w:rFonts w:hint="eastAsia" w:ascii="宋体" w:hAnsi="宋体"/>
          <w:color w:val="auto"/>
          <w:highlight w:val="none"/>
        </w:rPr>
        <w:t>202</w:t>
      </w:r>
      <w:r>
        <w:rPr>
          <w:rFonts w:hint="eastAsia" w:ascii="宋体" w:hAnsi="宋体"/>
          <w:color w:val="auto"/>
          <w:highlight w:val="none"/>
          <w:lang w:val="en-US" w:eastAsia="zh-CN"/>
        </w:rPr>
        <w:t>6</w:t>
      </w:r>
      <w:r>
        <w:rPr>
          <w:rFonts w:hint="eastAsia" w:ascii="宋体" w:hAnsi="宋体"/>
          <w:color w:val="auto"/>
          <w:highlight w:val="none"/>
        </w:rPr>
        <w:t>年</w:t>
      </w:r>
      <w:r>
        <w:rPr>
          <w:rFonts w:hint="eastAsia" w:ascii="宋体" w:hAnsi="宋体"/>
          <w:color w:val="auto"/>
          <w:highlight w:val="none"/>
          <w:lang w:val="en-US" w:eastAsia="zh-CN"/>
        </w:rPr>
        <w:t>1</w:t>
      </w:r>
      <w:r>
        <w:rPr>
          <w:rFonts w:hint="eastAsia" w:ascii="宋体" w:hAnsi="宋体"/>
          <w:color w:val="auto"/>
          <w:highlight w:val="none"/>
        </w:rPr>
        <w:t>月</w:t>
      </w:r>
      <w:r>
        <w:rPr>
          <w:rFonts w:hint="eastAsia" w:ascii="宋体" w:hAnsi="宋体"/>
          <w:color w:val="auto"/>
          <w:highlight w:val="none"/>
          <w:lang w:val="en-US" w:eastAsia="zh-CN"/>
        </w:rPr>
        <w:t>6</w:t>
      </w:r>
      <w:r>
        <w:rPr>
          <w:rFonts w:hint="eastAsia" w:ascii="宋体" w:hAnsi="宋体"/>
          <w:color w:val="auto"/>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highlight w:val="none"/>
        </w:rPr>
        <w:t>202</w:t>
      </w:r>
      <w:r>
        <w:rPr>
          <w:rFonts w:hint="eastAsia" w:ascii="宋体" w:hAnsi="宋体"/>
          <w:color w:val="auto"/>
          <w:highlight w:val="none"/>
          <w:lang w:val="en-US" w:eastAsia="zh-CN"/>
        </w:rPr>
        <w:t>6</w:t>
      </w:r>
      <w:r>
        <w:rPr>
          <w:rFonts w:hint="eastAsia" w:ascii="宋体" w:hAnsi="宋体"/>
          <w:color w:val="auto"/>
          <w:highlight w:val="none"/>
        </w:rPr>
        <w:t>年</w:t>
      </w:r>
      <w:r>
        <w:rPr>
          <w:rFonts w:hint="eastAsia" w:ascii="宋体" w:hAnsi="宋体"/>
          <w:color w:val="auto"/>
          <w:highlight w:val="none"/>
          <w:lang w:val="en-US" w:eastAsia="zh-CN"/>
        </w:rPr>
        <w:t>1</w:t>
      </w:r>
      <w:r>
        <w:rPr>
          <w:rFonts w:hint="eastAsia" w:ascii="宋体" w:hAnsi="宋体"/>
          <w:color w:val="auto"/>
          <w:highlight w:val="none"/>
        </w:rPr>
        <w:t>月</w:t>
      </w:r>
      <w:r>
        <w:rPr>
          <w:rFonts w:hint="eastAsia" w:ascii="宋体" w:hAnsi="宋体"/>
          <w:color w:val="auto"/>
          <w:highlight w:val="none"/>
          <w:lang w:val="en-US" w:eastAsia="zh-CN"/>
        </w:rPr>
        <w:t>6</w:t>
      </w:r>
      <w:r>
        <w:rPr>
          <w:rFonts w:hint="eastAsia" w:ascii="宋体" w:hAnsi="宋体"/>
          <w:color w:val="auto"/>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区级集采机构入口”提交网上应答和分别上传加盖电子签章的第一、第二阶段电子响应文件（以通过天津公共资源电子签章客户端正确读取签章信息为准）。</w:t>
      </w:r>
    </w:p>
    <w:p w14:paraId="6D002A3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宋体" w:hAnsi="宋体"/>
          <w:color w:val="auto"/>
          <w:highlight w:val="none"/>
        </w:rPr>
        <w:t>202</w:t>
      </w:r>
      <w:r>
        <w:rPr>
          <w:rFonts w:hint="eastAsia" w:ascii="宋体" w:hAnsi="宋体"/>
          <w:color w:val="auto"/>
          <w:highlight w:val="none"/>
          <w:lang w:val="en-US" w:eastAsia="zh-CN"/>
        </w:rPr>
        <w:t>6</w:t>
      </w:r>
      <w:r>
        <w:rPr>
          <w:rFonts w:hint="eastAsia" w:ascii="宋体" w:hAnsi="宋体"/>
          <w:color w:val="auto"/>
          <w:highlight w:val="none"/>
        </w:rPr>
        <w:t>年</w:t>
      </w:r>
      <w:r>
        <w:rPr>
          <w:rFonts w:hint="eastAsia" w:ascii="宋体" w:hAnsi="宋体"/>
          <w:color w:val="auto"/>
          <w:highlight w:val="none"/>
          <w:lang w:val="en-US" w:eastAsia="zh-CN"/>
        </w:rPr>
        <w:t>1</w:t>
      </w:r>
      <w:r>
        <w:rPr>
          <w:rFonts w:hint="eastAsia" w:ascii="宋体" w:hAnsi="宋体"/>
          <w:color w:val="auto"/>
          <w:highlight w:val="none"/>
        </w:rPr>
        <w:t>月</w:t>
      </w:r>
      <w:r>
        <w:rPr>
          <w:rFonts w:hint="eastAsia" w:ascii="宋体" w:hAnsi="宋体"/>
          <w:color w:val="auto"/>
          <w:highlight w:val="none"/>
          <w:lang w:val="en-US" w:eastAsia="zh-CN"/>
        </w:rPr>
        <w:t>6</w:t>
      </w:r>
      <w:r>
        <w:rPr>
          <w:rFonts w:hint="eastAsia" w:ascii="宋体" w:hAnsi="宋体"/>
          <w:color w:val="auto"/>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完成第</w:t>
      </w:r>
      <w:r>
        <w:rPr>
          <w:rFonts w:hint="eastAsia" w:ascii="Times New Roman" w:hAnsi="Times New Roman" w:eastAsia="宋体" w:cs="Times New Roman"/>
          <w:color w:val="auto"/>
        </w:rPr>
        <w:t>一阶段解密的方为有效响应。</w:t>
      </w:r>
    </w:p>
    <w:p w14:paraId="6BBC569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使用）登录天津市政府采购中心网（网址：http://tjgpc.zwfwb.tj.gov.cn）-”网上招投标”-“供应商登录”-“区级集采机构入口”完成解密。</w:t>
      </w:r>
    </w:p>
    <w:p w14:paraId="7A1E2DA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rPr>
        <w:t>沈川   联系电话：27937066</w:t>
      </w:r>
    </w:p>
    <w:p w14:paraId="0C8DE8C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:00，14:00～17:00</w:t>
      </w:r>
    </w:p>
    <w:p w14:paraId="04E15CB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8F094D0">
      <w:pPr>
        <w:pStyle w:val="3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022-27909327</w:t>
      </w:r>
    </w:p>
    <w:p w14:paraId="4DA8B15F">
      <w:pPr>
        <w:pStyle w:val="3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6B09BD">
      <w:pPr>
        <w:pStyle w:val="36"/>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33951749">
      <w:pPr>
        <w:pStyle w:val="36"/>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 xml:space="preserve">天津市西青区应急管理局 </w:t>
      </w:r>
      <w:r>
        <w:rPr>
          <w:rFonts w:ascii="Times New Roman" w:hAnsi="Times New Roman" w:eastAsia="宋体" w:cs="Times New Roman"/>
          <w:color w:val="auto"/>
          <w:highlight w:val="none"/>
        </w:rPr>
        <w:t xml:space="preserve"> </w:t>
      </w:r>
    </w:p>
    <w:p w14:paraId="0327F501">
      <w:pPr>
        <w:pStyle w:val="36"/>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天津市</w:t>
      </w:r>
      <w:r>
        <w:rPr>
          <w:rFonts w:ascii="Times New Roman" w:hAnsi="Times New Roman" w:eastAsia="宋体" w:cs="Times New Roman"/>
          <w:color w:val="auto"/>
          <w:highlight w:val="none"/>
        </w:rPr>
        <w:t>西青区杨柳青镇润杨道</w:t>
      </w:r>
      <w:r>
        <w:rPr>
          <w:rFonts w:hint="eastAsia" w:ascii="Times New Roman" w:hAnsi="Times New Roman" w:eastAsia="宋体" w:cs="Times New Roman"/>
          <w:color w:val="auto"/>
          <w:highlight w:val="none"/>
        </w:rPr>
        <w:t>99号</w:t>
      </w:r>
    </w:p>
    <w:p w14:paraId="32B055BD">
      <w:pPr>
        <w:pStyle w:val="36"/>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郭少斌</w:t>
      </w:r>
    </w:p>
    <w:p w14:paraId="7D315360">
      <w:pPr>
        <w:pStyle w:val="36"/>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（四）采购人联系电话：022-27909327</w:t>
      </w:r>
    </w:p>
    <w:p w14:paraId="5EEDF0E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298A43">
      <w:pPr>
        <w:pStyle w:val="3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联系部门：天津市西青区应急管理局</w:t>
      </w:r>
    </w:p>
    <w:p w14:paraId="7DA17093">
      <w:pPr>
        <w:pStyle w:val="3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w:t>
      </w:r>
      <w:r>
        <w:rPr>
          <w:rFonts w:ascii="Times New Roman" w:hAnsi="Times New Roman" w:eastAsia="宋体" w:cs="Times New Roman"/>
          <w:color w:val="auto"/>
          <w:highlight w:val="none"/>
        </w:rPr>
        <w:t>西青区杨柳青镇润杨道</w:t>
      </w:r>
      <w:r>
        <w:rPr>
          <w:rFonts w:hint="eastAsia" w:ascii="Times New Roman" w:hAnsi="Times New Roman" w:eastAsia="宋体" w:cs="Times New Roman"/>
          <w:color w:val="auto"/>
          <w:highlight w:val="none"/>
        </w:rPr>
        <w:t>99号</w:t>
      </w:r>
    </w:p>
    <w:p w14:paraId="0F9480C4">
      <w:pPr>
        <w:pStyle w:val="3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人：成飞飞</w:t>
      </w:r>
    </w:p>
    <w:p w14:paraId="64C8AF63">
      <w:pPr>
        <w:pStyle w:val="3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 022-27392095</w:t>
      </w:r>
    </w:p>
    <w:p w14:paraId="13C5B82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728EA9D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36"/>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2"/>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sz w:val="24"/>
        </w:rPr>
      </w:pPr>
      <w:r>
        <w:rPr>
          <w:sz w:val="24"/>
        </w:rPr>
        <w:t>1. 投标报价以人民币填列。</w:t>
      </w:r>
    </w:p>
    <w:p w14:paraId="075EA382">
      <w:pPr>
        <w:spacing w:line="360" w:lineRule="auto"/>
        <w:ind w:firstLine="480" w:firstLineChars="200"/>
        <w:rPr>
          <w:sz w:val="24"/>
        </w:rPr>
      </w:pPr>
      <w:r>
        <w:rPr>
          <w:sz w:val="24"/>
        </w:rPr>
        <w:t>2. 投标人的报价应包括：企业利润及税金等</w:t>
      </w:r>
      <w:r>
        <w:rPr>
          <w:rFonts w:hint="eastAsia"/>
          <w:sz w:val="24"/>
        </w:rPr>
        <w:t>为完成磋商文件规定的一切工作所需的全部费用</w:t>
      </w:r>
      <w:r>
        <w:rPr>
          <w:sz w:val="24"/>
        </w:rPr>
        <w:t>。</w:t>
      </w:r>
    </w:p>
    <w:p w14:paraId="32CC4445">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02769DDE">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0A35FFCF">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6737C676">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ascii="宋体" w:hAnsi="宋体"/>
          <w:color w:val="auto"/>
        </w:rPr>
        <w:t>自</w:t>
      </w:r>
      <w:r>
        <w:rPr>
          <w:rFonts w:hint="eastAsia" w:ascii="宋体" w:hAnsi="宋体"/>
          <w:color w:val="auto"/>
        </w:rPr>
        <w:t>签订合同之日起</w:t>
      </w:r>
      <w:r>
        <w:rPr>
          <w:rFonts w:ascii="宋体" w:hAnsi="宋体"/>
          <w:color w:val="auto"/>
        </w:rPr>
        <w:t>1</w:t>
      </w:r>
      <w:r>
        <w:rPr>
          <w:rFonts w:hint="eastAsia" w:ascii="宋体" w:hAnsi="宋体"/>
          <w:color w:val="auto"/>
        </w:rPr>
        <w:t>年</w:t>
      </w:r>
      <w:bookmarkStart w:id="6" w:name="_GoBack"/>
      <w:bookmarkEnd w:id="6"/>
      <w:r>
        <w:rPr>
          <w:rFonts w:hint="eastAsia" w:ascii="宋体" w:hAnsi="宋体"/>
          <w:color w:val="auto"/>
        </w:rPr>
        <w:t>。</w:t>
      </w:r>
    </w:p>
    <w:p w14:paraId="39AC2F87">
      <w:pPr>
        <w:pStyle w:val="36"/>
        <w:spacing w:line="360" w:lineRule="auto"/>
        <w:ind w:firstLine="480" w:firstLineChars="200"/>
        <w:jc w:val="both"/>
        <w:rPr>
          <w:rFonts w:ascii="Times New Roman" w:hAnsi="Times New Roman" w:cs="Times New Roman"/>
          <w:color w:val="FF0000"/>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宋体" w:hAnsi="宋体"/>
          <w:color w:val="auto"/>
        </w:rPr>
        <w:t>西青区应急管理</w:t>
      </w:r>
      <w:r>
        <w:rPr>
          <w:rFonts w:hint="eastAsia" w:ascii="宋体" w:hAnsi="宋体"/>
        </w:rPr>
        <w:t>局、</w:t>
      </w:r>
      <w:r>
        <w:rPr>
          <w:rFonts w:ascii="宋体" w:hAnsi="宋体"/>
        </w:rPr>
        <w:t>各</w:t>
      </w:r>
      <w:r>
        <w:rPr>
          <w:rFonts w:hint="eastAsia" w:ascii="宋体" w:hAnsi="宋体"/>
        </w:rPr>
        <w:t>联网</w:t>
      </w:r>
      <w:r>
        <w:rPr>
          <w:rFonts w:ascii="宋体" w:hAnsi="宋体"/>
        </w:rPr>
        <w:t>危化企业</w:t>
      </w:r>
      <w:r>
        <w:rPr>
          <w:rFonts w:hint="eastAsia" w:ascii="宋体" w:hAnsi="宋体"/>
        </w:rPr>
        <w:t>。</w:t>
      </w:r>
    </w:p>
    <w:p w14:paraId="71B999FA">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67A7D514">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1F2995F1">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36E333C9">
      <w:pPr>
        <w:pStyle w:val="36"/>
        <w:spacing w:line="360" w:lineRule="auto"/>
        <w:ind w:firstLine="480" w:firstLineChars="200"/>
        <w:jc w:val="both"/>
        <w:rPr>
          <w:rFonts w:ascii="宋体" w:hAnsi="宋体"/>
        </w:rPr>
      </w:pPr>
      <w:r>
        <w:rPr>
          <w:rFonts w:hint="eastAsia" w:ascii="宋体" w:hAnsi="宋体"/>
        </w:rPr>
        <w:t>自签订合同之日起的30个工作日内，支付合同金额</w:t>
      </w:r>
      <w:r>
        <w:rPr>
          <w:rFonts w:ascii="宋体" w:hAnsi="宋体"/>
        </w:rPr>
        <w:t>40</w:t>
      </w:r>
      <w:r>
        <w:rPr>
          <w:rFonts w:hint="eastAsia" w:ascii="宋体" w:hAnsi="宋体"/>
        </w:rPr>
        <w:t>%预付款，服务期过半，采购人组织完成项目中期绩效评价后的15个工作日内，支付合同中期服务款，按合同金额的</w:t>
      </w:r>
      <w:r>
        <w:rPr>
          <w:rFonts w:ascii="宋体" w:hAnsi="宋体"/>
        </w:rPr>
        <w:t>30</w:t>
      </w:r>
      <w:r>
        <w:rPr>
          <w:rFonts w:hint="eastAsia" w:ascii="宋体" w:hAnsi="宋体"/>
        </w:rPr>
        <w:t>%与中期绩效评价得分对应结算系数两者乘积进行计算。服务期满，采购人组织完成项目终期绩效评价后的15个工作日内，支付合同终期服务款，按合同金额</w:t>
      </w:r>
      <w:r>
        <w:rPr>
          <w:rFonts w:ascii="宋体" w:hAnsi="宋体"/>
        </w:rPr>
        <w:t>3</w:t>
      </w:r>
      <w:r>
        <w:rPr>
          <w:rFonts w:hint="eastAsia" w:ascii="宋体" w:hAnsi="宋体"/>
        </w:rPr>
        <w:t>0%与终期绩效评价得分对应结算系数两者乘积进行计算。</w:t>
      </w:r>
    </w:p>
    <w:p w14:paraId="57A1222D">
      <w:pPr>
        <w:pStyle w:val="4"/>
        <w:numPr>
          <w:ilvl w:val="0"/>
          <w:numId w:val="0"/>
        </w:numPr>
        <w:jc w:val="left"/>
        <w:rPr>
          <w:rFonts w:ascii="宋体" w:hAnsi="宋体"/>
          <w:sz w:val="24"/>
        </w:rPr>
      </w:pPr>
      <w:r>
        <w:rPr>
          <w:rFonts w:hint="eastAsia" w:ascii="宋体" w:hAnsi="宋体"/>
          <w:sz w:val="24"/>
        </w:rPr>
        <w:t>（六）服务要求</w:t>
      </w:r>
    </w:p>
    <w:p w14:paraId="2C2188E8">
      <w:pPr>
        <w:autoSpaceDE w:val="0"/>
        <w:autoSpaceDN w:val="0"/>
        <w:adjustRightInd w:val="0"/>
        <w:spacing w:line="360" w:lineRule="auto"/>
        <w:ind w:firstLine="480" w:firstLineChars="200"/>
        <w:rPr>
          <w:color w:val="000000"/>
          <w:sz w:val="24"/>
        </w:rPr>
      </w:pPr>
      <w:r>
        <w:rPr>
          <w:rFonts w:hint="eastAsia"/>
          <w:color w:val="000000"/>
          <w:sz w:val="24"/>
        </w:rPr>
        <w:t>1.服务期内，供应商运维人员不少于5名，具有物联网工程、网络工程、软件工程等相关领域专业知识和实际运维经验，提供7*24小时技术支持。必要时，按西青区应急管理局要求提供驻场服务。</w:t>
      </w:r>
    </w:p>
    <w:p w14:paraId="4BFA9C25">
      <w:pPr>
        <w:autoSpaceDE w:val="0"/>
        <w:autoSpaceDN w:val="0"/>
        <w:adjustRightInd w:val="0"/>
        <w:spacing w:line="360" w:lineRule="auto"/>
        <w:ind w:firstLine="480" w:firstLineChars="200"/>
        <w:rPr>
          <w:color w:val="000000"/>
          <w:sz w:val="24"/>
        </w:rPr>
      </w:pPr>
      <w:r>
        <w:rPr>
          <w:rFonts w:hint="eastAsia"/>
          <w:color w:val="000000"/>
          <w:sz w:val="24"/>
        </w:rPr>
        <w:t>2.自签订合同之日起15个工作日内，供应商应制定详细的运维方案，明确运维目标、运维内容、月巡检维护计划、故障应急响应程序、问题调查程序、变更实施程序等，运维方案应由采购人审核确认。</w:t>
      </w:r>
    </w:p>
    <w:p w14:paraId="11FC3597">
      <w:pPr>
        <w:autoSpaceDE w:val="0"/>
        <w:autoSpaceDN w:val="0"/>
        <w:adjustRightInd w:val="0"/>
        <w:spacing w:line="360" w:lineRule="auto"/>
        <w:ind w:firstLine="480" w:firstLineChars="200"/>
        <w:rPr>
          <w:color w:val="000000"/>
          <w:sz w:val="24"/>
        </w:rPr>
      </w:pPr>
      <w:r>
        <w:rPr>
          <w:rFonts w:hint="eastAsia"/>
          <w:color w:val="000000"/>
          <w:sz w:val="24"/>
        </w:rPr>
        <w:t xml:space="preserve">3.供应商实施运维服务前，应结合西青区安防网危险化学品在线监测平台建设现状，建立完善的初始配置管理清单台账，并结合运维工作开展过程中的变更实施进行动态调整。初始配置管理清单台账包括但不限于：设备位置记录表，汇总 IP 地址表、关键设备配置信息表、设备资产台账等，其中应明确IP、设备资产的唯一标识。 </w:t>
      </w:r>
    </w:p>
    <w:p w14:paraId="0A1AFEED">
      <w:pPr>
        <w:autoSpaceDE w:val="0"/>
        <w:autoSpaceDN w:val="0"/>
        <w:adjustRightInd w:val="0"/>
        <w:spacing w:line="360" w:lineRule="auto"/>
        <w:ind w:firstLine="480" w:firstLineChars="200"/>
        <w:rPr>
          <w:color w:val="000000"/>
          <w:sz w:val="24"/>
        </w:rPr>
      </w:pPr>
      <w:r>
        <w:rPr>
          <w:rFonts w:hint="eastAsia"/>
          <w:color w:val="000000"/>
          <w:sz w:val="24"/>
        </w:rPr>
        <w:t>4.服务期内，供应商每次巡检后，应对巡检范围内的每一个巡检对象制定独立、完整的巡检记录，记录内容包括但不限于：巡检记录的唯一标识、该次巡检的起始时间和完成时间（年月日时分）、该次巡检的执行人员姓名及联系方式、巡检对象的唯一标识（该标识应与配置管理中该对象的唯一标识一致，或与配置管理中该对象的唯一标识具备可识别的关联性）、巡检内容（针对不同对象制定不同的巡检任务）、执行的巡检操作、巡检发现的问题以及排查存在的安全隐患或可预见性故障、用户反馈意见、问题解决情况（可关联其他记录的唯一标识）。记录应由采购人负责人员签字确认，其具体制式由双方协商确定。</w:t>
      </w:r>
    </w:p>
    <w:p w14:paraId="1E19A5C1">
      <w:pPr>
        <w:autoSpaceDE w:val="0"/>
        <w:autoSpaceDN w:val="0"/>
        <w:adjustRightInd w:val="0"/>
        <w:spacing w:line="360" w:lineRule="auto"/>
        <w:ind w:firstLine="480" w:firstLineChars="200"/>
        <w:rPr>
          <w:color w:val="000000"/>
          <w:sz w:val="24"/>
        </w:rPr>
      </w:pPr>
      <w:r>
        <w:rPr>
          <w:rFonts w:hint="eastAsia"/>
          <w:color w:val="000000"/>
          <w:sz w:val="24"/>
        </w:rPr>
        <w:t>5.服务期内，供应商应每季度汇总当季度全部的巡检记录，编制巡检报告，报告应对当月巡检任务完成情况进行说明，对巡检范围内设备设施存在的故障情况及处理情况进行汇总分析，提出后续操作、使用、维护等工作的改进建议。</w:t>
      </w:r>
    </w:p>
    <w:p w14:paraId="49B4D91D">
      <w:pPr>
        <w:autoSpaceDE w:val="0"/>
        <w:autoSpaceDN w:val="0"/>
        <w:adjustRightInd w:val="0"/>
        <w:spacing w:line="360" w:lineRule="auto"/>
        <w:ind w:firstLine="480" w:firstLineChars="200"/>
        <w:rPr>
          <w:color w:val="000000"/>
          <w:sz w:val="24"/>
        </w:rPr>
      </w:pPr>
      <w:r>
        <w:rPr>
          <w:rFonts w:hint="eastAsia"/>
          <w:color w:val="000000"/>
          <w:sz w:val="24"/>
        </w:rPr>
        <w:t>6.服务期内，供应商每次故障修复完成后，应对故障修复过程情况进行完整记录，记录内容包括但不限于：故障修复记录的唯一标识、故障来源（例行巡检发现，主动发现，用户故障通知）、故障来源的关联服务记录唯一标识（仅针对例行巡检）、故障发现时间（年月日时分）、设备故障描述、关联故障对象标识（该标识应与配置管理中该对象的唯一标识一致，或与配置管理中该对象的唯一标识具备可识别的关联性）、故障恢复时间（年月日时分）、故障持续时间（时分）、故障处理人姓名、故障处理人联系方式、故障修复过程描述、是否导致业务中断、备机备件使用情况、关联的其他服务记录唯一标识（如：设备维修维护、变更实施、问题调查等），并由采购人相关负责人签字确认，其具体制式由双方协商确定。</w:t>
      </w:r>
    </w:p>
    <w:p w14:paraId="0904BC6A">
      <w:pPr>
        <w:autoSpaceDE w:val="0"/>
        <w:autoSpaceDN w:val="0"/>
        <w:adjustRightInd w:val="0"/>
        <w:spacing w:line="360" w:lineRule="auto"/>
        <w:ind w:firstLine="480" w:firstLineChars="200"/>
        <w:rPr>
          <w:color w:val="000000"/>
          <w:sz w:val="24"/>
        </w:rPr>
      </w:pPr>
      <w:r>
        <w:rPr>
          <w:rFonts w:hint="eastAsia"/>
          <w:color w:val="000000"/>
          <w:sz w:val="24"/>
        </w:rPr>
        <w:t>7.服务期内，每次设备维修维护或固件升级完成后，应对维修维护、固件升级情况及时进行记录，记录内容包括但不限于：维修维护设备记录的唯一标识、该次维修维护的起因（检维修计划、例行巡检发现、故障修复、网络安全管理、重保、业务需要）、维修维护起因关联服务记录唯一标识（仅针对例行巡检、故障修复、重保）该次维修维护的起始时间和完成时间（年月日时分）、该次维修维护的执行人姓名及联系方式（手机）、维修维护对象的唯一标识（该标识应与配置管理中该对象的唯一标识一致，或与配置管理中该对象的唯一标识具备可识别的关联性）、维修维护操作的具体说明、导致该次维修维护的具体原因、该次维修维护关联的记录标识（变更实施）。</w:t>
      </w:r>
    </w:p>
    <w:p w14:paraId="1588D0DB">
      <w:pPr>
        <w:autoSpaceDE w:val="0"/>
        <w:autoSpaceDN w:val="0"/>
        <w:adjustRightInd w:val="0"/>
        <w:spacing w:line="360" w:lineRule="auto"/>
        <w:ind w:firstLine="480" w:firstLineChars="200"/>
        <w:rPr>
          <w:color w:val="000000"/>
          <w:sz w:val="24"/>
        </w:rPr>
      </w:pPr>
      <w:r>
        <w:rPr>
          <w:rFonts w:hint="eastAsia"/>
          <w:color w:val="000000"/>
          <w:sz w:val="24"/>
        </w:rPr>
        <w:t>8.服务期内，在重要节假日、重大活动、护网行动和其他重保任务期间应安排驻场人员专门负责重点保障和应急值守，提前做好全面巡检工作。每次重保结束后，应形成记录，内容包括但不限于：重保记录唯一标识、重保服务人员姓名及联系方式、重保起始时间和结束时间（年月日时分）、重保及值守工作事项（具体工作内容）、有无发生突发事件、紧急事件发生情况及处置记录、与该次紧急事件关联的服务记录（设备维修维护、变更实施）、用户确认情况等并由采购人相关负责人签字确认，其具体制式由双方协商确定。</w:t>
      </w:r>
    </w:p>
    <w:p w14:paraId="4FFC627D">
      <w:pPr>
        <w:autoSpaceDE w:val="0"/>
        <w:autoSpaceDN w:val="0"/>
        <w:adjustRightInd w:val="0"/>
        <w:spacing w:line="360" w:lineRule="auto"/>
        <w:ind w:firstLine="480" w:firstLineChars="200"/>
        <w:rPr>
          <w:color w:val="000000"/>
          <w:sz w:val="24"/>
        </w:rPr>
      </w:pPr>
      <w:r>
        <w:rPr>
          <w:rFonts w:hint="eastAsia"/>
          <w:color w:val="000000"/>
          <w:sz w:val="24"/>
        </w:rPr>
        <w:t>9.服务期内，针对于重复出现或者排除时间超过2个小时的故障，供应商应发起问题调查。问题调查记录内容包括但不限于：问题调查记录的唯一标识、问题来源（故障修复）、问题来源的关联服务记录唯一标识（若有）、问题调查起始时间和完成时间（年月日时分）、问题调查执行人姓名、问题调查执行人联系方式、问题主题描述、问题内容描述、问题调查过程描述、问题原因、解决方案或临时规避措施描述、用户确认情况等并由采购人相关负责人签字确认，其具体制式由双方协商确定。</w:t>
      </w:r>
    </w:p>
    <w:p w14:paraId="602B4ACB">
      <w:pPr>
        <w:autoSpaceDE w:val="0"/>
        <w:autoSpaceDN w:val="0"/>
        <w:adjustRightInd w:val="0"/>
        <w:spacing w:line="360" w:lineRule="auto"/>
        <w:ind w:firstLine="480" w:firstLineChars="200"/>
        <w:rPr>
          <w:color w:val="000000"/>
          <w:sz w:val="24"/>
        </w:rPr>
      </w:pPr>
      <w:r>
        <w:rPr>
          <w:rFonts w:hint="eastAsia"/>
          <w:color w:val="000000"/>
          <w:sz w:val="24"/>
        </w:rPr>
        <w:t>10.服务期内，供应商针对每一次变更实施的过程及完成情况应形成独立、完整的变更记录，记录内容包括但不限于：变更记录的唯一标识、变更主题描述、变更来源（例行巡检、故障修复、设备维修维护、重保、网络安全管理、用户工作要求等）、变更内容描述、准予变更实施的用户确认签字、变更实施起始时间和完成时间、变更实施执行人姓名及联系方式、变更实施的操作记录、用户确认情况等并由采购人相关负责人签字确认，其具体制式由双方协商确定。</w:t>
      </w:r>
    </w:p>
    <w:p w14:paraId="004AC908">
      <w:pPr>
        <w:autoSpaceDE w:val="0"/>
        <w:autoSpaceDN w:val="0"/>
        <w:adjustRightInd w:val="0"/>
        <w:spacing w:line="360" w:lineRule="auto"/>
        <w:ind w:firstLine="480" w:firstLineChars="200"/>
        <w:rPr>
          <w:color w:val="000000"/>
          <w:sz w:val="24"/>
        </w:rPr>
      </w:pPr>
      <w:r>
        <w:rPr>
          <w:rFonts w:hint="eastAsia"/>
          <w:color w:val="000000"/>
          <w:sz w:val="24"/>
        </w:rPr>
        <w:t>11.服务期内，供应商应做好关键设备设施运行日志的收集和保存工作，及时开展风险研判分析和处置。</w:t>
      </w:r>
    </w:p>
    <w:p w14:paraId="1AA60FB8">
      <w:pPr>
        <w:autoSpaceDE w:val="0"/>
        <w:autoSpaceDN w:val="0"/>
        <w:adjustRightInd w:val="0"/>
        <w:spacing w:line="360" w:lineRule="auto"/>
        <w:ind w:firstLine="480" w:firstLineChars="200"/>
        <w:rPr>
          <w:color w:val="000000"/>
          <w:sz w:val="24"/>
        </w:rPr>
      </w:pPr>
      <w:r>
        <w:rPr>
          <w:rFonts w:hint="eastAsia"/>
          <w:color w:val="000000"/>
          <w:sz w:val="24"/>
        </w:rPr>
        <w:t>12.服务期过半，项目中期评价前，供应商应向采购人递交半年内全部的巡检记录、巡检报告、故障修复记录、设备维修维护记录、重保记录、问题调查记录、变更记录。</w:t>
      </w:r>
    </w:p>
    <w:p w14:paraId="06594376">
      <w:pPr>
        <w:autoSpaceDE w:val="0"/>
        <w:autoSpaceDN w:val="0"/>
        <w:adjustRightInd w:val="0"/>
        <w:spacing w:line="360" w:lineRule="auto"/>
        <w:ind w:firstLine="480" w:firstLineChars="200"/>
        <w:rPr>
          <w:color w:val="000000"/>
          <w:sz w:val="24"/>
        </w:rPr>
      </w:pPr>
      <w:r>
        <w:rPr>
          <w:rFonts w:hint="eastAsia"/>
          <w:color w:val="000000"/>
          <w:sz w:val="24"/>
        </w:rPr>
        <w:t>13.服务期届满，项目组织终期评价验收前，供应商应向采购人递交全部的巡检记录、巡检报告、故障修复记录、设备维修维护记录、重保记录、问题调查记录、变更记录。</w:t>
      </w:r>
    </w:p>
    <w:p w14:paraId="441600F6">
      <w:pPr>
        <w:autoSpaceDE w:val="0"/>
        <w:autoSpaceDN w:val="0"/>
        <w:adjustRightInd w:val="0"/>
        <w:spacing w:line="360" w:lineRule="auto"/>
        <w:ind w:firstLine="480" w:firstLineChars="200"/>
        <w:rPr>
          <w:color w:val="000000"/>
          <w:sz w:val="24"/>
        </w:rPr>
      </w:pPr>
      <w:r>
        <w:rPr>
          <w:rFonts w:hint="eastAsia"/>
          <w:color w:val="000000"/>
          <w:sz w:val="24"/>
        </w:rPr>
        <w:t>14.服务期届满，项目组织终期评价验收前，供应商应向采购人提交年度运维工作报告，报告应包括年度运维、故障处理、设备维修、问题调查、重要变更等情况的总体分析，并提出合理建议。</w:t>
      </w:r>
    </w:p>
    <w:p w14:paraId="7A80A30C">
      <w:pPr>
        <w:autoSpaceDE w:val="0"/>
        <w:autoSpaceDN w:val="0"/>
        <w:adjustRightInd w:val="0"/>
        <w:spacing w:line="360" w:lineRule="auto"/>
        <w:ind w:firstLine="480" w:firstLineChars="200"/>
        <w:rPr>
          <w:color w:val="000000"/>
          <w:sz w:val="24"/>
        </w:rPr>
      </w:pPr>
      <w:r>
        <w:rPr>
          <w:rFonts w:hint="eastAsia"/>
          <w:color w:val="000000"/>
          <w:sz w:val="24"/>
        </w:rPr>
        <w:t>15.供应商应自配保障运维服务的车辆、维修工具等各种资源。</w:t>
      </w:r>
    </w:p>
    <w:p w14:paraId="3FEF6DFC">
      <w:pPr>
        <w:autoSpaceDE w:val="0"/>
        <w:autoSpaceDN w:val="0"/>
        <w:adjustRightInd w:val="0"/>
        <w:spacing w:line="360" w:lineRule="auto"/>
        <w:ind w:firstLine="480" w:firstLineChars="200"/>
        <w:rPr>
          <w:color w:val="000000"/>
          <w:sz w:val="24"/>
        </w:rPr>
      </w:pPr>
      <w:r>
        <w:rPr>
          <w:rFonts w:hint="eastAsia"/>
          <w:color w:val="000000"/>
          <w:sz w:val="24"/>
        </w:rPr>
        <w:t>16.当存在不可抗力因素（如自然灾害、政府行为、社会异常事件等）导致项目可能延期评价验收或可能影响供应商中期/终期评价验收结果的情况时，供应商应于发生该不可抗力事件的2个工作日内向采购人反馈具体情况。</w:t>
      </w:r>
    </w:p>
    <w:p w14:paraId="1FFB194E">
      <w:pPr>
        <w:pStyle w:val="36"/>
        <w:spacing w:line="360" w:lineRule="auto"/>
        <w:ind w:firstLine="480" w:firstLineChars="200"/>
        <w:jc w:val="both"/>
        <w:rPr>
          <w:rFonts w:ascii="宋体" w:hAnsi="宋体"/>
        </w:rPr>
      </w:pPr>
      <w:r>
        <w:rPr>
          <w:rFonts w:hint="eastAsia" w:ascii="宋体" w:hAnsi="宋体"/>
        </w:rPr>
        <w:t>17.项目包括的各服务内容所依据的法律、法规、标准存在更新、调整时，供应商应按照最新要求执行。</w:t>
      </w:r>
    </w:p>
    <w:p w14:paraId="647A08E5">
      <w:pPr>
        <w:pStyle w:val="36"/>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七</w:t>
      </w:r>
      <w:r>
        <w:rPr>
          <w:rFonts w:ascii="Times New Roman" w:hAnsi="Times New Roman" w:eastAsia="宋体" w:cs="Times New Roman"/>
          <w:color w:val="auto"/>
          <w:kern w:val="2"/>
        </w:rPr>
        <w:t>）磋商保证金及履约保证金：本项目不收取磋商保证金及履约保证金。</w:t>
      </w:r>
    </w:p>
    <w:p w14:paraId="7EDD6559">
      <w:pPr>
        <w:autoSpaceDE w:val="0"/>
        <w:autoSpaceDN w:val="0"/>
        <w:adjustRightInd w:val="0"/>
        <w:spacing w:line="360" w:lineRule="auto"/>
        <w:ind w:firstLine="480" w:firstLineChars="200"/>
        <w:rPr>
          <w:color w:val="000000"/>
          <w:sz w:val="24"/>
        </w:rPr>
      </w:pPr>
      <w:r>
        <w:rPr>
          <w:rFonts w:hint="eastAsia"/>
          <w:color w:val="000000"/>
          <w:sz w:val="24"/>
        </w:rPr>
        <w:t>（八）验收方法及标准</w:t>
      </w:r>
    </w:p>
    <w:p w14:paraId="3A91C212">
      <w:pPr>
        <w:autoSpaceDE w:val="0"/>
        <w:autoSpaceDN w:val="0"/>
        <w:adjustRightInd w:val="0"/>
        <w:spacing w:line="360" w:lineRule="auto"/>
        <w:ind w:firstLine="480" w:firstLineChars="200"/>
        <w:rPr>
          <w:color w:val="000000"/>
          <w:sz w:val="24"/>
        </w:rPr>
      </w:pPr>
      <w:r>
        <w:rPr>
          <w:rFonts w:hint="eastAsia"/>
          <w:color w:val="000000"/>
          <w:sz w:val="24"/>
        </w:rPr>
        <w:t>本项目以服务绩效评价形式对项目履约情况进行中/终期评价，具体包括服务记录评价、可用性评价、系统安全性评价、服务时效性评价和服务满意度评价。考核评价以100分制计算得分，其中服务记录评价满分25分、可用性评价满分25分、安全性评价满分25分、服务时效性评价满分15分、服务满意度评价满分10分。采购人有权自行或委托第三方对本项目进行整体评价或单项评价，评价结果作为项目验收或合同款支付的依据。整体评价及各单项评价具体计算方法如下：</w:t>
      </w:r>
    </w:p>
    <w:p w14:paraId="761EE5AA">
      <w:pPr>
        <w:autoSpaceDE w:val="0"/>
        <w:autoSpaceDN w:val="0"/>
        <w:adjustRightInd w:val="0"/>
        <w:spacing w:line="360" w:lineRule="auto"/>
        <w:ind w:firstLine="480" w:firstLineChars="200"/>
        <w:rPr>
          <w:color w:val="000000"/>
          <w:sz w:val="24"/>
        </w:rPr>
      </w:pPr>
      <w:r>
        <w:rPr>
          <w:rFonts w:hint="eastAsia"/>
          <w:color w:val="000000"/>
          <w:sz w:val="24"/>
        </w:rPr>
        <w:t xml:space="preserve">（一）服务记录评价 </w:t>
      </w:r>
    </w:p>
    <w:p w14:paraId="5E218A31">
      <w:pPr>
        <w:autoSpaceDE w:val="0"/>
        <w:autoSpaceDN w:val="0"/>
        <w:adjustRightInd w:val="0"/>
        <w:spacing w:line="360" w:lineRule="auto"/>
        <w:ind w:firstLine="480" w:firstLineChars="200"/>
        <w:rPr>
          <w:color w:val="000000"/>
          <w:sz w:val="24"/>
        </w:rPr>
      </w:pPr>
      <w:r>
        <w:rPr>
          <w:rFonts w:hint="eastAsia"/>
          <w:color w:val="000000"/>
          <w:sz w:val="24"/>
        </w:rPr>
        <w:t xml:space="preserve">供应商应按照项目的服务要求编制相关记录，服务记录的制式由供应商和采购人共同确定，服务记录的内容应涵盖服务要求中提及的相关要素。该项工作应于服务期开始前完成。供应商应按要求履约并如实进行记录。 </w:t>
      </w:r>
    </w:p>
    <w:p w14:paraId="2BD3B27A">
      <w:pPr>
        <w:autoSpaceDE w:val="0"/>
        <w:autoSpaceDN w:val="0"/>
        <w:adjustRightInd w:val="0"/>
        <w:spacing w:line="360" w:lineRule="auto"/>
        <w:ind w:firstLine="480" w:firstLineChars="200"/>
        <w:rPr>
          <w:color w:val="000000"/>
          <w:sz w:val="24"/>
        </w:rPr>
      </w:pPr>
      <w:r>
        <w:rPr>
          <w:rFonts w:hint="eastAsia"/>
          <w:color w:val="000000"/>
          <w:sz w:val="24"/>
        </w:rPr>
        <w:t>1.假设服务期内本项目应有服务记录 M 份，供应商实际交付服务记录 N 份。其中 N≤M。</w:t>
      </w:r>
    </w:p>
    <w:p w14:paraId="1E36F504">
      <w:pPr>
        <w:autoSpaceDE w:val="0"/>
        <w:autoSpaceDN w:val="0"/>
        <w:adjustRightInd w:val="0"/>
        <w:spacing w:line="360" w:lineRule="auto"/>
        <w:ind w:firstLine="480" w:firstLineChars="200"/>
        <w:rPr>
          <w:color w:val="000000"/>
          <w:sz w:val="24"/>
        </w:rPr>
      </w:pPr>
      <w:r>
        <w:rPr>
          <w:rFonts w:hint="eastAsia"/>
          <w:color w:val="000000"/>
          <w:sz w:val="24"/>
        </w:rPr>
        <w:t>2.某一个服务记录存在必填要素缺失的不予计算。</w:t>
      </w:r>
    </w:p>
    <w:p w14:paraId="1CCAEAAC">
      <w:pPr>
        <w:autoSpaceDE w:val="0"/>
        <w:autoSpaceDN w:val="0"/>
        <w:adjustRightInd w:val="0"/>
        <w:spacing w:line="360" w:lineRule="auto"/>
        <w:ind w:firstLine="480" w:firstLineChars="200"/>
        <w:rPr>
          <w:color w:val="000000"/>
          <w:sz w:val="24"/>
        </w:rPr>
      </w:pPr>
      <w:r>
        <w:rPr>
          <w:rFonts w:hint="eastAsia"/>
          <w:color w:val="000000"/>
          <w:sz w:val="24"/>
        </w:rPr>
        <w:t xml:space="preserve">3.服务记录评价得分X1=(N/M)*25，保留小数点后两位。 </w:t>
      </w:r>
    </w:p>
    <w:p w14:paraId="0D8C3061">
      <w:pPr>
        <w:autoSpaceDE w:val="0"/>
        <w:autoSpaceDN w:val="0"/>
        <w:adjustRightInd w:val="0"/>
        <w:spacing w:line="360" w:lineRule="auto"/>
        <w:ind w:firstLine="480" w:firstLineChars="200"/>
        <w:rPr>
          <w:color w:val="000000"/>
          <w:sz w:val="24"/>
        </w:rPr>
      </w:pPr>
      <w:r>
        <w:rPr>
          <w:rFonts w:hint="eastAsia"/>
          <w:color w:val="000000"/>
          <w:sz w:val="24"/>
        </w:rPr>
        <w:t xml:space="preserve">（二）可用性评价 </w:t>
      </w:r>
    </w:p>
    <w:p w14:paraId="101C9F89">
      <w:pPr>
        <w:autoSpaceDE w:val="0"/>
        <w:autoSpaceDN w:val="0"/>
        <w:adjustRightInd w:val="0"/>
        <w:spacing w:line="360" w:lineRule="auto"/>
        <w:ind w:firstLine="480" w:firstLineChars="200"/>
        <w:rPr>
          <w:color w:val="000000"/>
          <w:sz w:val="24"/>
        </w:rPr>
      </w:pPr>
      <w:r>
        <w:rPr>
          <w:rFonts w:hint="eastAsia"/>
          <w:color w:val="000000"/>
          <w:sz w:val="24"/>
        </w:rPr>
        <w:t xml:space="preserve">本项目运维服务范围内的所有设备设施的非故障运行时间累计占服务期时长（按小时计，计划停机或计划检维修时间除外）的比重（百分比形式，保留两位小数），即为“可用性”评价指标。 </w:t>
      </w:r>
    </w:p>
    <w:p w14:paraId="473F9465">
      <w:pPr>
        <w:autoSpaceDE w:val="0"/>
        <w:autoSpaceDN w:val="0"/>
        <w:adjustRightInd w:val="0"/>
        <w:spacing w:line="360" w:lineRule="auto"/>
        <w:ind w:firstLine="480" w:firstLineChars="200"/>
        <w:rPr>
          <w:color w:val="000000"/>
          <w:sz w:val="24"/>
        </w:rPr>
      </w:pPr>
      <w:r>
        <w:rPr>
          <w:rFonts w:hint="eastAsia"/>
          <w:color w:val="000000"/>
          <w:sz w:val="24"/>
        </w:rPr>
        <w:t>整体可用性评价得分按下表执行。系统可用性评价指标得分X2=结算系数Y*25。</w:t>
      </w:r>
    </w:p>
    <w:tbl>
      <w:tblPr>
        <w:tblStyle w:val="17"/>
        <w:tblW w:w="73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5"/>
        <w:gridCol w:w="1674"/>
        <w:gridCol w:w="1850"/>
        <w:gridCol w:w="1850"/>
      </w:tblGrid>
      <w:tr w14:paraId="26339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7" w:hRule="atLeast"/>
          <w:jc w:val="center"/>
        </w:trPr>
        <w:tc>
          <w:tcPr>
            <w:tcW w:w="2025" w:type="dxa"/>
            <w:shd w:val="clear" w:color="auto" w:fill="auto"/>
            <w:vAlign w:val="center"/>
          </w:tcPr>
          <w:p w14:paraId="48122FC8">
            <w:pPr>
              <w:autoSpaceDE w:val="0"/>
              <w:autoSpaceDN w:val="0"/>
              <w:adjustRightInd w:val="0"/>
              <w:spacing w:line="360" w:lineRule="auto"/>
              <w:ind w:firstLine="480" w:firstLineChars="200"/>
              <w:rPr>
                <w:color w:val="000000"/>
                <w:sz w:val="24"/>
              </w:rPr>
            </w:pPr>
            <w:r>
              <w:rPr>
                <w:rFonts w:hint="eastAsia"/>
                <w:color w:val="000000"/>
                <w:sz w:val="24"/>
              </w:rPr>
              <w:t>故障持续时间累计值</w:t>
            </w:r>
          </w:p>
        </w:tc>
        <w:tc>
          <w:tcPr>
            <w:tcW w:w="1674" w:type="dxa"/>
            <w:shd w:val="clear" w:color="auto" w:fill="auto"/>
            <w:vAlign w:val="center"/>
          </w:tcPr>
          <w:p w14:paraId="664E68F1">
            <w:pPr>
              <w:autoSpaceDE w:val="0"/>
              <w:autoSpaceDN w:val="0"/>
              <w:adjustRightInd w:val="0"/>
              <w:spacing w:line="360" w:lineRule="auto"/>
              <w:ind w:firstLine="480" w:firstLineChars="200"/>
              <w:rPr>
                <w:color w:val="000000"/>
                <w:sz w:val="24"/>
              </w:rPr>
            </w:pPr>
            <w:r>
              <w:rPr>
                <w:rFonts w:hint="eastAsia"/>
                <w:color w:val="000000"/>
                <w:sz w:val="24"/>
              </w:rPr>
              <w:t>非故障运行时间累计占服务期时长（T）</w:t>
            </w:r>
          </w:p>
        </w:tc>
        <w:tc>
          <w:tcPr>
            <w:tcW w:w="1850" w:type="dxa"/>
            <w:shd w:val="clear" w:color="auto" w:fill="auto"/>
            <w:vAlign w:val="center"/>
          </w:tcPr>
          <w:p w14:paraId="13F136EB">
            <w:pPr>
              <w:autoSpaceDE w:val="0"/>
              <w:autoSpaceDN w:val="0"/>
              <w:adjustRightInd w:val="0"/>
              <w:spacing w:line="360" w:lineRule="auto"/>
              <w:ind w:firstLine="480" w:firstLineChars="200"/>
              <w:rPr>
                <w:color w:val="000000"/>
                <w:sz w:val="24"/>
              </w:rPr>
            </w:pPr>
            <w:r>
              <w:rPr>
                <w:rFonts w:hint="eastAsia"/>
                <w:color w:val="000000"/>
                <w:sz w:val="24"/>
              </w:rPr>
              <w:t>结算系数（Y）</w:t>
            </w:r>
          </w:p>
        </w:tc>
        <w:tc>
          <w:tcPr>
            <w:tcW w:w="1850" w:type="dxa"/>
            <w:shd w:val="clear" w:color="auto" w:fill="auto"/>
            <w:vAlign w:val="center"/>
          </w:tcPr>
          <w:p w14:paraId="738352C2">
            <w:pPr>
              <w:autoSpaceDE w:val="0"/>
              <w:autoSpaceDN w:val="0"/>
              <w:adjustRightInd w:val="0"/>
              <w:spacing w:line="360" w:lineRule="auto"/>
              <w:ind w:firstLine="480" w:firstLineChars="200"/>
              <w:rPr>
                <w:color w:val="000000"/>
                <w:sz w:val="24"/>
              </w:rPr>
            </w:pPr>
            <w:r>
              <w:rPr>
                <w:rFonts w:hint="eastAsia"/>
                <w:color w:val="000000"/>
                <w:sz w:val="24"/>
              </w:rPr>
              <w:t>可用性评价得分（X2）</w:t>
            </w:r>
          </w:p>
        </w:tc>
      </w:tr>
      <w:tr w14:paraId="439AA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2025" w:type="dxa"/>
            <w:shd w:val="clear" w:color="auto" w:fill="auto"/>
            <w:vAlign w:val="center"/>
          </w:tcPr>
          <w:p w14:paraId="798EE329">
            <w:pPr>
              <w:autoSpaceDE w:val="0"/>
              <w:autoSpaceDN w:val="0"/>
              <w:adjustRightInd w:val="0"/>
              <w:spacing w:line="360" w:lineRule="auto"/>
              <w:ind w:firstLine="480" w:firstLineChars="200"/>
              <w:rPr>
                <w:color w:val="000000"/>
                <w:sz w:val="24"/>
              </w:rPr>
            </w:pPr>
            <w:r>
              <w:rPr>
                <w:rFonts w:hint="eastAsia"/>
                <w:color w:val="000000"/>
                <w:sz w:val="24"/>
              </w:rPr>
              <w:t>小于等于48小时</w:t>
            </w:r>
          </w:p>
        </w:tc>
        <w:tc>
          <w:tcPr>
            <w:tcW w:w="1674" w:type="dxa"/>
            <w:shd w:val="clear" w:color="auto" w:fill="auto"/>
            <w:vAlign w:val="center"/>
          </w:tcPr>
          <w:p w14:paraId="39F74977">
            <w:pPr>
              <w:autoSpaceDE w:val="0"/>
              <w:autoSpaceDN w:val="0"/>
              <w:adjustRightInd w:val="0"/>
              <w:spacing w:line="360" w:lineRule="auto"/>
              <w:ind w:firstLine="480" w:firstLineChars="200"/>
              <w:rPr>
                <w:color w:val="000000"/>
                <w:sz w:val="24"/>
              </w:rPr>
            </w:pPr>
            <w:r>
              <w:rPr>
                <w:rFonts w:hint="eastAsia"/>
                <w:color w:val="000000"/>
                <w:sz w:val="24"/>
              </w:rPr>
              <w:t>≥99.45%</w:t>
            </w:r>
          </w:p>
        </w:tc>
        <w:tc>
          <w:tcPr>
            <w:tcW w:w="1850" w:type="dxa"/>
            <w:shd w:val="clear" w:color="auto" w:fill="auto"/>
            <w:vAlign w:val="center"/>
          </w:tcPr>
          <w:p w14:paraId="4E6CF170">
            <w:pPr>
              <w:autoSpaceDE w:val="0"/>
              <w:autoSpaceDN w:val="0"/>
              <w:adjustRightInd w:val="0"/>
              <w:spacing w:line="360" w:lineRule="auto"/>
              <w:ind w:firstLine="480" w:firstLineChars="200"/>
              <w:rPr>
                <w:color w:val="000000"/>
                <w:sz w:val="24"/>
              </w:rPr>
            </w:pPr>
            <w:r>
              <w:rPr>
                <w:rFonts w:hint="eastAsia"/>
                <w:color w:val="000000"/>
                <w:sz w:val="24"/>
              </w:rPr>
              <w:t>1</w:t>
            </w:r>
          </w:p>
        </w:tc>
        <w:tc>
          <w:tcPr>
            <w:tcW w:w="1850" w:type="dxa"/>
            <w:shd w:val="clear" w:color="auto" w:fill="auto"/>
            <w:vAlign w:val="center"/>
          </w:tcPr>
          <w:p w14:paraId="3A344E14">
            <w:pPr>
              <w:autoSpaceDE w:val="0"/>
              <w:autoSpaceDN w:val="0"/>
              <w:adjustRightInd w:val="0"/>
              <w:spacing w:line="360" w:lineRule="auto"/>
              <w:ind w:firstLine="480" w:firstLineChars="200"/>
              <w:rPr>
                <w:color w:val="000000"/>
                <w:sz w:val="24"/>
              </w:rPr>
            </w:pPr>
            <w:r>
              <w:rPr>
                <w:rFonts w:hint="eastAsia"/>
                <w:color w:val="000000"/>
                <w:sz w:val="24"/>
              </w:rPr>
              <w:t>25</w:t>
            </w:r>
          </w:p>
        </w:tc>
      </w:tr>
      <w:tr w14:paraId="1D55C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2025" w:type="dxa"/>
            <w:shd w:val="clear" w:color="auto" w:fill="auto"/>
            <w:vAlign w:val="center"/>
          </w:tcPr>
          <w:p w14:paraId="316BDBD7">
            <w:pPr>
              <w:autoSpaceDE w:val="0"/>
              <w:autoSpaceDN w:val="0"/>
              <w:adjustRightInd w:val="0"/>
              <w:spacing w:line="360" w:lineRule="auto"/>
              <w:ind w:firstLine="480" w:firstLineChars="200"/>
              <w:rPr>
                <w:color w:val="000000"/>
                <w:sz w:val="24"/>
              </w:rPr>
            </w:pPr>
            <w:r>
              <w:rPr>
                <w:rFonts w:hint="eastAsia"/>
                <w:color w:val="000000"/>
                <w:sz w:val="24"/>
              </w:rPr>
              <w:t>大于48小时，小于等于96小时</w:t>
            </w:r>
          </w:p>
        </w:tc>
        <w:tc>
          <w:tcPr>
            <w:tcW w:w="1674" w:type="dxa"/>
            <w:shd w:val="clear" w:color="auto" w:fill="auto"/>
            <w:vAlign w:val="center"/>
          </w:tcPr>
          <w:p w14:paraId="23D42BC9">
            <w:pPr>
              <w:autoSpaceDE w:val="0"/>
              <w:autoSpaceDN w:val="0"/>
              <w:adjustRightInd w:val="0"/>
              <w:spacing w:line="360" w:lineRule="auto"/>
              <w:ind w:firstLine="480" w:firstLineChars="200"/>
              <w:rPr>
                <w:color w:val="000000"/>
                <w:sz w:val="24"/>
              </w:rPr>
            </w:pPr>
            <w:r>
              <w:rPr>
                <w:rFonts w:hint="eastAsia"/>
                <w:color w:val="000000"/>
                <w:sz w:val="24"/>
              </w:rPr>
              <w:t>98.9% ≤ T &lt;99.45%</w:t>
            </w:r>
          </w:p>
        </w:tc>
        <w:tc>
          <w:tcPr>
            <w:tcW w:w="1850" w:type="dxa"/>
            <w:shd w:val="clear" w:color="auto" w:fill="auto"/>
            <w:vAlign w:val="center"/>
          </w:tcPr>
          <w:p w14:paraId="33595264">
            <w:pPr>
              <w:autoSpaceDE w:val="0"/>
              <w:autoSpaceDN w:val="0"/>
              <w:adjustRightInd w:val="0"/>
              <w:spacing w:line="360" w:lineRule="auto"/>
              <w:ind w:firstLine="480" w:firstLineChars="200"/>
              <w:rPr>
                <w:color w:val="000000"/>
                <w:sz w:val="24"/>
              </w:rPr>
            </w:pPr>
            <w:r>
              <w:rPr>
                <w:rFonts w:hint="eastAsia"/>
                <w:color w:val="000000"/>
                <w:sz w:val="24"/>
              </w:rPr>
              <w:t>0.9</w:t>
            </w:r>
          </w:p>
        </w:tc>
        <w:tc>
          <w:tcPr>
            <w:tcW w:w="1850" w:type="dxa"/>
            <w:shd w:val="clear" w:color="auto" w:fill="auto"/>
            <w:vAlign w:val="center"/>
          </w:tcPr>
          <w:p w14:paraId="50ED6732">
            <w:pPr>
              <w:autoSpaceDE w:val="0"/>
              <w:autoSpaceDN w:val="0"/>
              <w:adjustRightInd w:val="0"/>
              <w:spacing w:line="360" w:lineRule="auto"/>
              <w:ind w:firstLine="480" w:firstLineChars="200"/>
              <w:rPr>
                <w:color w:val="000000"/>
                <w:sz w:val="24"/>
              </w:rPr>
            </w:pPr>
            <w:r>
              <w:rPr>
                <w:rFonts w:hint="eastAsia"/>
                <w:color w:val="000000"/>
                <w:sz w:val="24"/>
              </w:rPr>
              <w:t>22.5</w:t>
            </w:r>
          </w:p>
        </w:tc>
      </w:tr>
      <w:tr w14:paraId="1BB11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2025" w:type="dxa"/>
            <w:shd w:val="clear" w:color="auto" w:fill="auto"/>
            <w:vAlign w:val="center"/>
          </w:tcPr>
          <w:p w14:paraId="4437C1D2">
            <w:pPr>
              <w:autoSpaceDE w:val="0"/>
              <w:autoSpaceDN w:val="0"/>
              <w:adjustRightInd w:val="0"/>
              <w:spacing w:line="360" w:lineRule="auto"/>
              <w:ind w:firstLine="480" w:firstLineChars="200"/>
              <w:rPr>
                <w:color w:val="000000"/>
                <w:sz w:val="24"/>
              </w:rPr>
            </w:pPr>
            <w:r>
              <w:rPr>
                <w:rFonts w:hint="eastAsia"/>
                <w:color w:val="000000"/>
                <w:sz w:val="24"/>
              </w:rPr>
              <w:t>大于96小时，小于等于144小时</w:t>
            </w:r>
          </w:p>
        </w:tc>
        <w:tc>
          <w:tcPr>
            <w:tcW w:w="1674" w:type="dxa"/>
            <w:shd w:val="clear" w:color="auto" w:fill="auto"/>
            <w:vAlign w:val="center"/>
          </w:tcPr>
          <w:p w14:paraId="36185A4F">
            <w:pPr>
              <w:autoSpaceDE w:val="0"/>
              <w:autoSpaceDN w:val="0"/>
              <w:adjustRightInd w:val="0"/>
              <w:spacing w:line="360" w:lineRule="auto"/>
              <w:ind w:firstLine="480" w:firstLineChars="200"/>
              <w:rPr>
                <w:color w:val="000000"/>
                <w:sz w:val="24"/>
              </w:rPr>
            </w:pPr>
            <w:r>
              <w:rPr>
                <w:rFonts w:hint="eastAsia"/>
                <w:color w:val="000000"/>
                <w:sz w:val="24"/>
              </w:rPr>
              <w:t>98.35% ≤ T &lt;98.9%</w:t>
            </w:r>
          </w:p>
        </w:tc>
        <w:tc>
          <w:tcPr>
            <w:tcW w:w="1850" w:type="dxa"/>
            <w:shd w:val="clear" w:color="auto" w:fill="auto"/>
            <w:vAlign w:val="center"/>
          </w:tcPr>
          <w:p w14:paraId="06638A1E">
            <w:pPr>
              <w:autoSpaceDE w:val="0"/>
              <w:autoSpaceDN w:val="0"/>
              <w:adjustRightInd w:val="0"/>
              <w:spacing w:line="360" w:lineRule="auto"/>
              <w:ind w:firstLine="480" w:firstLineChars="200"/>
              <w:rPr>
                <w:color w:val="000000"/>
                <w:sz w:val="24"/>
              </w:rPr>
            </w:pPr>
            <w:r>
              <w:rPr>
                <w:rFonts w:hint="eastAsia"/>
                <w:color w:val="000000"/>
                <w:sz w:val="24"/>
              </w:rPr>
              <w:t>0.8</w:t>
            </w:r>
          </w:p>
        </w:tc>
        <w:tc>
          <w:tcPr>
            <w:tcW w:w="1850" w:type="dxa"/>
            <w:shd w:val="clear" w:color="auto" w:fill="auto"/>
            <w:vAlign w:val="center"/>
          </w:tcPr>
          <w:p w14:paraId="4A44BEDB">
            <w:pPr>
              <w:autoSpaceDE w:val="0"/>
              <w:autoSpaceDN w:val="0"/>
              <w:adjustRightInd w:val="0"/>
              <w:spacing w:line="360" w:lineRule="auto"/>
              <w:ind w:firstLine="480" w:firstLineChars="200"/>
              <w:rPr>
                <w:color w:val="000000"/>
                <w:sz w:val="24"/>
              </w:rPr>
            </w:pPr>
            <w:r>
              <w:rPr>
                <w:rFonts w:hint="eastAsia"/>
                <w:color w:val="000000"/>
                <w:sz w:val="24"/>
              </w:rPr>
              <w:t>20</w:t>
            </w:r>
          </w:p>
        </w:tc>
      </w:tr>
      <w:tr w14:paraId="7771A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2025" w:type="dxa"/>
            <w:shd w:val="clear" w:color="auto" w:fill="auto"/>
            <w:vAlign w:val="center"/>
          </w:tcPr>
          <w:p w14:paraId="60068775">
            <w:pPr>
              <w:autoSpaceDE w:val="0"/>
              <w:autoSpaceDN w:val="0"/>
              <w:adjustRightInd w:val="0"/>
              <w:spacing w:line="360" w:lineRule="auto"/>
              <w:ind w:firstLine="480" w:firstLineChars="200"/>
              <w:rPr>
                <w:color w:val="000000"/>
                <w:sz w:val="24"/>
              </w:rPr>
            </w:pPr>
            <w:r>
              <w:rPr>
                <w:rFonts w:hint="eastAsia"/>
                <w:color w:val="000000"/>
                <w:sz w:val="24"/>
              </w:rPr>
              <w:t>大于144小时，小于等于192小时</w:t>
            </w:r>
          </w:p>
        </w:tc>
        <w:tc>
          <w:tcPr>
            <w:tcW w:w="1674" w:type="dxa"/>
            <w:shd w:val="clear" w:color="auto" w:fill="auto"/>
            <w:vAlign w:val="center"/>
          </w:tcPr>
          <w:p w14:paraId="6D26DD04">
            <w:pPr>
              <w:autoSpaceDE w:val="0"/>
              <w:autoSpaceDN w:val="0"/>
              <w:adjustRightInd w:val="0"/>
              <w:spacing w:line="360" w:lineRule="auto"/>
              <w:ind w:firstLine="480" w:firstLineChars="200"/>
              <w:rPr>
                <w:color w:val="000000"/>
                <w:sz w:val="24"/>
              </w:rPr>
            </w:pPr>
            <w:r>
              <w:rPr>
                <w:rFonts w:hint="eastAsia"/>
                <w:color w:val="000000"/>
                <w:sz w:val="24"/>
              </w:rPr>
              <w:t>97.8% ≤ T &lt;98.35%</w:t>
            </w:r>
          </w:p>
        </w:tc>
        <w:tc>
          <w:tcPr>
            <w:tcW w:w="1850" w:type="dxa"/>
            <w:shd w:val="clear" w:color="auto" w:fill="auto"/>
            <w:vAlign w:val="center"/>
          </w:tcPr>
          <w:p w14:paraId="7B0975A4">
            <w:pPr>
              <w:autoSpaceDE w:val="0"/>
              <w:autoSpaceDN w:val="0"/>
              <w:adjustRightInd w:val="0"/>
              <w:spacing w:line="360" w:lineRule="auto"/>
              <w:ind w:firstLine="480" w:firstLineChars="200"/>
              <w:rPr>
                <w:color w:val="000000"/>
                <w:sz w:val="24"/>
              </w:rPr>
            </w:pPr>
            <w:r>
              <w:rPr>
                <w:rFonts w:hint="eastAsia"/>
                <w:color w:val="000000"/>
                <w:sz w:val="24"/>
              </w:rPr>
              <w:t>0.6</w:t>
            </w:r>
          </w:p>
        </w:tc>
        <w:tc>
          <w:tcPr>
            <w:tcW w:w="1850" w:type="dxa"/>
            <w:shd w:val="clear" w:color="auto" w:fill="auto"/>
            <w:vAlign w:val="center"/>
          </w:tcPr>
          <w:p w14:paraId="46AEA7E0">
            <w:pPr>
              <w:autoSpaceDE w:val="0"/>
              <w:autoSpaceDN w:val="0"/>
              <w:adjustRightInd w:val="0"/>
              <w:spacing w:line="360" w:lineRule="auto"/>
              <w:ind w:firstLine="480" w:firstLineChars="200"/>
              <w:rPr>
                <w:color w:val="000000"/>
                <w:sz w:val="24"/>
              </w:rPr>
            </w:pPr>
            <w:r>
              <w:rPr>
                <w:rFonts w:hint="eastAsia"/>
                <w:color w:val="000000"/>
                <w:sz w:val="24"/>
              </w:rPr>
              <w:t>15</w:t>
            </w:r>
          </w:p>
        </w:tc>
      </w:tr>
      <w:tr w14:paraId="66458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2025" w:type="dxa"/>
            <w:shd w:val="clear" w:color="auto" w:fill="auto"/>
            <w:vAlign w:val="center"/>
          </w:tcPr>
          <w:p w14:paraId="7E81CD23">
            <w:pPr>
              <w:autoSpaceDE w:val="0"/>
              <w:autoSpaceDN w:val="0"/>
              <w:adjustRightInd w:val="0"/>
              <w:spacing w:line="360" w:lineRule="auto"/>
              <w:ind w:firstLine="480" w:firstLineChars="200"/>
              <w:rPr>
                <w:color w:val="000000"/>
                <w:sz w:val="24"/>
              </w:rPr>
            </w:pPr>
            <w:r>
              <w:rPr>
                <w:rFonts w:hint="eastAsia"/>
                <w:color w:val="000000"/>
                <w:sz w:val="24"/>
              </w:rPr>
              <w:t>大于192小时</w:t>
            </w:r>
          </w:p>
        </w:tc>
        <w:tc>
          <w:tcPr>
            <w:tcW w:w="1674" w:type="dxa"/>
            <w:shd w:val="clear" w:color="auto" w:fill="auto"/>
            <w:vAlign w:val="center"/>
          </w:tcPr>
          <w:p w14:paraId="17444E8C">
            <w:pPr>
              <w:autoSpaceDE w:val="0"/>
              <w:autoSpaceDN w:val="0"/>
              <w:adjustRightInd w:val="0"/>
              <w:spacing w:line="360" w:lineRule="auto"/>
              <w:ind w:firstLine="480" w:firstLineChars="200"/>
              <w:rPr>
                <w:color w:val="000000"/>
                <w:sz w:val="24"/>
              </w:rPr>
            </w:pPr>
            <w:r>
              <w:rPr>
                <w:rFonts w:hint="eastAsia"/>
                <w:color w:val="000000"/>
                <w:sz w:val="24"/>
              </w:rPr>
              <w:t>T＜97.8%</w:t>
            </w:r>
          </w:p>
        </w:tc>
        <w:tc>
          <w:tcPr>
            <w:tcW w:w="1850" w:type="dxa"/>
            <w:shd w:val="clear" w:color="auto" w:fill="auto"/>
            <w:vAlign w:val="center"/>
          </w:tcPr>
          <w:p w14:paraId="028461BA">
            <w:pPr>
              <w:autoSpaceDE w:val="0"/>
              <w:autoSpaceDN w:val="0"/>
              <w:adjustRightInd w:val="0"/>
              <w:spacing w:line="360" w:lineRule="auto"/>
              <w:ind w:firstLine="480" w:firstLineChars="200"/>
              <w:rPr>
                <w:color w:val="000000"/>
                <w:sz w:val="24"/>
              </w:rPr>
            </w:pPr>
            <w:r>
              <w:rPr>
                <w:rFonts w:hint="eastAsia"/>
                <w:color w:val="000000"/>
                <w:sz w:val="24"/>
              </w:rPr>
              <w:t>0</w:t>
            </w:r>
          </w:p>
        </w:tc>
        <w:tc>
          <w:tcPr>
            <w:tcW w:w="1850" w:type="dxa"/>
            <w:shd w:val="clear" w:color="auto" w:fill="auto"/>
            <w:vAlign w:val="center"/>
          </w:tcPr>
          <w:p w14:paraId="0A33E728">
            <w:pPr>
              <w:autoSpaceDE w:val="0"/>
              <w:autoSpaceDN w:val="0"/>
              <w:adjustRightInd w:val="0"/>
              <w:spacing w:line="360" w:lineRule="auto"/>
              <w:ind w:firstLine="480" w:firstLineChars="200"/>
              <w:rPr>
                <w:color w:val="000000"/>
                <w:sz w:val="24"/>
              </w:rPr>
            </w:pPr>
            <w:r>
              <w:rPr>
                <w:rFonts w:hint="eastAsia"/>
                <w:color w:val="000000"/>
                <w:sz w:val="24"/>
              </w:rPr>
              <w:t>0</w:t>
            </w:r>
          </w:p>
        </w:tc>
      </w:tr>
    </w:tbl>
    <w:p w14:paraId="4E99A147">
      <w:pPr>
        <w:autoSpaceDE w:val="0"/>
        <w:autoSpaceDN w:val="0"/>
        <w:adjustRightInd w:val="0"/>
        <w:spacing w:line="360" w:lineRule="auto"/>
        <w:ind w:firstLine="480" w:firstLineChars="200"/>
        <w:rPr>
          <w:color w:val="000000"/>
          <w:sz w:val="24"/>
        </w:rPr>
      </w:pPr>
      <w:r>
        <w:rPr>
          <w:rFonts w:hint="eastAsia"/>
          <w:color w:val="000000"/>
          <w:sz w:val="24"/>
        </w:rPr>
        <w:t xml:space="preserve">（三）系统安全性评价 </w:t>
      </w:r>
    </w:p>
    <w:p w14:paraId="370D9131">
      <w:pPr>
        <w:autoSpaceDE w:val="0"/>
        <w:autoSpaceDN w:val="0"/>
        <w:adjustRightInd w:val="0"/>
        <w:spacing w:line="360" w:lineRule="auto"/>
        <w:ind w:firstLine="480" w:firstLineChars="200"/>
        <w:rPr>
          <w:color w:val="000000"/>
          <w:sz w:val="24"/>
        </w:rPr>
      </w:pPr>
      <w:r>
        <w:rPr>
          <w:rFonts w:hint="eastAsia"/>
          <w:color w:val="000000"/>
          <w:sz w:val="24"/>
        </w:rPr>
        <w:t>1.该项评分满分X3=25分；</w:t>
      </w:r>
    </w:p>
    <w:p w14:paraId="68593284">
      <w:pPr>
        <w:autoSpaceDE w:val="0"/>
        <w:autoSpaceDN w:val="0"/>
        <w:adjustRightInd w:val="0"/>
        <w:spacing w:line="360" w:lineRule="auto"/>
        <w:ind w:firstLine="480" w:firstLineChars="200"/>
        <w:rPr>
          <w:color w:val="000000"/>
          <w:sz w:val="24"/>
        </w:rPr>
      </w:pPr>
      <w:r>
        <w:rPr>
          <w:rFonts w:hint="eastAsia"/>
          <w:color w:val="000000"/>
          <w:sz w:val="24"/>
        </w:rPr>
        <w:t>2.服务期内，运维服务范围内的核心设备如：视频管理平台、ITC语音对讲服务器、视频储存服务器等通过三方测评或检查，存在高、中风险漏洞的，且该漏洞属于无须增购安全设备或软件，仅通过对当前设备进行补丁更新或正确配置即可修复的情况，则出现 1 个符合上述情形的漏洞扣1分；</w:t>
      </w:r>
    </w:p>
    <w:p w14:paraId="680AA2DC">
      <w:pPr>
        <w:autoSpaceDE w:val="0"/>
        <w:autoSpaceDN w:val="0"/>
        <w:adjustRightInd w:val="0"/>
        <w:spacing w:line="360" w:lineRule="auto"/>
        <w:ind w:firstLine="480" w:firstLineChars="200"/>
        <w:rPr>
          <w:color w:val="000000"/>
          <w:sz w:val="24"/>
        </w:rPr>
      </w:pPr>
      <w:r>
        <w:rPr>
          <w:rFonts w:hint="eastAsia"/>
          <w:color w:val="000000"/>
          <w:sz w:val="24"/>
        </w:rPr>
        <w:t>3.服务期内，运维服务范围内的核心设备如：视频管理平台、ITC语音对讲服务器、视频储存服务器等，在由网信部门或网监部门组织的网络安全检查活动中，检查结论存在不符合项或整改项，且该不符合项或整改项属于无须增购安全设备或软件，仅通过对当前安全设备或软件进行补丁更新或正确配置即可修复的情况，则出现 1 个符合上述情形的不符合项或整改项，扣1分；</w:t>
      </w:r>
    </w:p>
    <w:p w14:paraId="3368340B">
      <w:pPr>
        <w:autoSpaceDE w:val="0"/>
        <w:autoSpaceDN w:val="0"/>
        <w:adjustRightInd w:val="0"/>
        <w:spacing w:line="360" w:lineRule="auto"/>
        <w:ind w:firstLine="480" w:firstLineChars="200"/>
        <w:rPr>
          <w:color w:val="000000"/>
          <w:sz w:val="24"/>
        </w:rPr>
      </w:pPr>
      <w:r>
        <w:rPr>
          <w:rFonts w:hint="eastAsia"/>
          <w:color w:val="000000"/>
          <w:sz w:val="24"/>
        </w:rPr>
        <w:t xml:space="preserve">4.服务期内，因运维服务范围内的核心设备如：视频管理平台、ITC语音对讲服务器、视频储存服务器等出现被网信部门或上级主管部门通报的网络安全事件的，且导致该事件发生的原因中存在运行维护工作过失情形的，每出现 1次扣 10 分； </w:t>
      </w:r>
    </w:p>
    <w:p w14:paraId="6F64EAEA">
      <w:pPr>
        <w:autoSpaceDE w:val="0"/>
        <w:autoSpaceDN w:val="0"/>
        <w:adjustRightInd w:val="0"/>
        <w:spacing w:line="360" w:lineRule="auto"/>
        <w:ind w:firstLine="480" w:firstLineChars="200"/>
        <w:rPr>
          <w:color w:val="000000"/>
          <w:sz w:val="24"/>
        </w:rPr>
      </w:pPr>
      <w:r>
        <w:rPr>
          <w:rFonts w:hint="eastAsia"/>
          <w:color w:val="000000"/>
          <w:sz w:val="24"/>
        </w:rPr>
        <w:t xml:space="preserve">5.上述情形执行累加扣除，最高扣除分值为25分。供应商与采购人就上述扣分情形存在争议的，可由采购人组织专家评审，以专家评审结论为准。供应商承担专家评审费用，供应商可提名专家，但须由采购人确认。 </w:t>
      </w:r>
    </w:p>
    <w:p w14:paraId="6FCA0588">
      <w:pPr>
        <w:autoSpaceDE w:val="0"/>
        <w:autoSpaceDN w:val="0"/>
        <w:adjustRightInd w:val="0"/>
        <w:spacing w:line="360" w:lineRule="auto"/>
        <w:ind w:firstLine="480" w:firstLineChars="200"/>
        <w:rPr>
          <w:color w:val="000000"/>
          <w:sz w:val="24"/>
        </w:rPr>
      </w:pPr>
      <w:r>
        <w:rPr>
          <w:rFonts w:hint="eastAsia"/>
          <w:color w:val="000000"/>
          <w:sz w:val="24"/>
        </w:rPr>
        <w:t xml:space="preserve">（四）服务时效性评价 </w:t>
      </w:r>
    </w:p>
    <w:p w14:paraId="7AE067C5">
      <w:pPr>
        <w:autoSpaceDE w:val="0"/>
        <w:autoSpaceDN w:val="0"/>
        <w:adjustRightInd w:val="0"/>
        <w:spacing w:line="360" w:lineRule="auto"/>
        <w:ind w:firstLine="480" w:firstLineChars="200"/>
        <w:rPr>
          <w:color w:val="000000"/>
          <w:sz w:val="24"/>
        </w:rPr>
      </w:pPr>
      <w:r>
        <w:rPr>
          <w:rFonts w:hint="eastAsia"/>
          <w:color w:val="000000"/>
          <w:sz w:val="24"/>
        </w:rPr>
        <w:t xml:space="preserve">服务期内，凡采购人发起的服务事项（故障修复、维修维护、问题调查、变更实施），供应商针对每一次服务记录均须记录用户的服务提出时间（A）、经与用户协商确认的计划完成时间（B），以及供应商履行服务的完成时间（C）。 </w:t>
      </w:r>
    </w:p>
    <w:p w14:paraId="44FEF428">
      <w:pPr>
        <w:autoSpaceDE w:val="0"/>
        <w:autoSpaceDN w:val="0"/>
        <w:adjustRightInd w:val="0"/>
        <w:spacing w:line="360" w:lineRule="auto"/>
        <w:ind w:firstLine="480" w:firstLineChars="200"/>
        <w:rPr>
          <w:color w:val="000000"/>
          <w:sz w:val="24"/>
        </w:rPr>
      </w:pPr>
      <w:r>
        <w:rPr>
          <w:rFonts w:hint="eastAsia"/>
          <w:color w:val="000000"/>
          <w:sz w:val="24"/>
        </w:rPr>
        <w:t xml:space="preserve">假设：服务期内，用户发起服务事项次数为 M，其中 C＞B 的情形发生次数为 N；则服务时效性评价得分X4 =【（M﹣N）÷M】*15，保留小数点后两位。 </w:t>
      </w:r>
    </w:p>
    <w:p w14:paraId="2932F201">
      <w:pPr>
        <w:autoSpaceDE w:val="0"/>
        <w:autoSpaceDN w:val="0"/>
        <w:adjustRightInd w:val="0"/>
        <w:spacing w:line="360" w:lineRule="auto"/>
        <w:ind w:firstLine="480" w:firstLineChars="200"/>
        <w:rPr>
          <w:color w:val="000000"/>
          <w:sz w:val="24"/>
        </w:rPr>
      </w:pPr>
      <w:r>
        <w:rPr>
          <w:rFonts w:hint="eastAsia"/>
          <w:color w:val="000000"/>
          <w:sz w:val="24"/>
        </w:rPr>
        <w:t xml:space="preserve">（五）服务满意度评价 </w:t>
      </w:r>
    </w:p>
    <w:p w14:paraId="04718A97">
      <w:pPr>
        <w:autoSpaceDE w:val="0"/>
        <w:autoSpaceDN w:val="0"/>
        <w:adjustRightInd w:val="0"/>
        <w:spacing w:line="360" w:lineRule="auto"/>
        <w:ind w:firstLine="480" w:firstLineChars="200"/>
        <w:rPr>
          <w:color w:val="000000"/>
          <w:sz w:val="24"/>
        </w:rPr>
      </w:pPr>
      <w:r>
        <w:rPr>
          <w:rFonts w:hint="eastAsia"/>
          <w:color w:val="000000"/>
          <w:sz w:val="24"/>
        </w:rPr>
        <w:t>采购人选取5名用户代表，应覆盖网络安全管理员、信息系统资产管理员、设备使用人员。对评价期内供应商的综合表现按1-10分进行打分，服务满意度评价得分X5等于5名用户代表打分的</w:t>
      </w:r>
      <w:r>
        <w:fldChar w:fldCharType="begin"/>
      </w:r>
      <w:r>
        <w:instrText xml:space="preserve"> HYPERLINK "https://baike.baidu.com/item/%E7%AE%97%E6%9C%AF%E5%B9%B3%E5%9D%87%E6%95%B0/0?fromModule=lemma_inlink" \t "https://baike.baidu.com/item/%E5%B9%B3%E5%9D%87%E6%95%B0/_blank" </w:instrText>
      </w:r>
      <w:r>
        <w:fldChar w:fldCharType="separate"/>
      </w:r>
      <w:r>
        <w:rPr>
          <w:rFonts w:hint="eastAsia"/>
          <w:color w:val="000000"/>
          <w:sz w:val="24"/>
        </w:rPr>
        <w:t>算术平均数</w:t>
      </w:r>
      <w:r>
        <w:rPr>
          <w:rFonts w:hint="eastAsia"/>
          <w:color w:val="000000"/>
          <w:sz w:val="24"/>
        </w:rPr>
        <w:fldChar w:fldCharType="end"/>
      </w:r>
      <w:r>
        <w:rPr>
          <w:rFonts w:hint="eastAsia"/>
          <w:color w:val="000000"/>
          <w:sz w:val="24"/>
        </w:rPr>
        <w:t>。</w:t>
      </w:r>
    </w:p>
    <w:p w14:paraId="5E2A7A14">
      <w:pPr>
        <w:autoSpaceDE w:val="0"/>
        <w:autoSpaceDN w:val="0"/>
        <w:adjustRightInd w:val="0"/>
        <w:spacing w:line="360" w:lineRule="auto"/>
        <w:ind w:firstLine="480" w:firstLineChars="200"/>
        <w:rPr>
          <w:color w:val="000000"/>
          <w:sz w:val="24"/>
        </w:rPr>
      </w:pPr>
      <w:r>
        <w:rPr>
          <w:rFonts w:hint="eastAsia"/>
          <w:color w:val="000000"/>
          <w:sz w:val="24"/>
        </w:rPr>
        <w:t xml:space="preserve">（六）项目中/终期服务绩效评价 </w:t>
      </w:r>
    </w:p>
    <w:p w14:paraId="61F40BE3">
      <w:pPr>
        <w:autoSpaceDE w:val="0"/>
        <w:autoSpaceDN w:val="0"/>
        <w:adjustRightInd w:val="0"/>
        <w:spacing w:line="360" w:lineRule="auto"/>
        <w:ind w:firstLine="480" w:firstLineChars="200"/>
        <w:rPr>
          <w:color w:val="000000"/>
          <w:sz w:val="24"/>
        </w:rPr>
      </w:pPr>
      <w:r>
        <w:rPr>
          <w:rFonts w:hint="eastAsia"/>
          <w:color w:val="000000"/>
          <w:sz w:val="24"/>
        </w:rPr>
        <w:t>1.项目中/终期服务绩效评价得分X=X1+X2+X3+X4+X5。</w:t>
      </w:r>
    </w:p>
    <w:p w14:paraId="0A723C90">
      <w:pPr>
        <w:autoSpaceDE w:val="0"/>
        <w:autoSpaceDN w:val="0"/>
        <w:adjustRightInd w:val="0"/>
        <w:spacing w:line="360" w:lineRule="auto"/>
        <w:ind w:firstLine="480" w:firstLineChars="200"/>
        <w:rPr>
          <w:color w:val="000000"/>
          <w:sz w:val="24"/>
        </w:rPr>
      </w:pPr>
      <w:r>
        <w:rPr>
          <w:rFonts w:hint="eastAsia"/>
          <w:color w:val="000000"/>
          <w:sz w:val="24"/>
        </w:rPr>
        <w:t>2.关于中期服务绩效评价期的确定自合同签订之日起至服务期过半之日为止。</w:t>
      </w:r>
    </w:p>
    <w:p w14:paraId="5FB3FF75">
      <w:pPr>
        <w:autoSpaceDE w:val="0"/>
        <w:autoSpaceDN w:val="0"/>
        <w:adjustRightInd w:val="0"/>
        <w:spacing w:line="360" w:lineRule="auto"/>
        <w:ind w:firstLine="480" w:firstLineChars="200"/>
        <w:rPr>
          <w:color w:val="000000"/>
          <w:sz w:val="24"/>
        </w:rPr>
      </w:pPr>
      <w:r>
        <w:rPr>
          <w:rFonts w:hint="eastAsia"/>
          <w:color w:val="000000"/>
          <w:sz w:val="24"/>
        </w:rPr>
        <w:t>3.关于终期服务绩效评价期的确定，其中服务记录评价期自合同签订之日起至合同服务期届满之日为止。可用性评价、系统安全性评价、服务时效性评价和服务满意度评价按服务期过半之日的次日起至合同服务期届满之日为止。</w:t>
      </w:r>
    </w:p>
    <w:p w14:paraId="37C095DA">
      <w:pPr>
        <w:autoSpaceDE w:val="0"/>
        <w:autoSpaceDN w:val="0"/>
        <w:adjustRightInd w:val="0"/>
        <w:spacing w:line="360" w:lineRule="auto"/>
        <w:ind w:firstLine="480" w:firstLineChars="200"/>
        <w:rPr>
          <w:color w:val="000000"/>
          <w:sz w:val="24"/>
        </w:rPr>
      </w:pPr>
      <w:r>
        <w:rPr>
          <w:rFonts w:hint="eastAsia"/>
          <w:color w:val="000000"/>
          <w:sz w:val="24"/>
        </w:rPr>
        <w:t xml:space="preserve">（七）项目中/终期服务绩效评价与费用结算 </w:t>
      </w:r>
    </w:p>
    <w:p w14:paraId="4D717D35">
      <w:pPr>
        <w:autoSpaceDE w:val="0"/>
        <w:autoSpaceDN w:val="0"/>
        <w:adjustRightInd w:val="0"/>
        <w:spacing w:line="360" w:lineRule="auto"/>
        <w:ind w:firstLine="480" w:firstLineChars="200"/>
        <w:rPr>
          <w:color w:val="000000"/>
          <w:sz w:val="24"/>
        </w:rPr>
      </w:pPr>
      <w:r>
        <w:rPr>
          <w:rFonts w:hint="eastAsia"/>
          <w:color w:val="000000"/>
          <w:sz w:val="24"/>
        </w:rPr>
        <w:t xml:space="preserve">中/终期结算金额=合同约定的应支付款项×结算系数。 </w:t>
      </w:r>
    </w:p>
    <w:p w14:paraId="01E122D3">
      <w:pPr>
        <w:autoSpaceDE w:val="0"/>
        <w:autoSpaceDN w:val="0"/>
        <w:adjustRightInd w:val="0"/>
        <w:spacing w:line="360" w:lineRule="auto"/>
        <w:ind w:firstLine="480" w:firstLineChars="200"/>
        <w:rPr>
          <w:color w:val="000000"/>
          <w:sz w:val="24"/>
        </w:rPr>
      </w:pPr>
      <w:r>
        <w:rPr>
          <w:rFonts w:hint="eastAsia"/>
          <w:color w:val="000000"/>
          <w:sz w:val="24"/>
        </w:rPr>
        <w:t>其中结算系数按下表执行：</w:t>
      </w:r>
    </w:p>
    <w:tbl>
      <w:tblPr>
        <w:tblStyle w:val="17"/>
        <w:tblW w:w="64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52"/>
        <w:gridCol w:w="2555"/>
      </w:tblGrid>
      <w:tr w14:paraId="665FC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3852" w:type="dxa"/>
            <w:shd w:val="clear" w:color="auto" w:fill="auto"/>
          </w:tcPr>
          <w:p w14:paraId="1CB65455">
            <w:pPr>
              <w:autoSpaceDE w:val="0"/>
              <w:autoSpaceDN w:val="0"/>
              <w:adjustRightInd w:val="0"/>
              <w:spacing w:line="360" w:lineRule="auto"/>
              <w:ind w:firstLine="480" w:firstLineChars="200"/>
              <w:rPr>
                <w:color w:val="000000"/>
                <w:sz w:val="24"/>
              </w:rPr>
            </w:pPr>
            <w:r>
              <w:rPr>
                <w:rFonts w:hint="eastAsia"/>
                <w:color w:val="000000"/>
                <w:sz w:val="24"/>
              </w:rPr>
              <w:t>项目中/终期服务绩效评价得分X</w:t>
            </w:r>
          </w:p>
        </w:tc>
        <w:tc>
          <w:tcPr>
            <w:tcW w:w="2555" w:type="dxa"/>
            <w:shd w:val="clear" w:color="auto" w:fill="auto"/>
          </w:tcPr>
          <w:p w14:paraId="0686F484">
            <w:pPr>
              <w:autoSpaceDE w:val="0"/>
              <w:autoSpaceDN w:val="0"/>
              <w:adjustRightInd w:val="0"/>
              <w:spacing w:line="360" w:lineRule="auto"/>
              <w:ind w:firstLine="480" w:firstLineChars="200"/>
              <w:rPr>
                <w:color w:val="000000"/>
                <w:sz w:val="24"/>
              </w:rPr>
            </w:pPr>
            <w:r>
              <w:rPr>
                <w:rFonts w:hint="eastAsia"/>
                <w:color w:val="000000"/>
                <w:sz w:val="24"/>
              </w:rPr>
              <w:t>结算系数</w:t>
            </w:r>
          </w:p>
        </w:tc>
      </w:tr>
      <w:tr w14:paraId="12B11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trPr>
        <w:tc>
          <w:tcPr>
            <w:tcW w:w="3852" w:type="dxa"/>
            <w:shd w:val="clear" w:color="auto" w:fill="auto"/>
          </w:tcPr>
          <w:p w14:paraId="261B74FF">
            <w:pPr>
              <w:autoSpaceDE w:val="0"/>
              <w:autoSpaceDN w:val="0"/>
              <w:adjustRightInd w:val="0"/>
              <w:spacing w:line="360" w:lineRule="auto"/>
              <w:ind w:firstLine="480" w:firstLineChars="200"/>
              <w:rPr>
                <w:color w:val="000000"/>
                <w:sz w:val="24"/>
              </w:rPr>
            </w:pPr>
            <w:r>
              <w:rPr>
                <w:rFonts w:hint="eastAsia"/>
                <w:color w:val="000000"/>
                <w:sz w:val="24"/>
              </w:rPr>
              <w:t>X≥80分</w:t>
            </w:r>
          </w:p>
        </w:tc>
        <w:tc>
          <w:tcPr>
            <w:tcW w:w="2555" w:type="dxa"/>
            <w:shd w:val="clear" w:color="auto" w:fill="auto"/>
          </w:tcPr>
          <w:p w14:paraId="72A0FF65">
            <w:pPr>
              <w:autoSpaceDE w:val="0"/>
              <w:autoSpaceDN w:val="0"/>
              <w:adjustRightInd w:val="0"/>
              <w:spacing w:line="360" w:lineRule="auto"/>
              <w:ind w:firstLine="480" w:firstLineChars="200"/>
              <w:rPr>
                <w:color w:val="000000"/>
                <w:sz w:val="24"/>
              </w:rPr>
            </w:pPr>
            <w:r>
              <w:rPr>
                <w:rFonts w:hint="eastAsia"/>
                <w:color w:val="000000"/>
                <w:sz w:val="24"/>
              </w:rPr>
              <w:t>100%</w:t>
            </w:r>
          </w:p>
        </w:tc>
      </w:tr>
      <w:tr w14:paraId="0B279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3852" w:type="dxa"/>
            <w:shd w:val="clear" w:color="auto" w:fill="auto"/>
          </w:tcPr>
          <w:p w14:paraId="7EFC7FB1">
            <w:pPr>
              <w:autoSpaceDE w:val="0"/>
              <w:autoSpaceDN w:val="0"/>
              <w:adjustRightInd w:val="0"/>
              <w:spacing w:line="360" w:lineRule="auto"/>
              <w:ind w:firstLine="480" w:firstLineChars="200"/>
              <w:rPr>
                <w:color w:val="000000"/>
                <w:sz w:val="24"/>
              </w:rPr>
            </w:pPr>
            <w:r>
              <w:rPr>
                <w:rFonts w:hint="eastAsia"/>
                <w:color w:val="000000"/>
                <w:sz w:val="24"/>
              </w:rPr>
              <w:t>80分＞X≥70分</w:t>
            </w:r>
          </w:p>
        </w:tc>
        <w:tc>
          <w:tcPr>
            <w:tcW w:w="2555" w:type="dxa"/>
            <w:shd w:val="clear" w:color="auto" w:fill="auto"/>
          </w:tcPr>
          <w:p w14:paraId="25FA2361">
            <w:pPr>
              <w:autoSpaceDE w:val="0"/>
              <w:autoSpaceDN w:val="0"/>
              <w:adjustRightInd w:val="0"/>
              <w:spacing w:line="360" w:lineRule="auto"/>
              <w:ind w:firstLine="480" w:firstLineChars="200"/>
              <w:rPr>
                <w:color w:val="000000"/>
                <w:sz w:val="24"/>
              </w:rPr>
            </w:pPr>
            <w:r>
              <w:rPr>
                <w:rFonts w:hint="eastAsia"/>
                <w:color w:val="000000"/>
                <w:sz w:val="24"/>
              </w:rPr>
              <w:t>90%</w:t>
            </w:r>
          </w:p>
        </w:tc>
      </w:tr>
      <w:tr w14:paraId="59814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3852" w:type="dxa"/>
            <w:shd w:val="clear" w:color="auto" w:fill="auto"/>
          </w:tcPr>
          <w:p w14:paraId="28D1421C">
            <w:pPr>
              <w:autoSpaceDE w:val="0"/>
              <w:autoSpaceDN w:val="0"/>
              <w:adjustRightInd w:val="0"/>
              <w:spacing w:line="360" w:lineRule="auto"/>
              <w:ind w:firstLine="480" w:firstLineChars="200"/>
              <w:rPr>
                <w:color w:val="000000"/>
                <w:sz w:val="24"/>
              </w:rPr>
            </w:pPr>
            <w:r>
              <w:rPr>
                <w:rFonts w:hint="eastAsia"/>
                <w:color w:val="000000"/>
                <w:sz w:val="24"/>
              </w:rPr>
              <w:t>70分＞X≥60分</w:t>
            </w:r>
          </w:p>
        </w:tc>
        <w:tc>
          <w:tcPr>
            <w:tcW w:w="2555" w:type="dxa"/>
            <w:shd w:val="clear" w:color="auto" w:fill="auto"/>
          </w:tcPr>
          <w:p w14:paraId="52DB6065">
            <w:pPr>
              <w:autoSpaceDE w:val="0"/>
              <w:autoSpaceDN w:val="0"/>
              <w:adjustRightInd w:val="0"/>
              <w:spacing w:line="360" w:lineRule="auto"/>
              <w:ind w:firstLine="480" w:firstLineChars="200"/>
              <w:rPr>
                <w:color w:val="000000"/>
                <w:sz w:val="24"/>
              </w:rPr>
            </w:pPr>
            <w:r>
              <w:rPr>
                <w:rFonts w:hint="eastAsia"/>
                <w:color w:val="000000"/>
                <w:sz w:val="24"/>
              </w:rPr>
              <w:t>80%</w:t>
            </w:r>
          </w:p>
        </w:tc>
      </w:tr>
      <w:tr w14:paraId="48378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3852" w:type="dxa"/>
            <w:shd w:val="clear" w:color="auto" w:fill="auto"/>
          </w:tcPr>
          <w:p w14:paraId="77E91A95">
            <w:pPr>
              <w:autoSpaceDE w:val="0"/>
              <w:autoSpaceDN w:val="0"/>
              <w:adjustRightInd w:val="0"/>
              <w:spacing w:line="360" w:lineRule="auto"/>
              <w:ind w:firstLine="480" w:firstLineChars="200"/>
              <w:rPr>
                <w:color w:val="000000"/>
                <w:sz w:val="24"/>
              </w:rPr>
            </w:pPr>
            <w:r>
              <w:rPr>
                <w:rFonts w:hint="eastAsia"/>
                <w:color w:val="000000"/>
                <w:sz w:val="24"/>
              </w:rPr>
              <w:t>60分＞X≥45分</w:t>
            </w:r>
          </w:p>
        </w:tc>
        <w:tc>
          <w:tcPr>
            <w:tcW w:w="2555" w:type="dxa"/>
            <w:shd w:val="clear" w:color="auto" w:fill="auto"/>
          </w:tcPr>
          <w:p w14:paraId="75505F90">
            <w:pPr>
              <w:autoSpaceDE w:val="0"/>
              <w:autoSpaceDN w:val="0"/>
              <w:adjustRightInd w:val="0"/>
              <w:spacing w:line="360" w:lineRule="auto"/>
              <w:ind w:firstLine="480" w:firstLineChars="200"/>
              <w:rPr>
                <w:color w:val="000000"/>
                <w:sz w:val="24"/>
              </w:rPr>
            </w:pPr>
            <w:r>
              <w:rPr>
                <w:rFonts w:hint="eastAsia"/>
                <w:color w:val="000000"/>
                <w:sz w:val="24"/>
              </w:rPr>
              <w:t>60%</w:t>
            </w:r>
          </w:p>
        </w:tc>
      </w:tr>
      <w:tr w14:paraId="53F08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3852" w:type="dxa"/>
            <w:shd w:val="clear" w:color="auto" w:fill="auto"/>
          </w:tcPr>
          <w:p w14:paraId="4B1EB093">
            <w:pPr>
              <w:autoSpaceDE w:val="0"/>
              <w:autoSpaceDN w:val="0"/>
              <w:adjustRightInd w:val="0"/>
              <w:spacing w:line="360" w:lineRule="auto"/>
              <w:ind w:firstLine="480" w:firstLineChars="200"/>
              <w:rPr>
                <w:color w:val="000000"/>
                <w:sz w:val="24"/>
              </w:rPr>
            </w:pPr>
            <w:r>
              <w:rPr>
                <w:rFonts w:hint="eastAsia"/>
                <w:color w:val="000000"/>
                <w:sz w:val="24"/>
              </w:rPr>
              <w:t>X＜45分</w:t>
            </w:r>
          </w:p>
        </w:tc>
        <w:tc>
          <w:tcPr>
            <w:tcW w:w="2555" w:type="dxa"/>
            <w:shd w:val="clear" w:color="auto" w:fill="auto"/>
          </w:tcPr>
          <w:p w14:paraId="563E6EB8">
            <w:pPr>
              <w:autoSpaceDE w:val="0"/>
              <w:autoSpaceDN w:val="0"/>
              <w:adjustRightInd w:val="0"/>
              <w:spacing w:line="360" w:lineRule="auto"/>
              <w:ind w:firstLine="480" w:firstLineChars="200"/>
              <w:rPr>
                <w:color w:val="000000"/>
                <w:sz w:val="24"/>
              </w:rPr>
            </w:pPr>
            <w:r>
              <w:rPr>
                <w:rFonts w:hint="eastAsia"/>
                <w:color w:val="000000"/>
                <w:sz w:val="24"/>
              </w:rPr>
              <w:t>30%</w:t>
            </w:r>
          </w:p>
        </w:tc>
      </w:tr>
    </w:tbl>
    <w:p w14:paraId="4A74EFB2">
      <w:pPr>
        <w:pStyle w:val="36"/>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sz w:val="24"/>
        </w:rPr>
      </w:pPr>
      <w:r>
        <w:rPr>
          <w:color w:val="000000"/>
          <w:sz w:val="24"/>
        </w:rPr>
        <w:t>（</w:t>
      </w:r>
      <w:r>
        <w:rPr>
          <w:rFonts w:hint="eastAsia"/>
          <w:color w:val="000000"/>
          <w:sz w:val="24"/>
        </w:rPr>
        <w:t>四</w:t>
      </w:r>
      <w:r>
        <w:rPr>
          <w:color w:val="000000"/>
          <w:sz w:val="24"/>
        </w:rPr>
        <w:t>）</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p w14:paraId="0829DF74">
      <w:pPr>
        <w:autoSpaceDE w:val="0"/>
        <w:autoSpaceDN w:val="0"/>
        <w:adjustRightInd w:val="0"/>
        <w:spacing w:line="360" w:lineRule="auto"/>
        <w:ind w:firstLine="480" w:firstLineChars="200"/>
        <w:rPr>
          <w:color w:val="000000"/>
          <w:sz w:val="24"/>
        </w:rPr>
      </w:pPr>
      <w:r>
        <w:rPr>
          <w:rFonts w:hint="eastAsia"/>
          <w:color w:val="000000"/>
          <w:sz w:val="24"/>
        </w:rPr>
        <w:t>第一部分 价格（10 分）</w:t>
      </w:r>
    </w:p>
    <w:p w14:paraId="5EAE50C1">
      <w:pPr>
        <w:autoSpaceDE w:val="0"/>
        <w:autoSpaceDN w:val="0"/>
        <w:adjustRightInd w:val="0"/>
        <w:spacing w:line="360" w:lineRule="auto"/>
        <w:ind w:firstLine="480" w:firstLineChars="200"/>
        <w:rPr>
          <w:color w:val="000000"/>
          <w:sz w:val="24"/>
        </w:rPr>
      </w:pPr>
      <w:r>
        <w:rPr>
          <w:rFonts w:hint="eastAsia"/>
          <w:color w:val="000000"/>
          <w:sz w:val="24"/>
        </w:rPr>
        <w:t xml:space="preserve">1.价格（10 分） </w:t>
      </w:r>
    </w:p>
    <w:p w14:paraId="5F7068A6">
      <w:pPr>
        <w:autoSpaceDE w:val="0"/>
        <w:autoSpaceDN w:val="0"/>
        <w:adjustRightInd w:val="0"/>
        <w:spacing w:line="360" w:lineRule="auto"/>
        <w:ind w:firstLine="480" w:firstLineChars="200"/>
        <w:rPr>
          <w:color w:val="000000"/>
          <w:sz w:val="24"/>
        </w:rPr>
      </w:pPr>
      <w:r>
        <w:rPr>
          <w:rFonts w:hint="eastAsia"/>
          <w:color w:val="000000"/>
          <w:sz w:val="24"/>
        </w:rPr>
        <w:t xml:space="preserve">（1）投标报价超过采购预算的做无效标处理，未超过采购预算的投标报价 </w:t>
      </w:r>
    </w:p>
    <w:p w14:paraId="47C7AC60">
      <w:pPr>
        <w:autoSpaceDE w:val="0"/>
        <w:autoSpaceDN w:val="0"/>
        <w:adjustRightInd w:val="0"/>
        <w:spacing w:line="360" w:lineRule="auto"/>
        <w:ind w:firstLine="480" w:firstLineChars="200"/>
        <w:rPr>
          <w:color w:val="000000"/>
          <w:sz w:val="24"/>
        </w:rPr>
      </w:pPr>
      <w:r>
        <w:rPr>
          <w:rFonts w:hint="eastAsia"/>
          <w:color w:val="000000"/>
          <w:sz w:val="24"/>
        </w:rPr>
        <w:t xml:space="preserve">按以下公式进行计算 </w:t>
      </w:r>
    </w:p>
    <w:p w14:paraId="1B5E2061">
      <w:pPr>
        <w:autoSpaceDE w:val="0"/>
        <w:autoSpaceDN w:val="0"/>
        <w:adjustRightInd w:val="0"/>
        <w:spacing w:line="360" w:lineRule="auto"/>
        <w:ind w:firstLine="480" w:firstLineChars="200"/>
        <w:rPr>
          <w:color w:val="000000"/>
          <w:sz w:val="24"/>
        </w:rPr>
      </w:pPr>
      <w:r>
        <w:rPr>
          <w:rFonts w:hint="eastAsia"/>
          <w:color w:val="000000"/>
          <w:sz w:val="24"/>
        </w:rPr>
        <w:t xml:space="preserve">（2）投标报价得分=（评标基准价/投标报价）×10 </w:t>
      </w:r>
    </w:p>
    <w:p w14:paraId="6357191C">
      <w:pPr>
        <w:autoSpaceDE w:val="0"/>
        <w:autoSpaceDN w:val="0"/>
        <w:adjustRightInd w:val="0"/>
        <w:spacing w:line="360" w:lineRule="auto"/>
        <w:ind w:firstLine="480" w:firstLineChars="200"/>
        <w:rPr>
          <w:color w:val="000000"/>
          <w:sz w:val="24"/>
        </w:rPr>
      </w:pPr>
      <w:r>
        <w:rPr>
          <w:rFonts w:hint="eastAsia"/>
          <w:color w:val="000000"/>
          <w:sz w:val="24"/>
        </w:rPr>
        <w:t xml:space="preserve">注：满足招标文件要求且报价最低的投标报价为评标基准价 </w:t>
      </w:r>
    </w:p>
    <w:p w14:paraId="1225FABB">
      <w:pPr>
        <w:autoSpaceDE w:val="0"/>
        <w:autoSpaceDN w:val="0"/>
        <w:adjustRightInd w:val="0"/>
        <w:spacing w:line="360" w:lineRule="auto"/>
        <w:ind w:firstLine="480" w:firstLineChars="200"/>
        <w:rPr>
          <w:color w:val="000000"/>
          <w:sz w:val="24"/>
        </w:rPr>
      </w:pPr>
      <w:r>
        <w:rPr>
          <w:rFonts w:hint="eastAsia"/>
          <w:color w:val="000000"/>
          <w:sz w:val="24"/>
        </w:rPr>
        <w:t>第二部分  技术资信（</w:t>
      </w:r>
      <w:r>
        <w:rPr>
          <w:color w:val="000000"/>
          <w:sz w:val="24"/>
        </w:rPr>
        <w:t>90</w:t>
      </w:r>
      <w:r>
        <w:rPr>
          <w:rFonts w:hint="eastAsia"/>
          <w:color w:val="000000"/>
          <w:sz w:val="24"/>
        </w:rPr>
        <w:t>分）</w:t>
      </w:r>
    </w:p>
    <w:p w14:paraId="4B7B9D4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（一）客观分 （18分）</w:t>
      </w:r>
    </w:p>
    <w:p w14:paraId="1C4EAF2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1.供应商业绩（4分）</w:t>
      </w:r>
    </w:p>
    <w:p w14:paraId="1A3ECCE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完全按照以下要求提供与本项目内容相当且已完成的2023年1月1日至今（以合同签订时间为准）的成功案例，提供的证明材料均不得遮挡涂黑，否则不予认定加分。（提供一个业绩案例计2分，最多4分）</w:t>
      </w:r>
    </w:p>
    <w:p w14:paraId="68A8813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（1）合同复印件，包括合同金额、服务内容、买卖双方名称及盖章。</w:t>
      </w:r>
    </w:p>
    <w:p w14:paraId="5FCD901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（2）验收报告复印件，包括买卖双方盖章。</w:t>
      </w:r>
    </w:p>
    <w:p w14:paraId="2504BEE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（3）用户出具的成功履行合同的相关证明材料，包括用户方盖章。</w:t>
      </w:r>
    </w:p>
    <w:p w14:paraId="4FF4767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（4）第（2）、（3）项可提供任意一项。</w:t>
      </w:r>
    </w:p>
    <w:p w14:paraId="14FF705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2.供应商认证评价（4分）</w:t>
      </w:r>
    </w:p>
    <w:p w14:paraId="5F89852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①供应商具备有效期内的GB/T19001系列/ISO9001系列质量管理体系认证证书（以提供的加盖供应商公章的质量管理体系认证证书复印件为准），满足得1分，不满足不得分；</w:t>
      </w:r>
    </w:p>
    <w:p w14:paraId="5948580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②供应商具备有效期内的GB/T24001系列/ISO14001系列环境管理体系认证证书（以提供的加盖供应商公章的环境管理体系认证证书复印件为准），满足得1分，不满足不得分；</w:t>
      </w:r>
    </w:p>
    <w:p w14:paraId="5A379ED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③供应商具备有效期内的GB/T45001系列/ISO45001系列职业健康安全管理体系认证证书（以提供的加盖供应商公章的职业健康安全管理体系认证证书复印件为准），满足得1分，不满足不得分。</w:t>
      </w:r>
    </w:p>
    <w:p w14:paraId="3062462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④投标人具备有效期内的公安部门出具的安全技术防范系统设计、安装、维修企业备案证明（以提供的加盖投标人单位公章的备案证明复印件为准），满足得1分，不满足不得分。</w:t>
      </w:r>
    </w:p>
    <w:p w14:paraId="15246BA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3.供应商运维团队评价（10分）</w:t>
      </w:r>
    </w:p>
    <w:p w14:paraId="463255E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供应商为本项目配备服务团队不少于5人，均为本单位员工，并满足以下要求：</w:t>
      </w:r>
    </w:p>
    <w:p w14:paraId="57534CB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①具备专科及以上学历毕业证书，以提供加盖投标人单位公章的学历证书复印件为准； </w:t>
      </w:r>
    </w:p>
    <w:p w14:paraId="0F4E042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②具有助理工程师及以上职称的，以提供加盖投标人单位公章的职称证书复印件为准； </w:t>
      </w:r>
    </w:p>
    <w:p w14:paraId="5BE1596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③提供社保部门出具或打印的响应文件开启之日前三个月中任意1个月的为其缴纳社会保险费的证明复印件，缴费单位与供应商单位名称一致。</w:t>
      </w:r>
    </w:p>
    <w:p w14:paraId="5E34D65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注：须提供 ①+②+③项才被视为有效，否则不予认定加分。上述证明材料复印件加盖公章，每有一名人员具备得：2 分，最多得10分。</w:t>
      </w:r>
    </w:p>
    <w:p w14:paraId="422A63E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（二）主观分 （72分）</w:t>
      </w:r>
    </w:p>
    <w:p w14:paraId="285B42C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1.项目理解及关键技术分析（9分）</w:t>
      </w:r>
    </w:p>
    <w:p w14:paraId="4CE8724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对西青区安防网危险化学品在线监测平台的建设内容、网络结构、视频监控信号采集接入技术标准等三方面内容有深刻理解，建设内容及实现效果阐明完整，网络结构表述清晰并配有示意图，相关接入规范梳理全面。</w:t>
      </w:r>
    </w:p>
    <w:p w14:paraId="22E85A3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满足磋商文件要求，无瑕疵：9分；</w:t>
      </w:r>
    </w:p>
    <w:p w14:paraId="5D9E400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方案内容存在1处瑕疵：6分；</w:t>
      </w:r>
    </w:p>
    <w:p w14:paraId="1830DA5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方案内容存在2处瑕疵：3分；</w:t>
      </w:r>
    </w:p>
    <w:p w14:paraId="5B28BC9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未提供方案或不满足磋商文件要求或内容存在3处及以上瑕疵：0分；</w:t>
      </w:r>
    </w:p>
    <w:p w14:paraId="00B5214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22D0253">
      <w:pPr>
        <w:pStyle w:val="36"/>
        <w:spacing w:line="360" w:lineRule="auto"/>
        <w:ind w:firstLine="480" w:firstLineChars="200"/>
        <w:jc w:val="both"/>
        <w:rPr>
          <w:rFonts w:ascii="Times New Roman" w:hAnsi="Times New Roman" w:eastAsia="宋体" w:cs="Times New Roman"/>
          <w:color w:val="auto"/>
        </w:rPr>
      </w:pPr>
    </w:p>
    <w:p w14:paraId="5975928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2.运维服务方案评价（12分）</w:t>
      </w:r>
    </w:p>
    <w:p w14:paraId="7E409E4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本项目需求，供应商应编制详细运维服务方案，方案内容包括但不限于：运维服务总体目标、运维服务的内容、运维服务的标准及要求、运维人员的组织与分工，要求目标清晰，运维服务的内容表述全面，标准及要求完善，组织分工合理。</w:t>
      </w:r>
    </w:p>
    <w:p w14:paraId="0693ACA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满足磋商文件要求，无瑕疵：12分；</w:t>
      </w:r>
    </w:p>
    <w:p w14:paraId="1ABAAB8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方案内容存在1处瑕疵：9分；</w:t>
      </w:r>
    </w:p>
    <w:p w14:paraId="165B5FC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方案内容存在2处瑕疵：6分；</w:t>
      </w:r>
    </w:p>
    <w:p w14:paraId="10AAAFA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方案内容存在3处瑕疵：3分；</w:t>
      </w:r>
    </w:p>
    <w:p w14:paraId="795C482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未提供方案或不满足磋商文件要求或内容存在4处及以上瑕疵：0分；</w:t>
      </w:r>
    </w:p>
    <w:p w14:paraId="4EDF3EB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D4D5F7C">
      <w:pPr>
        <w:pStyle w:val="36"/>
        <w:spacing w:line="360" w:lineRule="auto"/>
        <w:ind w:firstLine="480" w:firstLineChars="200"/>
        <w:jc w:val="both"/>
        <w:rPr>
          <w:rFonts w:ascii="Times New Roman" w:hAnsi="Times New Roman" w:eastAsia="宋体" w:cs="Times New Roman"/>
          <w:color w:val="auto"/>
        </w:rPr>
      </w:pPr>
    </w:p>
    <w:p w14:paraId="078D89C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3.网络安全突发事件应急预案评价（12分）</w:t>
      </w:r>
    </w:p>
    <w:p w14:paraId="3DDA491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应制定详细的突发事件应急预案，预案应明确：应急响应的组织体系及人员分工，应急响应具体流程、配置必要的应急恢复及保障设施设备、面对不可预知的设备故障、采集信号丢失的应急处置措施。要求应急响应组织分工明确，应急响应流程清晰且可操作性强，保障设备设施充分，面对不可预知的设备故障或采集信号丢失的应急恢复措施完善可行，能够最大限度地缩短异常时间。</w:t>
      </w:r>
    </w:p>
    <w:p w14:paraId="64CA45F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满足磋商文件要求，无瑕疵：12分；</w:t>
      </w:r>
    </w:p>
    <w:p w14:paraId="390B3BA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方案内容存在1处瑕疵：9分；</w:t>
      </w:r>
    </w:p>
    <w:p w14:paraId="5AECE57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方案内容存在2处瑕疵：6分；</w:t>
      </w:r>
    </w:p>
    <w:p w14:paraId="078DF8A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方案内容存在3处瑕疵：3分；</w:t>
      </w:r>
    </w:p>
    <w:p w14:paraId="1856FF7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未提供方案或不满足磋商文件要求或内容存在4处及以上瑕疵：0分；</w:t>
      </w:r>
    </w:p>
    <w:p w14:paraId="4E1B4A6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7D05D51D">
      <w:pPr>
        <w:pStyle w:val="36"/>
        <w:spacing w:line="360" w:lineRule="auto"/>
        <w:ind w:firstLine="480" w:firstLineChars="200"/>
        <w:jc w:val="both"/>
        <w:rPr>
          <w:rFonts w:ascii="Times New Roman" w:hAnsi="Times New Roman" w:eastAsia="宋体" w:cs="Times New Roman"/>
          <w:color w:val="auto"/>
        </w:rPr>
      </w:pPr>
    </w:p>
    <w:p w14:paraId="5C154D3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4.备机备件解决方案评价（9分）</w:t>
      </w:r>
    </w:p>
    <w:p w14:paraId="18BAC26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应按照项目要求配备必要的备机备件，制定具体方案，方案应阐明：备品备件储备清单、备品备件管理措施（采购、保管、领用、报废）、紧急供应能力。要求备品备件储备充足、管理措施完善、有明确的紧急供应渠道。</w:t>
      </w:r>
    </w:p>
    <w:p w14:paraId="4A82514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满足磋商文件要求，无瑕疵：9分；</w:t>
      </w:r>
    </w:p>
    <w:p w14:paraId="77A3A0F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方案内容存在1处瑕疵：6分；</w:t>
      </w:r>
    </w:p>
    <w:p w14:paraId="6605003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方案内容存在2处瑕疵：3分；</w:t>
      </w:r>
    </w:p>
    <w:p w14:paraId="2D66550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未提供方案或不满足磋商文件要求或内容存在3处及以上瑕疵：0分；</w:t>
      </w:r>
    </w:p>
    <w:p w14:paraId="4C5976B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43BE192">
      <w:pPr>
        <w:pStyle w:val="36"/>
        <w:spacing w:line="360" w:lineRule="auto"/>
        <w:ind w:firstLine="480" w:firstLineChars="200"/>
        <w:jc w:val="both"/>
        <w:rPr>
          <w:rFonts w:ascii="Times New Roman" w:hAnsi="Times New Roman" w:eastAsia="宋体" w:cs="Times New Roman"/>
          <w:color w:val="auto"/>
        </w:rPr>
      </w:pPr>
    </w:p>
    <w:p w14:paraId="6CA73E4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5.运维服务承诺评价（12分）</w:t>
      </w:r>
    </w:p>
    <w:p w14:paraId="5BEA74F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供应商应从运维服务人员的日常管理，运维服务的质量，故障处理响应的及时性，服从和配合采购人相关工作要求（包括：采购人内部系统迁移改造、协助网络安全自查整改）等方面作出承诺。</w:t>
      </w:r>
    </w:p>
    <w:p w14:paraId="555C305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满足磋商文件要求，无瑕疵：12分；</w:t>
      </w:r>
    </w:p>
    <w:p w14:paraId="40794E9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方案内容存在1处瑕疵：9分；</w:t>
      </w:r>
    </w:p>
    <w:p w14:paraId="70C9F79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方案内容存在2处瑕疵：6分；</w:t>
      </w:r>
    </w:p>
    <w:p w14:paraId="695D1AA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方案内容存在3处瑕疵：3分；</w:t>
      </w:r>
    </w:p>
    <w:p w14:paraId="62FA51C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未提供方案或不满足磋商文件要求或内容存在4处及以上瑕疵：0分；</w:t>
      </w:r>
    </w:p>
    <w:p w14:paraId="6DE3680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D434271">
      <w:pPr>
        <w:pStyle w:val="36"/>
        <w:spacing w:line="360" w:lineRule="auto"/>
        <w:ind w:firstLine="480" w:firstLineChars="200"/>
        <w:jc w:val="both"/>
        <w:rPr>
          <w:rFonts w:ascii="Times New Roman" w:hAnsi="Times New Roman" w:eastAsia="宋体" w:cs="Times New Roman"/>
          <w:color w:val="auto"/>
        </w:rPr>
      </w:pPr>
    </w:p>
    <w:p w14:paraId="0D24523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6.在服务过程中，与采购人配合、沟通服务机制评价（9分）</w:t>
      </w:r>
    </w:p>
    <w:p w14:paraId="7834A68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供应商应建立完善的配合、沟通服务机制，包括：与采购人沟通的具体人员、具体沟通渠道方式、定期汇报工作机制。</w:t>
      </w:r>
    </w:p>
    <w:p w14:paraId="47741C2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满足磋商文件要求，无瑕疵：9分；</w:t>
      </w:r>
    </w:p>
    <w:p w14:paraId="1E9BF46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方案内容存在1处瑕疵：6分；</w:t>
      </w:r>
    </w:p>
    <w:p w14:paraId="2472BF6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方案内容存在2处瑕疵：3分；</w:t>
      </w:r>
    </w:p>
    <w:p w14:paraId="6396C92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未提供方案或不满足磋商文件要求或内容存在3处及以上瑕疵：0分；</w:t>
      </w:r>
    </w:p>
    <w:p w14:paraId="34D7E2F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6C0931F">
      <w:pPr>
        <w:pStyle w:val="36"/>
        <w:spacing w:line="360" w:lineRule="auto"/>
        <w:ind w:firstLine="480" w:firstLineChars="200"/>
        <w:jc w:val="both"/>
        <w:rPr>
          <w:rFonts w:ascii="Times New Roman" w:hAnsi="Times New Roman" w:eastAsia="宋体" w:cs="Times New Roman"/>
          <w:color w:val="auto"/>
        </w:rPr>
      </w:pPr>
    </w:p>
    <w:p w14:paraId="2F01F0F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7.供应商内部管理制度评价（9分）</w:t>
      </w:r>
    </w:p>
    <w:p w14:paraId="7831511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供应商应有健全的内部管理制度，包括但不限于：项目管理制度、财务管理制度、档案管理制度等，要求内容完整、流程清晰、职责明确。</w:t>
      </w:r>
    </w:p>
    <w:p w14:paraId="607BAE9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满足磋商文件要求，无瑕疵：9分；</w:t>
      </w:r>
    </w:p>
    <w:p w14:paraId="3AFBD35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方案内容存在1处瑕疵：6分；</w:t>
      </w:r>
    </w:p>
    <w:p w14:paraId="27555D9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方案内容存在2处瑕疵：3分；</w:t>
      </w:r>
    </w:p>
    <w:p w14:paraId="2C5B350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未提供方案或不满足磋商文件要求或内容存在3处及以上瑕疵：0分；</w:t>
      </w:r>
    </w:p>
    <w:p w14:paraId="2F86BBE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1E1B9B1">
      <w:pPr>
        <w:pStyle w:val="36"/>
        <w:spacing w:line="360" w:lineRule="auto"/>
        <w:ind w:firstLine="480" w:firstLineChars="200"/>
        <w:jc w:val="both"/>
      </w:pPr>
      <w: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6"/>
        <w:spacing w:line="360" w:lineRule="auto"/>
        <w:ind w:firstLine="480" w:firstLineChars="200"/>
        <w:jc w:val="both"/>
        <w:rPr>
          <w:rFonts w:ascii="Times New Roman" w:hAnsi="Times New Roman" w:eastAsia="宋体" w:cs="Times New Roman"/>
          <w:color w:val="auto"/>
        </w:rPr>
      </w:pPr>
      <w:r>
        <w:rPr>
          <w:rFonts w:hint="eastAsia"/>
        </w:rPr>
        <w:t>（二）响应</w:t>
      </w:r>
      <w:r>
        <w:t>文件</w:t>
      </w:r>
      <w:r>
        <w:rPr>
          <w:rFonts w:hint="eastAsia"/>
        </w:rPr>
        <w:t>格式可参照第五部分“响应文件格式”，</w:t>
      </w:r>
      <w:r>
        <w:rPr>
          <w:rFonts w:hint="eastAsia" w:ascii="Times New Roman" w:hAnsi="Times New Roman" w:eastAsia="宋体" w:cs="Times New Roman"/>
          <w:color w:val="auto"/>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五、项目需求书：</w:t>
      </w:r>
    </w:p>
    <w:p w14:paraId="2E2F6F9E">
      <w:pPr>
        <w:widowControl/>
        <w:ind w:firstLine="480" w:firstLineChars="200"/>
        <w:jc w:val="left"/>
        <w:rPr>
          <w:sz w:val="24"/>
          <w:highlight w:val="none"/>
        </w:rPr>
      </w:pPr>
      <w:r>
        <w:rPr>
          <w:rFonts w:hint="eastAsia"/>
          <w:sz w:val="24"/>
          <w:highlight w:val="none"/>
        </w:rPr>
        <w:t>本项目属于</w:t>
      </w:r>
      <w:r>
        <w:rPr>
          <w:rFonts w:ascii="宋体" w:hAnsi="宋体"/>
          <w:sz w:val="24"/>
          <w:highlight w:val="none"/>
        </w:rPr>
        <w:t>软件和信息技术服务业</w:t>
      </w:r>
      <w:r>
        <w:rPr>
          <w:rFonts w:hint="eastAsia"/>
          <w:sz w:val="24"/>
          <w:highlight w:val="none"/>
        </w:rPr>
        <w:t>行业。</w:t>
      </w:r>
    </w:p>
    <w:p w14:paraId="5769CE8F">
      <w:pPr>
        <w:spacing w:line="360" w:lineRule="auto"/>
        <w:rPr>
          <w:rFonts w:ascii="宋体" w:hAnsi="宋体"/>
          <w:sz w:val="24"/>
          <w:szCs w:val="24"/>
        </w:rPr>
      </w:pPr>
      <w:r>
        <w:rPr>
          <w:rFonts w:hint="eastAsia" w:ascii="宋体" w:hAnsi="宋体"/>
          <w:sz w:val="24"/>
          <w:szCs w:val="24"/>
        </w:rPr>
        <w:t>1、一般技术需求</w:t>
      </w:r>
    </w:p>
    <w:tbl>
      <w:tblPr>
        <w:tblStyle w:val="17"/>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981"/>
        <w:gridCol w:w="993"/>
        <w:gridCol w:w="5766"/>
      </w:tblGrid>
      <w:tr w14:paraId="63D48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603422A">
            <w:pPr>
              <w:spacing w:line="360" w:lineRule="auto"/>
              <w:jc w:val="center"/>
              <w:rPr>
                <w:rFonts w:ascii="宋体" w:hAnsi="宋体"/>
                <w:sz w:val="24"/>
                <w:szCs w:val="24"/>
              </w:rPr>
            </w:pPr>
            <w:r>
              <w:rPr>
                <w:rFonts w:hint="eastAsia" w:ascii="宋体" w:hAnsi="宋体"/>
                <w:sz w:val="24"/>
                <w:szCs w:val="24"/>
              </w:rPr>
              <w:t>序号</w:t>
            </w:r>
          </w:p>
        </w:tc>
        <w:tc>
          <w:tcPr>
            <w:tcW w:w="981" w:type="dxa"/>
            <w:vAlign w:val="center"/>
          </w:tcPr>
          <w:p w14:paraId="48845192">
            <w:pPr>
              <w:spacing w:line="360" w:lineRule="auto"/>
              <w:jc w:val="center"/>
              <w:rPr>
                <w:rFonts w:ascii="宋体" w:hAnsi="宋体"/>
                <w:sz w:val="24"/>
                <w:szCs w:val="24"/>
              </w:rPr>
            </w:pPr>
            <w:r>
              <w:rPr>
                <w:rFonts w:hint="eastAsia" w:ascii="宋体" w:hAnsi="宋体"/>
                <w:sz w:val="24"/>
                <w:szCs w:val="24"/>
              </w:rPr>
              <w:t>采购项名称</w:t>
            </w:r>
          </w:p>
        </w:tc>
        <w:tc>
          <w:tcPr>
            <w:tcW w:w="993" w:type="dxa"/>
            <w:vAlign w:val="center"/>
          </w:tcPr>
          <w:p w14:paraId="215D1466">
            <w:pPr>
              <w:spacing w:line="360" w:lineRule="auto"/>
              <w:jc w:val="center"/>
              <w:rPr>
                <w:rFonts w:ascii="宋体" w:hAnsi="宋体"/>
                <w:sz w:val="24"/>
                <w:szCs w:val="24"/>
              </w:rPr>
            </w:pPr>
            <w:r>
              <w:rPr>
                <w:rFonts w:hint="eastAsia" w:ascii="宋体" w:hAnsi="宋体"/>
                <w:sz w:val="24"/>
                <w:szCs w:val="24"/>
              </w:rPr>
              <w:t>数量和单位</w:t>
            </w:r>
          </w:p>
        </w:tc>
        <w:tc>
          <w:tcPr>
            <w:tcW w:w="5766" w:type="dxa"/>
            <w:vAlign w:val="center"/>
          </w:tcPr>
          <w:p w14:paraId="18645646">
            <w:pPr>
              <w:spacing w:line="360" w:lineRule="auto"/>
              <w:jc w:val="center"/>
              <w:rPr>
                <w:rFonts w:ascii="宋体" w:hAnsi="宋体"/>
                <w:sz w:val="24"/>
                <w:szCs w:val="24"/>
              </w:rPr>
            </w:pPr>
            <w:r>
              <w:rPr>
                <w:rFonts w:hint="eastAsia" w:ascii="宋体" w:hAnsi="宋体"/>
                <w:sz w:val="24"/>
                <w:szCs w:val="24"/>
              </w:rPr>
              <w:t>需求条款</w:t>
            </w:r>
          </w:p>
        </w:tc>
      </w:tr>
      <w:tr w14:paraId="3D78D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8E9C472">
            <w:pPr>
              <w:spacing w:line="360" w:lineRule="auto"/>
              <w:jc w:val="center"/>
              <w:rPr>
                <w:rFonts w:ascii="宋体" w:hAnsi="宋体"/>
                <w:sz w:val="24"/>
                <w:szCs w:val="24"/>
              </w:rPr>
            </w:pPr>
            <w:r>
              <w:rPr>
                <w:rFonts w:hint="eastAsia" w:ascii="宋体" w:hAnsi="宋体"/>
                <w:sz w:val="24"/>
                <w:szCs w:val="24"/>
              </w:rPr>
              <w:t>1</w:t>
            </w:r>
          </w:p>
        </w:tc>
        <w:tc>
          <w:tcPr>
            <w:tcW w:w="981" w:type="dxa"/>
            <w:vAlign w:val="center"/>
          </w:tcPr>
          <w:p w14:paraId="2B7F70BD">
            <w:pPr>
              <w:spacing w:line="360" w:lineRule="auto"/>
              <w:jc w:val="center"/>
              <w:rPr>
                <w:rFonts w:ascii="宋体" w:hAnsi="宋体"/>
                <w:sz w:val="24"/>
                <w:szCs w:val="24"/>
              </w:rPr>
            </w:pPr>
            <w:r>
              <w:rPr>
                <w:rFonts w:hint="eastAsia" w:ascii="宋体" w:hAnsi="宋体"/>
                <w:sz w:val="24"/>
                <w:szCs w:val="24"/>
              </w:rPr>
              <w:t>例行巡检</w:t>
            </w:r>
          </w:p>
        </w:tc>
        <w:tc>
          <w:tcPr>
            <w:tcW w:w="993" w:type="dxa"/>
            <w:vAlign w:val="center"/>
          </w:tcPr>
          <w:p w14:paraId="0B162E4E">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44C03091">
            <w:pPr>
              <w:widowControl/>
              <w:jc w:val="left"/>
              <w:rPr>
                <w:rFonts w:ascii="宋体" w:hAnsi="宋体"/>
                <w:sz w:val="24"/>
                <w:szCs w:val="24"/>
              </w:rPr>
            </w:pPr>
            <w:r>
              <w:rPr>
                <w:rFonts w:hint="eastAsia" w:ascii="宋体" w:hAnsi="宋体"/>
                <w:sz w:val="24"/>
                <w:szCs w:val="24"/>
              </w:rPr>
              <w:t>1.供应商运维人员应对部署在各</w:t>
            </w:r>
            <w:r>
              <w:rPr>
                <w:rFonts w:ascii="宋体" w:hAnsi="宋体"/>
                <w:sz w:val="24"/>
                <w:szCs w:val="24"/>
              </w:rPr>
              <w:t>联网企业的物联网数据采集主机、ITC</w:t>
            </w:r>
            <w:r>
              <w:rPr>
                <w:rFonts w:hint="eastAsia" w:ascii="宋体" w:hAnsi="宋体"/>
                <w:sz w:val="24"/>
                <w:szCs w:val="24"/>
              </w:rPr>
              <w:t>对讲设备及</w:t>
            </w:r>
            <w:r>
              <w:rPr>
                <w:rFonts w:ascii="宋体" w:hAnsi="宋体"/>
                <w:sz w:val="24"/>
                <w:szCs w:val="24"/>
              </w:rPr>
              <w:t>配套附件</w:t>
            </w:r>
            <w:r>
              <w:rPr>
                <w:rFonts w:hint="eastAsia" w:ascii="宋体" w:hAnsi="宋体"/>
                <w:sz w:val="24"/>
                <w:szCs w:val="24"/>
              </w:rPr>
              <w:t>，部署在</w:t>
            </w:r>
            <w:r>
              <w:rPr>
                <w:rFonts w:ascii="宋体" w:hAnsi="宋体"/>
                <w:sz w:val="24"/>
                <w:szCs w:val="24"/>
              </w:rPr>
              <w:t>西青区应急管理局的</w:t>
            </w:r>
            <w:r>
              <w:rPr>
                <w:rFonts w:hint="eastAsia" w:ascii="宋体" w:hAnsi="宋体"/>
                <w:sz w:val="24"/>
                <w:szCs w:val="24"/>
              </w:rPr>
              <w:t>ITC对讲</w:t>
            </w:r>
            <w:r>
              <w:rPr>
                <w:rFonts w:ascii="宋体" w:hAnsi="宋体"/>
                <w:sz w:val="24"/>
                <w:szCs w:val="24"/>
              </w:rPr>
              <w:t>系统服务器、</w:t>
            </w:r>
            <w:r>
              <w:rPr>
                <w:rFonts w:hint="eastAsia" w:ascii="宋体" w:hAnsi="宋体"/>
                <w:sz w:val="24"/>
                <w:szCs w:val="24"/>
              </w:rPr>
              <w:t>互联网</w:t>
            </w:r>
            <w:r>
              <w:rPr>
                <w:rFonts w:ascii="宋体" w:hAnsi="宋体"/>
                <w:sz w:val="24"/>
                <w:szCs w:val="24"/>
              </w:rPr>
              <w:t>视频平台等各项硬件设备、软件系统</w:t>
            </w:r>
            <w:r>
              <w:rPr>
                <w:rFonts w:hint="eastAsia" w:ascii="宋体" w:hAnsi="宋体"/>
                <w:sz w:val="24"/>
                <w:szCs w:val="24"/>
              </w:rPr>
              <w:t>开展定期巡检，检查设备运行状态，及时记录设备、系统及其运行环境存在的故障或隐患，每次</w:t>
            </w:r>
            <w:r>
              <w:rPr>
                <w:rFonts w:ascii="宋体" w:hAnsi="宋体"/>
                <w:sz w:val="24"/>
                <w:szCs w:val="24"/>
              </w:rPr>
              <w:t>巡检应</w:t>
            </w:r>
            <w:r>
              <w:rPr>
                <w:rFonts w:hint="eastAsia" w:ascii="宋体" w:hAnsi="宋体"/>
                <w:sz w:val="24"/>
                <w:szCs w:val="24"/>
              </w:rPr>
              <w:t>出具相应巡检记录，</w:t>
            </w:r>
            <w:r>
              <w:rPr>
                <w:rFonts w:ascii="宋体" w:hAnsi="宋体"/>
                <w:sz w:val="24"/>
                <w:szCs w:val="24"/>
              </w:rPr>
              <w:t>同时按月汇总形成巡检报告</w:t>
            </w:r>
            <w:r>
              <w:rPr>
                <w:rFonts w:hint="eastAsia" w:ascii="宋体" w:hAnsi="宋体"/>
                <w:sz w:val="24"/>
                <w:szCs w:val="24"/>
              </w:rPr>
              <w:t>；</w:t>
            </w:r>
          </w:p>
          <w:p w14:paraId="1A2A4C7C">
            <w:pPr>
              <w:widowControl/>
              <w:jc w:val="left"/>
              <w:rPr>
                <w:rFonts w:ascii="宋体" w:hAnsi="宋体"/>
                <w:sz w:val="24"/>
                <w:szCs w:val="24"/>
              </w:rPr>
            </w:pPr>
            <w:r>
              <w:rPr>
                <w:rFonts w:hint="eastAsia" w:ascii="宋体" w:hAnsi="宋体"/>
                <w:sz w:val="24"/>
                <w:szCs w:val="24"/>
              </w:rPr>
              <w:t>2.原则上</w:t>
            </w:r>
            <w:r>
              <w:rPr>
                <w:rFonts w:ascii="宋体" w:hAnsi="宋体"/>
                <w:sz w:val="24"/>
                <w:szCs w:val="24"/>
              </w:rPr>
              <w:t>，</w:t>
            </w:r>
            <w:r>
              <w:rPr>
                <w:rFonts w:hint="eastAsia" w:ascii="宋体" w:hAnsi="宋体"/>
                <w:sz w:val="24"/>
                <w:szCs w:val="24"/>
              </w:rPr>
              <w:t>例行</w:t>
            </w:r>
            <w:r>
              <w:rPr>
                <w:rFonts w:ascii="宋体" w:hAnsi="宋体"/>
                <w:sz w:val="24"/>
                <w:szCs w:val="24"/>
              </w:rPr>
              <w:t>巡检周期</w:t>
            </w:r>
            <w:r>
              <w:rPr>
                <w:rFonts w:hint="eastAsia" w:ascii="宋体" w:hAnsi="宋体"/>
                <w:sz w:val="24"/>
                <w:szCs w:val="24"/>
              </w:rPr>
              <w:t>为每月</w:t>
            </w:r>
            <w:r>
              <w:rPr>
                <w:rFonts w:ascii="宋体" w:hAnsi="宋体"/>
                <w:sz w:val="24"/>
                <w:szCs w:val="24"/>
              </w:rPr>
              <w:t>，遇</w:t>
            </w:r>
            <w:r>
              <w:rPr>
                <w:rFonts w:hint="eastAsia" w:ascii="宋体" w:hAnsi="宋体"/>
                <w:sz w:val="24"/>
                <w:szCs w:val="24"/>
              </w:rPr>
              <w:t>重大活动、护网行动和其他重保任务等</w:t>
            </w:r>
            <w:r>
              <w:rPr>
                <w:rFonts w:ascii="宋体" w:hAnsi="宋体"/>
                <w:sz w:val="24"/>
                <w:szCs w:val="24"/>
              </w:rPr>
              <w:t>敏感时期，巡检周期</w:t>
            </w:r>
            <w:r>
              <w:rPr>
                <w:rFonts w:hint="eastAsia" w:ascii="宋体" w:hAnsi="宋体"/>
                <w:sz w:val="24"/>
                <w:szCs w:val="24"/>
              </w:rPr>
              <w:t>按采购</w:t>
            </w:r>
            <w:r>
              <w:rPr>
                <w:rFonts w:ascii="宋体" w:hAnsi="宋体"/>
                <w:sz w:val="24"/>
                <w:szCs w:val="24"/>
              </w:rPr>
              <w:t>人要求调整，具体</w:t>
            </w:r>
            <w:r>
              <w:rPr>
                <w:rFonts w:hint="eastAsia" w:ascii="宋体" w:hAnsi="宋体"/>
                <w:sz w:val="24"/>
                <w:szCs w:val="24"/>
              </w:rPr>
              <w:t>频次以</w:t>
            </w:r>
            <w:r>
              <w:rPr>
                <w:rFonts w:ascii="宋体" w:hAnsi="宋体"/>
                <w:sz w:val="24"/>
                <w:szCs w:val="24"/>
              </w:rPr>
              <w:t>采购人实际</w:t>
            </w:r>
            <w:r>
              <w:rPr>
                <w:rFonts w:hint="eastAsia" w:ascii="宋体" w:hAnsi="宋体"/>
                <w:sz w:val="24"/>
                <w:szCs w:val="24"/>
              </w:rPr>
              <w:t>要求</w:t>
            </w:r>
            <w:r>
              <w:rPr>
                <w:rFonts w:ascii="宋体" w:hAnsi="宋体"/>
                <w:sz w:val="24"/>
                <w:szCs w:val="24"/>
              </w:rPr>
              <w:t>为准；</w:t>
            </w:r>
          </w:p>
          <w:p w14:paraId="7429C8CB">
            <w:pPr>
              <w:widowControl/>
              <w:jc w:val="left"/>
              <w:rPr>
                <w:rFonts w:ascii="宋体" w:hAnsi="宋体"/>
                <w:sz w:val="24"/>
                <w:szCs w:val="24"/>
              </w:rPr>
            </w:pPr>
            <w:r>
              <w:rPr>
                <w:rFonts w:ascii="宋体" w:hAnsi="宋体"/>
                <w:sz w:val="24"/>
                <w:szCs w:val="24"/>
              </w:rPr>
              <w:t>3.</w:t>
            </w:r>
            <w:r>
              <w:rPr>
                <w:rFonts w:hint="eastAsia" w:ascii="宋体" w:hAnsi="宋体"/>
                <w:sz w:val="24"/>
                <w:szCs w:val="24"/>
              </w:rPr>
              <w:t>供应商</w:t>
            </w:r>
            <w:r>
              <w:rPr>
                <w:rFonts w:ascii="宋体" w:hAnsi="宋体"/>
                <w:sz w:val="24"/>
                <w:szCs w:val="24"/>
              </w:rPr>
              <w:t>针对不同类型设备</w:t>
            </w:r>
            <w:r>
              <w:rPr>
                <w:rFonts w:hint="eastAsia" w:ascii="宋体" w:hAnsi="宋体"/>
                <w:sz w:val="24"/>
                <w:szCs w:val="24"/>
              </w:rPr>
              <w:t>、</w:t>
            </w:r>
            <w:r>
              <w:rPr>
                <w:rFonts w:ascii="宋体" w:hAnsi="宋体"/>
                <w:sz w:val="24"/>
                <w:szCs w:val="24"/>
              </w:rPr>
              <w:t>系统要明确重点巡检内</w:t>
            </w:r>
            <w:r>
              <w:rPr>
                <w:rFonts w:hint="eastAsia" w:ascii="宋体" w:hAnsi="宋体"/>
                <w:sz w:val="24"/>
                <w:szCs w:val="24"/>
              </w:rPr>
              <w:t>容。其中</w:t>
            </w:r>
            <w:r>
              <w:rPr>
                <w:rFonts w:ascii="宋体" w:hAnsi="宋体"/>
                <w:sz w:val="24"/>
                <w:szCs w:val="24"/>
              </w:rPr>
              <w:t>：</w:t>
            </w:r>
          </w:p>
          <w:p w14:paraId="0624B571">
            <w:pPr>
              <w:widowControl/>
              <w:jc w:val="left"/>
              <w:rPr>
                <w:rFonts w:ascii="宋体" w:hAnsi="宋体"/>
                <w:sz w:val="24"/>
                <w:szCs w:val="24"/>
              </w:rPr>
            </w:pPr>
            <w:r>
              <w:rPr>
                <w:rFonts w:hint="eastAsia" w:ascii="宋体" w:hAnsi="宋体"/>
                <w:sz w:val="24"/>
                <w:szCs w:val="24"/>
              </w:rPr>
              <w:t>①物联网</w:t>
            </w:r>
            <w:r>
              <w:rPr>
                <w:rFonts w:ascii="宋体" w:hAnsi="宋体"/>
                <w:sz w:val="24"/>
                <w:szCs w:val="24"/>
              </w:rPr>
              <w:t>数据采集主机巡检重点包括但不限于：</w:t>
            </w:r>
            <w:r>
              <w:rPr>
                <w:rFonts w:hint="eastAsia" w:ascii="宋体" w:hAnsi="宋体"/>
                <w:sz w:val="24"/>
                <w:szCs w:val="24"/>
              </w:rPr>
              <w:t>设备</w:t>
            </w:r>
            <w:r>
              <w:rPr>
                <w:rFonts w:ascii="宋体" w:hAnsi="宋体"/>
                <w:sz w:val="24"/>
                <w:szCs w:val="24"/>
              </w:rPr>
              <w:t>运行状态</w:t>
            </w:r>
            <w:r>
              <w:rPr>
                <w:rFonts w:hint="eastAsia" w:ascii="宋体" w:hAnsi="宋体"/>
                <w:sz w:val="24"/>
                <w:szCs w:val="24"/>
              </w:rPr>
              <w:t>（电源、网络、运行状态等指示灯是否处于正常工作状态，风扇运转</w:t>
            </w:r>
            <w:r>
              <w:rPr>
                <w:rFonts w:ascii="宋体" w:hAnsi="宋体"/>
                <w:sz w:val="24"/>
                <w:szCs w:val="24"/>
              </w:rPr>
              <w:t>及散热</w:t>
            </w:r>
            <w:r>
              <w:rPr>
                <w:rFonts w:hint="eastAsia" w:ascii="宋体" w:hAnsi="宋体"/>
                <w:sz w:val="24"/>
                <w:szCs w:val="24"/>
              </w:rPr>
              <w:t>有无异常或异响，</w:t>
            </w:r>
            <w:r>
              <w:rPr>
                <w:rFonts w:ascii="宋体" w:hAnsi="宋体"/>
                <w:sz w:val="24"/>
                <w:szCs w:val="24"/>
              </w:rPr>
              <w:t>RS-232/485、USB、网口</w:t>
            </w:r>
            <w:r>
              <w:rPr>
                <w:rFonts w:hint="eastAsia" w:ascii="宋体" w:hAnsi="宋体"/>
                <w:sz w:val="24"/>
                <w:szCs w:val="24"/>
              </w:rPr>
              <w:t>等各类接口有无物理损坏）；操作</w:t>
            </w:r>
            <w:r>
              <w:rPr>
                <w:rFonts w:ascii="宋体" w:hAnsi="宋体"/>
                <w:sz w:val="24"/>
                <w:szCs w:val="24"/>
              </w:rPr>
              <w:t>系统状态（</w:t>
            </w:r>
            <w:r>
              <w:rPr>
                <w:rFonts w:hint="eastAsia" w:ascii="宋体" w:hAnsi="宋体"/>
                <w:sz w:val="24"/>
                <w:szCs w:val="24"/>
              </w:rPr>
              <w:t>参数配置是否正常，</w:t>
            </w:r>
            <w:r>
              <w:rPr>
                <w:rFonts w:ascii="宋体" w:hAnsi="宋体"/>
                <w:sz w:val="24"/>
                <w:szCs w:val="24"/>
              </w:rPr>
              <w:t>系统文件</w:t>
            </w:r>
            <w:r>
              <w:rPr>
                <w:rFonts w:hint="eastAsia" w:ascii="宋体" w:hAnsi="宋体"/>
                <w:sz w:val="24"/>
                <w:szCs w:val="24"/>
              </w:rPr>
              <w:t>是否</w:t>
            </w:r>
            <w:r>
              <w:rPr>
                <w:rFonts w:ascii="宋体" w:hAnsi="宋体"/>
                <w:sz w:val="24"/>
                <w:szCs w:val="24"/>
              </w:rPr>
              <w:t>完整</w:t>
            </w:r>
            <w:r>
              <w:rPr>
                <w:rFonts w:hint="eastAsia" w:ascii="宋体" w:hAnsi="宋体"/>
                <w:sz w:val="24"/>
                <w:szCs w:val="24"/>
              </w:rPr>
              <w:t>，硬盘容量及</w:t>
            </w:r>
            <w:r>
              <w:rPr>
                <w:rFonts w:ascii="宋体" w:hAnsi="宋体"/>
                <w:sz w:val="24"/>
                <w:szCs w:val="24"/>
              </w:rPr>
              <w:t>使用情况</w:t>
            </w:r>
            <w:r>
              <w:rPr>
                <w:rFonts w:hint="eastAsia" w:ascii="宋体" w:hAnsi="宋体"/>
                <w:sz w:val="24"/>
                <w:szCs w:val="24"/>
              </w:rPr>
              <w:t>，RAID</w:t>
            </w:r>
            <w:r>
              <w:rPr>
                <w:rFonts w:ascii="宋体" w:hAnsi="宋体"/>
                <w:sz w:val="24"/>
                <w:szCs w:val="24"/>
              </w:rPr>
              <w:t>状态是否正常，CPU/内存</w:t>
            </w:r>
            <w:r>
              <w:rPr>
                <w:rFonts w:hint="eastAsia" w:ascii="宋体" w:hAnsi="宋体"/>
                <w:sz w:val="24"/>
                <w:szCs w:val="24"/>
              </w:rPr>
              <w:t>负载</w:t>
            </w:r>
            <w:r>
              <w:rPr>
                <w:rFonts w:ascii="宋体" w:hAnsi="宋体"/>
                <w:sz w:val="24"/>
                <w:szCs w:val="24"/>
              </w:rPr>
              <w:t>是否正常</w:t>
            </w:r>
            <w:r>
              <w:rPr>
                <w:rFonts w:hint="eastAsia" w:ascii="宋体" w:hAnsi="宋体"/>
                <w:sz w:val="24"/>
                <w:szCs w:val="24"/>
              </w:rPr>
              <w:t>，</w:t>
            </w:r>
            <w:r>
              <w:rPr>
                <w:rFonts w:ascii="宋体" w:hAnsi="宋体"/>
                <w:sz w:val="24"/>
                <w:szCs w:val="24"/>
              </w:rPr>
              <w:t>系统日</w:t>
            </w:r>
            <w:r>
              <w:rPr>
                <w:rFonts w:hint="eastAsia" w:ascii="宋体" w:hAnsi="宋体"/>
                <w:sz w:val="24"/>
                <w:szCs w:val="24"/>
              </w:rPr>
              <w:t>志</w:t>
            </w:r>
            <w:r>
              <w:rPr>
                <w:rFonts w:ascii="宋体" w:hAnsi="宋体"/>
                <w:sz w:val="24"/>
                <w:szCs w:val="24"/>
              </w:rPr>
              <w:t>是否有报错</w:t>
            </w:r>
            <w:r>
              <w:rPr>
                <w:rFonts w:hint="eastAsia" w:ascii="宋体" w:hAnsi="宋体"/>
                <w:sz w:val="24"/>
                <w:szCs w:val="24"/>
              </w:rPr>
              <w:t>或</w:t>
            </w:r>
            <w:r>
              <w:rPr>
                <w:rFonts w:ascii="宋体" w:hAnsi="宋体"/>
                <w:sz w:val="24"/>
                <w:szCs w:val="24"/>
              </w:rPr>
              <w:t>警告</w:t>
            </w:r>
            <w:r>
              <w:rPr>
                <w:rFonts w:hint="eastAsia" w:ascii="宋体" w:hAnsi="宋体"/>
                <w:sz w:val="24"/>
                <w:szCs w:val="24"/>
              </w:rPr>
              <w:t>，系统时间是否准确</w:t>
            </w:r>
            <w:r>
              <w:rPr>
                <w:rFonts w:ascii="宋体" w:hAnsi="宋体"/>
                <w:sz w:val="24"/>
                <w:szCs w:val="24"/>
              </w:rPr>
              <w:t>）</w:t>
            </w:r>
            <w:r>
              <w:rPr>
                <w:rFonts w:hint="eastAsia" w:ascii="宋体" w:hAnsi="宋体"/>
                <w:sz w:val="24"/>
                <w:szCs w:val="24"/>
              </w:rPr>
              <w:t>；网络</w:t>
            </w:r>
            <w:r>
              <w:rPr>
                <w:rFonts w:ascii="宋体" w:hAnsi="宋体"/>
                <w:sz w:val="24"/>
                <w:szCs w:val="24"/>
              </w:rPr>
              <w:t>连接状态（</w:t>
            </w:r>
            <w:r>
              <w:rPr>
                <w:rFonts w:hint="eastAsia" w:ascii="宋体" w:hAnsi="宋体"/>
                <w:sz w:val="24"/>
                <w:szCs w:val="24"/>
              </w:rPr>
              <w:t>网络</w:t>
            </w:r>
            <w:r>
              <w:rPr>
                <w:rFonts w:ascii="宋体" w:hAnsi="宋体"/>
                <w:sz w:val="24"/>
                <w:szCs w:val="24"/>
              </w:rPr>
              <w:t>连接是否</w:t>
            </w:r>
            <w:r>
              <w:rPr>
                <w:rFonts w:hint="eastAsia" w:ascii="宋体" w:hAnsi="宋体"/>
                <w:sz w:val="24"/>
                <w:szCs w:val="24"/>
              </w:rPr>
              <w:t>正常，网络</w:t>
            </w:r>
            <w:r>
              <w:rPr>
                <w:rFonts w:ascii="宋体" w:hAnsi="宋体"/>
                <w:sz w:val="24"/>
                <w:szCs w:val="24"/>
              </w:rPr>
              <w:t>带宽使用</w:t>
            </w:r>
            <w:r>
              <w:rPr>
                <w:rFonts w:hint="eastAsia" w:ascii="宋体" w:hAnsi="宋体"/>
                <w:sz w:val="24"/>
                <w:szCs w:val="24"/>
              </w:rPr>
              <w:t>率是否正常</w:t>
            </w:r>
            <w:r>
              <w:rPr>
                <w:rFonts w:ascii="宋体" w:hAnsi="宋体"/>
                <w:sz w:val="24"/>
                <w:szCs w:val="24"/>
              </w:rPr>
              <w:t>）</w:t>
            </w:r>
            <w:r>
              <w:rPr>
                <w:rFonts w:hint="eastAsia" w:ascii="宋体" w:hAnsi="宋体"/>
                <w:sz w:val="24"/>
                <w:szCs w:val="24"/>
              </w:rPr>
              <w:t>；服务</w:t>
            </w:r>
            <w:r>
              <w:rPr>
                <w:rFonts w:ascii="宋体" w:hAnsi="宋体"/>
                <w:sz w:val="24"/>
                <w:szCs w:val="24"/>
              </w:rPr>
              <w:t>进程状态</w:t>
            </w:r>
            <w:r>
              <w:rPr>
                <w:rFonts w:hint="eastAsia" w:ascii="宋体" w:hAnsi="宋体"/>
                <w:sz w:val="24"/>
                <w:szCs w:val="24"/>
              </w:rPr>
              <w:t>（数据采集应用服务、通信服务等关键进程是否正常运行，系统应用日志有无驱动异常、</w:t>
            </w:r>
            <w:r>
              <w:rPr>
                <w:rFonts w:ascii="宋体" w:hAnsi="宋体"/>
                <w:sz w:val="24"/>
                <w:szCs w:val="24"/>
              </w:rPr>
              <w:t>启动失败等</w:t>
            </w:r>
            <w:r>
              <w:rPr>
                <w:rFonts w:hint="eastAsia" w:ascii="宋体" w:hAnsi="宋体"/>
                <w:sz w:val="24"/>
                <w:szCs w:val="24"/>
              </w:rPr>
              <w:t>情况）；设备通道</w:t>
            </w:r>
            <w:r>
              <w:rPr>
                <w:rFonts w:ascii="宋体" w:hAnsi="宋体"/>
                <w:sz w:val="24"/>
                <w:szCs w:val="24"/>
              </w:rPr>
              <w:t>状态（</w:t>
            </w:r>
            <w:r>
              <w:rPr>
                <w:rFonts w:hint="eastAsia" w:ascii="宋体" w:hAnsi="宋体"/>
                <w:sz w:val="24"/>
                <w:szCs w:val="24"/>
              </w:rPr>
              <w:t>应接入</w:t>
            </w:r>
            <w:r>
              <w:rPr>
                <w:rFonts w:ascii="宋体" w:hAnsi="宋体"/>
                <w:sz w:val="24"/>
                <w:szCs w:val="24"/>
              </w:rPr>
              <w:t>信号设备在线</w:t>
            </w:r>
            <w:r>
              <w:rPr>
                <w:rFonts w:hint="eastAsia" w:ascii="宋体" w:hAnsi="宋体"/>
                <w:sz w:val="24"/>
                <w:szCs w:val="24"/>
              </w:rPr>
              <w:t>率</w:t>
            </w:r>
            <w:r>
              <w:rPr>
                <w:rFonts w:ascii="宋体" w:hAnsi="宋体"/>
                <w:sz w:val="24"/>
                <w:szCs w:val="24"/>
              </w:rPr>
              <w:t>是否</w:t>
            </w:r>
            <w:r>
              <w:rPr>
                <w:rFonts w:hint="eastAsia" w:ascii="宋体" w:hAnsi="宋体"/>
                <w:sz w:val="24"/>
                <w:szCs w:val="24"/>
              </w:rPr>
              <w:t>100%，设备</w:t>
            </w:r>
            <w:r>
              <w:rPr>
                <w:rFonts w:ascii="宋体" w:hAnsi="宋体"/>
                <w:sz w:val="24"/>
                <w:szCs w:val="24"/>
              </w:rPr>
              <w:t>通道名称、</w:t>
            </w:r>
            <w:r>
              <w:rPr>
                <w:rFonts w:hint="eastAsia" w:ascii="宋体" w:hAnsi="宋体"/>
                <w:sz w:val="24"/>
                <w:szCs w:val="24"/>
              </w:rPr>
              <w:t>网络</w:t>
            </w:r>
            <w:r>
              <w:rPr>
                <w:rFonts w:ascii="宋体" w:hAnsi="宋体"/>
                <w:sz w:val="24"/>
                <w:szCs w:val="24"/>
              </w:rPr>
              <w:t>地址、</w:t>
            </w:r>
            <w:r>
              <w:rPr>
                <w:rFonts w:hint="eastAsia" w:ascii="宋体" w:hAnsi="宋体"/>
                <w:sz w:val="24"/>
                <w:szCs w:val="24"/>
              </w:rPr>
              <w:t>通信</w:t>
            </w:r>
            <w:r>
              <w:rPr>
                <w:rFonts w:ascii="宋体" w:hAnsi="宋体"/>
                <w:sz w:val="24"/>
                <w:szCs w:val="24"/>
              </w:rPr>
              <w:t>采集参数</w:t>
            </w:r>
            <w:r>
              <w:rPr>
                <w:rFonts w:hint="eastAsia" w:ascii="宋体" w:hAnsi="宋体"/>
                <w:sz w:val="24"/>
                <w:szCs w:val="24"/>
              </w:rPr>
              <w:t>等配置信息</w:t>
            </w:r>
            <w:r>
              <w:rPr>
                <w:rFonts w:ascii="宋体" w:hAnsi="宋体"/>
                <w:sz w:val="24"/>
                <w:szCs w:val="24"/>
              </w:rPr>
              <w:t>是否</w:t>
            </w:r>
            <w:r>
              <w:rPr>
                <w:rFonts w:hint="eastAsia" w:ascii="宋体" w:hAnsi="宋体"/>
                <w:sz w:val="24"/>
                <w:szCs w:val="24"/>
              </w:rPr>
              <w:t>正确，软件</w:t>
            </w:r>
            <w:r>
              <w:rPr>
                <w:rFonts w:ascii="宋体" w:hAnsi="宋体"/>
                <w:sz w:val="24"/>
                <w:szCs w:val="24"/>
              </w:rPr>
              <w:t>许可是否有效）</w:t>
            </w:r>
            <w:r>
              <w:rPr>
                <w:rFonts w:hint="eastAsia" w:ascii="宋体" w:hAnsi="宋体"/>
                <w:sz w:val="24"/>
                <w:szCs w:val="24"/>
              </w:rPr>
              <w:t>；视频录像</w:t>
            </w:r>
            <w:r>
              <w:rPr>
                <w:rFonts w:ascii="宋体" w:hAnsi="宋体"/>
                <w:sz w:val="24"/>
                <w:szCs w:val="24"/>
              </w:rPr>
              <w:t>与存储功能</w:t>
            </w:r>
            <w:r>
              <w:rPr>
                <w:rFonts w:hint="eastAsia" w:ascii="宋体" w:hAnsi="宋体"/>
                <w:sz w:val="24"/>
                <w:szCs w:val="24"/>
              </w:rPr>
              <w:t>（录像计划</w:t>
            </w:r>
            <w:r>
              <w:rPr>
                <w:rFonts w:ascii="宋体" w:hAnsi="宋体"/>
                <w:sz w:val="24"/>
                <w:szCs w:val="24"/>
              </w:rPr>
              <w:t>是否正常，采集视频画面</w:t>
            </w:r>
            <w:r>
              <w:rPr>
                <w:rFonts w:hint="eastAsia" w:ascii="宋体" w:hAnsi="宋体"/>
                <w:sz w:val="24"/>
                <w:szCs w:val="24"/>
              </w:rPr>
              <w:t>是否</w:t>
            </w:r>
            <w:r>
              <w:rPr>
                <w:rFonts w:ascii="宋体" w:hAnsi="宋体"/>
                <w:sz w:val="24"/>
                <w:szCs w:val="24"/>
              </w:rPr>
              <w:t>存在信号丢失</w:t>
            </w:r>
            <w:r>
              <w:rPr>
                <w:rFonts w:hint="eastAsia" w:ascii="宋体" w:hAnsi="宋体"/>
                <w:sz w:val="24"/>
                <w:szCs w:val="24"/>
              </w:rPr>
              <w:t>、</w:t>
            </w:r>
            <w:r>
              <w:rPr>
                <w:rFonts w:ascii="宋体" w:hAnsi="宋体"/>
                <w:sz w:val="24"/>
                <w:szCs w:val="24"/>
              </w:rPr>
              <w:t>卡顿</w:t>
            </w:r>
            <w:r>
              <w:rPr>
                <w:rFonts w:hint="eastAsia" w:ascii="宋体" w:hAnsi="宋体"/>
                <w:sz w:val="24"/>
                <w:szCs w:val="24"/>
              </w:rPr>
              <w:t>或</w:t>
            </w:r>
            <w:r>
              <w:rPr>
                <w:rFonts w:ascii="宋体" w:hAnsi="宋体"/>
                <w:sz w:val="24"/>
                <w:szCs w:val="24"/>
              </w:rPr>
              <w:t>图像不稳定等情况，</w:t>
            </w:r>
            <w:r>
              <w:rPr>
                <w:rFonts w:hint="eastAsia" w:ascii="宋体" w:hAnsi="宋体"/>
                <w:sz w:val="24"/>
                <w:szCs w:val="24"/>
              </w:rPr>
              <w:t>录像</w:t>
            </w:r>
            <w:r>
              <w:rPr>
                <w:rFonts w:ascii="宋体" w:hAnsi="宋体"/>
                <w:sz w:val="24"/>
                <w:szCs w:val="24"/>
              </w:rPr>
              <w:t>检索及回访功能是否正常，</w:t>
            </w:r>
            <w:r>
              <w:rPr>
                <w:rFonts w:hint="eastAsia" w:ascii="宋体" w:hAnsi="宋体"/>
                <w:sz w:val="24"/>
                <w:szCs w:val="24"/>
              </w:rPr>
              <w:t>视频</w:t>
            </w:r>
            <w:r>
              <w:rPr>
                <w:rFonts w:ascii="宋体" w:hAnsi="宋体"/>
                <w:sz w:val="24"/>
                <w:szCs w:val="24"/>
              </w:rPr>
              <w:t>存储策略是否正常执行</w:t>
            </w:r>
            <w:r>
              <w:rPr>
                <w:rFonts w:hint="eastAsia" w:ascii="宋体" w:hAnsi="宋体"/>
                <w:sz w:val="24"/>
                <w:szCs w:val="24"/>
              </w:rPr>
              <w:t>）；网络安全</w:t>
            </w:r>
            <w:r>
              <w:rPr>
                <w:rFonts w:ascii="宋体" w:hAnsi="宋体"/>
                <w:sz w:val="24"/>
                <w:szCs w:val="24"/>
              </w:rPr>
              <w:t>状态（</w:t>
            </w:r>
            <w:r>
              <w:rPr>
                <w:rFonts w:hint="eastAsia" w:ascii="宋体" w:hAnsi="宋体"/>
                <w:sz w:val="24"/>
                <w:szCs w:val="24"/>
              </w:rPr>
              <w:t>是否</w:t>
            </w:r>
            <w:r>
              <w:rPr>
                <w:rFonts w:ascii="宋体" w:hAnsi="宋体"/>
                <w:sz w:val="24"/>
                <w:szCs w:val="24"/>
              </w:rPr>
              <w:t>存在弱口令问题，</w:t>
            </w:r>
            <w:r>
              <w:rPr>
                <w:rFonts w:hint="eastAsia" w:ascii="宋体" w:hAnsi="宋体"/>
                <w:sz w:val="24"/>
                <w:szCs w:val="24"/>
              </w:rPr>
              <w:t>是否</w:t>
            </w:r>
            <w:r>
              <w:rPr>
                <w:rFonts w:ascii="宋体" w:hAnsi="宋体"/>
                <w:sz w:val="24"/>
                <w:szCs w:val="24"/>
              </w:rPr>
              <w:t>安装并定期更</w:t>
            </w:r>
            <w:r>
              <w:rPr>
                <w:rFonts w:hint="eastAsia" w:ascii="宋体" w:hAnsi="宋体"/>
                <w:sz w:val="24"/>
                <w:szCs w:val="24"/>
              </w:rPr>
              <w:t>新</w:t>
            </w:r>
            <w:r>
              <w:rPr>
                <w:rFonts w:ascii="宋体" w:hAnsi="宋体"/>
                <w:sz w:val="24"/>
                <w:szCs w:val="24"/>
              </w:rPr>
              <w:t>杀毒软件</w:t>
            </w:r>
            <w:r>
              <w:rPr>
                <w:rFonts w:hint="eastAsia" w:ascii="宋体" w:hAnsi="宋体"/>
                <w:sz w:val="24"/>
                <w:szCs w:val="24"/>
              </w:rPr>
              <w:t>、用户权限分配是否合理</w:t>
            </w:r>
            <w:r>
              <w:rPr>
                <w:rFonts w:ascii="宋体" w:hAnsi="宋体"/>
                <w:sz w:val="24"/>
                <w:szCs w:val="24"/>
              </w:rPr>
              <w:t>）</w:t>
            </w:r>
            <w:r>
              <w:rPr>
                <w:rFonts w:hint="eastAsia" w:ascii="宋体" w:hAnsi="宋体"/>
                <w:sz w:val="24"/>
                <w:szCs w:val="24"/>
              </w:rPr>
              <w:t>；</w:t>
            </w:r>
          </w:p>
          <w:p w14:paraId="2C4816A1">
            <w:pPr>
              <w:widowControl/>
              <w:jc w:val="left"/>
              <w:rPr>
                <w:rFonts w:ascii="宋体" w:hAnsi="宋体"/>
                <w:sz w:val="24"/>
                <w:szCs w:val="24"/>
              </w:rPr>
            </w:pPr>
            <w:r>
              <w:rPr>
                <w:rFonts w:hint="eastAsia" w:ascii="宋体" w:hAnsi="宋体"/>
                <w:sz w:val="24"/>
                <w:szCs w:val="24"/>
              </w:rPr>
              <w:t>②企业端网络交换机</w:t>
            </w:r>
            <w:r>
              <w:rPr>
                <w:rFonts w:ascii="宋体" w:hAnsi="宋体"/>
                <w:sz w:val="24"/>
                <w:szCs w:val="24"/>
              </w:rPr>
              <w:t>包括但不限于：</w:t>
            </w:r>
            <w:r>
              <w:rPr>
                <w:rFonts w:hint="eastAsia" w:ascii="宋体" w:hAnsi="宋体"/>
                <w:sz w:val="24"/>
                <w:szCs w:val="24"/>
              </w:rPr>
              <w:t>设备</w:t>
            </w:r>
            <w:r>
              <w:rPr>
                <w:rFonts w:ascii="宋体" w:hAnsi="宋体"/>
                <w:sz w:val="24"/>
                <w:szCs w:val="24"/>
              </w:rPr>
              <w:t>运行状态</w:t>
            </w:r>
            <w:r>
              <w:rPr>
                <w:rFonts w:hint="eastAsia" w:ascii="宋体" w:hAnsi="宋体"/>
                <w:sz w:val="24"/>
                <w:szCs w:val="24"/>
              </w:rPr>
              <w:t>（电源工作状态</w:t>
            </w:r>
            <w:r>
              <w:rPr>
                <w:rFonts w:ascii="宋体" w:hAnsi="宋体"/>
                <w:sz w:val="24"/>
                <w:szCs w:val="24"/>
              </w:rPr>
              <w:t>、</w:t>
            </w:r>
            <w:r>
              <w:rPr>
                <w:rFonts w:hint="eastAsia" w:ascii="宋体" w:hAnsi="宋体"/>
                <w:sz w:val="24"/>
                <w:szCs w:val="24"/>
              </w:rPr>
              <w:t>风扇运转</w:t>
            </w:r>
            <w:r>
              <w:rPr>
                <w:rFonts w:ascii="宋体" w:hAnsi="宋体"/>
                <w:sz w:val="24"/>
                <w:szCs w:val="24"/>
              </w:rPr>
              <w:t>及散热</w:t>
            </w:r>
            <w:r>
              <w:rPr>
                <w:rFonts w:hint="eastAsia" w:ascii="宋体" w:hAnsi="宋体"/>
                <w:sz w:val="24"/>
                <w:szCs w:val="24"/>
              </w:rPr>
              <w:t>情况</w:t>
            </w:r>
            <w:r>
              <w:rPr>
                <w:rFonts w:ascii="宋体" w:hAnsi="宋体"/>
                <w:sz w:val="24"/>
                <w:szCs w:val="24"/>
              </w:rPr>
              <w:t>、</w:t>
            </w:r>
            <w:r>
              <w:rPr>
                <w:rFonts w:hint="eastAsia" w:ascii="宋体" w:hAnsi="宋体"/>
                <w:sz w:val="24"/>
                <w:szCs w:val="24"/>
              </w:rPr>
              <w:t>物理接口</w:t>
            </w:r>
            <w:r>
              <w:rPr>
                <w:rFonts w:ascii="宋体" w:hAnsi="宋体"/>
                <w:sz w:val="24"/>
                <w:szCs w:val="24"/>
              </w:rPr>
              <w:t>工作状态、</w:t>
            </w:r>
            <w:r>
              <w:rPr>
                <w:rFonts w:hint="eastAsia" w:ascii="宋体" w:hAnsi="宋体"/>
                <w:sz w:val="24"/>
                <w:szCs w:val="24"/>
              </w:rPr>
              <w:t>指示灯</w:t>
            </w:r>
            <w:r>
              <w:rPr>
                <w:rFonts w:ascii="宋体" w:hAnsi="宋体"/>
                <w:sz w:val="24"/>
                <w:szCs w:val="24"/>
              </w:rPr>
              <w:t>状态</w:t>
            </w:r>
            <w:r>
              <w:rPr>
                <w:rFonts w:hint="eastAsia" w:ascii="宋体" w:hAnsi="宋体"/>
                <w:sz w:val="24"/>
                <w:szCs w:val="24"/>
              </w:rPr>
              <w:t>）；</w:t>
            </w:r>
            <w:r>
              <w:rPr>
                <w:rFonts w:ascii="宋体" w:hAnsi="宋体"/>
                <w:sz w:val="24"/>
                <w:szCs w:val="24"/>
              </w:rPr>
              <w:t>网络性能（</w:t>
            </w:r>
            <w:r>
              <w:rPr>
                <w:rFonts w:hint="eastAsia" w:ascii="宋体" w:hAnsi="宋体"/>
                <w:sz w:val="24"/>
                <w:szCs w:val="24"/>
              </w:rPr>
              <w:t>接口流量是否</w:t>
            </w:r>
            <w:r>
              <w:rPr>
                <w:rFonts w:ascii="宋体" w:hAnsi="宋体"/>
                <w:sz w:val="24"/>
                <w:szCs w:val="24"/>
              </w:rPr>
              <w:t>拥塞或异常、</w:t>
            </w:r>
            <w:r>
              <w:rPr>
                <w:rFonts w:hint="eastAsia" w:ascii="宋体" w:hAnsi="宋体"/>
                <w:sz w:val="24"/>
                <w:szCs w:val="24"/>
              </w:rPr>
              <w:t>是否</w:t>
            </w:r>
            <w:r>
              <w:rPr>
                <w:rFonts w:ascii="宋体" w:hAnsi="宋体"/>
                <w:sz w:val="24"/>
                <w:szCs w:val="24"/>
              </w:rPr>
              <w:t>存在延时或丢包情况、</w:t>
            </w:r>
            <w:r>
              <w:rPr>
                <w:rFonts w:hint="eastAsia" w:ascii="宋体" w:hAnsi="宋体"/>
                <w:sz w:val="24"/>
                <w:szCs w:val="24"/>
              </w:rPr>
              <w:t>接口</w:t>
            </w:r>
            <w:r>
              <w:rPr>
                <w:rFonts w:ascii="宋体" w:hAnsi="宋体"/>
                <w:sz w:val="24"/>
                <w:szCs w:val="24"/>
              </w:rPr>
              <w:t>错误信息统计是否异常）</w:t>
            </w:r>
            <w:r>
              <w:rPr>
                <w:rFonts w:hint="eastAsia" w:ascii="宋体" w:hAnsi="宋体"/>
                <w:sz w:val="24"/>
                <w:szCs w:val="24"/>
              </w:rPr>
              <w:t>；设备</w:t>
            </w:r>
            <w:r>
              <w:rPr>
                <w:rFonts w:ascii="宋体" w:hAnsi="宋体"/>
                <w:sz w:val="24"/>
                <w:szCs w:val="24"/>
              </w:rPr>
              <w:t>性能（MAC地址表</w:t>
            </w:r>
            <w:r>
              <w:rPr>
                <w:rFonts w:hint="eastAsia" w:ascii="宋体" w:hAnsi="宋体"/>
                <w:sz w:val="24"/>
                <w:szCs w:val="24"/>
              </w:rPr>
              <w:t>是否</w:t>
            </w:r>
            <w:r>
              <w:rPr>
                <w:rFonts w:ascii="宋体" w:hAnsi="宋体"/>
                <w:sz w:val="24"/>
                <w:szCs w:val="24"/>
              </w:rPr>
              <w:t>异常）</w:t>
            </w:r>
            <w:r>
              <w:rPr>
                <w:rFonts w:hint="eastAsia" w:ascii="宋体" w:hAnsi="宋体"/>
                <w:sz w:val="24"/>
                <w:szCs w:val="24"/>
              </w:rPr>
              <w:t>；</w:t>
            </w:r>
            <w:r>
              <w:rPr>
                <w:rFonts w:ascii="宋体" w:hAnsi="宋体"/>
                <w:sz w:val="24"/>
                <w:szCs w:val="24"/>
              </w:rPr>
              <w:t>安全</w:t>
            </w:r>
            <w:r>
              <w:rPr>
                <w:rFonts w:hint="eastAsia" w:ascii="宋体" w:hAnsi="宋体"/>
                <w:sz w:val="24"/>
                <w:szCs w:val="24"/>
              </w:rPr>
              <w:t>配置</w:t>
            </w:r>
            <w:r>
              <w:rPr>
                <w:rFonts w:ascii="宋体" w:hAnsi="宋体"/>
                <w:sz w:val="24"/>
                <w:szCs w:val="24"/>
              </w:rPr>
              <w:t>（</w:t>
            </w:r>
            <w:r>
              <w:rPr>
                <w:rFonts w:hint="eastAsia" w:ascii="宋体" w:hAnsi="宋体"/>
                <w:sz w:val="24"/>
                <w:szCs w:val="24"/>
              </w:rPr>
              <w:t>Vlan划分是否</w:t>
            </w:r>
            <w:r>
              <w:rPr>
                <w:rFonts w:ascii="宋体" w:hAnsi="宋体"/>
                <w:sz w:val="24"/>
                <w:szCs w:val="24"/>
              </w:rPr>
              <w:t>正常）</w:t>
            </w:r>
            <w:r>
              <w:rPr>
                <w:rFonts w:hint="eastAsia" w:ascii="宋体" w:hAnsi="宋体"/>
                <w:sz w:val="24"/>
                <w:szCs w:val="24"/>
              </w:rPr>
              <w:t xml:space="preserve">等； </w:t>
            </w:r>
          </w:p>
          <w:p w14:paraId="0A37F2AE">
            <w:pPr>
              <w:widowControl/>
              <w:jc w:val="left"/>
              <w:rPr>
                <w:rFonts w:ascii="宋体" w:hAnsi="宋体"/>
                <w:sz w:val="24"/>
                <w:szCs w:val="24"/>
              </w:rPr>
            </w:pPr>
            <w:r>
              <w:rPr>
                <w:rFonts w:hint="eastAsia" w:ascii="宋体" w:hAnsi="宋体"/>
                <w:sz w:val="24"/>
                <w:szCs w:val="24"/>
              </w:rPr>
              <w:t>③ITC语音对讲设备（含</w:t>
            </w:r>
            <w:r>
              <w:rPr>
                <w:rFonts w:ascii="宋体" w:hAnsi="宋体"/>
                <w:sz w:val="24"/>
                <w:szCs w:val="24"/>
              </w:rPr>
              <w:t>音箱、电源</w:t>
            </w:r>
            <w:r>
              <w:rPr>
                <w:rFonts w:hint="eastAsia" w:ascii="宋体" w:hAnsi="宋体"/>
                <w:sz w:val="24"/>
                <w:szCs w:val="24"/>
              </w:rPr>
              <w:t>）</w:t>
            </w:r>
            <w:r>
              <w:rPr>
                <w:rFonts w:ascii="宋体" w:hAnsi="宋体"/>
                <w:sz w:val="24"/>
                <w:szCs w:val="24"/>
              </w:rPr>
              <w:t>巡检重点包括但不限于</w:t>
            </w:r>
            <w:r>
              <w:rPr>
                <w:rFonts w:hint="eastAsia" w:ascii="宋体" w:hAnsi="宋体"/>
                <w:sz w:val="24"/>
                <w:szCs w:val="24"/>
              </w:rPr>
              <w:t>：设备</w:t>
            </w:r>
            <w:r>
              <w:rPr>
                <w:rFonts w:ascii="宋体" w:hAnsi="宋体"/>
                <w:sz w:val="24"/>
                <w:szCs w:val="24"/>
              </w:rPr>
              <w:t>运行状态（</w:t>
            </w:r>
            <w:r>
              <w:rPr>
                <w:rFonts w:hint="eastAsia" w:ascii="宋体" w:hAnsi="宋体"/>
                <w:sz w:val="24"/>
                <w:szCs w:val="24"/>
              </w:rPr>
              <w:t>电源连接、</w:t>
            </w:r>
            <w:r>
              <w:rPr>
                <w:rFonts w:ascii="宋体" w:hAnsi="宋体"/>
                <w:sz w:val="24"/>
                <w:szCs w:val="24"/>
              </w:rPr>
              <w:t>音箱连接</w:t>
            </w:r>
            <w:r>
              <w:rPr>
                <w:rFonts w:hint="eastAsia" w:ascii="宋体" w:hAnsi="宋体"/>
                <w:sz w:val="24"/>
                <w:szCs w:val="24"/>
              </w:rPr>
              <w:t>、网络</w:t>
            </w:r>
            <w:r>
              <w:rPr>
                <w:rFonts w:ascii="宋体" w:hAnsi="宋体"/>
                <w:sz w:val="24"/>
                <w:szCs w:val="24"/>
              </w:rPr>
              <w:t>连接、</w:t>
            </w:r>
            <w:r>
              <w:rPr>
                <w:rFonts w:hint="eastAsia" w:ascii="宋体" w:hAnsi="宋体"/>
                <w:sz w:val="24"/>
                <w:szCs w:val="24"/>
              </w:rPr>
              <w:t>设备</w:t>
            </w:r>
            <w:r>
              <w:rPr>
                <w:rFonts w:ascii="宋体" w:hAnsi="宋体"/>
                <w:sz w:val="24"/>
                <w:szCs w:val="24"/>
              </w:rPr>
              <w:t>按键</w:t>
            </w:r>
            <w:r>
              <w:rPr>
                <w:rFonts w:hint="eastAsia" w:ascii="宋体" w:hAnsi="宋体"/>
                <w:sz w:val="24"/>
                <w:szCs w:val="24"/>
              </w:rPr>
              <w:t>等是否</w:t>
            </w:r>
            <w:r>
              <w:rPr>
                <w:rFonts w:ascii="宋体" w:hAnsi="宋体"/>
                <w:sz w:val="24"/>
                <w:szCs w:val="24"/>
              </w:rPr>
              <w:t>正常</w:t>
            </w:r>
            <w:r>
              <w:rPr>
                <w:rFonts w:hint="eastAsia" w:ascii="宋体" w:hAnsi="宋体"/>
                <w:sz w:val="24"/>
                <w:szCs w:val="24"/>
              </w:rPr>
              <w:t>，</w:t>
            </w:r>
            <w:r>
              <w:rPr>
                <w:rFonts w:ascii="宋体" w:hAnsi="宋体"/>
                <w:sz w:val="24"/>
                <w:szCs w:val="24"/>
              </w:rPr>
              <w:t>线缆有无破损</w:t>
            </w:r>
            <w:r>
              <w:rPr>
                <w:rFonts w:hint="eastAsia" w:ascii="宋体" w:hAnsi="宋体"/>
                <w:sz w:val="24"/>
                <w:szCs w:val="24"/>
              </w:rPr>
              <w:t>，设备</w:t>
            </w:r>
            <w:r>
              <w:rPr>
                <w:rFonts w:ascii="宋体" w:hAnsi="宋体"/>
                <w:sz w:val="24"/>
                <w:szCs w:val="24"/>
              </w:rPr>
              <w:t>接口</w:t>
            </w:r>
            <w:r>
              <w:rPr>
                <w:rFonts w:hint="eastAsia" w:ascii="宋体" w:hAnsi="宋体"/>
                <w:sz w:val="24"/>
                <w:szCs w:val="24"/>
              </w:rPr>
              <w:t>有无松动）、设备主要</w:t>
            </w:r>
            <w:r>
              <w:rPr>
                <w:rFonts w:ascii="宋体" w:hAnsi="宋体"/>
                <w:sz w:val="24"/>
                <w:szCs w:val="24"/>
              </w:rPr>
              <w:t>功能</w:t>
            </w:r>
            <w:r>
              <w:rPr>
                <w:rFonts w:hint="eastAsia" w:ascii="宋体" w:hAnsi="宋体"/>
                <w:sz w:val="24"/>
                <w:szCs w:val="24"/>
              </w:rPr>
              <w:t>（双向</w:t>
            </w:r>
            <w:r>
              <w:rPr>
                <w:rFonts w:ascii="宋体" w:hAnsi="宋体"/>
                <w:sz w:val="24"/>
                <w:szCs w:val="24"/>
              </w:rPr>
              <w:t>通话、</w:t>
            </w:r>
            <w:r>
              <w:rPr>
                <w:rFonts w:hint="eastAsia" w:ascii="宋体" w:hAnsi="宋体"/>
                <w:sz w:val="24"/>
                <w:szCs w:val="24"/>
              </w:rPr>
              <w:t>一键</w:t>
            </w:r>
            <w:r>
              <w:rPr>
                <w:rFonts w:ascii="宋体" w:hAnsi="宋体"/>
                <w:sz w:val="24"/>
                <w:szCs w:val="24"/>
              </w:rPr>
              <w:t>呼叫、接听</w:t>
            </w:r>
            <w:r>
              <w:rPr>
                <w:rFonts w:hint="eastAsia" w:ascii="宋体" w:hAnsi="宋体"/>
                <w:sz w:val="24"/>
                <w:szCs w:val="24"/>
              </w:rPr>
              <w:t>应答、发起</w:t>
            </w:r>
            <w:r>
              <w:rPr>
                <w:rFonts w:ascii="宋体" w:hAnsi="宋体"/>
                <w:sz w:val="24"/>
                <w:szCs w:val="24"/>
              </w:rPr>
              <w:t>广播等</w:t>
            </w:r>
            <w:r>
              <w:rPr>
                <w:rFonts w:hint="eastAsia" w:ascii="宋体" w:hAnsi="宋体"/>
                <w:sz w:val="24"/>
                <w:szCs w:val="24"/>
              </w:rPr>
              <w:t>功能</w:t>
            </w:r>
            <w:r>
              <w:rPr>
                <w:rFonts w:ascii="宋体" w:hAnsi="宋体"/>
                <w:sz w:val="24"/>
                <w:szCs w:val="24"/>
              </w:rPr>
              <w:t>是否正常</w:t>
            </w:r>
            <w:r>
              <w:rPr>
                <w:rFonts w:hint="eastAsia" w:ascii="宋体" w:hAnsi="宋体"/>
                <w:sz w:val="24"/>
                <w:szCs w:val="24"/>
              </w:rPr>
              <w:t>）、</w:t>
            </w:r>
            <w:r>
              <w:rPr>
                <w:rFonts w:ascii="宋体" w:hAnsi="宋体"/>
                <w:sz w:val="24"/>
                <w:szCs w:val="24"/>
              </w:rPr>
              <w:t>音频质量（</w:t>
            </w:r>
            <w:r>
              <w:rPr>
                <w:rFonts w:hint="eastAsia" w:ascii="宋体" w:hAnsi="宋体"/>
                <w:sz w:val="24"/>
                <w:szCs w:val="24"/>
              </w:rPr>
              <w:t>拾音及扬声</w:t>
            </w:r>
            <w:r>
              <w:rPr>
                <w:rFonts w:ascii="宋体" w:hAnsi="宋体"/>
                <w:sz w:val="24"/>
                <w:szCs w:val="24"/>
              </w:rPr>
              <w:t>效果是否正常</w:t>
            </w:r>
            <w:r>
              <w:rPr>
                <w:rFonts w:hint="eastAsia" w:ascii="宋体" w:hAnsi="宋体"/>
                <w:sz w:val="24"/>
                <w:szCs w:val="24"/>
              </w:rPr>
              <w:t>、音箱</w:t>
            </w:r>
            <w:r>
              <w:rPr>
                <w:rFonts w:ascii="宋体" w:hAnsi="宋体"/>
                <w:sz w:val="24"/>
                <w:szCs w:val="24"/>
              </w:rPr>
              <w:t>声音是否清晰</w:t>
            </w:r>
            <w:r>
              <w:rPr>
                <w:rFonts w:hint="eastAsia" w:ascii="宋体" w:hAnsi="宋体"/>
                <w:sz w:val="24"/>
                <w:szCs w:val="24"/>
              </w:rPr>
              <w:t>，</w:t>
            </w:r>
            <w:r>
              <w:rPr>
                <w:rFonts w:ascii="宋体" w:hAnsi="宋体"/>
                <w:sz w:val="24"/>
                <w:szCs w:val="24"/>
              </w:rPr>
              <w:t>有无杂音或啸叫）</w:t>
            </w:r>
          </w:p>
          <w:p w14:paraId="1B85D29C">
            <w:pPr>
              <w:widowControl/>
              <w:jc w:val="left"/>
              <w:rPr>
                <w:rFonts w:ascii="宋体" w:hAnsi="宋体"/>
                <w:sz w:val="24"/>
                <w:szCs w:val="24"/>
              </w:rPr>
            </w:pPr>
            <w:r>
              <w:rPr>
                <w:rFonts w:hint="eastAsia" w:ascii="宋体" w:hAnsi="宋体"/>
                <w:sz w:val="24"/>
                <w:szCs w:val="24"/>
              </w:rPr>
              <w:t>④ITC语音对讲服务器及对讲系统软件</w:t>
            </w:r>
            <w:r>
              <w:rPr>
                <w:rFonts w:ascii="宋体" w:hAnsi="宋体"/>
                <w:sz w:val="24"/>
                <w:szCs w:val="24"/>
              </w:rPr>
              <w:t>巡检重点包括但不限于</w:t>
            </w:r>
            <w:r>
              <w:rPr>
                <w:rFonts w:hint="eastAsia" w:ascii="宋体" w:hAnsi="宋体"/>
                <w:sz w:val="24"/>
                <w:szCs w:val="24"/>
              </w:rPr>
              <w:t>: 设备</w:t>
            </w:r>
            <w:r>
              <w:rPr>
                <w:rFonts w:ascii="宋体" w:hAnsi="宋体"/>
                <w:sz w:val="24"/>
                <w:szCs w:val="24"/>
              </w:rPr>
              <w:t>运行状态</w:t>
            </w:r>
            <w:r>
              <w:rPr>
                <w:rFonts w:hint="eastAsia" w:ascii="宋体" w:hAnsi="宋体"/>
                <w:sz w:val="24"/>
                <w:szCs w:val="24"/>
              </w:rPr>
              <w:t>（电源、网络、运行状态等指示灯是否处于正常工作状态，风扇运转</w:t>
            </w:r>
            <w:r>
              <w:rPr>
                <w:rFonts w:ascii="宋体" w:hAnsi="宋体"/>
                <w:sz w:val="24"/>
                <w:szCs w:val="24"/>
              </w:rPr>
              <w:t>及散热</w:t>
            </w:r>
            <w:r>
              <w:rPr>
                <w:rFonts w:hint="eastAsia" w:ascii="宋体" w:hAnsi="宋体"/>
                <w:sz w:val="24"/>
                <w:szCs w:val="24"/>
              </w:rPr>
              <w:t>有无异常或异响</w:t>
            </w:r>
            <w:r>
              <w:rPr>
                <w:rFonts w:ascii="宋体" w:hAnsi="宋体"/>
                <w:sz w:val="24"/>
                <w:szCs w:val="24"/>
              </w:rPr>
              <w:t>）</w:t>
            </w:r>
            <w:r>
              <w:rPr>
                <w:rFonts w:hint="eastAsia" w:ascii="宋体" w:hAnsi="宋体"/>
                <w:sz w:val="24"/>
                <w:szCs w:val="24"/>
              </w:rPr>
              <w:t>；操作</w:t>
            </w:r>
            <w:r>
              <w:rPr>
                <w:rFonts w:ascii="宋体" w:hAnsi="宋体"/>
                <w:sz w:val="24"/>
                <w:szCs w:val="24"/>
              </w:rPr>
              <w:t>系统状态</w:t>
            </w:r>
            <w:r>
              <w:rPr>
                <w:rFonts w:hint="eastAsia" w:ascii="宋体" w:hAnsi="宋体"/>
                <w:sz w:val="24"/>
                <w:szCs w:val="24"/>
              </w:rPr>
              <w:t>(</w:t>
            </w:r>
            <w:r>
              <w:rPr>
                <w:rFonts w:ascii="宋体" w:hAnsi="宋体"/>
                <w:sz w:val="24"/>
                <w:szCs w:val="24"/>
              </w:rPr>
              <w:t>系统文件</w:t>
            </w:r>
            <w:r>
              <w:rPr>
                <w:rFonts w:hint="eastAsia" w:ascii="宋体" w:hAnsi="宋体"/>
                <w:sz w:val="24"/>
                <w:szCs w:val="24"/>
              </w:rPr>
              <w:t>是否</w:t>
            </w:r>
            <w:r>
              <w:rPr>
                <w:rFonts w:ascii="宋体" w:hAnsi="宋体"/>
                <w:sz w:val="24"/>
                <w:szCs w:val="24"/>
              </w:rPr>
              <w:t>完整</w:t>
            </w:r>
            <w:r>
              <w:rPr>
                <w:rFonts w:hint="eastAsia" w:ascii="宋体" w:hAnsi="宋体"/>
                <w:sz w:val="24"/>
                <w:szCs w:val="24"/>
              </w:rPr>
              <w:t>，硬盘容量及</w:t>
            </w:r>
            <w:r>
              <w:rPr>
                <w:rFonts w:ascii="宋体" w:hAnsi="宋体"/>
                <w:sz w:val="24"/>
                <w:szCs w:val="24"/>
              </w:rPr>
              <w:t>使用情况</w:t>
            </w:r>
            <w:r>
              <w:rPr>
                <w:rFonts w:hint="eastAsia" w:ascii="宋体" w:hAnsi="宋体"/>
                <w:sz w:val="24"/>
                <w:szCs w:val="24"/>
              </w:rPr>
              <w:t>，</w:t>
            </w:r>
            <w:r>
              <w:rPr>
                <w:rFonts w:ascii="宋体" w:hAnsi="宋体"/>
                <w:sz w:val="24"/>
                <w:szCs w:val="24"/>
              </w:rPr>
              <w:t xml:space="preserve"> CPU/内存</w:t>
            </w:r>
            <w:r>
              <w:rPr>
                <w:rFonts w:hint="eastAsia" w:ascii="宋体" w:hAnsi="宋体"/>
                <w:sz w:val="24"/>
                <w:szCs w:val="24"/>
              </w:rPr>
              <w:t>负载</w:t>
            </w:r>
            <w:r>
              <w:rPr>
                <w:rFonts w:ascii="宋体" w:hAnsi="宋体"/>
                <w:sz w:val="24"/>
                <w:szCs w:val="24"/>
              </w:rPr>
              <w:t>是否正常</w:t>
            </w:r>
            <w:r>
              <w:rPr>
                <w:rFonts w:hint="eastAsia" w:ascii="宋体" w:hAnsi="宋体"/>
                <w:sz w:val="24"/>
                <w:szCs w:val="24"/>
              </w:rPr>
              <w:t>，</w:t>
            </w:r>
            <w:r>
              <w:rPr>
                <w:rFonts w:ascii="宋体" w:hAnsi="宋体"/>
                <w:sz w:val="24"/>
                <w:szCs w:val="24"/>
              </w:rPr>
              <w:t>系统日</w:t>
            </w:r>
            <w:r>
              <w:rPr>
                <w:rFonts w:hint="eastAsia" w:ascii="宋体" w:hAnsi="宋体"/>
                <w:sz w:val="24"/>
                <w:szCs w:val="24"/>
              </w:rPr>
              <w:t>志</w:t>
            </w:r>
            <w:r>
              <w:rPr>
                <w:rFonts w:ascii="宋体" w:hAnsi="宋体"/>
                <w:sz w:val="24"/>
                <w:szCs w:val="24"/>
              </w:rPr>
              <w:t>是否有报错</w:t>
            </w:r>
            <w:r>
              <w:rPr>
                <w:rFonts w:hint="eastAsia" w:ascii="宋体" w:hAnsi="宋体"/>
                <w:sz w:val="24"/>
                <w:szCs w:val="24"/>
              </w:rPr>
              <w:t>或</w:t>
            </w:r>
            <w:r>
              <w:rPr>
                <w:rFonts w:ascii="宋体" w:hAnsi="宋体"/>
                <w:sz w:val="24"/>
                <w:szCs w:val="24"/>
              </w:rPr>
              <w:t>警告</w:t>
            </w:r>
            <w:r>
              <w:rPr>
                <w:rFonts w:hint="eastAsia" w:ascii="宋体" w:hAnsi="宋体"/>
                <w:sz w:val="24"/>
                <w:szCs w:val="24"/>
              </w:rPr>
              <w:t>，系统时间是否准确)；服务进程</w:t>
            </w:r>
            <w:r>
              <w:rPr>
                <w:rFonts w:ascii="宋体" w:hAnsi="宋体"/>
                <w:sz w:val="24"/>
                <w:szCs w:val="24"/>
              </w:rPr>
              <w:t>状态（</w:t>
            </w:r>
            <w:r>
              <w:rPr>
                <w:rFonts w:hint="eastAsia" w:ascii="宋体" w:hAnsi="宋体"/>
                <w:sz w:val="24"/>
                <w:szCs w:val="24"/>
              </w:rPr>
              <w:t>核心</w:t>
            </w:r>
            <w:r>
              <w:rPr>
                <w:rFonts w:ascii="宋体" w:hAnsi="宋体"/>
                <w:sz w:val="24"/>
                <w:szCs w:val="24"/>
              </w:rPr>
              <w:t>进程资源占用是否合理，</w:t>
            </w:r>
            <w:r>
              <w:rPr>
                <w:rFonts w:hint="eastAsia" w:ascii="宋体" w:hAnsi="宋体"/>
                <w:sz w:val="24"/>
                <w:szCs w:val="24"/>
              </w:rPr>
              <w:t>中心管理服务、注册服务、代理服务、媒体转发服务等</w:t>
            </w:r>
            <w:r>
              <w:rPr>
                <w:rFonts w:ascii="宋体" w:hAnsi="宋体"/>
                <w:sz w:val="24"/>
                <w:szCs w:val="24"/>
              </w:rPr>
              <w:t>服务程序是否正常启动）</w:t>
            </w:r>
            <w:r>
              <w:rPr>
                <w:rFonts w:hint="eastAsia" w:ascii="宋体" w:hAnsi="宋体"/>
                <w:sz w:val="24"/>
                <w:szCs w:val="24"/>
              </w:rPr>
              <w:t>；系统</w:t>
            </w:r>
            <w:r>
              <w:rPr>
                <w:rFonts w:ascii="宋体" w:hAnsi="宋体"/>
                <w:sz w:val="24"/>
                <w:szCs w:val="24"/>
              </w:rPr>
              <w:t>核心功能</w:t>
            </w:r>
            <w:r>
              <w:rPr>
                <w:rFonts w:hint="eastAsia" w:ascii="宋体" w:hAnsi="宋体"/>
                <w:sz w:val="24"/>
                <w:szCs w:val="24"/>
              </w:rPr>
              <w:t>（在线/离线</w:t>
            </w:r>
            <w:r>
              <w:rPr>
                <w:rFonts w:ascii="宋体" w:hAnsi="宋体"/>
                <w:sz w:val="24"/>
                <w:szCs w:val="24"/>
              </w:rPr>
              <w:t>用户统计、</w:t>
            </w:r>
            <w:r>
              <w:rPr>
                <w:rFonts w:hint="eastAsia" w:ascii="宋体" w:hAnsi="宋体"/>
                <w:sz w:val="24"/>
                <w:szCs w:val="24"/>
              </w:rPr>
              <w:t>呼叫</w:t>
            </w:r>
            <w:r>
              <w:rPr>
                <w:rFonts w:ascii="宋体" w:hAnsi="宋体"/>
                <w:sz w:val="24"/>
                <w:szCs w:val="24"/>
              </w:rPr>
              <w:t>应答功能、广播功能等是否</w:t>
            </w:r>
            <w:r>
              <w:rPr>
                <w:rFonts w:hint="eastAsia" w:ascii="宋体" w:hAnsi="宋体"/>
                <w:sz w:val="24"/>
                <w:szCs w:val="24"/>
              </w:rPr>
              <w:t>正常）；</w:t>
            </w:r>
            <w:r>
              <w:rPr>
                <w:rFonts w:ascii="宋体" w:hAnsi="宋体"/>
                <w:sz w:val="24"/>
                <w:szCs w:val="24"/>
              </w:rPr>
              <w:t>安全配置（</w:t>
            </w:r>
            <w:r>
              <w:rPr>
                <w:rFonts w:hint="eastAsia" w:ascii="宋体" w:hAnsi="宋体"/>
                <w:sz w:val="24"/>
                <w:szCs w:val="24"/>
              </w:rPr>
              <w:t>用户</w:t>
            </w:r>
            <w:r>
              <w:rPr>
                <w:rFonts w:ascii="宋体" w:hAnsi="宋体"/>
                <w:sz w:val="24"/>
                <w:szCs w:val="24"/>
              </w:rPr>
              <w:t>账户权限分配是否合理，</w:t>
            </w:r>
            <w:r>
              <w:rPr>
                <w:rFonts w:hint="eastAsia" w:ascii="宋体" w:hAnsi="宋体"/>
                <w:sz w:val="24"/>
                <w:szCs w:val="24"/>
              </w:rPr>
              <w:t>系统</w:t>
            </w:r>
            <w:r>
              <w:rPr>
                <w:rFonts w:ascii="宋体" w:hAnsi="宋体"/>
                <w:sz w:val="24"/>
                <w:szCs w:val="24"/>
              </w:rPr>
              <w:t>配置是否正常，</w:t>
            </w:r>
            <w:r>
              <w:rPr>
                <w:rFonts w:hint="eastAsia" w:ascii="宋体" w:hAnsi="宋体"/>
                <w:sz w:val="24"/>
                <w:szCs w:val="24"/>
              </w:rPr>
              <w:t>应用</w:t>
            </w:r>
            <w:r>
              <w:rPr>
                <w:rFonts w:ascii="宋体" w:hAnsi="宋体"/>
                <w:sz w:val="24"/>
                <w:szCs w:val="24"/>
              </w:rPr>
              <w:t>系统日志有无异常</w:t>
            </w:r>
            <w:r>
              <w:rPr>
                <w:rFonts w:hint="eastAsia" w:ascii="宋体" w:hAnsi="宋体"/>
                <w:sz w:val="24"/>
                <w:szCs w:val="24"/>
              </w:rPr>
              <w:t>登录</w:t>
            </w:r>
            <w:r>
              <w:rPr>
                <w:rFonts w:ascii="宋体" w:hAnsi="宋体"/>
                <w:sz w:val="24"/>
                <w:szCs w:val="24"/>
              </w:rPr>
              <w:t>、配置</w:t>
            </w:r>
            <w:r>
              <w:rPr>
                <w:rFonts w:hint="eastAsia" w:ascii="宋体" w:hAnsi="宋体"/>
                <w:sz w:val="24"/>
                <w:szCs w:val="24"/>
              </w:rPr>
              <w:t>篡改</w:t>
            </w:r>
            <w:r>
              <w:rPr>
                <w:rFonts w:ascii="宋体" w:hAnsi="宋体"/>
                <w:sz w:val="24"/>
                <w:szCs w:val="24"/>
              </w:rPr>
              <w:t>等情况）</w:t>
            </w:r>
            <w:r>
              <w:rPr>
                <w:rFonts w:hint="eastAsia" w:ascii="宋体" w:hAnsi="宋体"/>
                <w:sz w:val="24"/>
                <w:szCs w:val="24"/>
              </w:rPr>
              <w:t>；网络安全</w:t>
            </w:r>
            <w:r>
              <w:rPr>
                <w:rFonts w:ascii="宋体" w:hAnsi="宋体"/>
                <w:sz w:val="24"/>
                <w:szCs w:val="24"/>
              </w:rPr>
              <w:t>状态（</w:t>
            </w:r>
            <w:r>
              <w:rPr>
                <w:rFonts w:hint="eastAsia" w:ascii="宋体" w:hAnsi="宋体"/>
                <w:sz w:val="24"/>
                <w:szCs w:val="24"/>
              </w:rPr>
              <w:t>是否</w:t>
            </w:r>
            <w:r>
              <w:rPr>
                <w:rFonts w:ascii="宋体" w:hAnsi="宋体"/>
                <w:sz w:val="24"/>
                <w:szCs w:val="24"/>
              </w:rPr>
              <w:t>存在弱口令问题，</w:t>
            </w:r>
            <w:r>
              <w:rPr>
                <w:rFonts w:hint="eastAsia" w:ascii="宋体" w:hAnsi="宋体"/>
                <w:sz w:val="24"/>
                <w:szCs w:val="24"/>
              </w:rPr>
              <w:t>是否</w:t>
            </w:r>
            <w:r>
              <w:rPr>
                <w:rFonts w:ascii="宋体" w:hAnsi="宋体"/>
                <w:sz w:val="24"/>
                <w:szCs w:val="24"/>
              </w:rPr>
              <w:t>安装并定期更</w:t>
            </w:r>
            <w:r>
              <w:rPr>
                <w:rFonts w:hint="eastAsia" w:ascii="宋体" w:hAnsi="宋体"/>
                <w:sz w:val="24"/>
                <w:szCs w:val="24"/>
              </w:rPr>
              <w:t>新</w:t>
            </w:r>
            <w:r>
              <w:rPr>
                <w:rFonts w:ascii="宋体" w:hAnsi="宋体"/>
                <w:sz w:val="24"/>
                <w:szCs w:val="24"/>
              </w:rPr>
              <w:t>杀毒软件</w:t>
            </w:r>
            <w:r>
              <w:rPr>
                <w:rFonts w:hint="eastAsia" w:ascii="宋体" w:hAnsi="宋体"/>
                <w:sz w:val="24"/>
                <w:szCs w:val="24"/>
              </w:rPr>
              <w:t>、用户权限分配是否合理</w:t>
            </w:r>
            <w:r>
              <w:rPr>
                <w:rFonts w:ascii="宋体" w:hAnsi="宋体"/>
                <w:sz w:val="24"/>
                <w:szCs w:val="24"/>
              </w:rPr>
              <w:t>）</w:t>
            </w:r>
            <w:r>
              <w:rPr>
                <w:rFonts w:hint="eastAsia" w:ascii="宋体" w:hAnsi="宋体"/>
                <w:sz w:val="24"/>
                <w:szCs w:val="24"/>
              </w:rPr>
              <w:t>；</w:t>
            </w:r>
          </w:p>
          <w:p w14:paraId="054C773F">
            <w:pPr>
              <w:widowControl/>
              <w:jc w:val="left"/>
              <w:rPr>
                <w:rFonts w:ascii="宋体" w:hAnsi="宋体"/>
                <w:sz w:val="24"/>
                <w:szCs w:val="24"/>
              </w:rPr>
            </w:pPr>
            <w:r>
              <w:rPr>
                <w:rFonts w:hint="eastAsia" w:ascii="宋体" w:hAnsi="宋体"/>
                <w:sz w:val="24"/>
                <w:szCs w:val="24"/>
              </w:rPr>
              <w:t>⑤视频管理平台</w:t>
            </w:r>
            <w:r>
              <w:rPr>
                <w:rFonts w:ascii="宋体" w:hAnsi="宋体"/>
                <w:sz w:val="24"/>
                <w:szCs w:val="24"/>
              </w:rPr>
              <w:t>巡检重点包括但不限于</w:t>
            </w:r>
            <w:r>
              <w:rPr>
                <w:rFonts w:hint="eastAsia" w:ascii="宋体" w:hAnsi="宋体"/>
                <w:sz w:val="24"/>
                <w:szCs w:val="24"/>
              </w:rPr>
              <w:t>：设备运行</w:t>
            </w:r>
            <w:r>
              <w:rPr>
                <w:rFonts w:ascii="宋体" w:hAnsi="宋体"/>
                <w:sz w:val="24"/>
                <w:szCs w:val="24"/>
              </w:rPr>
              <w:t>状态</w:t>
            </w:r>
            <w:r>
              <w:rPr>
                <w:rFonts w:hint="eastAsia" w:ascii="宋体" w:hAnsi="宋体"/>
                <w:sz w:val="24"/>
                <w:szCs w:val="24"/>
              </w:rPr>
              <w:t>（电源、网络、运行状态等指示灯是否处于正常工作状态，风扇运转</w:t>
            </w:r>
            <w:r>
              <w:rPr>
                <w:rFonts w:ascii="宋体" w:hAnsi="宋体"/>
                <w:sz w:val="24"/>
                <w:szCs w:val="24"/>
              </w:rPr>
              <w:t>及散热</w:t>
            </w:r>
            <w:r>
              <w:rPr>
                <w:rFonts w:hint="eastAsia" w:ascii="宋体" w:hAnsi="宋体"/>
                <w:sz w:val="24"/>
                <w:szCs w:val="24"/>
              </w:rPr>
              <w:t>有无异常或异响</w:t>
            </w:r>
            <w:r>
              <w:rPr>
                <w:rFonts w:ascii="宋体" w:hAnsi="宋体"/>
                <w:sz w:val="24"/>
                <w:szCs w:val="24"/>
              </w:rPr>
              <w:t>）</w:t>
            </w:r>
            <w:r>
              <w:rPr>
                <w:rFonts w:hint="eastAsia" w:ascii="宋体" w:hAnsi="宋体"/>
                <w:sz w:val="24"/>
                <w:szCs w:val="24"/>
              </w:rPr>
              <w:t>；平台</w:t>
            </w:r>
            <w:r>
              <w:rPr>
                <w:rFonts w:ascii="宋体" w:hAnsi="宋体"/>
                <w:sz w:val="24"/>
                <w:szCs w:val="24"/>
              </w:rPr>
              <w:t>服务状态（</w:t>
            </w:r>
            <w:r>
              <w:rPr>
                <w:rFonts w:hint="eastAsia" w:ascii="宋体" w:hAnsi="宋体"/>
                <w:sz w:val="24"/>
                <w:szCs w:val="24"/>
              </w:rPr>
              <w:t>中心</w:t>
            </w:r>
            <w:r>
              <w:rPr>
                <w:rFonts w:ascii="宋体" w:hAnsi="宋体"/>
                <w:sz w:val="24"/>
                <w:szCs w:val="24"/>
              </w:rPr>
              <w:t>管理、流媒体管理、存储管理、</w:t>
            </w:r>
            <w:r>
              <w:rPr>
                <w:rFonts w:hint="eastAsia" w:ascii="宋体" w:hAnsi="宋体"/>
                <w:sz w:val="24"/>
                <w:szCs w:val="24"/>
              </w:rPr>
              <w:t>配置</w:t>
            </w:r>
            <w:r>
              <w:rPr>
                <w:rFonts w:ascii="宋体" w:hAnsi="宋体"/>
                <w:sz w:val="24"/>
                <w:szCs w:val="24"/>
              </w:rPr>
              <w:t>管理、</w:t>
            </w:r>
            <w:r>
              <w:rPr>
                <w:rFonts w:hint="eastAsia" w:ascii="宋体" w:hAnsi="宋体"/>
                <w:sz w:val="24"/>
                <w:szCs w:val="24"/>
              </w:rPr>
              <w:t>web</w:t>
            </w:r>
            <w:r>
              <w:rPr>
                <w:rFonts w:ascii="宋体" w:hAnsi="宋体"/>
                <w:sz w:val="24"/>
                <w:szCs w:val="24"/>
              </w:rPr>
              <w:t>服务等服务模块是否</w:t>
            </w:r>
            <w:r>
              <w:rPr>
                <w:rFonts w:hint="eastAsia" w:ascii="宋体" w:hAnsi="宋体"/>
                <w:sz w:val="24"/>
                <w:szCs w:val="24"/>
              </w:rPr>
              <w:t>正常运行</w:t>
            </w:r>
            <w:r>
              <w:rPr>
                <w:rFonts w:ascii="宋体" w:hAnsi="宋体"/>
                <w:sz w:val="24"/>
                <w:szCs w:val="24"/>
              </w:rPr>
              <w:t>）</w:t>
            </w:r>
            <w:r>
              <w:rPr>
                <w:rFonts w:hint="eastAsia" w:ascii="宋体" w:hAnsi="宋体"/>
                <w:sz w:val="24"/>
                <w:szCs w:val="24"/>
              </w:rPr>
              <w:t>；设备</w:t>
            </w:r>
            <w:r>
              <w:rPr>
                <w:rFonts w:ascii="宋体" w:hAnsi="宋体"/>
                <w:sz w:val="24"/>
                <w:szCs w:val="24"/>
              </w:rPr>
              <w:t>接入状态（</w:t>
            </w:r>
            <w:r>
              <w:rPr>
                <w:rFonts w:hint="eastAsia" w:ascii="宋体" w:hAnsi="宋体"/>
                <w:sz w:val="24"/>
                <w:szCs w:val="24"/>
              </w:rPr>
              <w:t>设备列表</w:t>
            </w:r>
            <w:r>
              <w:rPr>
                <w:rFonts w:ascii="宋体" w:hAnsi="宋体"/>
                <w:sz w:val="24"/>
                <w:szCs w:val="24"/>
              </w:rPr>
              <w:t>是否完整，</w:t>
            </w:r>
            <w:r>
              <w:rPr>
                <w:rFonts w:hint="eastAsia" w:ascii="宋体" w:hAnsi="宋体"/>
                <w:sz w:val="24"/>
                <w:szCs w:val="24"/>
              </w:rPr>
              <w:t>接入</w:t>
            </w:r>
            <w:r>
              <w:rPr>
                <w:rFonts w:ascii="宋体" w:hAnsi="宋体"/>
                <w:sz w:val="24"/>
                <w:szCs w:val="24"/>
              </w:rPr>
              <w:t>画面有无卡顿、</w:t>
            </w:r>
            <w:r>
              <w:rPr>
                <w:rFonts w:hint="eastAsia" w:ascii="宋体" w:hAnsi="宋体"/>
                <w:sz w:val="24"/>
                <w:szCs w:val="24"/>
              </w:rPr>
              <w:t>信号丢失</w:t>
            </w:r>
            <w:r>
              <w:rPr>
                <w:rFonts w:ascii="宋体" w:hAnsi="宋体"/>
                <w:sz w:val="24"/>
                <w:szCs w:val="24"/>
              </w:rPr>
              <w:t>等质量问题，设备画面是否与平台时钟同步）</w:t>
            </w:r>
            <w:r>
              <w:rPr>
                <w:rFonts w:hint="eastAsia" w:ascii="宋体" w:hAnsi="宋体"/>
                <w:sz w:val="24"/>
                <w:szCs w:val="24"/>
              </w:rPr>
              <w:t>；</w:t>
            </w:r>
            <w:r>
              <w:rPr>
                <w:rFonts w:ascii="宋体" w:hAnsi="宋体"/>
                <w:sz w:val="24"/>
                <w:szCs w:val="24"/>
              </w:rPr>
              <w:t>客户端（</w:t>
            </w:r>
            <w:r>
              <w:rPr>
                <w:rFonts w:hint="eastAsia" w:ascii="宋体" w:hAnsi="宋体"/>
                <w:sz w:val="24"/>
                <w:szCs w:val="24"/>
              </w:rPr>
              <w:t>画面预览</w:t>
            </w:r>
            <w:r>
              <w:rPr>
                <w:rFonts w:ascii="宋体" w:hAnsi="宋体"/>
                <w:sz w:val="24"/>
                <w:szCs w:val="24"/>
              </w:rPr>
              <w:t>、轮巡计划</w:t>
            </w:r>
            <w:r>
              <w:rPr>
                <w:rFonts w:hint="eastAsia" w:ascii="宋体" w:hAnsi="宋体"/>
                <w:sz w:val="24"/>
                <w:szCs w:val="24"/>
              </w:rPr>
              <w:t>、</w:t>
            </w:r>
            <w:r>
              <w:rPr>
                <w:rFonts w:ascii="宋体" w:hAnsi="宋体"/>
                <w:sz w:val="24"/>
                <w:szCs w:val="24"/>
              </w:rPr>
              <w:t>录像回</w:t>
            </w:r>
            <w:r>
              <w:rPr>
                <w:rFonts w:hint="eastAsia" w:ascii="宋体" w:hAnsi="宋体"/>
                <w:sz w:val="24"/>
                <w:szCs w:val="24"/>
              </w:rPr>
              <w:t>放及</w:t>
            </w:r>
            <w:r>
              <w:rPr>
                <w:rFonts w:ascii="宋体" w:hAnsi="宋体"/>
                <w:sz w:val="24"/>
                <w:szCs w:val="24"/>
              </w:rPr>
              <w:t>下载等功能</w:t>
            </w:r>
            <w:r>
              <w:rPr>
                <w:rFonts w:hint="eastAsia" w:ascii="宋体" w:hAnsi="宋体"/>
                <w:sz w:val="24"/>
                <w:szCs w:val="24"/>
              </w:rPr>
              <w:t>是否</w:t>
            </w:r>
            <w:r>
              <w:rPr>
                <w:rFonts w:ascii="宋体" w:hAnsi="宋体"/>
                <w:sz w:val="24"/>
                <w:szCs w:val="24"/>
              </w:rPr>
              <w:t>稳定，用户权限分配是否合理）</w:t>
            </w:r>
            <w:r>
              <w:rPr>
                <w:rFonts w:hint="eastAsia" w:ascii="宋体" w:hAnsi="宋体"/>
                <w:sz w:val="24"/>
                <w:szCs w:val="24"/>
              </w:rPr>
              <w:t>；</w:t>
            </w:r>
          </w:p>
          <w:p w14:paraId="26E7A3C6">
            <w:pPr>
              <w:widowControl/>
              <w:jc w:val="left"/>
              <w:rPr>
                <w:rFonts w:ascii="宋体" w:hAnsi="宋体"/>
                <w:sz w:val="24"/>
                <w:szCs w:val="24"/>
              </w:rPr>
            </w:pPr>
            <w:r>
              <w:rPr>
                <w:rFonts w:hint="eastAsia" w:ascii="宋体" w:hAnsi="宋体"/>
                <w:sz w:val="24"/>
                <w:szCs w:val="24"/>
              </w:rPr>
              <w:t>⑥视频存储服务器</w:t>
            </w:r>
            <w:r>
              <w:rPr>
                <w:rFonts w:ascii="宋体" w:hAnsi="宋体"/>
                <w:sz w:val="24"/>
                <w:szCs w:val="24"/>
              </w:rPr>
              <w:t>巡检重点包括但不限于</w:t>
            </w:r>
            <w:r>
              <w:rPr>
                <w:rFonts w:hint="eastAsia" w:ascii="宋体" w:hAnsi="宋体"/>
                <w:sz w:val="24"/>
                <w:szCs w:val="24"/>
              </w:rPr>
              <w:t>：设备</w:t>
            </w:r>
            <w:r>
              <w:rPr>
                <w:rFonts w:ascii="宋体" w:hAnsi="宋体"/>
                <w:sz w:val="24"/>
                <w:szCs w:val="24"/>
              </w:rPr>
              <w:t>运行状态</w:t>
            </w:r>
            <w:r>
              <w:rPr>
                <w:rFonts w:hint="eastAsia" w:ascii="宋体" w:hAnsi="宋体"/>
                <w:sz w:val="24"/>
                <w:szCs w:val="24"/>
              </w:rPr>
              <w:t>（电源工作状态</w:t>
            </w:r>
            <w:r>
              <w:rPr>
                <w:rFonts w:ascii="宋体" w:hAnsi="宋体"/>
                <w:sz w:val="24"/>
                <w:szCs w:val="24"/>
              </w:rPr>
              <w:t>、</w:t>
            </w:r>
            <w:r>
              <w:rPr>
                <w:rFonts w:hint="eastAsia" w:ascii="宋体" w:hAnsi="宋体"/>
                <w:sz w:val="24"/>
                <w:szCs w:val="24"/>
              </w:rPr>
              <w:t>风扇运转</w:t>
            </w:r>
            <w:r>
              <w:rPr>
                <w:rFonts w:ascii="宋体" w:hAnsi="宋体"/>
                <w:sz w:val="24"/>
                <w:szCs w:val="24"/>
              </w:rPr>
              <w:t>及散热</w:t>
            </w:r>
            <w:r>
              <w:rPr>
                <w:rFonts w:hint="eastAsia" w:ascii="宋体" w:hAnsi="宋体"/>
                <w:sz w:val="24"/>
                <w:szCs w:val="24"/>
              </w:rPr>
              <w:t>情况</w:t>
            </w:r>
            <w:r>
              <w:rPr>
                <w:rFonts w:ascii="宋体" w:hAnsi="宋体"/>
                <w:sz w:val="24"/>
                <w:szCs w:val="24"/>
              </w:rPr>
              <w:t>、</w:t>
            </w:r>
            <w:r>
              <w:rPr>
                <w:rFonts w:hint="eastAsia" w:ascii="宋体" w:hAnsi="宋体"/>
                <w:sz w:val="24"/>
                <w:szCs w:val="24"/>
              </w:rPr>
              <w:t>磁盘健康</w:t>
            </w:r>
            <w:r>
              <w:rPr>
                <w:rFonts w:ascii="宋体" w:hAnsi="宋体"/>
                <w:sz w:val="24"/>
                <w:szCs w:val="24"/>
              </w:rPr>
              <w:t>情况、</w:t>
            </w:r>
            <w:r>
              <w:rPr>
                <w:rFonts w:hint="eastAsia" w:ascii="宋体" w:hAnsi="宋体"/>
                <w:sz w:val="24"/>
                <w:szCs w:val="24"/>
              </w:rPr>
              <w:t>存储控制器是否正常工作、</w:t>
            </w:r>
            <w:r>
              <w:rPr>
                <w:rFonts w:ascii="宋体" w:hAnsi="宋体"/>
                <w:sz w:val="24"/>
                <w:szCs w:val="24"/>
              </w:rPr>
              <w:t>RAID状态</w:t>
            </w:r>
            <w:r>
              <w:rPr>
                <w:rFonts w:hint="eastAsia" w:ascii="宋体" w:hAnsi="宋体"/>
                <w:sz w:val="24"/>
                <w:szCs w:val="24"/>
              </w:rPr>
              <w:t>）；</w:t>
            </w:r>
            <w:r>
              <w:rPr>
                <w:rFonts w:ascii="宋体" w:hAnsi="宋体"/>
                <w:sz w:val="24"/>
                <w:szCs w:val="24"/>
              </w:rPr>
              <w:t>存储性能（</w:t>
            </w:r>
            <w:r>
              <w:rPr>
                <w:rFonts w:hint="eastAsia" w:ascii="宋体" w:hAnsi="宋体"/>
                <w:sz w:val="24"/>
                <w:szCs w:val="24"/>
              </w:rPr>
              <w:t>I</w:t>
            </w:r>
            <w:r>
              <w:rPr>
                <w:rFonts w:ascii="宋体" w:hAnsi="宋体"/>
                <w:sz w:val="24"/>
                <w:szCs w:val="24"/>
              </w:rPr>
              <w:t>O</w:t>
            </w:r>
            <w:r>
              <w:rPr>
                <w:rFonts w:hint="eastAsia" w:ascii="宋体" w:hAnsi="宋体"/>
                <w:sz w:val="24"/>
                <w:szCs w:val="24"/>
              </w:rPr>
              <w:t>吞吐量</w:t>
            </w:r>
            <w:r>
              <w:rPr>
                <w:rFonts w:ascii="宋体" w:hAnsi="宋体"/>
                <w:sz w:val="24"/>
                <w:szCs w:val="24"/>
              </w:rPr>
              <w:t>是否正常、缓存状态是否正常、</w:t>
            </w:r>
            <w:r>
              <w:rPr>
                <w:rFonts w:hint="eastAsia" w:ascii="宋体" w:hAnsi="宋体"/>
                <w:sz w:val="24"/>
                <w:szCs w:val="24"/>
              </w:rPr>
              <w:t>带宽使用</w:t>
            </w:r>
            <w:r>
              <w:rPr>
                <w:rFonts w:ascii="宋体" w:hAnsi="宋体"/>
                <w:sz w:val="24"/>
                <w:szCs w:val="24"/>
              </w:rPr>
              <w:t>情</w:t>
            </w:r>
            <w:r>
              <w:rPr>
                <w:rFonts w:hint="eastAsia" w:ascii="宋体" w:hAnsi="宋体"/>
                <w:sz w:val="24"/>
                <w:szCs w:val="24"/>
              </w:rPr>
              <w:t>况</w:t>
            </w:r>
            <w:r>
              <w:rPr>
                <w:rFonts w:ascii="宋体" w:hAnsi="宋体"/>
                <w:sz w:val="24"/>
                <w:szCs w:val="24"/>
              </w:rPr>
              <w:t>、存储负载均衡</w:t>
            </w:r>
            <w:r>
              <w:rPr>
                <w:rFonts w:hint="eastAsia" w:ascii="宋体" w:hAnsi="宋体"/>
                <w:sz w:val="24"/>
                <w:szCs w:val="24"/>
              </w:rPr>
              <w:t>是否合理</w:t>
            </w:r>
            <w:r>
              <w:rPr>
                <w:rFonts w:ascii="宋体" w:hAnsi="宋体"/>
                <w:sz w:val="24"/>
                <w:szCs w:val="24"/>
              </w:rPr>
              <w:t>）</w:t>
            </w:r>
            <w:r>
              <w:rPr>
                <w:rFonts w:hint="eastAsia" w:ascii="宋体" w:hAnsi="宋体"/>
                <w:sz w:val="24"/>
                <w:szCs w:val="24"/>
              </w:rPr>
              <w:t>；存储容量</w:t>
            </w:r>
            <w:r>
              <w:rPr>
                <w:rFonts w:ascii="宋体" w:hAnsi="宋体"/>
                <w:sz w:val="24"/>
                <w:szCs w:val="24"/>
              </w:rPr>
              <w:t>情况（</w:t>
            </w:r>
            <w:r>
              <w:rPr>
                <w:rFonts w:hint="eastAsia" w:ascii="宋体" w:hAnsi="宋体"/>
                <w:sz w:val="24"/>
                <w:szCs w:val="24"/>
              </w:rPr>
              <w:t>存储容量</w:t>
            </w:r>
            <w:r>
              <w:rPr>
                <w:rFonts w:ascii="宋体" w:hAnsi="宋体"/>
                <w:sz w:val="24"/>
                <w:szCs w:val="24"/>
              </w:rPr>
              <w:t>使用情况、快照</w:t>
            </w:r>
            <w:r>
              <w:rPr>
                <w:rFonts w:hint="eastAsia" w:ascii="宋体" w:hAnsi="宋体"/>
                <w:sz w:val="24"/>
                <w:szCs w:val="24"/>
              </w:rPr>
              <w:t>或克隆</w:t>
            </w:r>
            <w:r>
              <w:rPr>
                <w:rFonts w:ascii="宋体" w:hAnsi="宋体"/>
                <w:sz w:val="24"/>
                <w:szCs w:val="24"/>
              </w:rPr>
              <w:t>空间占用情况）</w:t>
            </w:r>
            <w:r>
              <w:rPr>
                <w:rFonts w:hint="eastAsia" w:ascii="宋体" w:hAnsi="宋体"/>
                <w:sz w:val="24"/>
                <w:szCs w:val="24"/>
              </w:rPr>
              <w:t>；网络连接</w:t>
            </w:r>
            <w:r>
              <w:rPr>
                <w:rFonts w:ascii="宋体" w:hAnsi="宋体"/>
                <w:sz w:val="24"/>
                <w:szCs w:val="24"/>
              </w:rPr>
              <w:t>情况（</w:t>
            </w:r>
            <w:r>
              <w:rPr>
                <w:rFonts w:hint="eastAsia" w:ascii="宋体" w:hAnsi="宋体"/>
                <w:sz w:val="24"/>
                <w:szCs w:val="24"/>
              </w:rPr>
              <w:t>各类接口</w:t>
            </w:r>
            <w:r>
              <w:rPr>
                <w:rFonts w:ascii="宋体" w:hAnsi="宋体"/>
                <w:sz w:val="24"/>
                <w:szCs w:val="24"/>
              </w:rPr>
              <w:t>是否</w:t>
            </w:r>
            <w:r>
              <w:rPr>
                <w:rFonts w:hint="eastAsia" w:ascii="宋体" w:hAnsi="宋体"/>
                <w:sz w:val="24"/>
                <w:szCs w:val="24"/>
              </w:rPr>
              <w:t>正常</w:t>
            </w:r>
            <w:r>
              <w:rPr>
                <w:rFonts w:ascii="宋体" w:hAnsi="宋体"/>
                <w:sz w:val="24"/>
                <w:szCs w:val="24"/>
              </w:rPr>
              <w:t>工作、网络延时</w:t>
            </w:r>
            <w:r>
              <w:rPr>
                <w:rFonts w:hint="eastAsia" w:ascii="宋体" w:hAnsi="宋体"/>
                <w:sz w:val="24"/>
                <w:szCs w:val="24"/>
              </w:rPr>
              <w:t>情况</w:t>
            </w:r>
            <w:r>
              <w:rPr>
                <w:rFonts w:ascii="宋体" w:hAnsi="宋体"/>
                <w:sz w:val="24"/>
                <w:szCs w:val="24"/>
              </w:rPr>
              <w:t>）</w:t>
            </w:r>
            <w:r>
              <w:rPr>
                <w:rFonts w:hint="eastAsia" w:ascii="宋体" w:hAnsi="宋体"/>
                <w:sz w:val="24"/>
                <w:szCs w:val="24"/>
              </w:rPr>
              <w:t>；</w:t>
            </w:r>
            <w:r>
              <w:rPr>
                <w:rFonts w:ascii="宋体" w:hAnsi="宋体"/>
                <w:sz w:val="24"/>
                <w:szCs w:val="24"/>
              </w:rPr>
              <w:t>备份与恢复策略（</w:t>
            </w:r>
            <w:r>
              <w:rPr>
                <w:rFonts w:hint="eastAsia" w:ascii="宋体" w:hAnsi="宋体"/>
                <w:sz w:val="24"/>
                <w:szCs w:val="24"/>
              </w:rPr>
              <w:t>备份任务</w:t>
            </w:r>
            <w:r>
              <w:rPr>
                <w:rFonts w:ascii="宋体" w:hAnsi="宋体"/>
                <w:sz w:val="24"/>
                <w:szCs w:val="24"/>
              </w:rPr>
              <w:t>是否正常执行、</w:t>
            </w:r>
            <w:r>
              <w:rPr>
                <w:rFonts w:hint="eastAsia" w:ascii="宋体" w:hAnsi="宋体"/>
                <w:sz w:val="24"/>
                <w:szCs w:val="24"/>
              </w:rPr>
              <w:t>快照策略是否</w:t>
            </w:r>
            <w:r>
              <w:rPr>
                <w:rFonts w:ascii="宋体" w:hAnsi="宋体"/>
                <w:sz w:val="24"/>
                <w:szCs w:val="24"/>
              </w:rPr>
              <w:t>合理）</w:t>
            </w:r>
            <w:r>
              <w:rPr>
                <w:rFonts w:hint="eastAsia" w:ascii="宋体" w:hAnsi="宋体"/>
                <w:sz w:val="24"/>
                <w:szCs w:val="24"/>
              </w:rPr>
              <w:t>；视频流</w:t>
            </w:r>
            <w:r>
              <w:rPr>
                <w:rFonts w:ascii="宋体" w:hAnsi="宋体"/>
                <w:sz w:val="24"/>
                <w:szCs w:val="24"/>
              </w:rPr>
              <w:t>写入</w:t>
            </w:r>
            <w:r>
              <w:rPr>
                <w:rFonts w:hint="eastAsia" w:ascii="宋体" w:hAnsi="宋体"/>
                <w:sz w:val="24"/>
                <w:szCs w:val="24"/>
              </w:rPr>
              <w:t>（视频</w:t>
            </w:r>
            <w:r>
              <w:rPr>
                <w:rFonts w:ascii="宋体" w:hAnsi="宋体"/>
                <w:sz w:val="24"/>
                <w:szCs w:val="24"/>
              </w:rPr>
              <w:t>流写入性能带宽等是否正常，录像文件是否完</w:t>
            </w:r>
            <w:r>
              <w:rPr>
                <w:rFonts w:hint="eastAsia" w:ascii="宋体" w:hAnsi="宋体"/>
                <w:sz w:val="24"/>
                <w:szCs w:val="24"/>
              </w:rPr>
              <w:t>整）；安全性</w:t>
            </w:r>
            <w:r>
              <w:rPr>
                <w:rFonts w:ascii="宋体" w:hAnsi="宋体"/>
                <w:sz w:val="24"/>
                <w:szCs w:val="24"/>
              </w:rPr>
              <w:t>检查（</w:t>
            </w:r>
            <w:r>
              <w:rPr>
                <w:rFonts w:hint="eastAsia" w:ascii="宋体" w:hAnsi="宋体"/>
                <w:sz w:val="24"/>
                <w:szCs w:val="24"/>
              </w:rPr>
              <w:t>操作</w:t>
            </w:r>
            <w:r>
              <w:rPr>
                <w:rFonts w:ascii="宋体" w:hAnsi="宋体"/>
                <w:sz w:val="24"/>
                <w:szCs w:val="24"/>
              </w:rPr>
              <w:t>日志是否存在未授权访问或异常操作、固件</w:t>
            </w:r>
            <w:r>
              <w:rPr>
                <w:rFonts w:hint="eastAsia" w:ascii="宋体" w:hAnsi="宋体"/>
                <w:sz w:val="24"/>
                <w:szCs w:val="24"/>
              </w:rPr>
              <w:t>版本</w:t>
            </w:r>
            <w:r>
              <w:rPr>
                <w:rFonts w:ascii="宋体" w:hAnsi="宋体"/>
                <w:sz w:val="24"/>
                <w:szCs w:val="24"/>
              </w:rPr>
              <w:t>是否</w:t>
            </w:r>
            <w:r>
              <w:rPr>
                <w:rFonts w:hint="eastAsia" w:ascii="宋体" w:hAnsi="宋体"/>
                <w:sz w:val="24"/>
                <w:szCs w:val="24"/>
              </w:rPr>
              <w:t>安装</w:t>
            </w:r>
            <w:r>
              <w:rPr>
                <w:rFonts w:ascii="宋体" w:hAnsi="宋体"/>
                <w:sz w:val="24"/>
                <w:szCs w:val="24"/>
              </w:rPr>
              <w:t>最新安全补丁</w:t>
            </w:r>
            <w:r>
              <w:rPr>
                <w:rFonts w:hint="eastAsia" w:ascii="宋体" w:hAnsi="宋体"/>
                <w:sz w:val="24"/>
                <w:szCs w:val="24"/>
              </w:rPr>
              <w:t>、</w:t>
            </w:r>
            <w:r>
              <w:rPr>
                <w:rFonts w:ascii="宋体" w:hAnsi="宋体"/>
                <w:sz w:val="24"/>
                <w:szCs w:val="24"/>
              </w:rPr>
              <w:t>用户</w:t>
            </w:r>
            <w:r>
              <w:rPr>
                <w:rFonts w:hint="eastAsia" w:ascii="宋体" w:hAnsi="宋体"/>
                <w:sz w:val="24"/>
                <w:szCs w:val="24"/>
              </w:rPr>
              <w:t>权限</w:t>
            </w:r>
            <w:r>
              <w:rPr>
                <w:rFonts w:ascii="宋体" w:hAnsi="宋体"/>
                <w:sz w:val="24"/>
                <w:szCs w:val="24"/>
              </w:rPr>
              <w:t>分配是否合理</w:t>
            </w:r>
            <w:r>
              <w:rPr>
                <w:rFonts w:hint="eastAsia" w:ascii="宋体" w:hAnsi="宋体"/>
                <w:sz w:val="24"/>
                <w:szCs w:val="24"/>
              </w:rPr>
              <w:t>、</w:t>
            </w:r>
            <w:r>
              <w:rPr>
                <w:rFonts w:ascii="宋体" w:hAnsi="宋体"/>
                <w:sz w:val="24"/>
                <w:szCs w:val="24"/>
              </w:rPr>
              <w:t>系统日</w:t>
            </w:r>
            <w:r>
              <w:rPr>
                <w:rFonts w:hint="eastAsia" w:ascii="宋体" w:hAnsi="宋体"/>
                <w:sz w:val="24"/>
                <w:szCs w:val="24"/>
              </w:rPr>
              <w:t>志</w:t>
            </w:r>
            <w:r>
              <w:rPr>
                <w:rFonts w:ascii="宋体" w:hAnsi="宋体"/>
                <w:sz w:val="24"/>
                <w:szCs w:val="24"/>
              </w:rPr>
              <w:t>是否有报错</w:t>
            </w:r>
            <w:r>
              <w:rPr>
                <w:rFonts w:hint="eastAsia" w:ascii="宋体" w:hAnsi="宋体"/>
                <w:sz w:val="24"/>
                <w:szCs w:val="24"/>
              </w:rPr>
              <w:t>或</w:t>
            </w:r>
            <w:r>
              <w:rPr>
                <w:rFonts w:ascii="宋体" w:hAnsi="宋体"/>
                <w:sz w:val="24"/>
                <w:szCs w:val="24"/>
              </w:rPr>
              <w:t>警告）</w:t>
            </w:r>
            <w:r>
              <w:rPr>
                <w:rFonts w:hint="eastAsia" w:ascii="宋体" w:hAnsi="宋体"/>
                <w:sz w:val="24"/>
                <w:szCs w:val="24"/>
              </w:rPr>
              <w:t>等；</w:t>
            </w:r>
          </w:p>
        </w:tc>
      </w:tr>
      <w:tr w14:paraId="2686E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12D9DA9">
            <w:pPr>
              <w:spacing w:line="360" w:lineRule="auto"/>
              <w:jc w:val="center"/>
              <w:rPr>
                <w:rFonts w:ascii="宋体" w:hAnsi="宋体"/>
                <w:sz w:val="24"/>
                <w:szCs w:val="24"/>
              </w:rPr>
            </w:pPr>
            <w:r>
              <w:rPr>
                <w:rFonts w:hint="eastAsia" w:ascii="宋体" w:hAnsi="宋体"/>
                <w:sz w:val="24"/>
                <w:szCs w:val="24"/>
              </w:rPr>
              <w:t>2</w:t>
            </w:r>
          </w:p>
        </w:tc>
        <w:tc>
          <w:tcPr>
            <w:tcW w:w="981" w:type="dxa"/>
            <w:vAlign w:val="center"/>
          </w:tcPr>
          <w:p w14:paraId="7199897B">
            <w:pPr>
              <w:spacing w:line="360" w:lineRule="auto"/>
              <w:jc w:val="center"/>
              <w:rPr>
                <w:rFonts w:ascii="宋体" w:hAnsi="宋体"/>
                <w:sz w:val="24"/>
                <w:szCs w:val="24"/>
              </w:rPr>
            </w:pPr>
            <w:r>
              <w:rPr>
                <w:rFonts w:hint="eastAsia" w:ascii="宋体" w:hAnsi="宋体"/>
                <w:sz w:val="24"/>
                <w:szCs w:val="24"/>
              </w:rPr>
              <w:t>故障修复</w:t>
            </w:r>
          </w:p>
        </w:tc>
        <w:tc>
          <w:tcPr>
            <w:tcW w:w="993" w:type="dxa"/>
            <w:vAlign w:val="center"/>
          </w:tcPr>
          <w:p w14:paraId="7B291E99">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227AD411">
            <w:pPr>
              <w:widowControl/>
              <w:jc w:val="left"/>
              <w:rPr>
                <w:rFonts w:ascii="宋体" w:hAnsi="宋体"/>
                <w:sz w:val="24"/>
                <w:szCs w:val="24"/>
              </w:rPr>
            </w:pPr>
            <w:r>
              <w:rPr>
                <w:rFonts w:hint="eastAsia" w:ascii="宋体" w:hAnsi="宋体"/>
                <w:sz w:val="24"/>
                <w:szCs w:val="24"/>
              </w:rPr>
              <w:t>1.对于</w:t>
            </w:r>
            <w:r>
              <w:rPr>
                <w:rFonts w:ascii="宋体" w:hAnsi="宋体"/>
                <w:sz w:val="24"/>
                <w:szCs w:val="24"/>
              </w:rPr>
              <w:t>运维服务</w:t>
            </w:r>
            <w:r>
              <w:rPr>
                <w:rFonts w:hint="eastAsia" w:ascii="宋体" w:hAnsi="宋体"/>
                <w:sz w:val="24"/>
                <w:szCs w:val="24"/>
              </w:rPr>
              <w:t>职责</w:t>
            </w:r>
            <w:r>
              <w:rPr>
                <w:rFonts w:ascii="宋体" w:hAnsi="宋体"/>
                <w:sz w:val="24"/>
                <w:szCs w:val="24"/>
              </w:rPr>
              <w:t>范围内</w:t>
            </w:r>
            <w:r>
              <w:rPr>
                <w:rFonts w:hint="eastAsia" w:ascii="宋体" w:hAnsi="宋体"/>
                <w:sz w:val="24"/>
                <w:szCs w:val="24"/>
              </w:rPr>
              <w:t>的</w:t>
            </w:r>
            <w:r>
              <w:rPr>
                <w:rFonts w:ascii="宋体" w:hAnsi="宋体"/>
                <w:sz w:val="24"/>
                <w:szCs w:val="24"/>
              </w:rPr>
              <w:t>设备设施</w:t>
            </w:r>
            <w:r>
              <w:rPr>
                <w:rFonts w:hint="eastAsia" w:ascii="宋体" w:hAnsi="宋体"/>
                <w:sz w:val="24"/>
                <w:szCs w:val="24"/>
              </w:rPr>
              <w:t>存在</w:t>
            </w:r>
            <w:r>
              <w:rPr>
                <w:rFonts w:ascii="宋体" w:hAnsi="宋体"/>
                <w:sz w:val="24"/>
                <w:szCs w:val="24"/>
              </w:rPr>
              <w:t>功能</w:t>
            </w:r>
            <w:r>
              <w:rPr>
                <w:rFonts w:hint="eastAsia" w:ascii="宋体" w:hAnsi="宋体"/>
                <w:sz w:val="24"/>
                <w:szCs w:val="24"/>
              </w:rPr>
              <w:t>障碍</w:t>
            </w:r>
            <w:r>
              <w:rPr>
                <w:rFonts w:ascii="宋体" w:hAnsi="宋体"/>
                <w:sz w:val="24"/>
                <w:szCs w:val="24"/>
              </w:rPr>
              <w:t>或性能降低至</w:t>
            </w:r>
            <w:r>
              <w:rPr>
                <w:rFonts w:hint="eastAsia" w:ascii="宋体" w:hAnsi="宋体"/>
                <w:sz w:val="24"/>
                <w:szCs w:val="24"/>
              </w:rPr>
              <w:t>无法</w:t>
            </w:r>
            <w:r>
              <w:rPr>
                <w:rFonts w:ascii="宋体" w:hAnsi="宋体"/>
                <w:sz w:val="24"/>
                <w:szCs w:val="24"/>
              </w:rPr>
              <w:t>使用的情形时，视为发生故障；</w:t>
            </w:r>
          </w:p>
          <w:p w14:paraId="6F2EA8DB">
            <w:pPr>
              <w:widowControl/>
              <w:jc w:val="left"/>
              <w:rPr>
                <w:szCs w:val="24"/>
              </w:rPr>
            </w:pPr>
            <w:r>
              <w:rPr>
                <w:rFonts w:hint="eastAsia" w:ascii="宋体" w:hAnsi="宋体"/>
                <w:sz w:val="24"/>
                <w:szCs w:val="24"/>
              </w:rPr>
              <w:t>2.供应商现场运维人员在例行巡检或</w:t>
            </w:r>
            <w:r>
              <w:rPr>
                <w:rFonts w:ascii="宋体" w:hAnsi="宋体"/>
                <w:sz w:val="24"/>
                <w:szCs w:val="24"/>
              </w:rPr>
              <w:t>工作中主动发现的故障</w:t>
            </w:r>
            <w:r>
              <w:rPr>
                <w:rFonts w:hint="eastAsia" w:ascii="宋体" w:hAnsi="宋体"/>
                <w:sz w:val="24"/>
                <w:szCs w:val="24"/>
              </w:rPr>
              <w:t>或收到采购人的故障通知后，应立即开展故障排除工作，采取有效</w:t>
            </w:r>
            <w:r>
              <w:rPr>
                <w:rFonts w:ascii="宋体" w:hAnsi="宋体"/>
                <w:sz w:val="24"/>
                <w:szCs w:val="24"/>
              </w:rPr>
              <w:t>措施恢复正常使用。</w:t>
            </w:r>
            <w:r>
              <w:rPr>
                <w:rFonts w:hint="eastAsia" w:ascii="宋体" w:hAnsi="宋体"/>
                <w:sz w:val="24"/>
                <w:szCs w:val="24"/>
              </w:rPr>
              <w:t>若遇到现场运维人员无法解决的故障时，供应商须立即安排相关技术人员到现场或</w:t>
            </w:r>
            <w:r>
              <w:rPr>
                <w:rFonts w:ascii="宋体" w:hAnsi="宋体"/>
                <w:sz w:val="24"/>
                <w:szCs w:val="24"/>
              </w:rPr>
              <w:t>远程技术支持方式</w:t>
            </w:r>
            <w:r>
              <w:rPr>
                <w:rFonts w:hint="eastAsia" w:ascii="宋体" w:hAnsi="宋体"/>
                <w:sz w:val="24"/>
                <w:szCs w:val="24"/>
              </w:rPr>
              <w:t>开展故障排查、处置工作，</w:t>
            </w:r>
            <w:r>
              <w:rPr>
                <w:rFonts w:ascii="宋体" w:hAnsi="宋体"/>
                <w:sz w:val="24"/>
                <w:szCs w:val="24"/>
              </w:rPr>
              <w:t>涉及</w:t>
            </w:r>
            <w:r>
              <w:rPr>
                <w:rFonts w:hint="eastAsia" w:ascii="宋体" w:hAnsi="宋体"/>
                <w:sz w:val="24"/>
                <w:szCs w:val="24"/>
              </w:rPr>
              <w:t>需要</w:t>
            </w:r>
            <w:r>
              <w:rPr>
                <w:rFonts w:ascii="宋体" w:hAnsi="宋体"/>
                <w:sz w:val="24"/>
                <w:szCs w:val="24"/>
              </w:rPr>
              <w:t>停</w:t>
            </w:r>
            <w:r>
              <w:rPr>
                <w:rFonts w:hint="eastAsia" w:ascii="宋体" w:hAnsi="宋体"/>
                <w:sz w:val="24"/>
                <w:szCs w:val="24"/>
              </w:rPr>
              <w:t>机</w:t>
            </w:r>
            <w:r>
              <w:rPr>
                <w:rFonts w:ascii="宋体" w:hAnsi="宋体"/>
                <w:sz w:val="24"/>
                <w:szCs w:val="24"/>
              </w:rPr>
              <w:t>状态下</w:t>
            </w:r>
            <w:r>
              <w:rPr>
                <w:rFonts w:hint="eastAsia" w:ascii="宋体" w:hAnsi="宋体"/>
                <w:sz w:val="24"/>
                <w:szCs w:val="24"/>
              </w:rPr>
              <w:t>拆卸</w:t>
            </w:r>
            <w:r>
              <w:rPr>
                <w:rFonts w:ascii="宋体" w:hAnsi="宋体"/>
                <w:sz w:val="24"/>
                <w:szCs w:val="24"/>
              </w:rPr>
              <w:t>维修或更换零部件的</w:t>
            </w:r>
            <w:r>
              <w:rPr>
                <w:rFonts w:hint="eastAsia" w:ascii="宋体" w:hAnsi="宋体"/>
                <w:sz w:val="24"/>
                <w:szCs w:val="24"/>
              </w:rPr>
              <w:t>或者修复</w:t>
            </w:r>
            <w:r>
              <w:rPr>
                <w:rFonts w:ascii="宋体" w:hAnsi="宋体"/>
                <w:sz w:val="24"/>
                <w:szCs w:val="24"/>
              </w:rPr>
              <w:t>超过</w:t>
            </w:r>
            <w:r>
              <w:rPr>
                <w:rFonts w:hint="eastAsia" w:ascii="宋体" w:hAnsi="宋体"/>
                <w:sz w:val="24"/>
                <w:szCs w:val="24"/>
              </w:rPr>
              <w:t>4个小时</w:t>
            </w:r>
            <w:r>
              <w:rPr>
                <w:rFonts w:ascii="宋体" w:hAnsi="宋体"/>
                <w:sz w:val="24"/>
                <w:szCs w:val="24"/>
              </w:rPr>
              <w:t>的应提供临时替代品</w:t>
            </w:r>
            <w:r>
              <w:rPr>
                <w:rFonts w:hint="eastAsia" w:ascii="宋体" w:hAnsi="宋体"/>
                <w:sz w:val="24"/>
                <w:szCs w:val="24"/>
              </w:rPr>
              <w:t>。故障处置应以优先恢复业务、确保运转作为故障处理的首要原则，在保证业务恢复的情况下积极查找故障原因，彻底修复故障。故障恢复正常后，供应商运维人员应对故障修复情况</w:t>
            </w:r>
            <w:r>
              <w:rPr>
                <w:rFonts w:ascii="宋体" w:hAnsi="宋体"/>
                <w:sz w:val="24"/>
                <w:szCs w:val="24"/>
              </w:rPr>
              <w:t>如实进行记录</w:t>
            </w:r>
            <w:r>
              <w:rPr>
                <w:rFonts w:hint="eastAsia" w:ascii="宋体" w:hAnsi="宋体"/>
                <w:sz w:val="24"/>
                <w:szCs w:val="24"/>
              </w:rPr>
              <w:t>，</w:t>
            </w:r>
            <w:r>
              <w:rPr>
                <w:rFonts w:ascii="宋体" w:hAnsi="宋体"/>
                <w:sz w:val="24"/>
                <w:szCs w:val="24"/>
              </w:rPr>
              <w:t>同时</w:t>
            </w:r>
            <w:r>
              <w:rPr>
                <w:rFonts w:hint="eastAsia" w:ascii="宋体" w:hAnsi="宋体"/>
                <w:sz w:val="24"/>
                <w:szCs w:val="24"/>
              </w:rPr>
              <w:t>对故障对象进行持续跟踪，避免遗留有未发现的问题或隐患，涉及修复</w:t>
            </w:r>
            <w:r>
              <w:rPr>
                <w:rFonts w:ascii="宋体" w:hAnsi="宋体"/>
                <w:sz w:val="24"/>
                <w:szCs w:val="24"/>
              </w:rPr>
              <w:t>超过2</w:t>
            </w:r>
            <w:r>
              <w:rPr>
                <w:rFonts w:hint="eastAsia" w:ascii="宋体" w:hAnsi="宋体"/>
                <w:sz w:val="24"/>
                <w:szCs w:val="24"/>
              </w:rPr>
              <w:t>个小时</w:t>
            </w:r>
            <w:r>
              <w:rPr>
                <w:rFonts w:ascii="宋体" w:hAnsi="宋体"/>
                <w:sz w:val="24"/>
                <w:szCs w:val="24"/>
              </w:rPr>
              <w:t>的</w:t>
            </w:r>
            <w:r>
              <w:rPr>
                <w:rFonts w:hint="eastAsia" w:ascii="宋体" w:hAnsi="宋体"/>
                <w:sz w:val="24"/>
                <w:szCs w:val="24"/>
              </w:rPr>
              <w:t>故障应发起问题调查，</w:t>
            </w:r>
            <w:r>
              <w:rPr>
                <w:rFonts w:ascii="宋体" w:hAnsi="宋体"/>
                <w:sz w:val="24"/>
                <w:szCs w:val="24"/>
              </w:rPr>
              <w:t>查找根本原因</w:t>
            </w:r>
            <w:r>
              <w:rPr>
                <w:rFonts w:hint="eastAsia" w:ascii="宋体" w:hAnsi="宋体"/>
                <w:sz w:val="24"/>
                <w:szCs w:val="24"/>
              </w:rPr>
              <w:t>。故障修复的持续时间自用户申报或用户确认起至用户确认故障恢复正常止。全年累计故障持续时间纳入绩效考评，但不包括计划内的停机或检维修时间。</w:t>
            </w:r>
          </w:p>
        </w:tc>
      </w:tr>
      <w:tr w14:paraId="3AA92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2E045C3">
            <w:pPr>
              <w:spacing w:line="360" w:lineRule="auto"/>
              <w:jc w:val="center"/>
              <w:rPr>
                <w:rFonts w:ascii="宋体" w:hAnsi="宋体"/>
                <w:sz w:val="24"/>
                <w:szCs w:val="24"/>
              </w:rPr>
            </w:pPr>
            <w:r>
              <w:rPr>
                <w:rFonts w:hint="eastAsia" w:ascii="宋体" w:hAnsi="宋体"/>
                <w:sz w:val="24"/>
                <w:szCs w:val="24"/>
              </w:rPr>
              <w:t>3</w:t>
            </w:r>
          </w:p>
        </w:tc>
        <w:tc>
          <w:tcPr>
            <w:tcW w:w="981" w:type="dxa"/>
            <w:vAlign w:val="center"/>
          </w:tcPr>
          <w:p w14:paraId="5E613784">
            <w:pPr>
              <w:spacing w:line="360" w:lineRule="auto"/>
              <w:jc w:val="center"/>
              <w:rPr>
                <w:rFonts w:ascii="宋体" w:hAnsi="宋体"/>
                <w:sz w:val="24"/>
                <w:szCs w:val="24"/>
              </w:rPr>
            </w:pPr>
            <w:r>
              <w:rPr>
                <w:rFonts w:hint="eastAsia" w:ascii="宋体" w:hAnsi="宋体"/>
                <w:sz w:val="24"/>
                <w:szCs w:val="24"/>
              </w:rPr>
              <w:t>维修维护、固件</w:t>
            </w:r>
            <w:r>
              <w:rPr>
                <w:rFonts w:ascii="宋体" w:hAnsi="宋体"/>
                <w:sz w:val="24"/>
                <w:szCs w:val="24"/>
              </w:rPr>
              <w:t>升级及</w:t>
            </w:r>
            <w:r>
              <w:rPr>
                <w:rFonts w:hint="eastAsia" w:ascii="宋体" w:hAnsi="宋体"/>
                <w:sz w:val="24"/>
                <w:szCs w:val="24"/>
              </w:rPr>
              <w:t>备机备件</w:t>
            </w:r>
          </w:p>
        </w:tc>
        <w:tc>
          <w:tcPr>
            <w:tcW w:w="993" w:type="dxa"/>
            <w:vAlign w:val="center"/>
          </w:tcPr>
          <w:p w14:paraId="684AAE6C">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2FE8BD9A">
            <w:pPr>
              <w:rPr>
                <w:rFonts w:ascii="宋体" w:hAnsi="宋体"/>
                <w:sz w:val="24"/>
                <w:szCs w:val="24"/>
              </w:rPr>
            </w:pPr>
            <w:r>
              <w:rPr>
                <w:rFonts w:hint="eastAsia" w:ascii="宋体" w:hAnsi="宋体"/>
                <w:sz w:val="24"/>
                <w:szCs w:val="24"/>
              </w:rPr>
              <w:t>1.供应商现场运维人员对于</w:t>
            </w:r>
            <w:r>
              <w:rPr>
                <w:rFonts w:ascii="宋体" w:hAnsi="宋体"/>
                <w:sz w:val="24"/>
                <w:szCs w:val="24"/>
              </w:rPr>
              <w:t>运维服务</w:t>
            </w:r>
            <w:r>
              <w:rPr>
                <w:rFonts w:hint="eastAsia" w:ascii="宋体" w:hAnsi="宋体"/>
                <w:sz w:val="24"/>
                <w:szCs w:val="24"/>
              </w:rPr>
              <w:t>职责</w:t>
            </w:r>
            <w:r>
              <w:rPr>
                <w:rFonts w:ascii="宋体" w:hAnsi="宋体"/>
                <w:sz w:val="24"/>
                <w:szCs w:val="24"/>
              </w:rPr>
              <w:t>范围内</w:t>
            </w:r>
            <w:r>
              <w:rPr>
                <w:rFonts w:hint="eastAsia" w:ascii="宋体" w:hAnsi="宋体"/>
                <w:sz w:val="24"/>
                <w:szCs w:val="24"/>
              </w:rPr>
              <w:t>的</w:t>
            </w:r>
            <w:r>
              <w:rPr>
                <w:rFonts w:ascii="宋体" w:hAnsi="宋体"/>
                <w:sz w:val="24"/>
                <w:szCs w:val="24"/>
              </w:rPr>
              <w:t>设备设施</w:t>
            </w:r>
            <w:r>
              <w:rPr>
                <w:rFonts w:hint="eastAsia" w:ascii="宋体" w:hAnsi="宋体"/>
                <w:sz w:val="24"/>
                <w:szCs w:val="24"/>
              </w:rPr>
              <w:t>应按照相</w:t>
            </w:r>
            <w:r>
              <w:rPr>
                <w:rFonts w:ascii="宋体" w:hAnsi="宋体"/>
                <w:sz w:val="24"/>
                <w:szCs w:val="24"/>
              </w:rPr>
              <w:t>关</w:t>
            </w:r>
            <w:r>
              <w:rPr>
                <w:rFonts w:hint="eastAsia" w:ascii="宋体" w:hAnsi="宋体"/>
                <w:sz w:val="24"/>
                <w:szCs w:val="24"/>
              </w:rPr>
              <w:t>的标准</w:t>
            </w:r>
            <w:r>
              <w:rPr>
                <w:rFonts w:ascii="宋体" w:hAnsi="宋体"/>
                <w:sz w:val="24"/>
                <w:szCs w:val="24"/>
              </w:rPr>
              <w:t>规范或维护</w:t>
            </w:r>
            <w:r>
              <w:rPr>
                <w:rFonts w:hint="eastAsia" w:ascii="宋体" w:hAnsi="宋体"/>
                <w:sz w:val="24"/>
                <w:szCs w:val="24"/>
              </w:rPr>
              <w:t>手册要求</w:t>
            </w:r>
            <w:r>
              <w:rPr>
                <w:rFonts w:ascii="宋体" w:hAnsi="宋体"/>
                <w:sz w:val="24"/>
                <w:szCs w:val="24"/>
              </w:rPr>
              <w:t>，</w:t>
            </w:r>
            <w:r>
              <w:rPr>
                <w:rFonts w:hint="eastAsia" w:ascii="宋体" w:hAnsi="宋体"/>
                <w:sz w:val="24"/>
                <w:szCs w:val="24"/>
              </w:rPr>
              <w:t>及时开展设备</w:t>
            </w:r>
            <w:r>
              <w:rPr>
                <w:rFonts w:ascii="宋体" w:hAnsi="宋体"/>
                <w:sz w:val="24"/>
                <w:szCs w:val="24"/>
              </w:rPr>
              <w:t>维护保养、</w:t>
            </w:r>
            <w:r>
              <w:rPr>
                <w:rFonts w:hint="eastAsia" w:ascii="宋体" w:hAnsi="宋体"/>
                <w:sz w:val="24"/>
                <w:szCs w:val="24"/>
              </w:rPr>
              <w:t>零部件</w:t>
            </w:r>
            <w:r>
              <w:rPr>
                <w:rFonts w:ascii="宋体" w:hAnsi="宋体"/>
                <w:sz w:val="24"/>
                <w:szCs w:val="24"/>
              </w:rPr>
              <w:t>更换、清洁吹扫</w:t>
            </w:r>
            <w:r>
              <w:rPr>
                <w:rFonts w:hint="eastAsia" w:ascii="宋体" w:hAnsi="宋体"/>
                <w:sz w:val="24"/>
                <w:szCs w:val="24"/>
              </w:rPr>
              <w:t>等工作。</w:t>
            </w:r>
            <w:r>
              <w:rPr>
                <w:rFonts w:ascii="宋体" w:hAnsi="宋体"/>
                <w:sz w:val="24"/>
                <w:szCs w:val="24"/>
              </w:rPr>
              <w:t>对于需要停机</w:t>
            </w:r>
            <w:r>
              <w:rPr>
                <w:rFonts w:hint="eastAsia" w:ascii="宋体" w:hAnsi="宋体"/>
                <w:sz w:val="24"/>
                <w:szCs w:val="24"/>
              </w:rPr>
              <w:t>维护</w:t>
            </w:r>
            <w:r>
              <w:rPr>
                <w:rFonts w:ascii="宋体" w:hAnsi="宋体"/>
                <w:sz w:val="24"/>
                <w:szCs w:val="24"/>
              </w:rPr>
              <w:t>的，</w:t>
            </w:r>
            <w:r>
              <w:rPr>
                <w:rFonts w:hint="eastAsia" w:ascii="宋体" w:hAnsi="宋体"/>
                <w:sz w:val="24"/>
                <w:szCs w:val="24"/>
              </w:rPr>
              <w:t>应提前制定检维修</w:t>
            </w:r>
            <w:r>
              <w:rPr>
                <w:rFonts w:ascii="宋体" w:hAnsi="宋体"/>
                <w:sz w:val="24"/>
                <w:szCs w:val="24"/>
              </w:rPr>
              <w:t>计划</w:t>
            </w:r>
            <w:r>
              <w:rPr>
                <w:rFonts w:hint="eastAsia" w:ascii="宋体" w:hAnsi="宋体"/>
                <w:sz w:val="24"/>
                <w:szCs w:val="24"/>
              </w:rPr>
              <w:t>，</w:t>
            </w:r>
            <w:r>
              <w:rPr>
                <w:rFonts w:ascii="宋体" w:hAnsi="宋体"/>
                <w:sz w:val="24"/>
                <w:szCs w:val="24"/>
              </w:rPr>
              <w:t>明确</w:t>
            </w:r>
            <w:r>
              <w:rPr>
                <w:rFonts w:hint="eastAsia" w:ascii="宋体" w:hAnsi="宋体"/>
                <w:sz w:val="24"/>
                <w:szCs w:val="24"/>
              </w:rPr>
              <w:t>计划</w:t>
            </w:r>
            <w:r>
              <w:rPr>
                <w:rFonts w:ascii="宋体" w:hAnsi="宋体"/>
                <w:sz w:val="24"/>
                <w:szCs w:val="24"/>
              </w:rPr>
              <w:t>停机时间。</w:t>
            </w:r>
            <w:r>
              <w:rPr>
                <w:rFonts w:hint="eastAsia" w:ascii="宋体" w:hAnsi="宋体"/>
                <w:sz w:val="24"/>
                <w:szCs w:val="24"/>
              </w:rPr>
              <w:t>对于经例行巡检或故障</w:t>
            </w:r>
            <w:r>
              <w:rPr>
                <w:rFonts w:ascii="宋体" w:hAnsi="宋体"/>
                <w:sz w:val="24"/>
                <w:szCs w:val="24"/>
              </w:rPr>
              <w:t>修复发现的需要</w:t>
            </w:r>
            <w:r>
              <w:rPr>
                <w:rFonts w:hint="eastAsia" w:ascii="宋体" w:hAnsi="宋体"/>
                <w:sz w:val="24"/>
                <w:szCs w:val="24"/>
              </w:rPr>
              <w:t>在停机</w:t>
            </w:r>
            <w:r>
              <w:rPr>
                <w:rFonts w:ascii="宋体" w:hAnsi="宋体"/>
                <w:sz w:val="24"/>
                <w:szCs w:val="24"/>
              </w:rPr>
              <w:t>状态下</w:t>
            </w:r>
            <w:r>
              <w:rPr>
                <w:rFonts w:hint="eastAsia" w:ascii="宋体" w:hAnsi="宋体"/>
                <w:sz w:val="24"/>
                <w:szCs w:val="24"/>
              </w:rPr>
              <w:t>拆卸</w:t>
            </w:r>
            <w:r>
              <w:rPr>
                <w:rFonts w:ascii="宋体" w:hAnsi="宋体"/>
                <w:sz w:val="24"/>
                <w:szCs w:val="24"/>
              </w:rPr>
              <w:t>维修或更换零部件的设备设施，</w:t>
            </w:r>
            <w:r>
              <w:rPr>
                <w:rFonts w:hint="eastAsia" w:ascii="宋体" w:hAnsi="宋体"/>
                <w:sz w:val="24"/>
                <w:szCs w:val="24"/>
              </w:rPr>
              <w:t>供应商现场运维人员应在</w:t>
            </w:r>
            <w:r>
              <w:rPr>
                <w:rFonts w:ascii="宋体" w:hAnsi="宋体"/>
                <w:sz w:val="24"/>
                <w:szCs w:val="24"/>
              </w:rPr>
              <w:t>计划停机时间内</w:t>
            </w:r>
            <w:r>
              <w:rPr>
                <w:rFonts w:hint="eastAsia" w:ascii="宋体" w:hAnsi="宋体"/>
                <w:sz w:val="24"/>
                <w:szCs w:val="24"/>
              </w:rPr>
              <w:t>同步完成设备检维修、安装及投入使用</w:t>
            </w:r>
            <w:r>
              <w:rPr>
                <w:rFonts w:ascii="宋体" w:hAnsi="宋体"/>
                <w:sz w:val="24"/>
                <w:szCs w:val="24"/>
              </w:rPr>
              <w:t>；</w:t>
            </w:r>
          </w:p>
          <w:p w14:paraId="551F85C7">
            <w:pPr>
              <w:rPr>
                <w:rFonts w:ascii="宋体" w:hAnsi="宋体"/>
                <w:sz w:val="24"/>
                <w:szCs w:val="24"/>
              </w:rPr>
            </w:pPr>
            <w:r>
              <w:rPr>
                <w:rFonts w:hint="eastAsia" w:ascii="宋体" w:hAnsi="宋体"/>
                <w:sz w:val="24"/>
                <w:szCs w:val="24"/>
              </w:rPr>
              <w:t>2.为满足</w:t>
            </w:r>
            <w:r>
              <w:rPr>
                <w:rFonts w:ascii="宋体" w:hAnsi="宋体"/>
                <w:sz w:val="24"/>
                <w:szCs w:val="24"/>
              </w:rPr>
              <w:t>业务需要，</w:t>
            </w:r>
            <w:r>
              <w:rPr>
                <w:rFonts w:hint="eastAsia" w:ascii="宋体" w:hAnsi="宋体"/>
                <w:sz w:val="24"/>
                <w:szCs w:val="24"/>
              </w:rPr>
              <w:t>供应商</w:t>
            </w:r>
            <w:r>
              <w:rPr>
                <w:rFonts w:ascii="宋体" w:hAnsi="宋体"/>
                <w:sz w:val="24"/>
                <w:szCs w:val="24"/>
              </w:rPr>
              <w:t>应按照要求</w:t>
            </w:r>
            <w:r>
              <w:rPr>
                <w:rFonts w:hint="eastAsia" w:ascii="宋体" w:hAnsi="宋体"/>
                <w:sz w:val="24"/>
                <w:szCs w:val="24"/>
              </w:rPr>
              <w:t>提供</w:t>
            </w:r>
            <w:r>
              <w:rPr>
                <w:rFonts w:ascii="宋体" w:hAnsi="宋体"/>
                <w:sz w:val="24"/>
                <w:szCs w:val="24"/>
              </w:rPr>
              <w:t>对</w:t>
            </w:r>
            <w:r>
              <w:rPr>
                <w:rFonts w:hint="eastAsia" w:ascii="宋体" w:hAnsi="宋体"/>
                <w:sz w:val="24"/>
                <w:szCs w:val="24"/>
              </w:rPr>
              <w:t>运维</w:t>
            </w:r>
            <w:r>
              <w:rPr>
                <w:rFonts w:ascii="宋体" w:hAnsi="宋体"/>
                <w:sz w:val="24"/>
                <w:szCs w:val="24"/>
              </w:rPr>
              <w:t>服务范围内</w:t>
            </w:r>
            <w:r>
              <w:rPr>
                <w:rFonts w:hint="eastAsia" w:ascii="宋体" w:hAnsi="宋体"/>
                <w:sz w:val="24"/>
                <w:szCs w:val="24"/>
              </w:rPr>
              <w:t>设备的</w:t>
            </w:r>
            <w:r>
              <w:rPr>
                <w:rFonts w:ascii="宋体" w:hAnsi="宋体"/>
                <w:sz w:val="24"/>
                <w:szCs w:val="24"/>
              </w:rPr>
              <w:t>固件升级服务</w:t>
            </w:r>
            <w:r>
              <w:rPr>
                <w:rFonts w:hint="eastAsia" w:ascii="宋体" w:hAnsi="宋体"/>
                <w:sz w:val="24"/>
                <w:szCs w:val="24"/>
              </w:rPr>
              <w:t>。</w:t>
            </w:r>
          </w:p>
          <w:p w14:paraId="53D6EA5E">
            <w:pPr>
              <w:rPr>
                <w:rFonts w:ascii="宋体" w:hAnsi="宋体"/>
                <w:sz w:val="24"/>
                <w:szCs w:val="24"/>
              </w:rPr>
            </w:pPr>
            <w:r>
              <w:rPr>
                <w:rFonts w:ascii="宋体" w:hAnsi="宋体"/>
                <w:sz w:val="24"/>
                <w:szCs w:val="24"/>
              </w:rPr>
              <w:t>3</w:t>
            </w:r>
            <w:r>
              <w:rPr>
                <w:rFonts w:hint="eastAsia" w:ascii="宋体" w:hAnsi="宋体"/>
                <w:sz w:val="24"/>
                <w:szCs w:val="24"/>
              </w:rPr>
              <w:t>.为保障信息系统硬件发生问题后能及时进行更换，供应商需针对关键设备如物联网数据</w:t>
            </w:r>
            <w:r>
              <w:rPr>
                <w:rFonts w:ascii="宋体" w:hAnsi="宋体"/>
                <w:sz w:val="24"/>
                <w:szCs w:val="24"/>
              </w:rPr>
              <w:t>采集主机</w:t>
            </w:r>
            <w:r>
              <w:rPr>
                <w:rFonts w:hint="eastAsia" w:ascii="宋体" w:hAnsi="宋体"/>
                <w:sz w:val="24"/>
                <w:szCs w:val="24"/>
              </w:rPr>
              <w:t>、交换机、IT</w:t>
            </w:r>
            <w:r>
              <w:rPr>
                <w:rFonts w:ascii="宋体" w:hAnsi="宋体"/>
                <w:sz w:val="24"/>
                <w:szCs w:val="24"/>
              </w:rPr>
              <w:t>C</w:t>
            </w:r>
            <w:r>
              <w:rPr>
                <w:rFonts w:hint="eastAsia" w:ascii="宋体" w:hAnsi="宋体"/>
                <w:sz w:val="24"/>
                <w:szCs w:val="24"/>
              </w:rPr>
              <w:t>对讲设备、音箱</w:t>
            </w:r>
            <w:r>
              <w:rPr>
                <w:rFonts w:ascii="宋体" w:hAnsi="宋体"/>
                <w:sz w:val="24"/>
                <w:szCs w:val="24"/>
              </w:rPr>
              <w:t>、</w:t>
            </w:r>
            <w:r>
              <w:rPr>
                <w:rFonts w:hint="eastAsia" w:ascii="宋体" w:hAnsi="宋体"/>
                <w:sz w:val="24"/>
                <w:szCs w:val="24"/>
              </w:rPr>
              <w:t>视频</w:t>
            </w:r>
            <w:r>
              <w:rPr>
                <w:rFonts w:ascii="宋体" w:hAnsi="宋体"/>
                <w:sz w:val="24"/>
                <w:szCs w:val="24"/>
              </w:rPr>
              <w:t>存储服务器硬盘、</w:t>
            </w:r>
            <w:r>
              <w:rPr>
                <w:rFonts w:hint="eastAsia" w:ascii="宋体" w:hAnsi="宋体"/>
                <w:sz w:val="24"/>
                <w:szCs w:val="24"/>
              </w:rPr>
              <w:t>电源插板、光收发器、光纤跳线、网线、水晶头等提供备机备件，要求设备参数等同或不低于现有运行设备；</w:t>
            </w:r>
          </w:p>
          <w:p w14:paraId="125D59A3">
            <w:pPr>
              <w:rPr>
                <w:rFonts w:ascii="宋体" w:hAnsi="宋体"/>
                <w:sz w:val="24"/>
                <w:szCs w:val="24"/>
              </w:rPr>
            </w:pPr>
            <w:r>
              <w:rPr>
                <w:rFonts w:ascii="宋体" w:hAnsi="宋体"/>
                <w:sz w:val="24"/>
                <w:szCs w:val="24"/>
              </w:rPr>
              <w:t>3.</w:t>
            </w:r>
            <w:r>
              <w:rPr>
                <w:rFonts w:hint="eastAsia" w:ascii="宋体" w:hAnsi="宋体"/>
                <w:sz w:val="24"/>
                <w:szCs w:val="24"/>
              </w:rPr>
              <w:t>供应商每次</w:t>
            </w:r>
            <w:r>
              <w:rPr>
                <w:rFonts w:ascii="宋体" w:hAnsi="宋体"/>
                <w:sz w:val="24"/>
                <w:szCs w:val="24"/>
              </w:rPr>
              <w:t>开</w:t>
            </w:r>
            <w:r>
              <w:rPr>
                <w:rFonts w:hint="eastAsia" w:ascii="宋体" w:hAnsi="宋体"/>
                <w:sz w:val="24"/>
                <w:szCs w:val="24"/>
              </w:rPr>
              <w:t>展设备</w:t>
            </w:r>
            <w:r>
              <w:rPr>
                <w:rFonts w:ascii="宋体" w:hAnsi="宋体"/>
                <w:sz w:val="24"/>
                <w:szCs w:val="24"/>
              </w:rPr>
              <w:t>维修维护</w:t>
            </w:r>
            <w:r>
              <w:rPr>
                <w:rFonts w:hint="eastAsia" w:ascii="宋体" w:hAnsi="宋体"/>
                <w:sz w:val="24"/>
                <w:szCs w:val="24"/>
              </w:rPr>
              <w:t>、</w:t>
            </w:r>
            <w:r>
              <w:rPr>
                <w:rFonts w:ascii="宋体" w:hAnsi="宋体"/>
                <w:sz w:val="24"/>
                <w:szCs w:val="24"/>
              </w:rPr>
              <w:t>固件升级</w:t>
            </w:r>
            <w:r>
              <w:rPr>
                <w:rFonts w:hint="eastAsia" w:ascii="宋体" w:hAnsi="宋体"/>
                <w:sz w:val="24"/>
                <w:szCs w:val="24"/>
              </w:rPr>
              <w:t>，应及时</w:t>
            </w:r>
            <w:r>
              <w:rPr>
                <w:rFonts w:ascii="宋体" w:hAnsi="宋体"/>
                <w:sz w:val="24"/>
                <w:szCs w:val="24"/>
              </w:rPr>
              <w:t>进行记录</w:t>
            </w:r>
            <w:r>
              <w:rPr>
                <w:rFonts w:hint="eastAsia" w:ascii="宋体" w:hAnsi="宋体"/>
                <w:sz w:val="24"/>
                <w:szCs w:val="24"/>
              </w:rPr>
              <w:t>。</w:t>
            </w:r>
          </w:p>
        </w:tc>
      </w:tr>
      <w:tr w14:paraId="0334A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00DE074">
            <w:pPr>
              <w:spacing w:line="360" w:lineRule="auto"/>
              <w:jc w:val="center"/>
              <w:rPr>
                <w:rFonts w:ascii="宋体" w:hAnsi="宋体"/>
                <w:sz w:val="24"/>
                <w:szCs w:val="24"/>
              </w:rPr>
            </w:pPr>
            <w:r>
              <w:rPr>
                <w:rFonts w:ascii="宋体" w:hAnsi="宋体"/>
                <w:sz w:val="24"/>
                <w:szCs w:val="24"/>
              </w:rPr>
              <w:t>4</w:t>
            </w:r>
          </w:p>
        </w:tc>
        <w:tc>
          <w:tcPr>
            <w:tcW w:w="981" w:type="dxa"/>
            <w:vAlign w:val="center"/>
          </w:tcPr>
          <w:p w14:paraId="584BC5B9">
            <w:pPr>
              <w:spacing w:line="360" w:lineRule="auto"/>
              <w:jc w:val="center"/>
              <w:rPr>
                <w:rFonts w:ascii="宋体" w:hAnsi="宋体"/>
                <w:sz w:val="24"/>
                <w:szCs w:val="24"/>
              </w:rPr>
            </w:pPr>
            <w:r>
              <w:rPr>
                <w:rFonts w:hint="eastAsia" w:ascii="宋体" w:hAnsi="宋体"/>
                <w:sz w:val="24"/>
                <w:szCs w:val="24"/>
              </w:rPr>
              <w:t>问题调查</w:t>
            </w:r>
          </w:p>
        </w:tc>
        <w:tc>
          <w:tcPr>
            <w:tcW w:w="993" w:type="dxa"/>
            <w:vAlign w:val="center"/>
          </w:tcPr>
          <w:p w14:paraId="1FE1D1FA">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382463A3">
            <w:pPr>
              <w:tabs>
                <w:tab w:val="left" w:pos="0"/>
              </w:tabs>
              <w:rPr>
                <w:rFonts w:ascii="宋体" w:hAnsi="宋体"/>
                <w:sz w:val="24"/>
                <w:szCs w:val="24"/>
              </w:rPr>
            </w:pPr>
            <w:r>
              <w:rPr>
                <w:rFonts w:hint="eastAsia" w:ascii="宋体" w:hAnsi="宋体"/>
                <w:sz w:val="24"/>
                <w:szCs w:val="24"/>
              </w:rPr>
              <w:t>1.对于重复出现或者故障修复</w:t>
            </w:r>
            <w:r>
              <w:rPr>
                <w:rFonts w:ascii="宋体" w:hAnsi="宋体"/>
                <w:sz w:val="24"/>
                <w:szCs w:val="24"/>
              </w:rPr>
              <w:t>时间</w:t>
            </w:r>
            <w:r>
              <w:rPr>
                <w:rFonts w:hint="eastAsia" w:ascii="宋体" w:hAnsi="宋体"/>
                <w:sz w:val="24"/>
                <w:szCs w:val="24"/>
              </w:rPr>
              <w:t>超过</w:t>
            </w:r>
            <w:r>
              <w:rPr>
                <w:rFonts w:ascii="宋体" w:hAnsi="宋体"/>
                <w:sz w:val="24"/>
                <w:szCs w:val="24"/>
              </w:rPr>
              <w:t>2</w:t>
            </w:r>
            <w:r>
              <w:rPr>
                <w:rFonts w:hint="eastAsia" w:ascii="宋体" w:hAnsi="宋体"/>
                <w:sz w:val="24"/>
                <w:szCs w:val="24"/>
              </w:rPr>
              <w:t>个</w:t>
            </w:r>
            <w:r>
              <w:rPr>
                <w:rFonts w:ascii="宋体" w:hAnsi="宋体"/>
                <w:sz w:val="24"/>
                <w:szCs w:val="24"/>
              </w:rPr>
              <w:t>小时的故障，</w:t>
            </w:r>
            <w:r>
              <w:rPr>
                <w:rFonts w:hint="eastAsia" w:ascii="宋体" w:hAnsi="宋体"/>
                <w:sz w:val="24"/>
                <w:szCs w:val="24"/>
              </w:rPr>
              <w:t>供应商应发起问题调查，并形成根本解决方案或临时规避措施。对于</w:t>
            </w:r>
            <w:r>
              <w:rPr>
                <w:rFonts w:ascii="宋体" w:hAnsi="宋体"/>
                <w:sz w:val="24"/>
                <w:szCs w:val="24"/>
              </w:rPr>
              <w:t>无法重现或</w:t>
            </w:r>
            <w:r>
              <w:rPr>
                <w:rFonts w:hint="eastAsia" w:ascii="宋体" w:hAnsi="宋体"/>
                <w:sz w:val="24"/>
                <w:szCs w:val="24"/>
              </w:rPr>
              <w:t>调查原因</w:t>
            </w:r>
            <w:r>
              <w:rPr>
                <w:rFonts w:ascii="宋体" w:hAnsi="宋体"/>
                <w:sz w:val="24"/>
                <w:szCs w:val="24"/>
              </w:rPr>
              <w:t>不明的</w:t>
            </w:r>
            <w:r>
              <w:rPr>
                <w:rFonts w:hint="eastAsia" w:ascii="宋体" w:hAnsi="宋体"/>
                <w:sz w:val="24"/>
                <w:szCs w:val="24"/>
              </w:rPr>
              <w:t>问题</w:t>
            </w:r>
            <w:r>
              <w:rPr>
                <w:rFonts w:ascii="宋体" w:hAnsi="宋体"/>
                <w:sz w:val="24"/>
                <w:szCs w:val="24"/>
              </w:rPr>
              <w:t>应</w:t>
            </w:r>
            <w:r>
              <w:rPr>
                <w:rFonts w:hint="eastAsia" w:ascii="宋体" w:hAnsi="宋体"/>
                <w:sz w:val="24"/>
                <w:szCs w:val="24"/>
              </w:rPr>
              <w:t>对</w:t>
            </w:r>
            <w:r>
              <w:rPr>
                <w:rFonts w:ascii="宋体" w:hAnsi="宋体"/>
                <w:sz w:val="24"/>
                <w:szCs w:val="24"/>
              </w:rPr>
              <w:t>问题</w:t>
            </w:r>
            <w:r>
              <w:rPr>
                <w:rFonts w:hint="eastAsia" w:ascii="宋体" w:hAnsi="宋体"/>
                <w:sz w:val="24"/>
                <w:szCs w:val="24"/>
              </w:rPr>
              <w:t>内容</w:t>
            </w:r>
            <w:r>
              <w:rPr>
                <w:rFonts w:ascii="宋体" w:hAnsi="宋体"/>
                <w:sz w:val="24"/>
                <w:szCs w:val="24"/>
              </w:rPr>
              <w:t>进行完整性描述</w:t>
            </w:r>
            <w:r>
              <w:rPr>
                <w:rFonts w:hint="eastAsia" w:ascii="宋体" w:hAnsi="宋体"/>
                <w:sz w:val="24"/>
                <w:szCs w:val="24"/>
              </w:rPr>
              <w:t>；</w:t>
            </w:r>
          </w:p>
          <w:p w14:paraId="10F2CDDE">
            <w:pPr>
              <w:tabs>
                <w:tab w:val="left" w:pos="0"/>
              </w:tabs>
              <w:rPr>
                <w:rFonts w:ascii="宋体" w:hAnsi="宋体"/>
                <w:sz w:val="24"/>
                <w:szCs w:val="24"/>
              </w:rPr>
            </w:pPr>
            <w:r>
              <w:rPr>
                <w:rFonts w:hint="eastAsia" w:ascii="宋体" w:hAnsi="宋体"/>
                <w:sz w:val="24"/>
                <w:szCs w:val="24"/>
              </w:rPr>
              <w:t>2.供应商应对发起的</w:t>
            </w:r>
            <w:r>
              <w:rPr>
                <w:rFonts w:ascii="宋体" w:hAnsi="宋体"/>
                <w:sz w:val="24"/>
                <w:szCs w:val="24"/>
              </w:rPr>
              <w:t>每一次问题调查进行完整记录</w:t>
            </w:r>
            <w:r>
              <w:rPr>
                <w:rFonts w:hint="eastAsia" w:ascii="宋体" w:hAnsi="宋体"/>
                <w:sz w:val="24"/>
                <w:szCs w:val="24"/>
              </w:rPr>
              <w:t>。</w:t>
            </w:r>
          </w:p>
        </w:tc>
      </w:tr>
      <w:tr w14:paraId="3E473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0503F6A">
            <w:pPr>
              <w:spacing w:line="360" w:lineRule="auto"/>
              <w:jc w:val="center"/>
              <w:rPr>
                <w:rFonts w:ascii="宋体" w:hAnsi="宋体"/>
                <w:sz w:val="24"/>
                <w:szCs w:val="24"/>
              </w:rPr>
            </w:pPr>
            <w:r>
              <w:rPr>
                <w:rFonts w:ascii="宋体" w:hAnsi="宋体"/>
                <w:sz w:val="24"/>
                <w:szCs w:val="24"/>
              </w:rPr>
              <w:t>5</w:t>
            </w:r>
          </w:p>
        </w:tc>
        <w:tc>
          <w:tcPr>
            <w:tcW w:w="981" w:type="dxa"/>
            <w:vAlign w:val="center"/>
          </w:tcPr>
          <w:p w14:paraId="311A0FE8">
            <w:pPr>
              <w:spacing w:line="360" w:lineRule="auto"/>
              <w:jc w:val="center"/>
              <w:rPr>
                <w:rFonts w:ascii="宋体" w:hAnsi="宋体"/>
                <w:sz w:val="24"/>
                <w:szCs w:val="24"/>
              </w:rPr>
            </w:pPr>
            <w:r>
              <w:rPr>
                <w:rFonts w:hint="eastAsia" w:ascii="宋体" w:hAnsi="宋体"/>
                <w:sz w:val="24"/>
                <w:szCs w:val="24"/>
              </w:rPr>
              <w:t>配置管理</w:t>
            </w:r>
          </w:p>
        </w:tc>
        <w:tc>
          <w:tcPr>
            <w:tcW w:w="993" w:type="dxa"/>
            <w:vAlign w:val="center"/>
          </w:tcPr>
          <w:p w14:paraId="2AFA14CB">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260A1D15">
            <w:pPr>
              <w:tabs>
                <w:tab w:val="left" w:pos="0"/>
              </w:tabs>
              <w:rPr>
                <w:rFonts w:ascii="宋体" w:hAnsi="宋体"/>
                <w:sz w:val="24"/>
                <w:szCs w:val="24"/>
              </w:rPr>
            </w:pPr>
            <w:r>
              <w:rPr>
                <w:rFonts w:hint="eastAsia" w:ascii="宋体" w:hAnsi="宋体"/>
                <w:sz w:val="24"/>
                <w:szCs w:val="24"/>
              </w:rPr>
              <w:t>1.供应商对于运维服务范围内的硬件设备设施要制定</w:t>
            </w:r>
            <w:r>
              <w:rPr>
                <w:rFonts w:ascii="宋体" w:hAnsi="宋体"/>
                <w:sz w:val="24"/>
                <w:szCs w:val="24"/>
              </w:rPr>
              <w:t>：</w:t>
            </w:r>
            <w:r>
              <w:rPr>
                <w:rFonts w:hint="eastAsia" w:ascii="宋体" w:hAnsi="宋体"/>
                <w:sz w:val="24"/>
                <w:szCs w:val="24"/>
              </w:rPr>
              <w:t>设备位置记录表、汇总 IP 地址表、设备</w:t>
            </w:r>
            <w:r>
              <w:rPr>
                <w:rFonts w:ascii="宋体" w:hAnsi="宋体"/>
                <w:sz w:val="24"/>
                <w:szCs w:val="24"/>
              </w:rPr>
              <w:t>连接示意图、</w:t>
            </w:r>
            <w:r>
              <w:rPr>
                <w:rFonts w:hint="eastAsia" w:ascii="宋体" w:hAnsi="宋体"/>
                <w:sz w:val="24"/>
                <w:szCs w:val="24"/>
              </w:rPr>
              <w:t>设备资产</w:t>
            </w:r>
            <w:r>
              <w:rPr>
                <w:rFonts w:ascii="宋体" w:hAnsi="宋体"/>
                <w:sz w:val="24"/>
                <w:szCs w:val="24"/>
              </w:rPr>
              <w:t>台账</w:t>
            </w:r>
            <w:r>
              <w:rPr>
                <w:rFonts w:hint="eastAsia" w:ascii="宋体" w:hAnsi="宋体"/>
                <w:sz w:val="24"/>
                <w:szCs w:val="24"/>
              </w:rPr>
              <w:t>、设备关键</w:t>
            </w:r>
            <w:r>
              <w:rPr>
                <w:rFonts w:ascii="宋体" w:hAnsi="宋体"/>
                <w:sz w:val="24"/>
                <w:szCs w:val="24"/>
              </w:rPr>
              <w:t>配置</w:t>
            </w:r>
            <w:r>
              <w:rPr>
                <w:rFonts w:hint="eastAsia" w:ascii="宋体" w:hAnsi="宋体"/>
                <w:sz w:val="24"/>
                <w:szCs w:val="24"/>
              </w:rPr>
              <w:t>记录表等配置管理记录，并根据实际情况维护更新；</w:t>
            </w:r>
          </w:p>
          <w:p w14:paraId="5D067C06">
            <w:pPr>
              <w:tabs>
                <w:tab w:val="left" w:pos="0"/>
              </w:tabs>
              <w:rPr>
                <w:rFonts w:ascii="宋体" w:hAnsi="宋体"/>
                <w:sz w:val="24"/>
                <w:szCs w:val="24"/>
              </w:rPr>
            </w:pPr>
            <w:r>
              <w:rPr>
                <w:rFonts w:hint="eastAsia" w:ascii="宋体" w:hAnsi="宋体"/>
                <w:sz w:val="24"/>
                <w:szCs w:val="24"/>
              </w:rPr>
              <w:t>2.上述</w:t>
            </w:r>
            <w:r>
              <w:rPr>
                <w:rFonts w:ascii="宋体" w:hAnsi="宋体"/>
                <w:sz w:val="24"/>
                <w:szCs w:val="24"/>
              </w:rPr>
              <w:t>图</w:t>
            </w:r>
            <w:r>
              <w:rPr>
                <w:rFonts w:hint="eastAsia" w:ascii="宋体" w:hAnsi="宋体"/>
                <w:sz w:val="24"/>
                <w:szCs w:val="24"/>
              </w:rPr>
              <w:t>表</w:t>
            </w:r>
            <w:r>
              <w:rPr>
                <w:rFonts w:ascii="宋体" w:hAnsi="宋体"/>
                <w:sz w:val="24"/>
                <w:szCs w:val="24"/>
              </w:rPr>
              <w:t>、台账制式由供应商</w:t>
            </w:r>
            <w:r>
              <w:rPr>
                <w:rFonts w:hint="eastAsia" w:ascii="宋体" w:hAnsi="宋体"/>
                <w:sz w:val="24"/>
                <w:szCs w:val="24"/>
              </w:rPr>
              <w:t>拟定</w:t>
            </w:r>
            <w:r>
              <w:rPr>
                <w:rFonts w:ascii="宋体" w:hAnsi="宋体"/>
                <w:sz w:val="24"/>
                <w:szCs w:val="24"/>
              </w:rPr>
              <w:t>，</w:t>
            </w:r>
            <w:r>
              <w:rPr>
                <w:rFonts w:hint="eastAsia" w:ascii="宋体" w:hAnsi="宋体"/>
                <w:sz w:val="24"/>
                <w:szCs w:val="24"/>
              </w:rPr>
              <w:t>报</w:t>
            </w:r>
            <w:r>
              <w:rPr>
                <w:rFonts w:ascii="宋体" w:hAnsi="宋体"/>
                <w:sz w:val="24"/>
                <w:szCs w:val="24"/>
              </w:rPr>
              <w:t>采购人审核</w:t>
            </w:r>
            <w:r>
              <w:rPr>
                <w:rFonts w:hint="eastAsia" w:ascii="宋体" w:hAnsi="宋体"/>
                <w:sz w:val="24"/>
                <w:szCs w:val="24"/>
              </w:rPr>
              <w:t>。</w:t>
            </w:r>
          </w:p>
        </w:tc>
      </w:tr>
      <w:tr w14:paraId="6EB34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EDB9702">
            <w:pPr>
              <w:spacing w:line="360" w:lineRule="auto"/>
              <w:jc w:val="center"/>
              <w:rPr>
                <w:rFonts w:ascii="宋体" w:hAnsi="宋体"/>
                <w:sz w:val="24"/>
                <w:szCs w:val="24"/>
              </w:rPr>
            </w:pPr>
            <w:r>
              <w:rPr>
                <w:rFonts w:ascii="宋体" w:hAnsi="宋体"/>
                <w:sz w:val="24"/>
                <w:szCs w:val="24"/>
              </w:rPr>
              <w:t>6</w:t>
            </w:r>
          </w:p>
        </w:tc>
        <w:tc>
          <w:tcPr>
            <w:tcW w:w="981" w:type="dxa"/>
            <w:vAlign w:val="center"/>
          </w:tcPr>
          <w:p w14:paraId="10F5E6AC">
            <w:pPr>
              <w:spacing w:line="360" w:lineRule="auto"/>
              <w:jc w:val="center"/>
              <w:rPr>
                <w:rFonts w:ascii="宋体" w:hAnsi="宋体"/>
                <w:sz w:val="24"/>
                <w:szCs w:val="24"/>
              </w:rPr>
            </w:pPr>
            <w:r>
              <w:rPr>
                <w:rFonts w:hint="eastAsia" w:ascii="宋体" w:hAnsi="宋体"/>
                <w:sz w:val="24"/>
                <w:szCs w:val="24"/>
              </w:rPr>
              <w:t>变更实施</w:t>
            </w:r>
          </w:p>
        </w:tc>
        <w:tc>
          <w:tcPr>
            <w:tcW w:w="993" w:type="dxa"/>
            <w:vAlign w:val="center"/>
          </w:tcPr>
          <w:p w14:paraId="555AEDCA">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4D6D50EF">
            <w:pPr>
              <w:tabs>
                <w:tab w:val="left" w:pos="0"/>
              </w:tabs>
              <w:rPr>
                <w:rFonts w:ascii="宋体" w:hAnsi="宋体"/>
                <w:sz w:val="24"/>
                <w:szCs w:val="24"/>
              </w:rPr>
            </w:pPr>
            <w:r>
              <w:rPr>
                <w:rFonts w:hint="eastAsia" w:ascii="宋体" w:hAnsi="宋体"/>
                <w:sz w:val="24"/>
                <w:szCs w:val="24"/>
              </w:rPr>
              <w:t>当应用</w:t>
            </w:r>
            <w:r>
              <w:rPr>
                <w:rFonts w:ascii="宋体" w:hAnsi="宋体"/>
                <w:sz w:val="24"/>
                <w:szCs w:val="24"/>
              </w:rPr>
              <w:t>系统</w:t>
            </w:r>
            <w:r>
              <w:rPr>
                <w:rFonts w:hint="eastAsia" w:ascii="宋体" w:hAnsi="宋体"/>
                <w:sz w:val="24"/>
                <w:szCs w:val="24"/>
              </w:rPr>
              <w:t>及其网络运行</w:t>
            </w:r>
            <w:r>
              <w:rPr>
                <w:rFonts w:ascii="宋体" w:hAnsi="宋体"/>
                <w:sz w:val="24"/>
                <w:szCs w:val="24"/>
              </w:rPr>
              <w:t>环境</w:t>
            </w:r>
            <w:r>
              <w:rPr>
                <w:rFonts w:hint="eastAsia" w:ascii="宋体" w:hAnsi="宋体"/>
                <w:sz w:val="24"/>
                <w:szCs w:val="24"/>
              </w:rPr>
              <w:t>因</w:t>
            </w:r>
            <w:r>
              <w:rPr>
                <w:rFonts w:ascii="宋体" w:hAnsi="宋体"/>
                <w:sz w:val="24"/>
                <w:szCs w:val="24"/>
              </w:rPr>
              <w:t>功能调整</w:t>
            </w:r>
            <w:r>
              <w:rPr>
                <w:rFonts w:hint="eastAsia" w:ascii="宋体" w:hAnsi="宋体"/>
                <w:sz w:val="24"/>
                <w:szCs w:val="24"/>
              </w:rPr>
              <w:t>造成设备</w:t>
            </w:r>
            <w:r>
              <w:rPr>
                <w:rFonts w:ascii="宋体" w:hAnsi="宋体"/>
                <w:sz w:val="24"/>
                <w:szCs w:val="24"/>
              </w:rPr>
              <w:t>迁移、</w:t>
            </w:r>
            <w:r>
              <w:rPr>
                <w:rFonts w:hint="eastAsia" w:ascii="宋体" w:hAnsi="宋体"/>
                <w:sz w:val="24"/>
                <w:szCs w:val="24"/>
              </w:rPr>
              <w:t>设备</w:t>
            </w:r>
            <w:r>
              <w:rPr>
                <w:rFonts w:ascii="宋体" w:hAnsi="宋体"/>
                <w:sz w:val="24"/>
                <w:szCs w:val="24"/>
              </w:rPr>
              <w:t>更</w:t>
            </w:r>
            <w:r>
              <w:rPr>
                <w:rFonts w:hint="eastAsia" w:ascii="宋体" w:hAnsi="宋体"/>
                <w:sz w:val="24"/>
                <w:szCs w:val="24"/>
              </w:rPr>
              <w:t>换</w:t>
            </w:r>
            <w:r>
              <w:rPr>
                <w:rFonts w:ascii="宋体" w:hAnsi="宋体"/>
                <w:sz w:val="24"/>
                <w:szCs w:val="24"/>
              </w:rPr>
              <w:t>、</w:t>
            </w:r>
            <w:r>
              <w:rPr>
                <w:rFonts w:hint="eastAsia" w:ascii="宋体" w:hAnsi="宋体"/>
                <w:sz w:val="24"/>
                <w:szCs w:val="24"/>
              </w:rPr>
              <w:t>服务器配置变更</w:t>
            </w:r>
            <w:r>
              <w:rPr>
                <w:rFonts w:ascii="宋体" w:hAnsi="宋体"/>
                <w:sz w:val="24"/>
                <w:szCs w:val="24"/>
              </w:rPr>
              <w:t>、</w:t>
            </w:r>
            <w:r>
              <w:rPr>
                <w:rFonts w:hint="eastAsia" w:ascii="宋体" w:hAnsi="宋体"/>
                <w:sz w:val="24"/>
                <w:szCs w:val="24"/>
              </w:rPr>
              <w:t>网络</w:t>
            </w:r>
            <w:r>
              <w:rPr>
                <w:rFonts w:ascii="宋体" w:hAnsi="宋体"/>
                <w:sz w:val="24"/>
                <w:szCs w:val="24"/>
              </w:rPr>
              <w:t>策略</w:t>
            </w:r>
            <w:r>
              <w:rPr>
                <w:rFonts w:hint="eastAsia" w:ascii="宋体" w:hAnsi="宋体"/>
                <w:sz w:val="24"/>
                <w:szCs w:val="24"/>
              </w:rPr>
              <w:t>变更</w:t>
            </w:r>
            <w:r>
              <w:rPr>
                <w:rFonts w:ascii="宋体" w:hAnsi="宋体"/>
                <w:sz w:val="24"/>
                <w:szCs w:val="24"/>
              </w:rPr>
              <w:t>等重要变更的，</w:t>
            </w:r>
            <w:r>
              <w:rPr>
                <w:rFonts w:hint="eastAsia" w:ascii="宋体" w:hAnsi="宋体"/>
                <w:sz w:val="24"/>
                <w:szCs w:val="24"/>
              </w:rPr>
              <w:t>供应商</w:t>
            </w:r>
            <w:r>
              <w:rPr>
                <w:rFonts w:ascii="宋体" w:hAnsi="宋体"/>
                <w:sz w:val="24"/>
                <w:szCs w:val="24"/>
              </w:rPr>
              <w:t>应事先制定变更实施方案，明确变更内</w:t>
            </w:r>
            <w:r>
              <w:rPr>
                <w:rFonts w:hint="eastAsia" w:ascii="宋体" w:hAnsi="宋体"/>
                <w:sz w:val="24"/>
                <w:szCs w:val="24"/>
              </w:rPr>
              <w:t>容</w:t>
            </w:r>
            <w:r>
              <w:rPr>
                <w:rFonts w:ascii="宋体" w:hAnsi="宋体"/>
                <w:sz w:val="24"/>
                <w:szCs w:val="24"/>
              </w:rPr>
              <w:t>、操作流程</w:t>
            </w:r>
            <w:r>
              <w:rPr>
                <w:rFonts w:hint="eastAsia" w:ascii="宋体" w:hAnsi="宋体"/>
                <w:sz w:val="24"/>
                <w:szCs w:val="24"/>
              </w:rPr>
              <w:t>、变更</w:t>
            </w:r>
            <w:r>
              <w:rPr>
                <w:rFonts w:ascii="宋体" w:hAnsi="宋体"/>
                <w:sz w:val="24"/>
                <w:szCs w:val="24"/>
              </w:rPr>
              <w:t>的窗口</w:t>
            </w:r>
            <w:r>
              <w:rPr>
                <w:rFonts w:hint="eastAsia" w:ascii="宋体" w:hAnsi="宋体"/>
                <w:sz w:val="24"/>
                <w:szCs w:val="24"/>
              </w:rPr>
              <w:t>期以及</w:t>
            </w:r>
            <w:r>
              <w:rPr>
                <w:rFonts w:ascii="宋体" w:hAnsi="宋体"/>
                <w:sz w:val="24"/>
                <w:szCs w:val="24"/>
              </w:rPr>
              <w:t>变更后的回退方案</w:t>
            </w:r>
            <w:r>
              <w:rPr>
                <w:rFonts w:hint="eastAsia" w:ascii="宋体" w:hAnsi="宋体"/>
                <w:sz w:val="24"/>
                <w:szCs w:val="24"/>
              </w:rPr>
              <w:t>，</w:t>
            </w:r>
            <w:r>
              <w:rPr>
                <w:rFonts w:ascii="宋体" w:hAnsi="宋体"/>
                <w:sz w:val="24"/>
                <w:szCs w:val="24"/>
              </w:rPr>
              <w:t>报</w:t>
            </w:r>
            <w:r>
              <w:rPr>
                <w:rFonts w:hint="eastAsia" w:ascii="宋体" w:hAnsi="宋体"/>
                <w:sz w:val="24"/>
                <w:szCs w:val="24"/>
              </w:rPr>
              <w:t>采购人</w:t>
            </w:r>
            <w:r>
              <w:rPr>
                <w:rFonts w:ascii="宋体" w:hAnsi="宋体"/>
                <w:sz w:val="24"/>
                <w:szCs w:val="24"/>
              </w:rPr>
              <w:t>审批</w:t>
            </w:r>
            <w:r>
              <w:rPr>
                <w:rFonts w:hint="eastAsia" w:ascii="宋体" w:hAnsi="宋体"/>
                <w:sz w:val="24"/>
                <w:szCs w:val="24"/>
              </w:rPr>
              <w:t>，变更后</w:t>
            </w:r>
            <w:r>
              <w:rPr>
                <w:rFonts w:ascii="宋体" w:hAnsi="宋体"/>
                <w:sz w:val="24"/>
                <w:szCs w:val="24"/>
              </w:rPr>
              <w:t>及时</w:t>
            </w:r>
            <w:r>
              <w:rPr>
                <w:rFonts w:hint="eastAsia" w:ascii="宋体" w:hAnsi="宋体"/>
                <w:sz w:val="24"/>
                <w:szCs w:val="24"/>
              </w:rPr>
              <w:t>进行</w:t>
            </w:r>
            <w:r>
              <w:rPr>
                <w:rFonts w:ascii="宋体" w:hAnsi="宋体"/>
                <w:sz w:val="24"/>
                <w:szCs w:val="24"/>
              </w:rPr>
              <w:t>记录</w:t>
            </w:r>
            <w:r>
              <w:rPr>
                <w:rFonts w:hint="eastAsia" w:ascii="宋体" w:hAnsi="宋体"/>
                <w:sz w:val="24"/>
                <w:szCs w:val="24"/>
              </w:rPr>
              <w:t>并</w:t>
            </w:r>
            <w:r>
              <w:rPr>
                <w:rFonts w:ascii="宋体" w:hAnsi="宋体"/>
                <w:sz w:val="24"/>
                <w:szCs w:val="24"/>
              </w:rPr>
              <w:t>同步修改相关配置管理记录</w:t>
            </w:r>
            <w:r>
              <w:rPr>
                <w:rFonts w:hint="eastAsia" w:ascii="宋体" w:hAnsi="宋体"/>
                <w:sz w:val="24"/>
                <w:szCs w:val="24"/>
              </w:rPr>
              <w:t>。对于频繁发生且风险较低的变更事项，</w:t>
            </w:r>
            <w:r>
              <w:rPr>
                <w:rFonts w:ascii="宋体" w:hAnsi="宋体"/>
                <w:sz w:val="24"/>
                <w:szCs w:val="24"/>
              </w:rPr>
              <w:t>比如</w:t>
            </w:r>
            <w:r>
              <w:rPr>
                <w:rFonts w:hint="eastAsia" w:ascii="宋体" w:hAnsi="宋体"/>
                <w:sz w:val="24"/>
                <w:szCs w:val="24"/>
              </w:rPr>
              <w:t>网络地址</w:t>
            </w:r>
            <w:r>
              <w:rPr>
                <w:rFonts w:ascii="宋体" w:hAnsi="宋体"/>
                <w:sz w:val="24"/>
                <w:szCs w:val="24"/>
              </w:rPr>
              <w:t>变更等</w:t>
            </w:r>
            <w:r>
              <w:rPr>
                <w:rFonts w:hint="eastAsia" w:ascii="宋体" w:hAnsi="宋体"/>
                <w:sz w:val="24"/>
                <w:szCs w:val="24"/>
              </w:rPr>
              <w:t>，应</w:t>
            </w:r>
            <w:r>
              <w:rPr>
                <w:rFonts w:ascii="宋体" w:hAnsi="宋体"/>
                <w:sz w:val="24"/>
                <w:szCs w:val="24"/>
              </w:rPr>
              <w:t>提前</w:t>
            </w:r>
            <w:r>
              <w:rPr>
                <w:rFonts w:hint="eastAsia" w:ascii="宋体" w:hAnsi="宋体"/>
                <w:sz w:val="24"/>
                <w:szCs w:val="24"/>
              </w:rPr>
              <w:t>与采购人确认并取得授权，形成标准变更清单，该清单中的变更无需为每个变更编制变更方案并报采购人审批。但仍须为每次标准变更做详细记录。</w:t>
            </w:r>
          </w:p>
        </w:tc>
      </w:tr>
      <w:tr w14:paraId="28D9B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7A776F3">
            <w:pPr>
              <w:spacing w:line="360" w:lineRule="auto"/>
              <w:jc w:val="center"/>
              <w:rPr>
                <w:rFonts w:ascii="宋体" w:hAnsi="宋体"/>
                <w:sz w:val="24"/>
                <w:szCs w:val="24"/>
              </w:rPr>
            </w:pPr>
            <w:r>
              <w:rPr>
                <w:rFonts w:ascii="宋体" w:hAnsi="宋体"/>
                <w:sz w:val="24"/>
                <w:szCs w:val="24"/>
              </w:rPr>
              <w:t>7</w:t>
            </w:r>
          </w:p>
        </w:tc>
        <w:tc>
          <w:tcPr>
            <w:tcW w:w="981" w:type="dxa"/>
            <w:vAlign w:val="center"/>
          </w:tcPr>
          <w:p w14:paraId="5B7304CE">
            <w:pPr>
              <w:spacing w:line="360" w:lineRule="auto"/>
              <w:jc w:val="center"/>
              <w:rPr>
                <w:rFonts w:ascii="宋体" w:hAnsi="宋体"/>
                <w:sz w:val="24"/>
                <w:szCs w:val="24"/>
              </w:rPr>
            </w:pPr>
            <w:r>
              <w:rPr>
                <w:rFonts w:hint="eastAsia" w:ascii="宋体" w:hAnsi="宋体"/>
                <w:sz w:val="24"/>
                <w:szCs w:val="24"/>
              </w:rPr>
              <w:t>网络安全</w:t>
            </w:r>
            <w:r>
              <w:rPr>
                <w:rFonts w:ascii="宋体" w:hAnsi="宋体"/>
                <w:sz w:val="24"/>
                <w:szCs w:val="24"/>
              </w:rPr>
              <w:t>管理</w:t>
            </w:r>
          </w:p>
        </w:tc>
        <w:tc>
          <w:tcPr>
            <w:tcW w:w="993" w:type="dxa"/>
            <w:vAlign w:val="center"/>
          </w:tcPr>
          <w:p w14:paraId="21AFEA48">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386B06B9">
            <w:pPr>
              <w:tabs>
                <w:tab w:val="left" w:pos="0"/>
              </w:tabs>
              <w:rPr>
                <w:rFonts w:ascii="宋体" w:hAnsi="宋体"/>
                <w:sz w:val="24"/>
                <w:szCs w:val="24"/>
              </w:rPr>
            </w:pPr>
            <w:r>
              <w:rPr>
                <w:rFonts w:hint="eastAsia" w:ascii="宋体" w:hAnsi="宋体"/>
                <w:sz w:val="24"/>
                <w:szCs w:val="24"/>
              </w:rPr>
              <w:t>1.供应商</w:t>
            </w:r>
            <w:r>
              <w:rPr>
                <w:rFonts w:ascii="宋体" w:hAnsi="宋体"/>
                <w:sz w:val="24"/>
                <w:szCs w:val="24"/>
              </w:rPr>
              <w:t>应与</w:t>
            </w:r>
            <w:r>
              <w:rPr>
                <w:rFonts w:hint="eastAsia" w:ascii="宋体" w:hAnsi="宋体"/>
                <w:sz w:val="24"/>
                <w:szCs w:val="24"/>
              </w:rPr>
              <w:t>采购人</w:t>
            </w:r>
            <w:r>
              <w:rPr>
                <w:rFonts w:ascii="宋体" w:hAnsi="宋体"/>
                <w:sz w:val="24"/>
                <w:szCs w:val="24"/>
              </w:rPr>
              <w:t>签订单独安全协议，明确</w:t>
            </w:r>
            <w:r>
              <w:rPr>
                <w:rFonts w:hint="eastAsia" w:ascii="宋体" w:hAnsi="宋体"/>
                <w:sz w:val="24"/>
                <w:szCs w:val="24"/>
              </w:rPr>
              <w:t>自身</w:t>
            </w:r>
            <w:r>
              <w:rPr>
                <w:rFonts w:ascii="宋体" w:hAnsi="宋体"/>
                <w:sz w:val="24"/>
                <w:szCs w:val="24"/>
              </w:rPr>
              <w:t>的安全责任。</w:t>
            </w:r>
            <w:r>
              <w:rPr>
                <w:rFonts w:hint="eastAsia" w:ascii="宋体" w:hAnsi="宋体"/>
                <w:sz w:val="24"/>
                <w:szCs w:val="24"/>
              </w:rPr>
              <w:t>供应商实施</w:t>
            </w:r>
            <w:r>
              <w:rPr>
                <w:rFonts w:ascii="宋体" w:hAnsi="宋体"/>
                <w:sz w:val="24"/>
                <w:szCs w:val="24"/>
              </w:rPr>
              <w:t>运维</w:t>
            </w:r>
            <w:r>
              <w:rPr>
                <w:rFonts w:hint="eastAsia" w:ascii="宋体" w:hAnsi="宋体"/>
                <w:sz w:val="24"/>
                <w:szCs w:val="24"/>
              </w:rPr>
              <w:t>的</w:t>
            </w:r>
            <w:r>
              <w:rPr>
                <w:rFonts w:ascii="宋体" w:hAnsi="宋体"/>
                <w:sz w:val="24"/>
                <w:szCs w:val="24"/>
              </w:rPr>
              <w:t>工作人员</w:t>
            </w:r>
            <w:r>
              <w:rPr>
                <w:rFonts w:hint="eastAsia" w:ascii="宋体" w:hAnsi="宋体"/>
                <w:sz w:val="24"/>
                <w:szCs w:val="24"/>
              </w:rPr>
              <w:t>需</w:t>
            </w:r>
            <w:r>
              <w:rPr>
                <w:rFonts w:ascii="宋体" w:hAnsi="宋体"/>
                <w:sz w:val="24"/>
                <w:szCs w:val="24"/>
              </w:rPr>
              <w:t>与</w:t>
            </w:r>
            <w:r>
              <w:rPr>
                <w:rFonts w:hint="eastAsia" w:ascii="宋体" w:hAnsi="宋体"/>
                <w:sz w:val="24"/>
                <w:szCs w:val="24"/>
              </w:rPr>
              <w:t>采购人</w:t>
            </w:r>
            <w:r>
              <w:rPr>
                <w:rFonts w:ascii="宋体" w:hAnsi="宋体"/>
                <w:sz w:val="24"/>
                <w:szCs w:val="24"/>
              </w:rPr>
              <w:t>签订保密协议，</w:t>
            </w:r>
            <w:r>
              <w:rPr>
                <w:rFonts w:hint="eastAsia" w:ascii="宋体" w:hAnsi="宋体"/>
                <w:sz w:val="24"/>
                <w:szCs w:val="24"/>
              </w:rPr>
              <w:t>由供应商承担</w:t>
            </w:r>
            <w:r>
              <w:rPr>
                <w:rFonts w:ascii="宋体" w:hAnsi="宋体"/>
                <w:sz w:val="24"/>
                <w:szCs w:val="24"/>
              </w:rPr>
              <w:t>担保责任。</w:t>
            </w:r>
            <w:r>
              <w:rPr>
                <w:rFonts w:hint="eastAsia" w:ascii="宋体" w:hAnsi="宋体"/>
                <w:sz w:val="24"/>
                <w:szCs w:val="24"/>
              </w:rPr>
              <w:t>供应商运维人员访问采购人机房</w:t>
            </w:r>
            <w:r>
              <w:rPr>
                <w:rFonts w:ascii="宋体" w:hAnsi="宋体"/>
                <w:sz w:val="24"/>
                <w:szCs w:val="24"/>
              </w:rPr>
              <w:t>资产、核心网络原则上应在现场</w:t>
            </w:r>
            <w:r>
              <w:rPr>
                <w:rFonts w:hint="eastAsia" w:ascii="宋体" w:hAnsi="宋体"/>
                <w:sz w:val="24"/>
                <w:szCs w:val="24"/>
              </w:rPr>
              <w:t>访问。确需必要的实施远程访问，且须提前向采购人网信负责人提出申请，获批后方可进行远程访问，并在完成必要的访问活动后，关闭远程访问通道；</w:t>
            </w:r>
          </w:p>
          <w:p w14:paraId="7B68F00C">
            <w:pPr>
              <w:rPr>
                <w:rFonts w:ascii="宋体" w:hAnsi="宋体"/>
                <w:sz w:val="24"/>
                <w:szCs w:val="24"/>
              </w:rPr>
            </w:pPr>
            <w:r>
              <w:rPr>
                <w:rFonts w:ascii="宋体" w:hAnsi="宋体"/>
                <w:sz w:val="24"/>
                <w:szCs w:val="24"/>
              </w:rPr>
              <w:t>2</w:t>
            </w:r>
            <w:r>
              <w:rPr>
                <w:rFonts w:hint="eastAsia" w:ascii="宋体" w:hAnsi="宋体"/>
                <w:sz w:val="24"/>
                <w:szCs w:val="24"/>
              </w:rPr>
              <w:t>.供应商应积极配合采购人聘请的等保测评、信息系统及数据安全风险评估服务机构完成系统渗透性测试、漏洞扫描、安全风险评估等工作；</w:t>
            </w:r>
          </w:p>
          <w:p w14:paraId="0AFCD5FB">
            <w:pPr>
              <w:pStyle w:val="93"/>
              <w:spacing w:line="240" w:lineRule="auto"/>
              <w:ind w:firstLine="0" w:firstLineChars="0"/>
              <w:rPr>
                <w:rFonts w:ascii="宋体" w:hAnsi="宋体"/>
                <w:szCs w:val="24"/>
                <w:lang w:val="en-US"/>
              </w:rPr>
            </w:pPr>
            <w:r>
              <w:rPr>
                <w:rFonts w:ascii="宋体" w:hAnsi="宋体"/>
                <w:szCs w:val="24"/>
                <w:lang w:val="en-US"/>
              </w:rPr>
              <w:t>3</w:t>
            </w:r>
            <w:r>
              <w:rPr>
                <w:rFonts w:hint="eastAsia" w:ascii="宋体" w:hAnsi="宋体"/>
                <w:szCs w:val="24"/>
                <w:lang w:val="en-US"/>
              </w:rPr>
              <w:t>.</w:t>
            </w:r>
            <w:r>
              <w:rPr>
                <w:rFonts w:hint="eastAsia" w:ascii="宋体" w:hAnsi="宋体"/>
              </w:rPr>
              <w:t>供应商应积极</w:t>
            </w:r>
            <w:r>
              <w:rPr>
                <w:rFonts w:hint="eastAsia" w:ascii="宋体" w:hAnsi="宋体"/>
                <w:szCs w:val="24"/>
                <w:lang w:val="en-US"/>
              </w:rPr>
              <w:t>配合采购人</w:t>
            </w:r>
            <w:r>
              <w:rPr>
                <w:rFonts w:ascii="宋体" w:hAnsi="宋体"/>
                <w:szCs w:val="24"/>
                <w:lang w:val="en-US"/>
              </w:rPr>
              <w:t>的</w:t>
            </w:r>
            <w:r>
              <w:rPr>
                <w:rFonts w:hint="eastAsia" w:ascii="宋体" w:hAnsi="宋体"/>
                <w:szCs w:val="24"/>
                <w:lang w:val="en-US"/>
              </w:rPr>
              <w:t>年度网络安全自查工作，对存在的安全隐患进行整改，提出解决方案；</w:t>
            </w:r>
          </w:p>
          <w:p w14:paraId="576E0A94">
            <w:pPr>
              <w:rPr>
                <w:rFonts w:ascii="宋体" w:hAnsi="宋体"/>
                <w:sz w:val="24"/>
                <w:szCs w:val="24"/>
              </w:rPr>
            </w:pPr>
            <w:r>
              <w:rPr>
                <w:rFonts w:ascii="宋体" w:hAnsi="宋体"/>
                <w:sz w:val="24"/>
                <w:szCs w:val="24"/>
              </w:rPr>
              <w:t>4</w:t>
            </w:r>
            <w:r>
              <w:rPr>
                <w:rFonts w:hint="eastAsia" w:ascii="宋体" w:hAnsi="宋体"/>
                <w:sz w:val="24"/>
                <w:szCs w:val="24"/>
              </w:rPr>
              <w:t>.供应商应对官方发布的漏洞预警通报或风险提示，及时对</w:t>
            </w:r>
            <w:r>
              <w:rPr>
                <w:rFonts w:ascii="宋体" w:hAnsi="宋体"/>
                <w:sz w:val="24"/>
                <w:szCs w:val="24"/>
              </w:rPr>
              <w:t>内部网络</w:t>
            </w:r>
            <w:r>
              <w:rPr>
                <w:rFonts w:hint="eastAsia" w:ascii="宋体" w:hAnsi="宋体"/>
                <w:sz w:val="24"/>
                <w:szCs w:val="24"/>
              </w:rPr>
              <w:t>安全</w:t>
            </w:r>
            <w:r>
              <w:rPr>
                <w:rFonts w:ascii="宋体" w:hAnsi="宋体"/>
                <w:sz w:val="24"/>
                <w:szCs w:val="24"/>
              </w:rPr>
              <w:t>影响进行</w:t>
            </w:r>
            <w:r>
              <w:rPr>
                <w:rFonts w:hint="eastAsia" w:ascii="宋体" w:hAnsi="宋体"/>
                <w:sz w:val="24"/>
                <w:szCs w:val="24"/>
              </w:rPr>
              <w:t>研判分析，堵塞漏洞，因采购人原因导致暂时无法修复或解决的，应采取必要的防护手段，并及时就采购人应注意事项进行提醒；</w:t>
            </w:r>
          </w:p>
        </w:tc>
      </w:tr>
      <w:tr w14:paraId="250B0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46C701C">
            <w:pPr>
              <w:spacing w:line="360" w:lineRule="auto"/>
              <w:jc w:val="center"/>
              <w:rPr>
                <w:rFonts w:ascii="宋体" w:hAnsi="宋体"/>
                <w:sz w:val="24"/>
                <w:szCs w:val="24"/>
              </w:rPr>
            </w:pPr>
            <w:r>
              <w:rPr>
                <w:rFonts w:ascii="宋体" w:hAnsi="宋体"/>
                <w:sz w:val="24"/>
                <w:szCs w:val="24"/>
              </w:rPr>
              <w:t>8</w:t>
            </w:r>
          </w:p>
        </w:tc>
        <w:tc>
          <w:tcPr>
            <w:tcW w:w="981" w:type="dxa"/>
            <w:vAlign w:val="center"/>
          </w:tcPr>
          <w:p w14:paraId="67B95C01">
            <w:pPr>
              <w:spacing w:line="360" w:lineRule="auto"/>
              <w:jc w:val="center"/>
              <w:rPr>
                <w:rFonts w:ascii="宋体" w:hAnsi="宋体"/>
                <w:sz w:val="24"/>
                <w:szCs w:val="24"/>
              </w:rPr>
            </w:pPr>
            <w:r>
              <w:rPr>
                <w:rFonts w:hint="eastAsia" w:ascii="宋体" w:hAnsi="宋体"/>
                <w:sz w:val="24"/>
                <w:szCs w:val="24"/>
              </w:rPr>
              <w:t>应急</w:t>
            </w:r>
            <w:r>
              <w:rPr>
                <w:rFonts w:ascii="宋体" w:hAnsi="宋体"/>
                <w:sz w:val="24"/>
                <w:szCs w:val="24"/>
              </w:rPr>
              <w:t>响应与</w:t>
            </w:r>
            <w:r>
              <w:rPr>
                <w:rFonts w:hint="eastAsia" w:ascii="宋体" w:hAnsi="宋体"/>
                <w:sz w:val="24"/>
                <w:szCs w:val="24"/>
              </w:rPr>
              <w:t>重保</w:t>
            </w:r>
          </w:p>
        </w:tc>
        <w:tc>
          <w:tcPr>
            <w:tcW w:w="993" w:type="dxa"/>
            <w:vAlign w:val="center"/>
          </w:tcPr>
          <w:p w14:paraId="5A9238B9">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77B485FB">
            <w:pPr>
              <w:rPr>
                <w:rFonts w:ascii="宋体" w:hAnsi="宋体"/>
                <w:sz w:val="24"/>
                <w:szCs w:val="24"/>
              </w:rPr>
            </w:pPr>
            <w:r>
              <w:rPr>
                <w:rFonts w:hint="eastAsia" w:ascii="宋体" w:hAnsi="宋体"/>
                <w:sz w:val="24"/>
                <w:szCs w:val="24"/>
              </w:rPr>
              <w:t>1.供应商安排5名</w:t>
            </w:r>
            <w:r>
              <w:rPr>
                <w:rFonts w:ascii="宋体" w:hAnsi="宋体"/>
                <w:sz w:val="24"/>
                <w:szCs w:val="24"/>
              </w:rPr>
              <w:t>运维人员，</w:t>
            </w:r>
            <w:r>
              <w:rPr>
                <w:rFonts w:hint="eastAsia" w:ascii="宋体" w:hAnsi="宋体"/>
                <w:sz w:val="24"/>
                <w:szCs w:val="24"/>
              </w:rPr>
              <w:t>提供全年7*24小时的应急响应服务，响应方式包括：现场、电话、即时通讯工具。运维</w:t>
            </w:r>
            <w:r>
              <w:rPr>
                <w:rFonts w:ascii="宋体" w:hAnsi="宋体"/>
                <w:sz w:val="24"/>
                <w:szCs w:val="24"/>
              </w:rPr>
              <w:t>人员</w:t>
            </w:r>
            <w:r>
              <w:rPr>
                <w:rFonts w:hint="eastAsia" w:ascii="宋体" w:hAnsi="宋体"/>
                <w:sz w:val="24"/>
                <w:szCs w:val="24"/>
              </w:rPr>
              <w:t>应在接到采购人通知后1小时内赶赴现场支援，</w:t>
            </w:r>
            <w:r>
              <w:rPr>
                <w:rFonts w:ascii="宋体" w:hAnsi="宋体"/>
                <w:sz w:val="24"/>
                <w:szCs w:val="24"/>
              </w:rPr>
              <w:t>供应商</w:t>
            </w:r>
            <w:r>
              <w:rPr>
                <w:rFonts w:hint="eastAsia" w:ascii="宋体" w:hAnsi="宋体"/>
                <w:sz w:val="24"/>
                <w:szCs w:val="24"/>
              </w:rPr>
              <w:t>应急响应</w:t>
            </w:r>
            <w:r>
              <w:rPr>
                <w:rFonts w:ascii="宋体" w:hAnsi="宋体"/>
                <w:sz w:val="24"/>
                <w:szCs w:val="24"/>
              </w:rPr>
              <w:t>准备时间不超过</w:t>
            </w:r>
            <w:r>
              <w:rPr>
                <w:rFonts w:hint="eastAsia" w:ascii="宋体" w:hAnsi="宋体"/>
                <w:sz w:val="24"/>
                <w:szCs w:val="24"/>
              </w:rPr>
              <w:t>10分钟。必要时，按西青区应急管理局要求提供驻场服务。；</w:t>
            </w:r>
          </w:p>
          <w:p w14:paraId="25E2C2BD">
            <w:pPr>
              <w:rPr>
                <w:rFonts w:ascii="宋体" w:hAnsi="宋体"/>
                <w:sz w:val="24"/>
                <w:szCs w:val="24"/>
              </w:rPr>
            </w:pPr>
            <w:r>
              <w:rPr>
                <w:rFonts w:ascii="宋体" w:hAnsi="宋体"/>
                <w:sz w:val="24"/>
                <w:szCs w:val="24"/>
              </w:rPr>
              <w:t>2.</w:t>
            </w:r>
            <w:r>
              <w:rPr>
                <w:rFonts w:hint="eastAsia" w:ascii="宋体" w:hAnsi="宋体"/>
                <w:sz w:val="24"/>
                <w:szCs w:val="24"/>
              </w:rPr>
              <w:t>在重要节假日、重大活动、护网行动和其他重保任务期间，加派安全技术人员进行</w:t>
            </w:r>
            <w:r>
              <w:rPr>
                <w:rFonts w:hint="eastAsia" w:ascii="宋体" w:hAnsi="宋体" w:cs="宋体"/>
                <w:bCs/>
                <w:sz w:val="24"/>
                <w:szCs w:val="24"/>
              </w:rPr>
              <w:t>重点保障和应急值守</w:t>
            </w:r>
            <w:r>
              <w:rPr>
                <w:rFonts w:hint="eastAsia" w:ascii="宋体" w:hAnsi="宋体"/>
                <w:sz w:val="24"/>
                <w:szCs w:val="24"/>
              </w:rPr>
              <w:t>，按照采购人要求安排 7*24 值班。遇到</w:t>
            </w:r>
            <w:r>
              <w:rPr>
                <w:rFonts w:ascii="宋体" w:hAnsi="宋体"/>
                <w:sz w:val="24"/>
                <w:szCs w:val="24"/>
              </w:rPr>
              <w:t>故障问题及时处理</w:t>
            </w:r>
            <w:r>
              <w:rPr>
                <w:rFonts w:hint="eastAsia" w:ascii="宋体" w:hAnsi="宋体"/>
                <w:sz w:val="24"/>
                <w:szCs w:val="24"/>
              </w:rPr>
              <w:t>。</w:t>
            </w:r>
          </w:p>
        </w:tc>
      </w:tr>
      <w:tr w14:paraId="0E83F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5D919380">
            <w:pPr>
              <w:spacing w:line="360" w:lineRule="auto"/>
              <w:jc w:val="center"/>
              <w:rPr>
                <w:rFonts w:ascii="宋体" w:hAnsi="宋体"/>
                <w:sz w:val="24"/>
                <w:szCs w:val="24"/>
              </w:rPr>
            </w:pPr>
            <w:r>
              <w:rPr>
                <w:rFonts w:ascii="宋体" w:hAnsi="宋体"/>
                <w:sz w:val="24"/>
                <w:szCs w:val="24"/>
              </w:rPr>
              <w:t>9</w:t>
            </w:r>
          </w:p>
        </w:tc>
        <w:tc>
          <w:tcPr>
            <w:tcW w:w="981" w:type="dxa"/>
            <w:vAlign w:val="center"/>
          </w:tcPr>
          <w:p w14:paraId="643D0FC4">
            <w:pPr>
              <w:spacing w:line="360" w:lineRule="auto"/>
              <w:jc w:val="center"/>
              <w:rPr>
                <w:rFonts w:ascii="宋体" w:hAnsi="宋体"/>
                <w:sz w:val="24"/>
                <w:szCs w:val="24"/>
              </w:rPr>
            </w:pPr>
            <w:r>
              <w:rPr>
                <w:rFonts w:hint="eastAsia" w:ascii="宋体" w:hAnsi="宋体"/>
                <w:sz w:val="24"/>
                <w:szCs w:val="24"/>
              </w:rPr>
              <w:t>日志留存</w:t>
            </w:r>
          </w:p>
        </w:tc>
        <w:tc>
          <w:tcPr>
            <w:tcW w:w="993" w:type="dxa"/>
            <w:vAlign w:val="center"/>
          </w:tcPr>
          <w:p w14:paraId="45F29450">
            <w:pPr>
              <w:spacing w:line="360" w:lineRule="auto"/>
              <w:jc w:val="center"/>
              <w:rPr>
                <w:rFonts w:ascii="宋体" w:hAnsi="宋体"/>
                <w:sz w:val="24"/>
                <w:szCs w:val="24"/>
              </w:rPr>
            </w:pPr>
            <w:r>
              <w:rPr>
                <w:rFonts w:hint="eastAsia" w:ascii="宋体" w:hAnsi="宋体"/>
                <w:sz w:val="24"/>
                <w:szCs w:val="24"/>
              </w:rPr>
              <w:t>1项</w:t>
            </w:r>
          </w:p>
        </w:tc>
        <w:tc>
          <w:tcPr>
            <w:tcW w:w="5766" w:type="dxa"/>
            <w:vAlign w:val="center"/>
          </w:tcPr>
          <w:p w14:paraId="05B324C1">
            <w:pPr>
              <w:rPr>
                <w:rFonts w:ascii="宋体" w:hAnsi="宋体"/>
                <w:sz w:val="24"/>
                <w:szCs w:val="24"/>
              </w:rPr>
            </w:pPr>
            <w:r>
              <w:rPr>
                <w:rFonts w:hint="eastAsia" w:ascii="宋体" w:hAnsi="宋体"/>
                <w:sz w:val="24"/>
                <w:szCs w:val="24"/>
              </w:rPr>
              <w:t>ITC语音</w:t>
            </w:r>
            <w:r>
              <w:rPr>
                <w:rFonts w:ascii="宋体" w:hAnsi="宋体"/>
                <w:sz w:val="24"/>
                <w:szCs w:val="24"/>
              </w:rPr>
              <w:t>对讲服务器、</w:t>
            </w:r>
            <w:r>
              <w:rPr>
                <w:rFonts w:hint="eastAsia" w:ascii="宋体" w:hAnsi="宋体"/>
                <w:sz w:val="24"/>
                <w:szCs w:val="24"/>
              </w:rPr>
              <w:t>互联网视频</w:t>
            </w:r>
            <w:r>
              <w:rPr>
                <w:rFonts w:ascii="宋体" w:hAnsi="宋体"/>
                <w:sz w:val="24"/>
                <w:szCs w:val="24"/>
              </w:rPr>
              <w:t>管理平台、</w:t>
            </w:r>
            <w:r>
              <w:rPr>
                <w:rFonts w:hint="eastAsia" w:ascii="宋体" w:hAnsi="宋体"/>
                <w:sz w:val="24"/>
                <w:szCs w:val="24"/>
              </w:rPr>
              <w:t>视频存储</w:t>
            </w:r>
            <w:r>
              <w:rPr>
                <w:rFonts w:ascii="宋体" w:hAnsi="宋体"/>
                <w:sz w:val="24"/>
                <w:szCs w:val="24"/>
              </w:rPr>
              <w:t>服务器</w:t>
            </w:r>
            <w:r>
              <w:rPr>
                <w:rFonts w:hint="eastAsia" w:ascii="宋体" w:hAnsi="宋体"/>
                <w:sz w:val="24"/>
                <w:szCs w:val="24"/>
              </w:rPr>
              <w:t>的操作命令、进程行为、网络连接、账号变更、登录登出等日志记录</w:t>
            </w:r>
            <w:r>
              <w:rPr>
                <w:rFonts w:ascii="宋体" w:hAnsi="宋体"/>
                <w:sz w:val="24"/>
                <w:szCs w:val="24"/>
              </w:rPr>
              <w:t>须保留至少半年</w:t>
            </w:r>
            <w:r>
              <w:rPr>
                <w:rFonts w:hint="eastAsia" w:ascii="宋体" w:hAnsi="宋体"/>
                <w:sz w:val="24"/>
                <w:szCs w:val="24"/>
              </w:rPr>
              <w:t>以上，</w:t>
            </w:r>
            <w:r>
              <w:rPr>
                <w:rFonts w:ascii="宋体" w:hAnsi="宋体"/>
                <w:sz w:val="24"/>
                <w:szCs w:val="24"/>
              </w:rPr>
              <w:t>便于随时开展</w:t>
            </w:r>
            <w:r>
              <w:rPr>
                <w:rFonts w:hint="eastAsia" w:ascii="宋体" w:hAnsi="宋体"/>
                <w:sz w:val="24"/>
                <w:szCs w:val="24"/>
              </w:rPr>
              <w:t>运行</w:t>
            </w:r>
            <w:r>
              <w:rPr>
                <w:rFonts w:ascii="宋体" w:hAnsi="宋体"/>
                <w:sz w:val="24"/>
                <w:szCs w:val="24"/>
              </w:rPr>
              <w:t>分析。</w:t>
            </w:r>
          </w:p>
        </w:tc>
      </w:tr>
    </w:tbl>
    <w:p w14:paraId="17A9CD7A">
      <w:pPr>
        <w:rPr>
          <w:rFonts w:eastAsia="仿宋_GB2312"/>
          <w:sz w:val="32"/>
          <w:szCs w:val="32"/>
        </w:rPr>
      </w:pPr>
      <w:r>
        <w:rPr>
          <w:rFonts w:hint="eastAsia" w:eastAsia="仿宋_GB2312"/>
          <w:sz w:val="32"/>
          <w:szCs w:val="32"/>
        </w:rPr>
        <w:t>附件1：安防网前端采集系统</w:t>
      </w:r>
      <w:r>
        <w:rPr>
          <w:rFonts w:hint="eastAsia" w:ascii="楷体_GB2312" w:hAnsi="楷体_GB2312" w:eastAsia="楷体_GB2312" w:cs="楷体_GB2312"/>
          <w:sz w:val="32"/>
          <w:szCs w:val="32"/>
        </w:rPr>
        <w:t>运维清单</w:t>
      </w:r>
    </w:p>
    <w:p w14:paraId="37EFDDD2">
      <w:pPr>
        <w:pStyle w:val="93"/>
        <w:ind w:firstLine="0" w:firstLineChars="0"/>
        <w:rPr>
          <w:lang w:val="en-US"/>
        </w:rPr>
      </w:pPr>
    </w:p>
    <w:tbl>
      <w:tblPr>
        <w:tblStyle w:val="1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
        <w:gridCol w:w="1786"/>
        <w:gridCol w:w="796"/>
        <w:gridCol w:w="1662"/>
        <w:gridCol w:w="932"/>
        <w:gridCol w:w="1029"/>
        <w:gridCol w:w="528"/>
        <w:gridCol w:w="511"/>
        <w:gridCol w:w="654"/>
      </w:tblGrid>
      <w:tr w14:paraId="47A8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shd w:val="clear" w:color="auto" w:fill="auto"/>
            <w:vAlign w:val="center"/>
          </w:tcPr>
          <w:p w14:paraId="4C5C7AF7">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序号</w:t>
            </w:r>
          </w:p>
        </w:tc>
        <w:tc>
          <w:tcPr>
            <w:tcW w:w="0" w:type="auto"/>
            <w:shd w:val="clear" w:color="auto" w:fill="auto"/>
            <w:vAlign w:val="center"/>
          </w:tcPr>
          <w:p w14:paraId="6E324BC7">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设备名称</w:t>
            </w:r>
          </w:p>
        </w:tc>
        <w:tc>
          <w:tcPr>
            <w:tcW w:w="0" w:type="auto"/>
            <w:shd w:val="clear" w:color="auto" w:fill="auto"/>
            <w:vAlign w:val="center"/>
          </w:tcPr>
          <w:p w14:paraId="6060932B">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品牌</w:t>
            </w:r>
          </w:p>
        </w:tc>
        <w:tc>
          <w:tcPr>
            <w:tcW w:w="0" w:type="auto"/>
            <w:shd w:val="clear" w:color="auto" w:fill="auto"/>
            <w:vAlign w:val="center"/>
          </w:tcPr>
          <w:p w14:paraId="02F10AC2">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型号</w:t>
            </w:r>
          </w:p>
        </w:tc>
        <w:tc>
          <w:tcPr>
            <w:tcW w:w="0" w:type="auto"/>
            <w:shd w:val="clear" w:color="auto" w:fill="auto"/>
            <w:vAlign w:val="center"/>
          </w:tcPr>
          <w:p w14:paraId="5FB9F9EE">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投入年份</w:t>
            </w:r>
          </w:p>
        </w:tc>
        <w:tc>
          <w:tcPr>
            <w:tcW w:w="0" w:type="auto"/>
            <w:shd w:val="clear" w:color="auto" w:fill="auto"/>
            <w:vAlign w:val="center"/>
          </w:tcPr>
          <w:p w14:paraId="12CE8FA7">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安装部署位置</w:t>
            </w:r>
          </w:p>
        </w:tc>
        <w:tc>
          <w:tcPr>
            <w:tcW w:w="0" w:type="auto"/>
            <w:shd w:val="clear" w:color="auto" w:fill="auto"/>
            <w:vAlign w:val="center"/>
          </w:tcPr>
          <w:p w14:paraId="63505370">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数量</w:t>
            </w:r>
          </w:p>
        </w:tc>
        <w:tc>
          <w:tcPr>
            <w:tcW w:w="0" w:type="auto"/>
            <w:shd w:val="clear" w:color="auto" w:fill="auto"/>
            <w:vAlign w:val="center"/>
          </w:tcPr>
          <w:p w14:paraId="64D1AF02">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单位</w:t>
            </w:r>
          </w:p>
        </w:tc>
        <w:tc>
          <w:tcPr>
            <w:tcW w:w="0" w:type="auto"/>
            <w:shd w:val="clear" w:color="auto" w:fill="auto"/>
            <w:vAlign w:val="center"/>
          </w:tcPr>
          <w:p w14:paraId="544F3C67">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是否过保</w:t>
            </w:r>
          </w:p>
        </w:tc>
      </w:tr>
      <w:tr w14:paraId="7031D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shd w:val="clear" w:color="auto" w:fill="auto"/>
            <w:vAlign w:val="center"/>
          </w:tcPr>
          <w:p w14:paraId="2A2B7BEA">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1</w:t>
            </w:r>
          </w:p>
        </w:tc>
        <w:tc>
          <w:tcPr>
            <w:tcW w:w="0" w:type="auto"/>
            <w:shd w:val="clear" w:color="auto" w:fill="auto"/>
            <w:vAlign w:val="center"/>
          </w:tcPr>
          <w:p w14:paraId="163DA645">
            <w:pPr>
              <w:widowControl/>
              <w:jc w:val="center"/>
              <w:textAlignment w:val="center"/>
              <w:rPr>
                <w:rFonts w:eastAsia="仿宋_GB2312"/>
                <w:color w:val="000000"/>
                <w:sz w:val="24"/>
              </w:rPr>
            </w:pPr>
            <w:r>
              <w:rPr>
                <w:rFonts w:hint="eastAsia" w:eastAsia="仿宋_GB2312"/>
                <w:color w:val="000000"/>
                <w:sz w:val="24"/>
              </w:rPr>
              <w:t>物联网数据采集主机</w:t>
            </w:r>
          </w:p>
        </w:tc>
        <w:tc>
          <w:tcPr>
            <w:tcW w:w="0" w:type="auto"/>
            <w:shd w:val="clear" w:color="auto" w:fill="auto"/>
            <w:vAlign w:val="center"/>
          </w:tcPr>
          <w:p w14:paraId="020A38DB">
            <w:pPr>
              <w:widowControl/>
              <w:jc w:val="center"/>
              <w:textAlignment w:val="center"/>
              <w:rPr>
                <w:rFonts w:eastAsia="仿宋_GB2312"/>
                <w:color w:val="000000"/>
                <w:sz w:val="24"/>
              </w:rPr>
            </w:pPr>
            <w:r>
              <w:rPr>
                <w:rFonts w:hint="eastAsia" w:eastAsia="仿宋_GB2312"/>
                <w:color w:val="000000"/>
                <w:sz w:val="24"/>
              </w:rPr>
              <w:t>杭州聚光科技</w:t>
            </w:r>
          </w:p>
        </w:tc>
        <w:tc>
          <w:tcPr>
            <w:tcW w:w="0" w:type="auto"/>
            <w:shd w:val="clear" w:color="auto" w:fill="auto"/>
            <w:vAlign w:val="center"/>
          </w:tcPr>
          <w:p w14:paraId="66C609D2">
            <w:pPr>
              <w:widowControl/>
              <w:jc w:val="center"/>
              <w:textAlignment w:val="center"/>
              <w:rPr>
                <w:rFonts w:eastAsia="仿宋_GB2312"/>
                <w:color w:val="000000"/>
                <w:sz w:val="24"/>
              </w:rPr>
            </w:pPr>
            <w:r>
              <w:rPr>
                <w:rFonts w:eastAsia="仿宋_GB2312"/>
                <w:color w:val="000000"/>
                <w:sz w:val="24"/>
              </w:rPr>
              <w:t>DS-8516EH-ST</w:t>
            </w:r>
          </w:p>
        </w:tc>
        <w:tc>
          <w:tcPr>
            <w:tcW w:w="0" w:type="auto"/>
            <w:shd w:val="clear" w:color="auto" w:fill="auto"/>
            <w:vAlign w:val="center"/>
          </w:tcPr>
          <w:p w14:paraId="4B1387E9">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2015年12月</w:t>
            </w:r>
          </w:p>
        </w:tc>
        <w:tc>
          <w:tcPr>
            <w:tcW w:w="0" w:type="auto"/>
            <w:shd w:val="clear" w:color="auto" w:fill="auto"/>
            <w:vAlign w:val="center"/>
          </w:tcPr>
          <w:p w14:paraId="492ABCBD">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29</w:t>
            </w:r>
            <w:r>
              <w:rPr>
                <w:rFonts w:hint="eastAsia" w:ascii="Times New Roman" w:hAnsi="Times New Roman" w:eastAsia="仿宋_GB2312"/>
                <w:color w:val="000000"/>
                <w:szCs w:val="24"/>
                <w:lang w:val="en-US"/>
              </w:rPr>
              <w:t>家危险化学品企业</w:t>
            </w:r>
          </w:p>
        </w:tc>
        <w:tc>
          <w:tcPr>
            <w:tcW w:w="0" w:type="auto"/>
            <w:shd w:val="clear" w:color="auto" w:fill="auto"/>
            <w:vAlign w:val="center"/>
          </w:tcPr>
          <w:p w14:paraId="4B4A71C5">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29</w:t>
            </w:r>
          </w:p>
        </w:tc>
        <w:tc>
          <w:tcPr>
            <w:tcW w:w="0" w:type="auto"/>
            <w:shd w:val="clear" w:color="auto" w:fill="auto"/>
            <w:vAlign w:val="center"/>
          </w:tcPr>
          <w:p w14:paraId="1D8BB8F2">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台</w:t>
            </w:r>
          </w:p>
        </w:tc>
        <w:tc>
          <w:tcPr>
            <w:tcW w:w="0" w:type="auto"/>
            <w:shd w:val="clear" w:color="auto" w:fill="auto"/>
            <w:vAlign w:val="center"/>
          </w:tcPr>
          <w:p w14:paraId="38EC6397">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是</w:t>
            </w:r>
          </w:p>
        </w:tc>
      </w:tr>
      <w:tr w14:paraId="0B8B1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shd w:val="clear" w:color="auto" w:fill="auto"/>
            <w:vAlign w:val="center"/>
          </w:tcPr>
          <w:p w14:paraId="55D897D6">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2</w:t>
            </w:r>
          </w:p>
        </w:tc>
        <w:tc>
          <w:tcPr>
            <w:tcW w:w="0" w:type="auto"/>
            <w:shd w:val="clear" w:color="auto" w:fill="auto"/>
            <w:vAlign w:val="center"/>
          </w:tcPr>
          <w:p w14:paraId="70CAD942">
            <w:pPr>
              <w:widowControl/>
              <w:jc w:val="center"/>
              <w:textAlignment w:val="center"/>
              <w:rPr>
                <w:rFonts w:ascii="宋体" w:hAnsi="宋体"/>
                <w:sz w:val="24"/>
              </w:rPr>
            </w:pPr>
            <w:r>
              <w:rPr>
                <w:rFonts w:hint="eastAsia" w:ascii="宋体" w:hAnsi="宋体"/>
                <w:sz w:val="24"/>
              </w:rPr>
              <w:t>ITC语音对讲话筒（含交换机、音箱）</w:t>
            </w:r>
          </w:p>
        </w:tc>
        <w:tc>
          <w:tcPr>
            <w:tcW w:w="0" w:type="auto"/>
            <w:shd w:val="clear" w:color="auto" w:fill="auto"/>
            <w:vAlign w:val="center"/>
          </w:tcPr>
          <w:p w14:paraId="019273C0">
            <w:pPr>
              <w:widowControl/>
              <w:jc w:val="center"/>
              <w:textAlignment w:val="center"/>
              <w:rPr>
                <w:rFonts w:eastAsia="仿宋_GB2312"/>
                <w:color w:val="000000"/>
                <w:sz w:val="24"/>
              </w:rPr>
            </w:pPr>
            <w:r>
              <w:rPr>
                <w:rFonts w:hint="eastAsia" w:eastAsia="仿宋_GB2312"/>
                <w:color w:val="000000"/>
                <w:sz w:val="24"/>
              </w:rPr>
              <w:t>广州保伦</w:t>
            </w:r>
          </w:p>
        </w:tc>
        <w:tc>
          <w:tcPr>
            <w:tcW w:w="0" w:type="auto"/>
            <w:shd w:val="clear" w:color="auto" w:fill="auto"/>
            <w:vAlign w:val="center"/>
          </w:tcPr>
          <w:p w14:paraId="73D4A63C">
            <w:pPr>
              <w:widowControl/>
              <w:jc w:val="center"/>
              <w:textAlignment w:val="center"/>
              <w:rPr>
                <w:rFonts w:eastAsia="仿宋_GB2312"/>
                <w:color w:val="000000"/>
                <w:sz w:val="24"/>
              </w:rPr>
            </w:pPr>
            <w:r>
              <w:rPr>
                <w:rFonts w:eastAsia="仿宋_GB2312"/>
                <w:color w:val="000000"/>
                <w:sz w:val="24"/>
              </w:rPr>
              <w:t>T-6702</w:t>
            </w:r>
          </w:p>
        </w:tc>
        <w:tc>
          <w:tcPr>
            <w:tcW w:w="0" w:type="auto"/>
            <w:shd w:val="clear" w:color="auto" w:fill="auto"/>
            <w:vAlign w:val="center"/>
          </w:tcPr>
          <w:p w14:paraId="4A2C1C87">
            <w:pPr>
              <w:jc w:val="center"/>
              <w:rPr>
                <w:rFonts w:eastAsia="仿宋_GB2312"/>
                <w:color w:val="000000"/>
                <w:sz w:val="24"/>
              </w:rPr>
            </w:pPr>
            <w:r>
              <w:rPr>
                <w:rFonts w:hint="eastAsia" w:eastAsia="仿宋_GB2312"/>
                <w:color w:val="000000"/>
                <w:sz w:val="24"/>
              </w:rPr>
              <w:t>2017年</w:t>
            </w:r>
          </w:p>
        </w:tc>
        <w:tc>
          <w:tcPr>
            <w:tcW w:w="0" w:type="auto"/>
            <w:shd w:val="clear" w:color="auto" w:fill="auto"/>
            <w:vAlign w:val="center"/>
          </w:tcPr>
          <w:p w14:paraId="78E8A6A0">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西青区应急管理局+</w:t>
            </w:r>
          </w:p>
        </w:tc>
        <w:tc>
          <w:tcPr>
            <w:tcW w:w="0" w:type="auto"/>
            <w:shd w:val="clear" w:color="auto" w:fill="auto"/>
            <w:vAlign w:val="center"/>
          </w:tcPr>
          <w:p w14:paraId="7AEF3D6E">
            <w:pPr>
              <w:pStyle w:val="93"/>
              <w:tabs>
                <w:tab w:val="left" w:pos="277"/>
              </w:tabs>
              <w:ind w:firstLine="0" w:firstLineChars="0"/>
              <w:jc w:val="left"/>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ab/>
            </w:r>
            <w:r>
              <w:rPr>
                <w:rFonts w:ascii="Times New Roman" w:hAnsi="Times New Roman" w:eastAsia="仿宋_GB2312"/>
                <w:color w:val="000000"/>
                <w:szCs w:val="24"/>
                <w:lang w:val="en-US"/>
              </w:rPr>
              <w:t>30</w:t>
            </w:r>
          </w:p>
        </w:tc>
        <w:tc>
          <w:tcPr>
            <w:tcW w:w="0" w:type="auto"/>
            <w:shd w:val="clear" w:color="auto" w:fill="auto"/>
            <w:vAlign w:val="center"/>
          </w:tcPr>
          <w:p w14:paraId="7C3F2812">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台</w:t>
            </w:r>
          </w:p>
        </w:tc>
        <w:tc>
          <w:tcPr>
            <w:tcW w:w="0" w:type="auto"/>
            <w:shd w:val="clear" w:color="auto" w:fill="auto"/>
            <w:vAlign w:val="center"/>
          </w:tcPr>
          <w:p w14:paraId="22CB1EAB">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是</w:t>
            </w:r>
          </w:p>
        </w:tc>
      </w:tr>
      <w:tr w14:paraId="0C235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shd w:val="clear" w:color="auto" w:fill="auto"/>
            <w:vAlign w:val="center"/>
          </w:tcPr>
          <w:p w14:paraId="122AC0FA">
            <w:pPr>
              <w:pStyle w:val="93"/>
              <w:ind w:firstLine="0" w:firstLineChars="0"/>
              <w:jc w:val="center"/>
              <w:rPr>
                <w:rFonts w:ascii="Times New Roman" w:hAnsi="Times New Roman" w:eastAsia="仿宋_GB2312"/>
                <w:color w:val="000000"/>
                <w:szCs w:val="24"/>
                <w:lang w:val="en-US"/>
              </w:rPr>
            </w:pPr>
            <w:r>
              <w:rPr>
                <w:rFonts w:ascii="Times New Roman" w:hAnsi="Times New Roman" w:eastAsia="仿宋_GB2312"/>
                <w:color w:val="000000"/>
                <w:szCs w:val="24"/>
                <w:lang w:val="en-US"/>
              </w:rPr>
              <w:t>3</w:t>
            </w:r>
          </w:p>
        </w:tc>
        <w:tc>
          <w:tcPr>
            <w:tcW w:w="0" w:type="auto"/>
            <w:shd w:val="clear" w:color="auto" w:fill="auto"/>
            <w:vAlign w:val="center"/>
          </w:tcPr>
          <w:p w14:paraId="701D0F7E">
            <w:pPr>
              <w:widowControl/>
              <w:jc w:val="center"/>
              <w:textAlignment w:val="center"/>
              <w:rPr>
                <w:rFonts w:ascii="宋体" w:hAnsi="宋体"/>
                <w:sz w:val="24"/>
              </w:rPr>
            </w:pPr>
            <w:r>
              <w:rPr>
                <w:rFonts w:hint="eastAsia" w:ascii="宋体" w:hAnsi="宋体"/>
                <w:sz w:val="24"/>
              </w:rPr>
              <w:t>ITC语音对讲服务器（含软件及加密够）</w:t>
            </w:r>
          </w:p>
        </w:tc>
        <w:tc>
          <w:tcPr>
            <w:tcW w:w="0" w:type="auto"/>
            <w:shd w:val="clear" w:color="auto" w:fill="auto"/>
            <w:vAlign w:val="center"/>
          </w:tcPr>
          <w:p w14:paraId="4A72DD91">
            <w:pPr>
              <w:widowControl/>
              <w:jc w:val="center"/>
              <w:textAlignment w:val="center"/>
              <w:rPr>
                <w:rFonts w:eastAsia="仿宋_GB2312"/>
                <w:color w:val="000000"/>
                <w:sz w:val="24"/>
              </w:rPr>
            </w:pPr>
            <w:r>
              <w:rPr>
                <w:rFonts w:hint="eastAsia" w:eastAsia="仿宋_GB2312"/>
                <w:color w:val="000000"/>
                <w:sz w:val="24"/>
              </w:rPr>
              <w:t>广州保伦</w:t>
            </w:r>
          </w:p>
        </w:tc>
        <w:tc>
          <w:tcPr>
            <w:tcW w:w="0" w:type="auto"/>
            <w:shd w:val="clear" w:color="auto" w:fill="auto"/>
            <w:vAlign w:val="center"/>
          </w:tcPr>
          <w:p w14:paraId="4499343E">
            <w:pPr>
              <w:widowControl/>
              <w:jc w:val="center"/>
              <w:textAlignment w:val="center"/>
              <w:rPr>
                <w:rFonts w:eastAsia="仿宋_GB2312"/>
                <w:color w:val="000000"/>
                <w:sz w:val="24"/>
              </w:rPr>
            </w:pPr>
            <w:r>
              <w:rPr>
                <w:rFonts w:eastAsia="仿宋_GB2312"/>
                <w:color w:val="000000"/>
                <w:sz w:val="24"/>
              </w:rPr>
              <w:t>T-6700</w:t>
            </w:r>
          </w:p>
        </w:tc>
        <w:tc>
          <w:tcPr>
            <w:tcW w:w="0" w:type="auto"/>
            <w:shd w:val="clear" w:color="auto" w:fill="auto"/>
            <w:vAlign w:val="center"/>
          </w:tcPr>
          <w:p w14:paraId="038E1499">
            <w:pPr>
              <w:jc w:val="center"/>
              <w:rPr>
                <w:rFonts w:eastAsia="仿宋_GB2312"/>
                <w:color w:val="000000"/>
                <w:sz w:val="24"/>
              </w:rPr>
            </w:pPr>
            <w:r>
              <w:rPr>
                <w:rFonts w:hint="eastAsia" w:eastAsia="仿宋_GB2312"/>
                <w:color w:val="000000"/>
                <w:sz w:val="24"/>
              </w:rPr>
              <w:t>2017年</w:t>
            </w:r>
          </w:p>
        </w:tc>
        <w:tc>
          <w:tcPr>
            <w:tcW w:w="0" w:type="auto"/>
            <w:shd w:val="clear" w:color="auto" w:fill="auto"/>
            <w:vAlign w:val="center"/>
          </w:tcPr>
          <w:p w14:paraId="499A59CA">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西青区应急管理局</w:t>
            </w:r>
          </w:p>
        </w:tc>
        <w:tc>
          <w:tcPr>
            <w:tcW w:w="0" w:type="auto"/>
            <w:shd w:val="clear" w:color="auto" w:fill="auto"/>
            <w:vAlign w:val="center"/>
          </w:tcPr>
          <w:p w14:paraId="35CBCC68">
            <w:pPr>
              <w:pStyle w:val="93"/>
              <w:tabs>
                <w:tab w:val="left" w:pos="277"/>
              </w:tabs>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1</w:t>
            </w:r>
          </w:p>
        </w:tc>
        <w:tc>
          <w:tcPr>
            <w:tcW w:w="0" w:type="auto"/>
            <w:shd w:val="clear" w:color="auto" w:fill="auto"/>
            <w:vAlign w:val="center"/>
          </w:tcPr>
          <w:p w14:paraId="56CCDABC">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套</w:t>
            </w:r>
          </w:p>
        </w:tc>
        <w:tc>
          <w:tcPr>
            <w:tcW w:w="0" w:type="auto"/>
            <w:shd w:val="clear" w:color="auto" w:fill="auto"/>
            <w:vAlign w:val="center"/>
          </w:tcPr>
          <w:p w14:paraId="4317E313">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是</w:t>
            </w:r>
          </w:p>
        </w:tc>
      </w:tr>
      <w:tr w14:paraId="5BB83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trPr>
        <w:tc>
          <w:tcPr>
            <w:tcW w:w="0" w:type="auto"/>
            <w:shd w:val="clear" w:color="auto" w:fill="auto"/>
            <w:vAlign w:val="center"/>
          </w:tcPr>
          <w:p w14:paraId="6B2AFCEE">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5</w:t>
            </w:r>
          </w:p>
        </w:tc>
        <w:tc>
          <w:tcPr>
            <w:tcW w:w="0" w:type="auto"/>
            <w:shd w:val="clear" w:color="auto" w:fill="auto"/>
            <w:vAlign w:val="center"/>
          </w:tcPr>
          <w:p w14:paraId="5D0F74C8">
            <w:pPr>
              <w:widowControl/>
              <w:jc w:val="center"/>
              <w:textAlignment w:val="center"/>
              <w:rPr>
                <w:rFonts w:ascii="宋体" w:hAnsi="宋体"/>
                <w:sz w:val="24"/>
              </w:rPr>
            </w:pPr>
            <w:r>
              <w:rPr>
                <w:rFonts w:hint="eastAsia" w:ascii="宋体" w:hAnsi="宋体"/>
                <w:sz w:val="24"/>
              </w:rPr>
              <w:t>互联网</w:t>
            </w:r>
            <w:r>
              <w:rPr>
                <w:rFonts w:ascii="宋体" w:hAnsi="宋体"/>
                <w:sz w:val="24"/>
              </w:rPr>
              <w:t>视频平台</w:t>
            </w:r>
          </w:p>
        </w:tc>
        <w:tc>
          <w:tcPr>
            <w:tcW w:w="0" w:type="auto"/>
            <w:shd w:val="clear" w:color="auto" w:fill="auto"/>
            <w:vAlign w:val="center"/>
          </w:tcPr>
          <w:p w14:paraId="2DEF1557">
            <w:pPr>
              <w:widowControl/>
              <w:jc w:val="center"/>
              <w:textAlignment w:val="center"/>
              <w:rPr>
                <w:rFonts w:eastAsia="仿宋_GB2312"/>
                <w:color w:val="000000"/>
                <w:sz w:val="24"/>
              </w:rPr>
            </w:pPr>
            <w:r>
              <w:rPr>
                <w:rFonts w:hint="eastAsia" w:eastAsia="仿宋_GB2312"/>
                <w:color w:val="000000"/>
                <w:sz w:val="24"/>
              </w:rPr>
              <w:t>海康</w:t>
            </w:r>
          </w:p>
        </w:tc>
        <w:tc>
          <w:tcPr>
            <w:tcW w:w="0" w:type="auto"/>
            <w:shd w:val="clear" w:color="auto" w:fill="auto"/>
            <w:vAlign w:val="center"/>
          </w:tcPr>
          <w:p w14:paraId="65527A80">
            <w:pPr>
              <w:widowControl/>
              <w:jc w:val="center"/>
              <w:textAlignment w:val="center"/>
              <w:rPr>
                <w:rFonts w:eastAsia="仿宋_GB2312"/>
                <w:color w:val="000000"/>
                <w:sz w:val="24"/>
              </w:rPr>
            </w:pPr>
            <w:r>
              <w:rPr>
                <w:rFonts w:hint="eastAsia" w:eastAsia="仿宋_GB2312"/>
                <w:color w:val="000000"/>
                <w:sz w:val="24"/>
              </w:rPr>
              <w:t>iVMS</w:t>
            </w:r>
            <w:r>
              <w:rPr>
                <w:rFonts w:eastAsia="仿宋_GB2312"/>
                <w:color w:val="000000"/>
                <w:sz w:val="24"/>
              </w:rPr>
              <w:t>-9830</w:t>
            </w:r>
          </w:p>
        </w:tc>
        <w:tc>
          <w:tcPr>
            <w:tcW w:w="0" w:type="auto"/>
            <w:shd w:val="clear" w:color="auto" w:fill="auto"/>
            <w:vAlign w:val="center"/>
          </w:tcPr>
          <w:p w14:paraId="422E9507">
            <w:pPr>
              <w:jc w:val="center"/>
              <w:rPr>
                <w:rFonts w:eastAsia="仿宋_GB2312"/>
                <w:color w:val="000000"/>
                <w:sz w:val="24"/>
              </w:rPr>
            </w:pPr>
            <w:r>
              <w:rPr>
                <w:rFonts w:hint="eastAsia" w:eastAsia="仿宋_GB2312"/>
                <w:color w:val="000000"/>
                <w:sz w:val="24"/>
              </w:rPr>
              <w:t>2019年</w:t>
            </w:r>
          </w:p>
        </w:tc>
        <w:tc>
          <w:tcPr>
            <w:tcW w:w="0" w:type="auto"/>
            <w:shd w:val="clear" w:color="auto" w:fill="auto"/>
            <w:vAlign w:val="center"/>
          </w:tcPr>
          <w:p w14:paraId="585DB173">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西青区应急管理局</w:t>
            </w:r>
          </w:p>
        </w:tc>
        <w:tc>
          <w:tcPr>
            <w:tcW w:w="0" w:type="auto"/>
            <w:shd w:val="clear" w:color="auto" w:fill="auto"/>
            <w:vAlign w:val="center"/>
          </w:tcPr>
          <w:p w14:paraId="17A2DC37">
            <w:pPr>
              <w:pStyle w:val="93"/>
              <w:tabs>
                <w:tab w:val="left" w:pos="277"/>
              </w:tabs>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1</w:t>
            </w:r>
          </w:p>
        </w:tc>
        <w:tc>
          <w:tcPr>
            <w:tcW w:w="0" w:type="auto"/>
            <w:shd w:val="clear" w:color="auto" w:fill="auto"/>
            <w:vAlign w:val="center"/>
          </w:tcPr>
          <w:p w14:paraId="6ABE9AAD">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台</w:t>
            </w:r>
          </w:p>
        </w:tc>
        <w:tc>
          <w:tcPr>
            <w:tcW w:w="0" w:type="auto"/>
            <w:shd w:val="clear" w:color="auto" w:fill="auto"/>
            <w:vAlign w:val="center"/>
          </w:tcPr>
          <w:p w14:paraId="4F45E9B8">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是</w:t>
            </w:r>
          </w:p>
        </w:tc>
      </w:tr>
      <w:tr w14:paraId="1FAB6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shd w:val="clear" w:color="auto" w:fill="auto"/>
            <w:vAlign w:val="center"/>
          </w:tcPr>
          <w:p w14:paraId="63B36799">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6</w:t>
            </w:r>
          </w:p>
        </w:tc>
        <w:tc>
          <w:tcPr>
            <w:tcW w:w="0" w:type="auto"/>
            <w:shd w:val="clear" w:color="auto" w:fill="auto"/>
            <w:vAlign w:val="center"/>
          </w:tcPr>
          <w:p w14:paraId="405AC9A4">
            <w:pPr>
              <w:widowControl/>
              <w:jc w:val="center"/>
              <w:textAlignment w:val="center"/>
              <w:rPr>
                <w:rFonts w:ascii="宋体" w:hAnsi="宋体"/>
                <w:sz w:val="24"/>
              </w:rPr>
            </w:pPr>
            <w:r>
              <w:rPr>
                <w:rFonts w:hint="eastAsia" w:ascii="宋体" w:hAnsi="宋体"/>
                <w:sz w:val="24"/>
              </w:rPr>
              <w:t>视频</w:t>
            </w:r>
            <w:r>
              <w:rPr>
                <w:rFonts w:ascii="宋体" w:hAnsi="宋体"/>
                <w:sz w:val="24"/>
              </w:rPr>
              <w:t>存储服务器（</w:t>
            </w:r>
            <w:r>
              <w:rPr>
                <w:rFonts w:hint="eastAsia" w:ascii="宋体" w:hAnsi="宋体"/>
                <w:sz w:val="24"/>
              </w:rPr>
              <w:t>含硬盘</w:t>
            </w:r>
            <w:r>
              <w:rPr>
                <w:rFonts w:ascii="宋体" w:hAnsi="宋体"/>
                <w:sz w:val="24"/>
              </w:rPr>
              <w:t>）</w:t>
            </w:r>
          </w:p>
        </w:tc>
        <w:tc>
          <w:tcPr>
            <w:tcW w:w="0" w:type="auto"/>
            <w:shd w:val="clear" w:color="auto" w:fill="auto"/>
            <w:vAlign w:val="center"/>
          </w:tcPr>
          <w:p w14:paraId="5821FC62">
            <w:pPr>
              <w:widowControl/>
              <w:jc w:val="center"/>
              <w:textAlignment w:val="center"/>
              <w:rPr>
                <w:rFonts w:eastAsia="仿宋_GB2312"/>
                <w:color w:val="000000"/>
                <w:sz w:val="24"/>
              </w:rPr>
            </w:pPr>
            <w:r>
              <w:rPr>
                <w:rFonts w:hint="eastAsia" w:eastAsia="仿宋_GB2312"/>
                <w:color w:val="000000"/>
                <w:sz w:val="24"/>
              </w:rPr>
              <w:t>海康</w:t>
            </w:r>
          </w:p>
        </w:tc>
        <w:tc>
          <w:tcPr>
            <w:tcW w:w="0" w:type="auto"/>
            <w:shd w:val="clear" w:color="auto" w:fill="auto"/>
            <w:vAlign w:val="center"/>
          </w:tcPr>
          <w:p w14:paraId="52E434F6">
            <w:pPr>
              <w:widowControl/>
              <w:jc w:val="center"/>
              <w:textAlignment w:val="center"/>
              <w:rPr>
                <w:rFonts w:eastAsia="仿宋_GB2312"/>
                <w:color w:val="000000"/>
                <w:sz w:val="24"/>
              </w:rPr>
            </w:pPr>
            <w:r>
              <w:rPr>
                <w:rFonts w:hint="eastAsia" w:eastAsia="仿宋_GB2312"/>
                <w:color w:val="000000"/>
                <w:sz w:val="24"/>
              </w:rPr>
              <w:t>DS-</w:t>
            </w:r>
            <w:r>
              <w:rPr>
                <w:rFonts w:eastAsia="仿宋_GB2312"/>
                <w:color w:val="000000"/>
                <w:sz w:val="24"/>
              </w:rPr>
              <w:t>A82024D</w:t>
            </w:r>
          </w:p>
        </w:tc>
        <w:tc>
          <w:tcPr>
            <w:tcW w:w="0" w:type="auto"/>
            <w:shd w:val="clear" w:color="auto" w:fill="auto"/>
            <w:vAlign w:val="center"/>
          </w:tcPr>
          <w:p w14:paraId="007B677F">
            <w:pPr>
              <w:jc w:val="center"/>
              <w:rPr>
                <w:rFonts w:eastAsia="仿宋_GB2312"/>
                <w:color w:val="000000"/>
                <w:sz w:val="24"/>
              </w:rPr>
            </w:pPr>
            <w:r>
              <w:rPr>
                <w:rFonts w:hint="eastAsia" w:eastAsia="仿宋_GB2312"/>
                <w:color w:val="000000"/>
                <w:sz w:val="24"/>
              </w:rPr>
              <w:t>2019年</w:t>
            </w:r>
          </w:p>
        </w:tc>
        <w:tc>
          <w:tcPr>
            <w:tcW w:w="0" w:type="auto"/>
            <w:shd w:val="clear" w:color="auto" w:fill="auto"/>
            <w:vAlign w:val="center"/>
          </w:tcPr>
          <w:p w14:paraId="6993920A">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西青区应急管理局</w:t>
            </w:r>
          </w:p>
        </w:tc>
        <w:tc>
          <w:tcPr>
            <w:tcW w:w="0" w:type="auto"/>
            <w:shd w:val="clear" w:color="auto" w:fill="auto"/>
            <w:vAlign w:val="center"/>
          </w:tcPr>
          <w:p w14:paraId="17453785">
            <w:pPr>
              <w:pStyle w:val="93"/>
              <w:tabs>
                <w:tab w:val="left" w:pos="277"/>
              </w:tabs>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1</w:t>
            </w:r>
          </w:p>
        </w:tc>
        <w:tc>
          <w:tcPr>
            <w:tcW w:w="0" w:type="auto"/>
            <w:shd w:val="clear" w:color="auto" w:fill="auto"/>
            <w:vAlign w:val="center"/>
          </w:tcPr>
          <w:p w14:paraId="675720F7">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台</w:t>
            </w:r>
          </w:p>
        </w:tc>
        <w:tc>
          <w:tcPr>
            <w:tcW w:w="0" w:type="auto"/>
            <w:shd w:val="clear" w:color="auto" w:fill="auto"/>
            <w:vAlign w:val="center"/>
          </w:tcPr>
          <w:p w14:paraId="48713881">
            <w:pPr>
              <w:pStyle w:val="93"/>
              <w:ind w:firstLine="0" w:firstLineChars="0"/>
              <w:jc w:val="center"/>
              <w:rPr>
                <w:rFonts w:ascii="Times New Roman" w:hAnsi="Times New Roman" w:eastAsia="仿宋_GB2312"/>
                <w:color w:val="000000"/>
                <w:szCs w:val="24"/>
                <w:lang w:val="en-US"/>
              </w:rPr>
            </w:pPr>
            <w:r>
              <w:rPr>
                <w:rFonts w:hint="eastAsia" w:ascii="Times New Roman" w:hAnsi="Times New Roman" w:eastAsia="仿宋_GB2312"/>
                <w:color w:val="000000"/>
                <w:szCs w:val="24"/>
                <w:lang w:val="en-US"/>
              </w:rPr>
              <w:t>是</w:t>
            </w:r>
          </w:p>
        </w:tc>
      </w:tr>
    </w:tbl>
    <w:p w14:paraId="37B21030">
      <w:pPr>
        <w:pStyle w:val="93"/>
        <w:ind w:firstLine="0" w:firstLineChars="0"/>
        <w:rPr>
          <w:rFonts w:ascii="Times New Roman" w:hAnsi="Times New Roman" w:eastAsia="仿宋_GB2312"/>
          <w:sz w:val="32"/>
          <w:szCs w:val="32"/>
          <w:lang w:val="en-US"/>
        </w:rPr>
      </w:pPr>
      <w:r>
        <w:rPr>
          <w:rFonts w:hint="eastAsia" w:ascii="Times New Roman" w:hAnsi="Times New Roman" w:eastAsia="仿宋_GB2312"/>
          <w:sz w:val="32"/>
          <w:szCs w:val="32"/>
          <w:lang w:val="en-US"/>
        </w:rPr>
        <w:t>附件2 安防网</w:t>
      </w:r>
      <w:r>
        <w:rPr>
          <w:rFonts w:ascii="Times New Roman" w:hAnsi="Times New Roman" w:eastAsia="仿宋_GB2312"/>
          <w:sz w:val="32"/>
          <w:szCs w:val="32"/>
          <w:lang w:val="en-US"/>
        </w:rPr>
        <w:t>联网企业名单</w:t>
      </w:r>
    </w:p>
    <w:tbl>
      <w:tblPr>
        <w:tblStyle w:val="17"/>
        <w:tblW w:w="8755"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2"/>
        <w:gridCol w:w="5005"/>
        <w:gridCol w:w="1559"/>
        <w:gridCol w:w="1559"/>
      </w:tblGrid>
      <w:tr w14:paraId="3275C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center"/>
          </w:tcPr>
          <w:p w14:paraId="49125CF2">
            <w:pPr>
              <w:widowControl/>
              <w:spacing w:line="360" w:lineRule="auto"/>
              <w:jc w:val="center"/>
              <w:rPr>
                <w:rFonts w:ascii="宋体" w:hAnsi="宋体" w:cs="宋体"/>
                <w:color w:val="000000"/>
                <w:kern w:val="0"/>
                <w:sz w:val="24"/>
              </w:rPr>
            </w:pPr>
            <w:r>
              <w:rPr>
                <w:rFonts w:hint="eastAsia" w:ascii="宋体" w:hAnsi="宋体" w:cs="宋体"/>
                <w:color w:val="000000"/>
                <w:kern w:val="0"/>
                <w:sz w:val="24"/>
              </w:rPr>
              <w:t>序号</w:t>
            </w:r>
          </w:p>
        </w:tc>
        <w:tc>
          <w:tcPr>
            <w:tcW w:w="5005" w:type="dxa"/>
            <w:noWrap/>
            <w:vAlign w:val="center"/>
          </w:tcPr>
          <w:p w14:paraId="359647D1">
            <w:pPr>
              <w:widowControl/>
              <w:spacing w:line="360" w:lineRule="auto"/>
              <w:jc w:val="center"/>
              <w:rPr>
                <w:rFonts w:ascii="宋体" w:hAnsi="宋体" w:cs="宋体"/>
                <w:color w:val="000000"/>
                <w:kern w:val="0"/>
                <w:sz w:val="24"/>
              </w:rPr>
            </w:pPr>
            <w:r>
              <w:rPr>
                <w:rFonts w:hint="eastAsia" w:ascii="宋体" w:hAnsi="宋体" w:cs="宋体"/>
                <w:color w:val="000000"/>
                <w:kern w:val="0"/>
                <w:sz w:val="24"/>
              </w:rPr>
              <w:t>名称</w:t>
            </w:r>
          </w:p>
        </w:tc>
        <w:tc>
          <w:tcPr>
            <w:tcW w:w="1559" w:type="dxa"/>
            <w:noWrap/>
            <w:vAlign w:val="center"/>
          </w:tcPr>
          <w:p w14:paraId="563CE10E">
            <w:pPr>
              <w:widowControl/>
              <w:spacing w:line="360" w:lineRule="auto"/>
              <w:jc w:val="center"/>
              <w:rPr>
                <w:rFonts w:ascii="宋体" w:hAnsi="宋体" w:cs="宋体"/>
                <w:color w:val="000000"/>
                <w:kern w:val="0"/>
                <w:sz w:val="24"/>
              </w:rPr>
            </w:pPr>
            <w:r>
              <w:rPr>
                <w:rFonts w:hint="eastAsia" w:ascii="宋体" w:hAnsi="宋体" w:cs="宋体"/>
                <w:color w:val="000000"/>
                <w:kern w:val="0"/>
                <w:sz w:val="24"/>
              </w:rPr>
              <w:t>物联网主机台数</w:t>
            </w:r>
          </w:p>
        </w:tc>
        <w:tc>
          <w:tcPr>
            <w:tcW w:w="1559" w:type="dxa"/>
          </w:tcPr>
          <w:p w14:paraId="108327A7">
            <w:pPr>
              <w:widowControl/>
              <w:spacing w:line="360" w:lineRule="auto"/>
              <w:jc w:val="center"/>
              <w:rPr>
                <w:rFonts w:ascii="宋体" w:hAnsi="宋体" w:cs="宋体"/>
                <w:color w:val="000000"/>
                <w:kern w:val="0"/>
                <w:sz w:val="24"/>
              </w:rPr>
            </w:pPr>
            <w:r>
              <w:rPr>
                <w:rFonts w:hint="eastAsia" w:ascii="宋体" w:hAnsi="宋体" w:cs="宋体"/>
                <w:color w:val="000000"/>
                <w:kern w:val="0"/>
                <w:sz w:val="24"/>
              </w:rPr>
              <w:t>ITC对讲设备台数</w:t>
            </w:r>
          </w:p>
        </w:tc>
      </w:tr>
      <w:tr w14:paraId="07098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2A502F1A">
            <w:pPr>
              <w:jc w:val="center"/>
              <w:rPr>
                <w:rFonts w:eastAsia="仿宋_GB2312"/>
                <w:szCs w:val="21"/>
              </w:rPr>
            </w:pPr>
            <w:r>
              <w:rPr>
                <w:rFonts w:hint="eastAsia" w:eastAsia="仿宋_GB2312"/>
                <w:szCs w:val="21"/>
              </w:rPr>
              <w:t>1</w:t>
            </w:r>
          </w:p>
        </w:tc>
        <w:tc>
          <w:tcPr>
            <w:tcW w:w="5005" w:type="dxa"/>
            <w:noWrap/>
            <w:vAlign w:val="center"/>
          </w:tcPr>
          <w:p w14:paraId="32E80124">
            <w:pPr>
              <w:widowControl/>
              <w:spacing w:line="360" w:lineRule="auto"/>
              <w:jc w:val="center"/>
              <w:rPr>
                <w:rFonts w:eastAsia="仿宋_GB2312"/>
                <w:color w:val="000000"/>
                <w:kern w:val="0"/>
                <w:szCs w:val="21"/>
              </w:rPr>
            </w:pPr>
            <w:r>
              <w:rPr>
                <w:rFonts w:eastAsia="仿宋_GB2312"/>
                <w:color w:val="000000"/>
                <w:kern w:val="0"/>
                <w:szCs w:val="21"/>
              </w:rPr>
              <w:t>西青区应急管理局</w:t>
            </w:r>
          </w:p>
        </w:tc>
        <w:tc>
          <w:tcPr>
            <w:tcW w:w="1559" w:type="dxa"/>
            <w:noWrap/>
            <w:vAlign w:val="center"/>
          </w:tcPr>
          <w:p w14:paraId="3418611F">
            <w:pPr>
              <w:widowControl/>
              <w:spacing w:line="360" w:lineRule="auto"/>
              <w:jc w:val="center"/>
              <w:rPr>
                <w:rFonts w:eastAsia="仿宋_GB2312"/>
                <w:color w:val="000000"/>
                <w:kern w:val="0"/>
                <w:szCs w:val="21"/>
              </w:rPr>
            </w:pPr>
            <w:r>
              <w:rPr>
                <w:rFonts w:hint="eastAsia" w:eastAsia="仿宋_GB2312"/>
                <w:color w:val="000000"/>
                <w:kern w:val="0"/>
                <w:szCs w:val="21"/>
              </w:rPr>
              <w:t>0</w:t>
            </w:r>
          </w:p>
        </w:tc>
        <w:tc>
          <w:tcPr>
            <w:tcW w:w="1559" w:type="dxa"/>
          </w:tcPr>
          <w:p w14:paraId="254B8380">
            <w:pPr>
              <w:widowControl/>
              <w:spacing w:line="360" w:lineRule="auto"/>
              <w:jc w:val="center"/>
              <w:rPr>
                <w:rFonts w:eastAsia="仿宋_GB2312"/>
                <w:color w:val="000000"/>
                <w:kern w:val="0"/>
                <w:szCs w:val="21"/>
              </w:rPr>
            </w:pPr>
            <w:r>
              <w:rPr>
                <w:rFonts w:eastAsia="仿宋_GB2312"/>
                <w:color w:val="000000"/>
                <w:kern w:val="0"/>
                <w:szCs w:val="21"/>
              </w:rPr>
              <w:t>1</w:t>
            </w:r>
          </w:p>
        </w:tc>
      </w:tr>
      <w:tr w14:paraId="460A9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082CBC16">
            <w:pPr>
              <w:jc w:val="center"/>
              <w:rPr>
                <w:rFonts w:eastAsia="仿宋_GB2312"/>
                <w:szCs w:val="21"/>
              </w:rPr>
            </w:pPr>
            <w:r>
              <w:rPr>
                <w:rFonts w:hint="eastAsia" w:eastAsia="仿宋_GB2312"/>
                <w:szCs w:val="21"/>
              </w:rPr>
              <w:t>2</w:t>
            </w:r>
          </w:p>
        </w:tc>
        <w:tc>
          <w:tcPr>
            <w:tcW w:w="5005" w:type="dxa"/>
            <w:vAlign w:val="center"/>
          </w:tcPr>
          <w:p w14:paraId="27D8F0B3">
            <w:pPr>
              <w:widowControl/>
              <w:spacing w:line="360" w:lineRule="auto"/>
              <w:jc w:val="center"/>
              <w:rPr>
                <w:rFonts w:eastAsia="仿宋_GB2312"/>
                <w:color w:val="000000"/>
                <w:kern w:val="0"/>
                <w:szCs w:val="21"/>
              </w:rPr>
            </w:pPr>
            <w:r>
              <w:rPr>
                <w:rFonts w:hint="eastAsia" w:eastAsia="仿宋_GB2312"/>
                <w:color w:val="000000"/>
                <w:kern w:val="0"/>
                <w:szCs w:val="21"/>
              </w:rPr>
              <w:t>天津市凯丰化工有限公司</w:t>
            </w:r>
          </w:p>
        </w:tc>
        <w:tc>
          <w:tcPr>
            <w:tcW w:w="1559" w:type="dxa"/>
            <w:noWrap/>
            <w:vAlign w:val="center"/>
          </w:tcPr>
          <w:p w14:paraId="2833167C">
            <w:pPr>
              <w:jc w:val="center"/>
              <w:rPr>
                <w:rFonts w:eastAsia="仿宋_GB2312"/>
                <w:color w:val="000000"/>
                <w:szCs w:val="21"/>
              </w:rPr>
            </w:pPr>
            <w:r>
              <w:rPr>
                <w:rFonts w:hint="eastAsia" w:eastAsia="仿宋_GB2312"/>
                <w:color w:val="000000"/>
                <w:szCs w:val="21"/>
              </w:rPr>
              <w:t>1</w:t>
            </w:r>
          </w:p>
        </w:tc>
        <w:tc>
          <w:tcPr>
            <w:tcW w:w="1559" w:type="dxa"/>
          </w:tcPr>
          <w:p w14:paraId="71CFA2FA">
            <w:pPr>
              <w:jc w:val="center"/>
              <w:rPr>
                <w:rFonts w:eastAsia="仿宋_GB2312"/>
                <w:color w:val="000000"/>
                <w:szCs w:val="21"/>
              </w:rPr>
            </w:pPr>
            <w:r>
              <w:rPr>
                <w:rFonts w:eastAsia="仿宋_GB2312"/>
                <w:color w:val="000000"/>
                <w:szCs w:val="21"/>
              </w:rPr>
              <w:t>1</w:t>
            </w:r>
          </w:p>
        </w:tc>
      </w:tr>
      <w:tr w14:paraId="0BCD0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55016BEA">
            <w:pPr>
              <w:jc w:val="center"/>
              <w:rPr>
                <w:rFonts w:eastAsia="仿宋_GB2312"/>
                <w:szCs w:val="21"/>
              </w:rPr>
            </w:pPr>
            <w:r>
              <w:rPr>
                <w:rFonts w:hint="eastAsia" w:eastAsia="仿宋_GB2312"/>
                <w:szCs w:val="21"/>
              </w:rPr>
              <w:t>3</w:t>
            </w:r>
          </w:p>
        </w:tc>
        <w:tc>
          <w:tcPr>
            <w:tcW w:w="5005" w:type="dxa"/>
            <w:vAlign w:val="center"/>
          </w:tcPr>
          <w:p w14:paraId="6CB86C66">
            <w:pPr>
              <w:widowControl/>
              <w:spacing w:line="360" w:lineRule="auto"/>
              <w:jc w:val="center"/>
              <w:rPr>
                <w:rFonts w:eastAsia="仿宋_GB2312"/>
                <w:color w:val="000000"/>
                <w:kern w:val="0"/>
                <w:szCs w:val="21"/>
              </w:rPr>
            </w:pPr>
            <w:r>
              <w:rPr>
                <w:rFonts w:hint="eastAsia" w:eastAsia="仿宋_GB2312"/>
                <w:color w:val="000000"/>
                <w:kern w:val="0"/>
                <w:szCs w:val="21"/>
              </w:rPr>
              <w:t>天津市郁峰化工有限公司</w:t>
            </w:r>
          </w:p>
        </w:tc>
        <w:tc>
          <w:tcPr>
            <w:tcW w:w="1559" w:type="dxa"/>
            <w:noWrap/>
          </w:tcPr>
          <w:p w14:paraId="4622FB94">
            <w:pPr>
              <w:jc w:val="center"/>
            </w:pPr>
            <w:r>
              <w:rPr>
                <w:rFonts w:hint="eastAsia" w:eastAsia="仿宋_GB2312"/>
                <w:color w:val="000000"/>
                <w:szCs w:val="21"/>
              </w:rPr>
              <w:t>1</w:t>
            </w:r>
          </w:p>
        </w:tc>
        <w:tc>
          <w:tcPr>
            <w:tcW w:w="1559" w:type="dxa"/>
          </w:tcPr>
          <w:p w14:paraId="63C249AA">
            <w:pPr>
              <w:jc w:val="center"/>
              <w:rPr>
                <w:rFonts w:eastAsia="仿宋_GB2312"/>
                <w:color w:val="000000"/>
                <w:szCs w:val="21"/>
              </w:rPr>
            </w:pPr>
            <w:r>
              <w:rPr>
                <w:rFonts w:eastAsia="仿宋_GB2312"/>
                <w:color w:val="000000"/>
                <w:szCs w:val="21"/>
              </w:rPr>
              <w:t>1</w:t>
            </w:r>
          </w:p>
        </w:tc>
      </w:tr>
      <w:tr w14:paraId="7A398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059CB22B">
            <w:pPr>
              <w:jc w:val="center"/>
              <w:rPr>
                <w:rFonts w:eastAsia="仿宋_GB2312"/>
                <w:szCs w:val="21"/>
              </w:rPr>
            </w:pPr>
            <w:r>
              <w:rPr>
                <w:rFonts w:hint="eastAsia" w:eastAsia="仿宋_GB2312"/>
                <w:szCs w:val="21"/>
              </w:rPr>
              <w:t>4</w:t>
            </w:r>
          </w:p>
        </w:tc>
        <w:tc>
          <w:tcPr>
            <w:tcW w:w="5005" w:type="dxa"/>
            <w:vAlign w:val="center"/>
          </w:tcPr>
          <w:p w14:paraId="274EC065">
            <w:pPr>
              <w:widowControl/>
              <w:spacing w:line="360" w:lineRule="auto"/>
              <w:jc w:val="center"/>
              <w:rPr>
                <w:rFonts w:eastAsia="仿宋_GB2312"/>
                <w:color w:val="000000"/>
                <w:kern w:val="0"/>
                <w:szCs w:val="21"/>
              </w:rPr>
            </w:pPr>
            <w:r>
              <w:rPr>
                <w:rFonts w:hint="eastAsia" w:eastAsia="仿宋_GB2312"/>
                <w:color w:val="000000"/>
                <w:kern w:val="0"/>
                <w:szCs w:val="21"/>
              </w:rPr>
              <w:t>天津市鑫泽精细化工有限责任公司</w:t>
            </w:r>
          </w:p>
        </w:tc>
        <w:tc>
          <w:tcPr>
            <w:tcW w:w="1559" w:type="dxa"/>
            <w:noWrap/>
          </w:tcPr>
          <w:p w14:paraId="02007EBE">
            <w:pPr>
              <w:jc w:val="center"/>
            </w:pPr>
            <w:r>
              <w:rPr>
                <w:rFonts w:hint="eastAsia" w:eastAsia="仿宋_GB2312"/>
                <w:color w:val="000000"/>
                <w:szCs w:val="21"/>
              </w:rPr>
              <w:t>1</w:t>
            </w:r>
          </w:p>
        </w:tc>
        <w:tc>
          <w:tcPr>
            <w:tcW w:w="1559" w:type="dxa"/>
          </w:tcPr>
          <w:p w14:paraId="446A07E6">
            <w:pPr>
              <w:jc w:val="center"/>
              <w:rPr>
                <w:rFonts w:eastAsia="仿宋_GB2312"/>
                <w:color w:val="000000"/>
                <w:szCs w:val="21"/>
              </w:rPr>
            </w:pPr>
            <w:r>
              <w:rPr>
                <w:rFonts w:eastAsia="仿宋_GB2312"/>
                <w:color w:val="000000"/>
                <w:szCs w:val="21"/>
              </w:rPr>
              <w:t>1</w:t>
            </w:r>
          </w:p>
        </w:tc>
      </w:tr>
      <w:tr w14:paraId="79822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06A44DC8">
            <w:pPr>
              <w:jc w:val="center"/>
              <w:rPr>
                <w:rFonts w:eastAsia="仿宋_GB2312"/>
                <w:szCs w:val="21"/>
              </w:rPr>
            </w:pPr>
            <w:r>
              <w:rPr>
                <w:rFonts w:hint="eastAsia" w:eastAsia="仿宋_GB2312"/>
                <w:szCs w:val="21"/>
              </w:rPr>
              <w:t>5</w:t>
            </w:r>
          </w:p>
        </w:tc>
        <w:tc>
          <w:tcPr>
            <w:tcW w:w="5005" w:type="dxa"/>
            <w:vAlign w:val="center"/>
          </w:tcPr>
          <w:p w14:paraId="428D30F3">
            <w:pPr>
              <w:widowControl/>
              <w:spacing w:line="360" w:lineRule="auto"/>
              <w:jc w:val="center"/>
              <w:rPr>
                <w:rFonts w:eastAsia="仿宋_GB2312"/>
                <w:color w:val="000000"/>
                <w:kern w:val="0"/>
                <w:szCs w:val="21"/>
              </w:rPr>
            </w:pPr>
            <w:r>
              <w:rPr>
                <w:rFonts w:hint="eastAsia" w:eastAsia="仿宋_GB2312"/>
                <w:color w:val="000000"/>
                <w:kern w:val="0"/>
                <w:szCs w:val="21"/>
              </w:rPr>
              <w:t>天津东洋油墨有限公司</w:t>
            </w:r>
          </w:p>
        </w:tc>
        <w:tc>
          <w:tcPr>
            <w:tcW w:w="1559" w:type="dxa"/>
            <w:noWrap/>
          </w:tcPr>
          <w:p w14:paraId="6715CB92">
            <w:pPr>
              <w:jc w:val="center"/>
            </w:pPr>
            <w:r>
              <w:rPr>
                <w:rFonts w:hint="eastAsia" w:eastAsia="仿宋_GB2312"/>
                <w:color w:val="000000"/>
                <w:szCs w:val="21"/>
              </w:rPr>
              <w:t>1</w:t>
            </w:r>
          </w:p>
        </w:tc>
        <w:tc>
          <w:tcPr>
            <w:tcW w:w="1559" w:type="dxa"/>
          </w:tcPr>
          <w:p w14:paraId="078475DD">
            <w:pPr>
              <w:jc w:val="center"/>
              <w:rPr>
                <w:rFonts w:eastAsia="仿宋_GB2312"/>
                <w:color w:val="000000"/>
                <w:szCs w:val="21"/>
              </w:rPr>
            </w:pPr>
            <w:r>
              <w:rPr>
                <w:rFonts w:eastAsia="仿宋_GB2312"/>
                <w:color w:val="000000"/>
                <w:szCs w:val="21"/>
              </w:rPr>
              <w:t>1</w:t>
            </w:r>
          </w:p>
        </w:tc>
      </w:tr>
      <w:tr w14:paraId="084BA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66A39DD9">
            <w:pPr>
              <w:jc w:val="center"/>
              <w:rPr>
                <w:rFonts w:eastAsia="仿宋_GB2312"/>
                <w:szCs w:val="21"/>
              </w:rPr>
            </w:pPr>
            <w:r>
              <w:rPr>
                <w:rFonts w:hint="eastAsia" w:eastAsia="仿宋_GB2312"/>
                <w:szCs w:val="21"/>
              </w:rPr>
              <w:t>6</w:t>
            </w:r>
          </w:p>
        </w:tc>
        <w:tc>
          <w:tcPr>
            <w:tcW w:w="5005" w:type="dxa"/>
            <w:vAlign w:val="center"/>
          </w:tcPr>
          <w:p w14:paraId="0FB48D2D">
            <w:pPr>
              <w:widowControl/>
              <w:spacing w:line="360" w:lineRule="auto"/>
              <w:jc w:val="center"/>
              <w:rPr>
                <w:rFonts w:eastAsia="仿宋_GB2312"/>
                <w:color w:val="000000"/>
                <w:kern w:val="0"/>
                <w:szCs w:val="21"/>
              </w:rPr>
            </w:pPr>
            <w:r>
              <w:rPr>
                <w:rFonts w:hint="eastAsia" w:eastAsia="仿宋_GB2312"/>
                <w:color w:val="000000"/>
                <w:kern w:val="0"/>
                <w:szCs w:val="21"/>
              </w:rPr>
              <w:t>空气化工产品（天津）有限公司</w:t>
            </w:r>
          </w:p>
        </w:tc>
        <w:tc>
          <w:tcPr>
            <w:tcW w:w="1559" w:type="dxa"/>
            <w:noWrap/>
          </w:tcPr>
          <w:p w14:paraId="6D4B3DA4">
            <w:pPr>
              <w:jc w:val="center"/>
            </w:pPr>
            <w:r>
              <w:rPr>
                <w:rFonts w:hint="eastAsia" w:eastAsia="仿宋_GB2312"/>
                <w:color w:val="000000"/>
                <w:szCs w:val="21"/>
              </w:rPr>
              <w:t>1</w:t>
            </w:r>
          </w:p>
        </w:tc>
        <w:tc>
          <w:tcPr>
            <w:tcW w:w="1559" w:type="dxa"/>
          </w:tcPr>
          <w:p w14:paraId="12D2EDAD">
            <w:pPr>
              <w:jc w:val="center"/>
              <w:rPr>
                <w:rFonts w:eastAsia="仿宋_GB2312"/>
                <w:color w:val="000000"/>
                <w:szCs w:val="21"/>
              </w:rPr>
            </w:pPr>
            <w:r>
              <w:rPr>
                <w:rFonts w:eastAsia="仿宋_GB2312"/>
                <w:color w:val="000000"/>
                <w:szCs w:val="21"/>
              </w:rPr>
              <w:t>1</w:t>
            </w:r>
          </w:p>
        </w:tc>
      </w:tr>
      <w:tr w14:paraId="7707E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7331FF0A">
            <w:pPr>
              <w:jc w:val="center"/>
              <w:rPr>
                <w:rFonts w:eastAsia="仿宋_GB2312"/>
                <w:szCs w:val="21"/>
              </w:rPr>
            </w:pPr>
            <w:r>
              <w:rPr>
                <w:rFonts w:hint="eastAsia" w:eastAsia="仿宋_GB2312"/>
                <w:szCs w:val="21"/>
              </w:rPr>
              <w:t>7</w:t>
            </w:r>
          </w:p>
        </w:tc>
        <w:tc>
          <w:tcPr>
            <w:tcW w:w="5005" w:type="dxa"/>
            <w:vAlign w:val="center"/>
          </w:tcPr>
          <w:p w14:paraId="4ABD7D3A">
            <w:pPr>
              <w:widowControl/>
              <w:spacing w:line="360" w:lineRule="auto"/>
              <w:jc w:val="center"/>
              <w:rPr>
                <w:rFonts w:eastAsia="仿宋_GB2312"/>
                <w:color w:val="000000"/>
                <w:kern w:val="0"/>
                <w:szCs w:val="21"/>
              </w:rPr>
            </w:pPr>
            <w:r>
              <w:rPr>
                <w:rFonts w:hint="eastAsia" w:eastAsia="仿宋_GB2312"/>
                <w:color w:val="000000"/>
                <w:kern w:val="0"/>
                <w:szCs w:val="21"/>
              </w:rPr>
              <w:t>天津市永大化学试剂有限公司</w:t>
            </w:r>
          </w:p>
        </w:tc>
        <w:tc>
          <w:tcPr>
            <w:tcW w:w="1559" w:type="dxa"/>
            <w:noWrap/>
          </w:tcPr>
          <w:p w14:paraId="1AFA75D6">
            <w:pPr>
              <w:jc w:val="center"/>
            </w:pPr>
            <w:r>
              <w:rPr>
                <w:rFonts w:hint="eastAsia" w:eastAsia="仿宋_GB2312"/>
                <w:color w:val="000000"/>
                <w:szCs w:val="21"/>
              </w:rPr>
              <w:t>1</w:t>
            </w:r>
          </w:p>
        </w:tc>
        <w:tc>
          <w:tcPr>
            <w:tcW w:w="1559" w:type="dxa"/>
          </w:tcPr>
          <w:p w14:paraId="2E44C6D9">
            <w:pPr>
              <w:jc w:val="center"/>
              <w:rPr>
                <w:rFonts w:eastAsia="仿宋_GB2312"/>
                <w:color w:val="000000"/>
                <w:szCs w:val="21"/>
              </w:rPr>
            </w:pPr>
            <w:r>
              <w:rPr>
                <w:rFonts w:eastAsia="仿宋_GB2312"/>
                <w:color w:val="000000"/>
                <w:szCs w:val="21"/>
              </w:rPr>
              <w:t>1</w:t>
            </w:r>
          </w:p>
        </w:tc>
      </w:tr>
      <w:tr w14:paraId="18806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75E3B46B">
            <w:pPr>
              <w:jc w:val="center"/>
              <w:rPr>
                <w:rFonts w:eastAsia="仿宋_GB2312"/>
                <w:szCs w:val="21"/>
              </w:rPr>
            </w:pPr>
            <w:r>
              <w:rPr>
                <w:rFonts w:hint="eastAsia" w:eastAsia="仿宋_GB2312"/>
                <w:szCs w:val="21"/>
              </w:rPr>
              <w:t>8</w:t>
            </w:r>
          </w:p>
        </w:tc>
        <w:tc>
          <w:tcPr>
            <w:tcW w:w="5005" w:type="dxa"/>
            <w:vAlign w:val="center"/>
          </w:tcPr>
          <w:p w14:paraId="2EB04831">
            <w:pPr>
              <w:widowControl/>
              <w:spacing w:line="360" w:lineRule="auto"/>
              <w:jc w:val="center"/>
              <w:rPr>
                <w:rFonts w:eastAsia="仿宋_GB2312"/>
                <w:color w:val="000000"/>
                <w:kern w:val="0"/>
                <w:szCs w:val="21"/>
              </w:rPr>
            </w:pPr>
            <w:r>
              <w:rPr>
                <w:rFonts w:hint="eastAsia" w:eastAsia="仿宋_GB2312"/>
                <w:color w:val="000000"/>
                <w:kern w:val="0"/>
                <w:szCs w:val="21"/>
              </w:rPr>
              <w:t>天津武藏涂料有限公司</w:t>
            </w:r>
          </w:p>
        </w:tc>
        <w:tc>
          <w:tcPr>
            <w:tcW w:w="1559" w:type="dxa"/>
            <w:noWrap/>
          </w:tcPr>
          <w:p w14:paraId="228B3986">
            <w:pPr>
              <w:jc w:val="center"/>
            </w:pPr>
            <w:r>
              <w:rPr>
                <w:rFonts w:hint="eastAsia" w:eastAsia="仿宋_GB2312"/>
                <w:color w:val="000000"/>
                <w:szCs w:val="21"/>
              </w:rPr>
              <w:t>1</w:t>
            </w:r>
          </w:p>
        </w:tc>
        <w:tc>
          <w:tcPr>
            <w:tcW w:w="1559" w:type="dxa"/>
          </w:tcPr>
          <w:p w14:paraId="58273147">
            <w:pPr>
              <w:jc w:val="center"/>
              <w:rPr>
                <w:rFonts w:eastAsia="仿宋_GB2312"/>
                <w:color w:val="000000"/>
                <w:szCs w:val="21"/>
              </w:rPr>
            </w:pPr>
            <w:r>
              <w:rPr>
                <w:rFonts w:eastAsia="仿宋_GB2312"/>
                <w:color w:val="000000"/>
                <w:szCs w:val="21"/>
              </w:rPr>
              <w:t>1</w:t>
            </w:r>
          </w:p>
        </w:tc>
      </w:tr>
      <w:tr w14:paraId="1B814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1133804B">
            <w:pPr>
              <w:jc w:val="center"/>
              <w:rPr>
                <w:rFonts w:eastAsia="仿宋_GB2312"/>
                <w:szCs w:val="21"/>
              </w:rPr>
            </w:pPr>
            <w:r>
              <w:rPr>
                <w:rFonts w:hint="eastAsia" w:eastAsia="仿宋_GB2312"/>
                <w:szCs w:val="21"/>
              </w:rPr>
              <w:t>9</w:t>
            </w:r>
          </w:p>
        </w:tc>
        <w:tc>
          <w:tcPr>
            <w:tcW w:w="5005" w:type="dxa"/>
            <w:vAlign w:val="center"/>
          </w:tcPr>
          <w:p w14:paraId="03AF9B1B">
            <w:pPr>
              <w:widowControl/>
              <w:spacing w:line="360" w:lineRule="auto"/>
              <w:jc w:val="center"/>
              <w:rPr>
                <w:rFonts w:eastAsia="仿宋_GB2312"/>
                <w:color w:val="000000"/>
                <w:kern w:val="0"/>
                <w:szCs w:val="21"/>
              </w:rPr>
            </w:pPr>
            <w:r>
              <w:rPr>
                <w:rFonts w:hint="eastAsia" w:eastAsia="仿宋_GB2312"/>
                <w:color w:val="000000"/>
                <w:kern w:val="0"/>
                <w:szCs w:val="21"/>
              </w:rPr>
              <w:t>天津市新丽华色材有限责任公司</w:t>
            </w:r>
          </w:p>
        </w:tc>
        <w:tc>
          <w:tcPr>
            <w:tcW w:w="1559" w:type="dxa"/>
            <w:noWrap/>
          </w:tcPr>
          <w:p w14:paraId="02CDB200">
            <w:pPr>
              <w:jc w:val="center"/>
            </w:pPr>
            <w:r>
              <w:rPr>
                <w:rFonts w:hint="eastAsia" w:eastAsia="仿宋_GB2312"/>
                <w:color w:val="000000"/>
                <w:szCs w:val="21"/>
              </w:rPr>
              <w:t>1</w:t>
            </w:r>
          </w:p>
        </w:tc>
        <w:tc>
          <w:tcPr>
            <w:tcW w:w="1559" w:type="dxa"/>
          </w:tcPr>
          <w:p w14:paraId="7B91B890">
            <w:pPr>
              <w:jc w:val="center"/>
              <w:rPr>
                <w:rFonts w:eastAsia="仿宋_GB2312"/>
                <w:color w:val="000000"/>
                <w:szCs w:val="21"/>
              </w:rPr>
            </w:pPr>
            <w:r>
              <w:rPr>
                <w:rFonts w:eastAsia="仿宋_GB2312"/>
                <w:color w:val="000000"/>
                <w:szCs w:val="21"/>
              </w:rPr>
              <w:t>1</w:t>
            </w:r>
          </w:p>
        </w:tc>
      </w:tr>
      <w:tr w14:paraId="4A89A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04AD1F53">
            <w:pPr>
              <w:jc w:val="center"/>
              <w:rPr>
                <w:rFonts w:eastAsia="仿宋_GB2312"/>
                <w:szCs w:val="21"/>
              </w:rPr>
            </w:pPr>
            <w:r>
              <w:rPr>
                <w:rFonts w:hint="eastAsia" w:eastAsia="仿宋_GB2312"/>
                <w:szCs w:val="21"/>
              </w:rPr>
              <w:t>10</w:t>
            </w:r>
          </w:p>
        </w:tc>
        <w:tc>
          <w:tcPr>
            <w:tcW w:w="5005" w:type="dxa"/>
            <w:vAlign w:val="center"/>
          </w:tcPr>
          <w:p w14:paraId="0C32AF1D">
            <w:pPr>
              <w:widowControl/>
              <w:spacing w:line="360" w:lineRule="auto"/>
              <w:jc w:val="center"/>
              <w:rPr>
                <w:rFonts w:eastAsia="仿宋_GB2312"/>
                <w:color w:val="000000"/>
                <w:kern w:val="0"/>
                <w:szCs w:val="21"/>
              </w:rPr>
            </w:pPr>
            <w:r>
              <w:rPr>
                <w:rFonts w:hint="eastAsia" w:eastAsia="仿宋_GB2312"/>
                <w:color w:val="000000"/>
                <w:kern w:val="0"/>
                <w:szCs w:val="21"/>
              </w:rPr>
              <w:t>密尔克卫（天津）供应链科技有限公司</w:t>
            </w:r>
          </w:p>
        </w:tc>
        <w:tc>
          <w:tcPr>
            <w:tcW w:w="1559" w:type="dxa"/>
            <w:noWrap/>
          </w:tcPr>
          <w:p w14:paraId="2C4E2551">
            <w:pPr>
              <w:jc w:val="center"/>
            </w:pPr>
            <w:r>
              <w:rPr>
                <w:rFonts w:hint="eastAsia" w:eastAsia="仿宋_GB2312"/>
                <w:color w:val="000000"/>
                <w:szCs w:val="21"/>
              </w:rPr>
              <w:t>1</w:t>
            </w:r>
          </w:p>
        </w:tc>
        <w:tc>
          <w:tcPr>
            <w:tcW w:w="1559" w:type="dxa"/>
          </w:tcPr>
          <w:p w14:paraId="0FB196EF">
            <w:pPr>
              <w:jc w:val="center"/>
              <w:rPr>
                <w:rFonts w:eastAsia="仿宋_GB2312"/>
                <w:color w:val="000000"/>
                <w:szCs w:val="21"/>
              </w:rPr>
            </w:pPr>
            <w:r>
              <w:rPr>
                <w:rFonts w:eastAsia="仿宋_GB2312"/>
                <w:color w:val="000000"/>
                <w:szCs w:val="21"/>
              </w:rPr>
              <w:t>2</w:t>
            </w:r>
          </w:p>
        </w:tc>
      </w:tr>
      <w:tr w14:paraId="5E27E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6BD56CA7">
            <w:pPr>
              <w:jc w:val="center"/>
              <w:rPr>
                <w:rFonts w:eastAsia="仿宋_GB2312"/>
                <w:szCs w:val="21"/>
              </w:rPr>
            </w:pPr>
            <w:r>
              <w:rPr>
                <w:rFonts w:hint="eastAsia" w:eastAsia="仿宋_GB2312"/>
                <w:szCs w:val="21"/>
              </w:rPr>
              <w:t>11</w:t>
            </w:r>
          </w:p>
        </w:tc>
        <w:tc>
          <w:tcPr>
            <w:tcW w:w="5005" w:type="dxa"/>
            <w:vAlign w:val="center"/>
          </w:tcPr>
          <w:p w14:paraId="488C0A94">
            <w:pPr>
              <w:widowControl/>
              <w:spacing w:line="360" w:lineRule="auto"/>
              <w:jc w:val="center"/>
              <w:rPr>
                <w:rFonts w:eastAsia="仿宋_GB2312"/>
                <w:color w:val="000000"/>
                <w:kern w:val="0"/>
                <w:szCs w:val="21"/>
              </w:rPr>
            </w:pPr>
            <w:r>
              <w:rPr>
                <w:rFonts w:hint="eastAsia" w:eastAsia="仿宋_GB2312"/>
                <w:color w:val="000000"/>
                <w:kern w:val="0"/>
                <w:szCs w:val="21"/>
              </w:rPr>
              <w:t>天津市鑫源化工有限公司</w:t>
            </w:r>
          </w:p>
        </w:tc>
        <w:tc>
          <w:tcPr>
            <w:tcW w:w="1559" w:type="dxa"/>
            <w:noWrap/>
          </w:tcPr>
          <w:p w14:paraId="7CD285DC">
            <w:pPr>
              <w:jc w:val="center"/>
            </w:pPr>
            <w:r>
              <w:rPr>
                <w:rFonts w:hint="eastAsia" w:eastAsia="仿宋_GB2312"/>
                <w:color w:val="000000"/>
                <w:szCs w:val="21"/>
              </w:rPr>
              <w:t>1</w:t>
            </w:r>
          </w:p>
        </w:tc>
        <w:tc>
          <w:tcPr>
            <w:tcW w:w="1559" w:type="dxa"/>
          </w:tcPr>
          <w:p w14:paraId="17FDF365">
            <w:pPr>
              <w:jc w:val="center"/>
              <w:rPr>
                <w:rFonts w:eastAsia="仿宋_GB2312"/>
                <w:color w:val="000000"/>
                <w:szCs w:val="21"/>
              </w:rPr>
            </w:pPr>
            <w:r>
              <w:rPr>
                <w:rFonts w:eastAsia="仿宋_GB2312"/>
                <w:color w:val="000000"/>
                <w:szCs w:val="21"/>
              </w:rPr>
              <w:t>1</w:t>
            </w:r>
          </w:p>
        </w:tc>
      </w:tr>
      <w:tr w14:paraId="706D7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4D826E3E">
            <w:pPr>
              <w:jc w:val="center"/>
              <w:rPr>
                <w:rFonts w:eastAsia="仿宋_GB2312"/>
                <w:szCs w:val="21"/>
              </w:rPr>
            </w:pPr>
            <w:r>
              <w:rPr>
                <w:rFonts w:hint="eastAsia" w:eastAsia="仿宋_GB2312"/>
                <w:szCs w:val="21"/>
              </w:rPr>
              <w:t>12</w:t>
            </w:r>
          </w:p>
        </w:tc>
        <w:tc>
          <w:tcPr>
            <w:tcW w:w="5005" w:type="dxa"/>
            <w:vAlign w:val="center"/>
          </w:tcPr>
          <w:p w14:paraId="5B09BC9A">
            <w:pPr>
              <w:widowControl/>
              <w:spacing w:line="360" w:lineRule="auto"/>
              <w:jc w:val="center"/>
              <w:rPr>
                <w:rFonts w:eastAsia="仿宋_GB2312"/>
                <w:color w:val="000000"/>
                <w:kern w:val="0"/>
                <w:szCs w:val="21"/>
              </w:rPr>
            </w:pPr>
            <w:r>
              <w:rPr>
                <w:rFonts w:hint="eastAsia" w:eastAsia="仿宋_GB2312"/>
                <w:color w:val="000000"/>
                <w:kern w:val="0"/>
                <w:szCs w:val="21"/>
              </w:rPr>
              <w:t>天津市泰源工业气体有限公司</w:t>
            </w:r>
          </w:p>
        </w:tc>
        <w:tc>
          <w:tcPr>
            <w:tcW w:w="1559" w:type="dxa"/>
            <w:noWrap/>
          </w:tcPr>
          <w:p w14:paraId="2DCD17A9">
            <w:pPr>
              <w:jc w:val="center"/>
            </w:pPr>
            <w:r>
              <w:rPr>
                <w:rFonts w:hint="eastAsia" w:eastAsia="仿宋_GB2312"/>
                <w:color w:val="000000"/>
                <w:szCs w:val="21"/>
              </w:rPr>
              <w:t>1</w:t>
            </w:r>
          </w:p>
        </w:tc>
        <w:tc>
          <w:tcPr>
            <w:tcW w:w="1559" w:type="dxa"/>
          </w:tcPr>
          <w:p w14:paraId="7A280547">
            <w:pPr>
              <w:jc w:val="center"/>
              <w:rPr>
                <w:rFonts w:eastAsia="仿宋_GB2312"/>
                <w:color w:val="000000"/>
                <w:szCs w:val="21"/>
              </w:rPr>
            </w:pPr>
            <w:r>
              <w:rPr>
                <w:rFonts w:eastAsia="仿宋_GB2312"/>
                <w:color w:val="000000"/>
                <w:szCs w:val="21"/>
              </w:rPr>
              <w:t>1</w:t>
            </w:r>
          </w:p>
        </w:tc>
      </w:tr>
      <w:tr w14:paraId="4F0DD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5FBFEA91">
            <w:pPr>
              <w:jc w:val="center"/>
              <w:rPr>
                <w:rFonts w:eastAsia="仿宋_GB2312"/>
                <w:szCs w:val="21"/>
              </w:rPr>
            </w:pPr>
            <w:r>
              <w:rPr>
                <w:rFonts w:hint="eastAsia" w:eastAsia="仿宋_GB2312"/>
                <w:szCs w:val="21"/>
              </w:rPr>
              <w:t>13</w:t>
            </w:r>
          </w:p>
        </w:tc>
        <w:tc>
          <w:tcPr>
            <w:tcW w:w="5005" w:type="dxa"/>
            <w:vAlign w:val="center"/>
          </w:tcPr>
          <w:p w14:paraId="2520326A">
            <w:pPr>
              <w:widowControl/>
              <w:spacing w:line="360" w:lineRule="auto"/>
              <w:jc w:val="center"/>
              <w:rPr>
                <w:rFonts w:eastAsia="仿宋_GB2312"/>
                <w:color w:val="000000"/>
                <w:kern w:val="0"/>
                <w:szCs w:val="21"/>
              </w:rPr>
            </w:pPr>
            <w:r>
              <w:rPr>
                <w:rFonts w:hint="eastAsia" w:eastAsia="仿宋_GB2312"/>
                <w:color w:val="000000"/>
                <w:kern w:val="0"/>
                <w:szCs w:val="21"/>
              </w:rPr>
              <w:t>天津市金瑞达表面技术有限公司</w:t>
            </w:r>
          </w:p>
        </w:tc>
        <w:tc>
          <w:tcPr>
            <w:tcW w:w="1559" w:type="dxa"/>
            <w:noWrap/>
          </w:tcPr>
          <w:p w14:paraId="10BFDAE1">
            <w:pPr>
              <w:jc w:val="center"/>
            </w:pPr>
            <w:r>
              <w:rPr>
                <w:rFonts w:hint="eastAsia" w:eastAsia="仿宋_GB2312"/>
                <w:color w:val="000000"/>
                <w:szCs w:val="21"/>
              </w:rPr>
              <w:t>1</w:t>
            </w:r>
          </w:p>
        </w:tc>
        <w:tc>
          <w:tcPr>
            <w:tcW w:w="1559" w:type="dxa"/>
          </w:tcPr>
          <w:p w14:paraId="172279F7">
            <w:pPr>
              <w:jc w:val="center"/>
              <w:rPr>
                <w:rFonts w:eastAsia="仿宋_GB2312"/>
                <w:color w:val="000000"/>
                <w:szCs w:val="21"/>
              </w:rPr>
            </w:pPr>
            <w:r>
              <w:rPr>
                <w:rFonts w:eastAsia="仿宋_GB2312"/>
                <w:color w:val="000000"/>
                <w:szCs w:val="21"/>
              </w:rPr>
              <w:t>1</w:t>
            </w:r>
          </w:p>
        </w:tc>
      </w:tr>
      <w:tr w14:paraId="635D5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313EB52E">
            <w:pPr>
              <w:jc w:val="center"/>
              <w:rPr>
                <w:rFonts w:eastAsia="仿宋_GB2312"/>
                <w:szCs w:val="21"/>
              </w:rPr>
            </w:pPr>
            <w:r>
              <w:rPr>
                <w:rFonts w:hint="eastAsia" w:eastAsia="仿宋_GB2312"/>
                <w:szCs w:val="21"/>
              </w:rPr>
              <w:t>14</w:t>
            </w:r>
          </w:p>
        </w:tc>
        <w:tc>
          <w:tcPr>
            <w:tcW w:w="5005" w:type="dxa"/>
            <w:vAlign w:val="center"/>
          </w:tcPr>
          <w:p w14:paraId="42FC0F37">
            <w:pPr>
              <w:widowControl/>
              <w:spacing w:line="360" w:lineRule="auto"/>
              <w:jc w:val="center"/>
              <w:rPr>
                <w:rFonts w:eastAsia="仿宋_GB2312"/>
                <w:color w:val="000000"/>
                <w:kern w:val="0"/>
                <w:szCs w:val="21"/>
              </w:rPr>
            </w:pPr>
            <w:r>
              <w:rPr>
                <w:rFonts w:hint="eastAsia" w:eastAsia="仿宋_GB2312"/>
                <w:color w:val="000000"/>
                <w:kern w:val="0"/>
                <w:szCs w:val="21"/>
              </w:rPr>
              <w:t>天津市安兴工业气体有限公司</w:t>
            </w:r>
          </w:p>
        </w:tc>
        <w:tc>
          <w:tcPr>
            <w:tcW w:w="1559" w:type="dxa"/>
            <w:noWrap/>
          </w:tcPr>
          <w:p w14:paraId="3878B98D">
            <w:pPr>
              <w:jc w:val="center"/>
            </w:pPr>
            <w:r>
              <w:rPr>
                <w:rFonts w:hint="eastAsia" w:eastAsia="仿宋_GB2312"/>
                <w:color w:val="000000"/>
                <w:szCs w:val="21"/>
              </w:rPr>
              <w:t>1</w:t>
            </w:r>
          </w:p>
        </w:tc>
        <w:tc>
          <w:tcPr>
            <w:tcW w:w="1559" w:type="dxa"/>
          </w:tcPr>
          <w:p w14:paraId="0E31BDDC">
            <w:pPr>
              <w:jc w:val="center"/>
              <w:rPr>
                <w:rFonts w:eastAsia="仿宋_GB2312"/>
                <w:color w:val="000000"/>
                <w:szCs w:val="21"/>
              </w:rPr>
            </w:pPr>
            <w:r>
              <w:rPr>
                <w:rFonts w:eastAsia="仿宋_GB2312"/>
                <w:color w:val="000000"/>
                <w:szCs w:val="21"/>
              </w:rPr>
              <w:t>1</w:t>
            </w:r>
          </w:p>
        </w:tc>
      </w:tr>
      <w:tr w14:paraId="24592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1056576C">
            <w:pPr>
              <w:jc w:val="center"/>
              <w:rPr>
                <w:rFonts w:eastAsia="仿宋_GB2312"/>
                <w:szCs w:val="21"/>
              </w:rPr>
            </w:pPr>
            <w:r>
              <w:rPr>
                <w:rFonts w:hint="eastAsia" w:eastAsia="仿宋_GB2312"/>
                <w:szCs w:val="21"/>
              </w:rPr>
              <w:t>15</w:t>
            </w:r>
          </w:p>
        </w:tc>
        <w:tc>
          <w:tcPr>
            <w:tcW w:w="5005" w:type="dxa"/>
            <w:vAlign w:val="center"/>
          </w:tcPr>
          <w:p w14:paraId="5D7BF790">
            <w:pPr>
              <w:widowControl/>
              <w:spacing w:line="360" w:lineRule="auto"/>
              <w:jc w:val="center"/>
              <w:rPr>
                <w:rFonts w:eastAsia="仿宋_GB2312"/>
                <w:color w:val="000000"/>
                <w:kern w:val="0"/>
                <w:szCs w:val="21"/>
              </w:rPr>
            </w:pPr>
            <w:r>
              <w:rPr>
                <w:rFonts w:hint="eastAsia" w:eastAsia="仿宋_GB2312"/>
                <w:color w:val="000000"/>
                <w:kern w:val="0"/>
                <w:szCs w:val="21"/>
              </w:rPr>
              <w:t>天津市西青区昌盛气体供应站</w:t>
            </w:r>
          </w:p>
        </w:tc>
        <w:tc>
          <w:tcPr>
            <w:tcW w:w="1559" w:type="dxa"/>
            <w:noWrap/>
          </w:tcPr>
          <w:p w14:paraId="2C1E2E5B">
            <w:pPr>
              <w:jc w:val="center"/>
            </w:pPr>
            <w:r>
              <w:rPr>
                <w:rFonts w:hint="eastAsia" w:eastAsia="仿宋_GB2312"/>
                <w:color w:val="000000"/>
                <w:szCs w:val="21"/>
              </w:rPr>
              <w:t>1</w:t>
            </w:r>
          </w:p>
        </w:tc>
        <w:tc>
          <w:tcPr>
            <w:tcW w:w="1559" w:type="dxa"/>
          </w:tcPr>
          <w:p w14:paraId="34AE5572">
            <w:pPr>
              <w:jc w:val="center"/>
              <w:rPr>
                <w:rFonts w:eastAsia="仿宋_GB2312"/>
                <w:color w:val="000000"/>
                <w:szCs w:val="21"/>
              </w:rPr>
            </w:pPr>
            <w:r>
              <w:rPr>
                <w:rFonts w:eastAsia="仿宋_GB2312"/>
                <w:color w:val="000000"/>
                <w:szCs w:val="21"/>
              </w:rPr>
              <w:t>1</w:t>
            </w:r>
          </w:p>
        </w:tc>
      </w:tr>
      <w:tr w14:paraId="347CA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788E2CE8">
            <w:pPr>
              <w:jc w:val="center"/>
              <w:rPr>
                <w:rFonts w:eastAsia="仿宋_GB2312"/>
                <w:szCs w:val="21"/>
              </w:rPr>
            </w:pPr>
            <w:r>
              <w:rPr>
                <w:rFonts w:hint="eastAsia" w:eastAsia="仿宋_GB2312"/>
                <w:szCs w:val="21"/>
              </w:rPr>
              <w:t>16</w:t>
            </w:r>
          </w:p>
        </w:tc>
        <w:tc>
          <w:tcPr>
            <w:tcW w:w="5005" w:type="dxa"/>
            <w:vAlign w:val="center"/>
          </w:tcPr>
          <w:p w14:paraId="60718C15">
            <w:pPr>
              <w:widowControl/>
              <w:spacing w:line="360" w:lineRule="auto"/>
              <w:jc w:val="center"/>
              <w:rPr>
                <w:rFonts w:eastAsia="仿宋_GB2312"/>
                <w:color w:val="000000"/>
                <w:kern w:val="0"/>
                <w:szCs w:val="21"/>
              </w:rPr>
            </w:pPr>
            <w:r>
              <w:rPr>
                <w:rFonts w:hint="eastAsia" w:eastAsia="仿宋_GB2312"/>
                <w:color w:val="000000"/>
                <w:kern w:val="0"/>
                <w:szCs w:val="21"/>
              </w:rPr>
              <w:t>天津力生制药股份有限公司</w:t>
            </w:r>
          </w:p>
        </w:tc>
        <w:tc>
          <w:tcPr>
            <w:tcW w:w="1559" w:type="dxa"/>
            <w:noWrap/>
          </w:tcPr>
          <w:p w14:paraId="7E515D0E">
            <w:pPr>
              <w:jc w:val="center"/>
            </w:pPr>
            <w:r>
              <w:rPr>
                <w:rFonts w:hint="eastAsia" w:eastAsia="仿宋_GB2312"/>
                <w:color w:val="000000"/>
                <w:szCs w:val="21"/>
              </w:rPr>
              <w:t>1</w:t>
            </w:r>
          </w:p>
        </w:tc>
        <w:tc>
          <w:tcPr>
            <w:tcW w:w="1559" w:type="dxa"/>
          </w:tcPr>
          <w:p w14:paraId="06FB7786">
            <w:pPr>
              <w:jc w:val="center"/>
              <w:rPr>
                <w:rFonts w:eastAsia="仿宋_GB2312"/>
                <w:color w:val="000000"/>
                <w:szCs w:val="21"/>
              </w:rPr>
            </w:pPr>
            <w:r>
              <w:rPr>
                <w:rFonts w:eastAsia="仿宋_GB2312"/>
                <w:color w:val="000000"/>
                <w:szCs w:val="21"/>
              </w:rPr>
              <w:t>1</w:t>
            </w:r>
          </w:p>
        </w:tc>
      </w:tr>
      <w:tr w14:paraId="0590A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4A629A6E">
            <w:pPr>
              <w:jc w:val="center"/>
              <w:rPr>
                <w:rFonts w:eastAsia="仿宋_GB2312"/>
                <w:szCs w:val="21"/>
              </w:rPr>
            </w:pPr>
            <w:r>
              <w:rPr>
                <w:rFonts w:hint="eastAsia" w:eastAsia="仿宋_GB2312"/>
                <w:szCs w:val="21"/>
              </w:rPr>
              <w:t>17</w:t>
            </w:r>
          </w:p>
        </w:tc>
        <w:tc>
          <w:tcPr>
            <w:tcW w:w="5005" w:type="dxa"/>
            <w:vAlign w:val="center"/>
          </w:tcPr>
          <w:p w14:paraId="5A2D91C0">
            <w:pPr>
              <w:widowControl/>
              <w:spacing w:line="360" w:lineRule="auto"/>
              <w:jc w:val="center"/>
              <w:rPr>
                <w:rFonts w:eastAsia="仿宋_GB2312"/>
                <w:color w:val="000000"/>
                <w:kern w:val="0"/>
                <w:szCs w:val="21"/>
              </w:rPr>
            </w:pPr>
            <w:r>
              <w:rPr>
                <w:rFonts w:hint="eastAsia" w:eastAsia="仿宋_GB2312"/>
                <w:color w:val="000000"/>
                <w:kern w:val="0"/>
                <w:szCs w:val="21"/>
              </w:rPr>
              <w:t>天津金汇药业有限公司</w:t>
            </w:r>
          </w:p>
        </w:tc>
        <w:tc>
          <w:tcPr>
            <w:tcW w:w="1559" w:type="dxa"/>
            <w:noWrap/>
          </w:tcPr>
          <w:p w14:paraId="442F083F">
            <w:pPr>
              <w:jc w:val="center"/>
            </w:pPr>
            <w:r>
              <w:rPr>
                <w:rFonts w:hint="eastAsia" w:eastAsia="仿宋_GB2312"/>
                <w:color w:val="000000"/>
                <w:szCs w:val="21"/>
              </w:rPr>
              <w:t>1</w:t>
            </w:r>
          </w:p>
        </w:tc>
        <w:tc>
          <w:tcPr>
            <w:tcW w:w="1559" w:type="dxa"/>
          </w:tcPr>
          <w:p w14:paraId="39E9C990">
            <w:pPr>
              <w:jc w:val="center"/>
              <w:rPr>
                <w:rFonts w:eastAsia="仿宋_GB2312"/>
                <w:color w:val="000000"/>
                <w:szCs w:val="21"/>
              </w:rPr>
            </w:pPr>
            <w:r>
              <w:rPr>
                <w:rFonts w:eastAsia="仿宋_GB2312"/>
                <w:color w:val="000000"/>
                <w:szCs w:val="21"/>
              </w:rPr>
              <w:t>1</w:t>
            </w:r>
          </w:p>
        </w:tc>
      </w:tr>
      <w:tr w14:paraId="7FE92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4C832602">
            <w:pPr>
              <w:jc w:val="center"/>
              <w:rPr>
                <w:rFonts w:eastAsia="仿宋_GB2312"/>
                <w:szCs w:val="21"/>
              </w:rPr>
            </w:pPr>
            <w:r>
              <w:rPr>
                <w:rFonts w:hint="eastAsia" w:eastAsia="仿宋_GB2312"/>
                <w:szCs w:val="21"/>
              </w:rPr>
              <w:t>18</w:t>
            </w:r>
          </w:p>
        </w:tc>
        <w:tc>
          <w:tcPr>
            <w:tcW w:w="5005" w:type="dxa"/>
            <w:vAlign w:val="center"/>
          </w:tcPr>
          <w:p w14:paraId="4E67671B">
            <w:pPr>
              <w:widowControl/>
              <w:spacing w:line="360" w:lineRule="auto"/>
              <w:jc w:val="center"/>
              <w:rPr>
                <w:rFonts w:eastAsia="仿宋_GB2312"/>
                <w:color w:val="000000"/>
                <w:kern w:val="0"/>
                <w:szCs w:val="21"/>
              </w:rPr>
            </w:pPr>
            <w:r>
              <w:rPr>
                <w:rFonts w:hint="eastAsia" w:eastAsia="仿宋_GB2312"/>
                <w:color w:val="000000"/>
                <w:kern w:val="0"/>
                <w:szCs w:val="21"/>
              </w:rPr>
              <w:t>天津信宜津津药业有限公司</w:t>
            </w:r>
          </w:p>
        </w:tc>
        <w:tc>
          <w:tcPr>
            <w:tcW w:w="1559" w:type="dxa"/>
            <w:noWrap/>
          </w:tcPr>
          <w:p w14:paraId="776C1D6C">
            <w:pPr>
              <w:jc w:val="center"/>
            </w:pPr>
            <w:r>
              <w:rPr>
                <w:rFonts w:hint="eastAsia" w:eastAsia="仿宋_GB2312"/>
                <w:color w:val="000000"/>
                <w:szCs w:val="21"/>
              </w:rPr>
              <w:t>1</w:t>
            </w:r>
          </w:p>
        </w:tc>
        <w:tc>
          <w:tcPr>
            <w:tcW w:w="1559" w:type="dxa"/>
          </w:tcPr>
          <w:p w14:paraId="4833E461">
            <w:pPr>
              <w:widowControl/>
              <w:spacing w:line="360" w:lineRule="auto"/>
              <w:jc w:val="center"/>
              <w:rPr>
                <w:rFonts w:eastAsia="仿宋_GB2312"/>
                <w:color w:val="000000"/>
                <w:szCs w:val="21"/>
              </w:rPr>
            </w:pPr>
            <w:r>
              <w:rPr>
                <w:rFonts w:eastAsia="仿宋_GB2312"/>
                <w:color w:val="000000"/>
                <w:szCs w:val="21"/>
              </w:rPr>
              <w:t>1</w:t>
            </w:r>
          </w:p>
        </w:tc>
      </w:tr>
      <w:tr w14:paraId="04055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1FC52388">
            <w:pPr>
              <w:jc w:val="center"/>
              <w:rPr>
                <w:rFonts w:eastAsia="仿宋_GB2312"/>
                <w:szCs w:val="21"/>
              </w:rPr>
            </w:pPr>
            <w:r>
              <w:rPr>
                <w:rFonts w:hint="eastAsia" w:eastAsia="仿宋_GB2312"/>
                <w:szCs w:val="21"/>
              </w:rPr>
              <w:t>19</w:t>
            </w:r>
          </w:p>
        </w:tc>
        <w:tc>
          <w:tcPr>
            <w:tcW w:w="5005" w:type="dxa"/>
            <w:vAlign w:val="center"/>
          </w:tcPr>
          <w:p w14:paraId="00D3FA91">
            <w:pPr>
              <w:widowControl/>
              <w:jc w:val="center"/>
              <w:rPr>
                <w:rFonts w:eastAsia="仿宋_GB2312"/>
                <w:kern w:val="0"/>
                <w:szCs w:val="21"/>
              </w:rPr>
            </w:pPr>
            <w:r>
              <w:rPr>
                <w:rFonts w:hint="eastAsia" w:eastAsia="仿宋_GB2312"/>
                <w:kern w:val="0"/>
                <w:szCs w:val="21"/>
              </w:rPr>
              <w:t>中化道达尔燃油有限公司天津津涞路加油站</w:t>
            </w:r>
          </w:p>
        </w:tc>
        <w:tc>
          <w:tcPr>
            <w:tcW w:w="1559" w:type="dxa"/>
            <w:noWrap/>
          </w:tcPr>
          <w:p w14:paraId="75B6894E">
            <w:pPr>
              <w:jc w:val="center"/>
            </w:pPr>
            <w:r>
              <w:rPr>
                <w:rFonts w:hint="eastAsia" w:eastAsia="仿宋_GB2312"/>
                <w:color w:val="000000"/>
                <w:szCs w:val="21"/>
              </w:rPr>
              <w:t>1</w:t>
            </w:r>
          </w:p>
        </w:tc>
        <w:tc>
          <w:tcPr>
            <w:tcW w:w="1559" w:type="dxa"/>
          </w:tcPr>
          <w:p w14:paraId="6E0BBFF1">
            <w:pPr>
              <w:widowControl/>
              <w:spacing w:line="360" w:lineRule="auto"/>
              <w:jc w:val="center"/>
              <w:rPr>
                <w:rFonts w:eastAsia="仿宋_GB2312"/>
                <w:color w:val="000000"/>
                <w:szCs w:val="21"/>
              </w:rPr>
            </w:pPr>
            <w:r>
              <w:rPr>
                <w:rFonts w:eastAsia="仿宋_GB2312"/>
                <w:color w:val="000000"/>
                <w:szCs w:val="21"/>
              </w:rPr>
              <w:t>1</w:t>
            </w:r>
          </w:p>
        </w:tc>
      </w:tr>
      <w:tr w14:paraId="098AE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220D59D4">
            <w:pPr>
              <w:jc w:val="center"/>
              <w:rPr>
                <w:rFonts w:eastAsia="仿宋_GB2312"/>
                <w:szCs w:val="21"/>
              </w:rPr>
            </w:pPr>
            <w:r>
              <w:rPr>
                <w:rFonts w:hint="eastAsia" w:eastAsia="仿宋_GB2312"/>
                <w:szCs w:val="21"/>
              </w:rPr>
              <w:t>20</w:t>
            </w:r>
          </w:p>
        </w:tc>
        <w:tc>
          <w:tcPr>
            <w:tcW w:w="5005" w:type="dxa"/>
            <w:vAlign w:val="center"/>
          </w:tcPr>
          <w:p w14:paraId="25FF64E1">
            <w:pPr>
              <w:jc w:val="center"/>
              <w:rPr>
                <w:rFonts w:eastAsia="仿宋_GB2312"/>
                <w:kern w:val="0"/>
                <w:szCs w:val="21"/>
              </w:rPr>
            </w:pPr>
            <w:r>
              <w:rPr>
                <w:rFonts w:hint="eastAsia" w:eastAsia="仿宋_GB2312"/>
                <w:kern w:val="0"/>
                <w:szCs w:val="21"/>
              </w:rPr>
              <w:t>中化道达尔燃油有限公司天津中北加油站</w:t>
            </w:r>
          </w:p>
        </w:tc>
        <w:tc>
          <w:tcPr>
            <w:tcW w:w="1559" w:type="dxa"/>
            <w:noWrap/>
          </w:tcPr>
          <w:p w14:paraId="6683A5E7">
            <w:pPr>
              <w:jc w:val="center"/>
            </w:pPr>
            <w:r>
              <w:rPr>
                <w:rFonts w:hint="eastAsia" w:eastAsia="仿宋_GB2312"/>
                <w:color w:val="000000"/>
                <w:szCs w:val="21"/>
              </w:rPr>
              <w:t>1</w:t>
            </w:r>
          </w:p>
        </w:tc>
        <w:tc>
          <w:tcPr>
            <w:tcW w:w="1559" w:type="dxa"/>
          </w:tcPr>
          <w:p w14:paraId="32FD11FB">
            <w:pPr>
              <w:widowControl/>
              <w:spacing w:line="360" w:lineRule="auto"/>
              <w:jc w:val="center"/>
              <w:rPr>
                <w:rFonts w:eastAsia="仿宋_GB2312"/>
                <w:color w:val="FF0000"/>
                <w:szCs w:val="21"/>
              </w:rPr>
            </w:pPr>
            <w:r>
              <w:rPr>
                <w:rFonts w:eastAsia="仿宋_GB2312"/>
                <w:color w:val="FF0000"/>
                <w:szCs w:val="21"/>
              </w:rPr>
              <w:t>1</w:t>
            </w:r>
          </w:p>
        </w:tc>
      </w:tr>
      <w:tr w14:paraId="28AD8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54185813">
            <w:pPr>
              <w:jc w:val="center"/>
              <w:rPr>
                <w:rFonts w:eastAsia="仿宋_GB2312"/>
                <w:szCs w:val="21"/>
              </w:rPr>
            </w:pPr>
            <w:r>
              <w:rPr>
                <w:rFonts w:hint="eastAsia" w:eastAsia="仿宋_GB2312"/>
                <w:szCs w:val="21"/>
              </w:rPr>
              <w:t>21</w:t>
            </w:r>
          </w:p>
        </w:tc>
        <w:tc>
          <w:tcPr>
            <w:tcW w:w="5005" w:type="dxa"/>
            <w:vAlign w:val="center"/>
          </w:tcPr>
          <w:p w14:paraId="3BF1854B">
            <w:pPr>
              <w:jc w:val="center"/>
              <w:rPr>
                <w:rFonts w:eastAsia="仿宋_GB2312"/>
                <w:kern w:val="0"/>
                <w:szCs w:val="21"/>
              </w:rPr>
            </w:pPr>
            <w:r>
              <w:rPr>
                <w:rFonts w:hint="eastAsia" w:eastAsia="仿宋_GB2312"/>
                <w:kern w:val="0"/>
                <w:szCs w:val="21"/>
              </w:rPr>
              <w:t>中节能（天津）能源发展有限公司西青第一分公司</w:t>
            </w:r>
          </w:p>
        </w:tc>
        <w:tc>
          <w:tcPr>
            <w:tcW w:w="1559" w:type="dxa"/>
            <w:noWrap/>
          </w:tcPr>
          <w:p w14:paraId="632CC426">
            <w:pPr>
              <w:jc w:val="center"/>
            </w:pPr>
            <w:r>
              <w:rPr>
                <w:rFonts w:hint="eastAsia" w:eastAsia="仿宋_GB2312"/>
                <w:color w:val="000000"/>
                <w:szCs w:val="21"/>
              </w:rPr>
              <w:t>1</w:t>
            </w:r>
          </w:p>
        </w:tc>
        <w:tc>
          <w:tcPr>
            <w:tcW w:w="1559" w:type="dxa"/>
          </w:tcPr>
          <w:p w14:paraId="6E663E0F">
            <w:pPr>
              <w:widowControl/>
              <w:spacing w:line="360" w:lineRule="auto"/>
              <w:jc w:val="center"/>
              <w:rPr>
                <w:rFonts w:eastAsia="仿宋_GB2312"/>
                <w:color w:val="FF0000"/>
                <w:szCs w:val="21"/>
              </w:rPr>
            </w:pPr>
            <w:r>
              <w:rPr>
                <w:rFonts w:eastAsia="仿宋_GB2312"/>
                <w:color w:val="FF0000"/>
                <w:szCs w:val="21"/>
              </w:rPr>
              <w:t>1</w:t>
            </w:r>
          </w:p>
        </w:tc>
      </w:tr>
      <w:tr w14:paraId="44749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632" w:type="dxa"/>
            <w:noWrap/>
            <w:vAlign w:val="bottom"/>
          </w:tcPr>
          <w:p w14:paraId="5B4433F4">
            <w:pPr>
              <w:jc w:val="center"/>
              <w:rPr>
                <w:rFonts w:eastAsia="仿宋_GB2312"/>
                <w:szCs w:val="21"/>
              </w:rPr>
            </w:pPr>
            <w:r>
              <w:rPr>
                <w:rFonts w:hint="eastAsia" w:eastAsia="仿宋_GB2312"/>
                <w:szCs w:val="21"/>
              </w:rPr>
              <w:t>22</w:t>
            </w:r>
          </w:p>
        </w:tc>
        <w:tc>
          <w:tcPr>
            <w:tcW w:w="5005" w:type="dxa"/>
            <w:vAlign w:val="center"/>
          </w:tcPr>
          <w:p w14:paraId="4D31CFAD">
            <w:pPr>
              <w:jc w:val="center"/>
              <w:rPr>
                <w:rFonts w:eastAsia="仿宋_GB2312"/>
                <w:kern w:val="0"/>
                <w:szCs w:val="21"/>
              </w:rPr>
            </w:pPr>
            <w:r>
              <w:rPr>
                <w:rFonts w:hint="eastAsia" w:eastAsia="仿宋_GB2312"/>
                <w:kern w:val="0"/>
                <w:szCs w:val="21"/>
              </w:rPr>
              <w:t>天津市中海油交通能源销售有限公司西青赛达二大道加油站分公司</w:t>
            </w:r>
          </w:p>
        </w:tc>
        <w:tc>
          <w:tcPr>
            <w:tcW w:w="1559" w:type="dxa"/>
            <w:noWrap/>
          </w:tcPr>
          <w:p w14:paraId="1E9AAC34">
            <w:pPr>
              <w:jc w:val="center"/>
            </w:pPr>
            <w:r>
              <w:rPr>
                <w:rFonts w:hint="eastAsia" w:eastAsia="仿宋_GB2312"/>
                <w:color w:val="000000"/>
                <w:szCs w:val="21"/>
              </w:rPr>
              <w:t>1</w:t>
            </w:r>
          </w:p>
        </w:tc>
        <w:tc>
          <w:tcPr>
            <w:tcW w:w="1559" w:type="dxa"/>
          </w:tcPr>
          <w:p w14:paraId="6BCC04EA">
            <w:pPr>
              <w:widowControl/>
              <w:spacing w:line="360" w:lineRule="auto"/>
              <w:jc w:val="center"/>
              <w:rPr>
                <w:rFonts w:eastAsia="仿宋_GB2312"/>
                <w:color w:val="000000"/>
                <w:szCs w:val="21"/>
              </w:rPr>
            </w:pPr>
            <w:r>
              <w:rPr>
                <w:rFonts w:eastAsia="仿宋_GB2312"/>
                <w:color w:val="000000"/>
                <w:szCs w:val="21"/>
              </w:rPr>
              <w:t>1</w:t>
            </w:r>
          </w:p>
        </w:tc>
      </w:tr>
      <w:tr w14:paraId="26D18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632" w:type="dxa"/>
            <w:noWrap/>
            <w:vAlign w:val="bottom"/>
          </w:tcPr>
          <w:p w14:paraId="21463F71">
            <w:pPr>
              <w:jc w:val="center"/>
              <w:rPr>
                <w:rFonts w:eastAsia="仿宋_GB2312"/>
                <w:szCs w:val="21"/>
              </w:rPr>
            </w:pPr>
            <w:r>
              <w:rPr>
                <w:rFonts w:hint="eastAsia" w:eastAsia="仿宋_GB2312"/>
                <w:szCs w:val="21"/>
              </w:rPr>
              <w:t>23</w:t>
            </w:r>
          </w:p>
        </w:tc>
        <w:tc>
          <w:tcPr>
            <w:tcW w:w="5005" w:type="dxa"/>
            <w:vAlign w:val="center"/>
          </w:tcPr>
          <w:p w14:paraId="7915B085">
            <w:pPr>
              <w:jc w:val="center"/>
              <w:rPr>
                <w:rFonts w:eastAsia="仿宋_GB2312"/>
                <w:kern w:val="0"/>
                <w:szCs w:val="21"/>
              </w:rPr>
            </w:pPr>
            <w:r>
              <w:rPr>
                <w:rFonts w:hint="eastAsia" w:eastAsia="仿宋_GB2312"/>
                <w:kern w:val="0"/>
                <w:szCs w:val="21"/>
              </w:rPr>
              <w:t>天津市嘉仕通青丰能源有限公司</w:t>
            </w:r>
          </w:p>
        </w:tc>
        <w:tc>
          <w:tcPr>
            <w:tcW w:w="1559" w:type="dxa"/>
            <w:noWrap/>
          </w:tcPr>
          <w:p w14:paraId="6C171BFD">
            <w:pPr>
              <w:jc w:val="center"/>
            </w:pPr>
            <w:r>
              <w:rPr>
                <w:rFonts w:hint="eastAsia" w:eastAsia="仿宋_GB2312"/>
                <w:color w:val="000000"/>
                <w:szCs w:val="21"/>
              </w:rPr>
              <w:t>1</w:t>
            </w:r>
          </w:p>
        </w:tc>
        <w:tc>
          <w:tcPr>
            <w:tcW w:w="1559" w:type="dxa"/>
          </w:tcPr>
          <w:p w14:paraId="669C43B0">
            <w:pPr>
              <w:widowControl/>
              <w:spacing w:line="360" w:lineRule="auto"/>
              <w:jc w:val="center"/>
              <w:rPr>
                <w:rFonts w:eastAsia="仿宋_GB2312"/>
                <w:color w:val="000000"/>
                <w:szCs w:val="21"/>
              </w:rPr>
            </w:pPr>
            <w:r>
              <w:rPr>
                <w:rFonts w:eastAsia="仿宋_GB2312"/>
                <w:color w:val="000000"/>
                <w:szCs w:val="21"/>
              </w:rPr>
              <w:t>1</w:t>
            </w:r>
          </w:p>
        </w:tc>
      </w:tr>
      <w:tr w14:paraId="52D7F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227E8625">
            <w:pPr>
              <w:jc w:val="center"/>
              <w:rPr>
                <w:rFonts w:eastAsia="仿宋_GB2312"/>
                <w:szCs w:val="21"/>
              </w:rPr>
            </w:pPr>
            <w:r>
              <w:rPr>
                <w:rFonts w:hint="eastAsia" w:eastAsia="仿宋_GB2312"/>
                <w:szCs w:val="21"/>
              </w:rPr>
              <w:t>24</w:t>
            </w:r>
          </w:p>
        </w:tc>
        <w:tc>
          <w:tcPr>
            <w:tcW w:w="5005" w:type="dxa"/>
            <w:vAlign w:val="center"/>
          </w:tcPr>
          <w:p w14:paraId="185A66D1">
            <w:pPr>
              <w:jc w:val="center"/>
              <w:rPr>
                <w:rFonts w:eastAsia="仿宋_GB2312"/>
                <w:kern w:val="0"/>
                <w:szCs w:val="21"/>
              </w:rPr>
            </w:pPr>
            <w:r>
              <w:rPr>
                <w:rFonts w:hint="eastAsia" w:eastAsia="仿宋_GB2312"/>
                <w:kern w:val="0"/>
                <w:szCs w:val="21"/>
              </w:rPr>
              <w:t>天津市万诚石化有限公司</w:t>
            </w:r>
          </w:p>
        </w:tc>
        <w:tc>
          <w:tcPr>
            <w:tcW w:w="1559" w:type="dxa"/>
            <w:noWrap/>
          </w:tcPr>
          <w:p w14:paraId="5C7539BE">
            <w:pPr>
              <w:jc w:val="center"/>
            </w:pPr>
            <w:r>
              <w:rPr>
                <w:rFonts w:hint="eastAsia" w:eastAsia="仿宋_GB2312"/>
                <w:color w:val="000000"/>
                <w:szCs w:val="21"/>
              </w:rPr>
              <w:t>1</w:t>
            </w:r>
          </w:p>
        </w:tc>
        <w:tc>
          <w:tcPr>
            <w:tcW w:w="1559" w:type="dxa"/>
          </w:tcPr>
          <w:p w14:paraId="1CA95573">
            <w:pPr>
              <w:widowControl/>
              <w:spacing w:line="360" w:lineRule="auto"/>
              <w:jc w:val="center"/>
              <w:rPr>
                <w:rFonts w:eastAsia="仿宋_GB2312"/>
                <w:color w:val="FF0000"/>
                <w:szCs w:val="21"/>
              </w:rPr>
            </w:pPr>
            <w:r>
              <w:rPr>
                <w:rFonts w:eastAsia="仿宋_GB2312"/>
                <w:color w:val="FF0000"/>
                <w:szCs w:val="21"/>
              </w:rPr>
              <w:t>1</w:t>
            </w:r>
          </w:p>
        </w:tc>
      </w:tr>
      <w:tr w14:paraId="7AC00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2A4B736B">
            <w:pPr>
              <w:jc w:val="center"/>
              <w:rPr>
                <w:rFonts w:eastAsia="仿宋_GB2312"/>
                <w:szCs w:val="21"/>
              </w:rPr>
            </w:pPr>
            <w:r>
              <w:rPr>
                <w:rFonts w:hint="eastAsia" w:eastAsia="仿宋_GB2312"/>
                <w:szCs w:val="21"/>
              </w:rPr>
              <w:t>25</w:t>
            </w:r>
          </w:p>
        </w:tc>
        <w:tc>
          <w:tcPr>
            <w:tcW w:w="5005" w:type="dxa"/>
            <w:vAlign w:val="center"/>
          </w:tcPr>
          <w:p w14:paraId="797ECDE3">
            <w:pPr>
              <w:jc w:val="center"/>
              <w:rPr>
                <w:rFonts w:eastAsia="仿宋_GB2312"/>
                <w:kern w:val="0"/>
                <w:szCs w:val="21"/>
              </w:rPr>
            </w:pPr>
            <w:r>
              <w:rPr>
                <w:rFonts w:hint="eastAsia" w:eastAsia="仿宋_GB2312"/>
                <w:kern w:val="0"/>
                <w:szCs w:val="21"/>
              </w:rPr>
              <w:t>天津西青津同能源有限公司</w:t>
            </w:r>
          </w:p>
        </w:tc>
        <w:tc>
          <w:tcPr>
            <w:tcW w:w="1559" w:type="dxa"/>
            <w:noWrap/>
          </w:tcPr>
          <w:p w14:paraId="64DD545C">
            <w:pPr>
              <w:jc w:val="center"/>
            </w:pPr>
            <w:r>
              <w:rPr>
                <w:rFonts w:hint="eastAsia" w:eastAsia="仿宋_GB2312"/>
                <w:color w:val="000000"/>
                <w:szCs w:val="21"/>
              </w:rPr>
              <w:t>1</w:t>
            </w:r>
          </w:p>
        </w:tc>
        <w:tc>
          <w:tcPr>
            <w:tcW w:w="1559" w:type="dxa"/>
          </w:tcPr>
          <w:p w14:paraId="0E5EC688">
            <w:pPr>
              <w:widowControl/>
              <w:spacing w:line="360" w:lineRule="auto"/>
              <w:jc w:val="center"/>
              <w:rPr>
                <w:rFonts w:eastAsia="仿宋_GB2312"/>
                <w:color w:val="FF0000"/>
                <w:szCs w:val="21"/>
              </w:rPr>
            </w:pPr>
            <w:r>
              <w:rPr>
                <w:rFonts w:eastAsia="仿宋_GB2312"/>
                <w:color w:val="FF0000"/>
                <w:szCs w:val="21"/>
              </w:rPr>
              <w:t>1</w:t>
            </w:r>
          </w:p>
        </w:tc>
      </w:tr>
      <w:tr w14:paraId="09A5F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0AF40C40">
            <w:pPr>
              <w:jc w:val="center"/>
              <w:rPr>
                <w:rFonts w:eastAsia="仿宋_GB2312"/>
                <w:szCs w:val="21"/>
              </w:rPr>
            </w:pPr>
            <w:r>
              <w:rPr>
                <w:rFonts w:hint="eastAsia" w:eastAsia="仿宋_GB2312"/>
                <w:szCs w:val="21"/>
              </w:rPr>
              <w:t>26</w:t>
            </w:r>
          </w:p>
        </w:tc>
        <w:tc>
          <w:tcPr>
            <w:tcW w:w="5005" w:type="dxa"/>
            <w:vAlign w:val="center"/>
          </w:tcPr>
          <w:p w14:paraId="32EF6BF5">
            <w:pPr>
              <w:jc w:val="center"/>
              <w:rPr>
                <w:rFonts w:eastAsia="仿宋_GB2312"/>
                <w:kern w:val="0"/>
                <w:szCs w:val="21"/>
              </w:rPr>
            </w:pPr>
            <w:r>
              <w:rPr>
                <w:rFonts w:hint="eastAsia" w:eastAsia="仿宋_GB2312"/>
                <w:kern w:val="0"/>
                <w:szCs w:val="21"/>
              </w:rPr>
              <w:t>天津市西青区西琉城油库加油站</w:t>
            </w:r>
          </w:p>
        </w:tc>
        <w:tc>
          <w:tcPr>
            <w:tcW w:w="1559" w:type="dxa"/>
            <w:noWrap/>
          </w:tcPr>
          <w:p w14:paraId="7D3BCD0C">
            <w:pPr>
              <w:jc w:val="center"/>
            </w:pPr>
            <w:r>
              <w:rPr>
                <w:rFonts w:hint="eastAsia" w:eastAsia="仿宋_GB2312"/>
                <w:color w:val="000000"/>
                <w:szCs w:val="21"/>
              </w:rPr>
              <w:t>1</w:t>
            </w:r>
          </w:p>
        </w:tc>
        <w:tc>
          <w:tcPr>
            <w:tcW w:w="1559" w:type="dxa"/>
          </w:tcPr>
          <w:p w14:paraId="761CD82C">
            <w:pPr>
              <w:jc w:val="center"/>
            </w:pPr>
            <w:r>
              <w:rPr>
                <w:rFonts w:eastAsia="仿宋_GB2312"/>
                <w:color w:val="000000"/>
                <w:szCs w:val="21"/>
              </w:rPr>
              <w:t>1</w:t>
            </w:r>
          </w:p>
        </w:tc>
      </w:tr>
      <w:tr w14:paraId="35FC9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0FE3EEF6">
            <w:pPr>
              <w:jc w:val="center"/>
              <w:rPr>
                <w:rFonts w:eastAsia="仿宋_GB2312"/>
                <w:szCs w:val="21"/>
              </w:rPr>
            </w:pPr>
            <w:r>
              <w:rPr>
                <w:rFonts w:hint="eastAsia" w:eastAsia="仿宋_GB2312"/>
                <w:szCs w:val="21"/>
              </w:rPr>
              <w:t>27</w:t>
            </w:r>
          </w:p>
        </w:tc>
        <w:tc>
          <w:tcPr>
            <w:tcW w:w="5005" w:type="dxa"/>
            <w:vAlign w:val="center"/>
          </w:tcPr>
          <w:p w14:paraId="373888BA">
            <w:pPr>
              <w:jc w:val="center"/>
              <w:rPr>
                <w:rFonts w:eastAsia="仿宋_GB2312"/>
                <w:kern w:val="0"/>
                <w:szCs w:val="21"/>
              </w:rPr>
            </w:pPr>
            <w:r>
              <w:rPr>
                <w:rFonts w:hint="eastAsia" w:eastAsia="仿宋_GB2312"/>
                <w:kern w:val="0"/>
                <w:szCs w:val="21"/>
              </w:rPr>
              <w:t>天津市津鑫石油销售有限公司</w:t>
            </w:r>
          </w:p>
        </w:tc>
        <w:tc>
          <w:tcPr>
            <w:tcW w:w="1559" w:type="dxa"/>
            <w:noWrap/>
          </w:tcPr>
          <w:p w14:paraId="60F86DDB">
            <w:pPr>
              <w:jc w:val="center"/>
            </w:pPr>
            <w:r>
              <w:rPr>
                <w:rFonts w:hint="eastAsia" w:eastAsia="仿宋_GB2312"/>
                <w:color w:val="000000"/>
                <w:szCs w:val="21"/>
              </w:rPr>
              <w:t>1</w:t>
            </w:r>
          </w:p>
        </w:tc>
        <w:tc>
          <w:tcPr>
            <w:tcW w:w="1559" w:type="dxa"/>
          </w:tcPr>
          <w:p w14:paraId="04947E3C">
            <w:pPr>
              <w:jc w:val="center"/>
            </w:pPr>
            <w:r>
              <w:rPr>
                <w:rFonts w:eastAsia="仿宋_GB2312"/>
                <w:color w:val="000000"/>
                <w:szCs w:val="21"/>
              </w:rPr>
              <w:t>1</w:t>
            </w:r>
          </w:p>
        </w:tc>
      </w:tr>
      <w:tr w14:paraId="17231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1ACE423B">
            <w:pPr>
              <w:jc w:val="center"/>
              <w:rPr>
                <w:rFonts w:eastAsia="仿宋_GB2312"/>
                <w:szCs w:val="21"/>
              </w:rPr>
            </w:pPr>
            <w:r>
              <w:rPr>
                <w:rFonts w:hint="eastAsia" w:eastAsia="仿宋_GB2312"/>
                <w:szCs w:val="21"/>
              </w:rPr>
              <w:t>28</w:t>
            </w:r>
          </w:p>
        </w:tc>
        <w:tc>
          <w:tcPr>
            <w:tcW w:w="5005" w:type="dxa"/>
            <w:vAlign w:val="center"/>
          </w:tcPr>
          <w:p w14:paraId="1A029311">
            <w:pPr>
              <w:jc w:val="center"/>
              <w:rPr>
                <w:rFonts w:eastAsia="仿宋_GB2312"/>
                <w:kern w:val="0"/>
                <w:szCs w:val="21"/>
              </w:rPr>
            </w:pPr>
            <w:r>
              <w:rPr>
                <w:rFonts w:hint="eastAsia" w:eastAsia="仿宋_GB2312"/>
                <w:kern w:val="0"/>
                <w:szCs w:val="21"/>
              </w:rPr>
              <w:t>天津市西青区华鑫加油站有限公司</w:t>
            </w:r>
          </w:p>
        </w:tc>
        <w:tc>
          <w:tcPr>
            <w:tcW w:w="1559" w:type="dxa"/>
            <w:noWrap/>
          </w:tcPr>
          <w:p w14:paraId="587319BD">
            <w:pPr>
              <w:jc w:val="center"/>
            </w:pPr>
            <w:r>
              <w:rPr>
                <w:rFonts w:hint="eastAsia" w:eastAsia="仿宋_GB2312"/>
                <w:color w:val="000000"/>
                <w:szCs w:val="21"/>
              </w:rPr>
              <w:t>1</w:t>
            </w:r>
          </w:p>
        </w:tc>
        <w:tc>
          <w:tcPr>
            <w:tcW w:w="1559" w:type="dxa"/>
          </w:tcPr>
          <w:p w14:paraId="3CF26165">
            <w:pPr>
              <w:jc w:val="center"/>
            </w:pPr>
            <w:r>
              <w:rPr>
                <w:rFonts w:eastAsia="仿宋_GB2312"/>
                <w:color w:val="000000"/>
                <w:szCs w:val="21"/>
              </w:rPr>
              <w:t>1</w:t>
            </w:r>
          </w:p>
        </w:tc>
      </w:tr>
      <w:tr w14:paraId="3CBDC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76F3B9C7">
            <w:pPr>
              <w:jc w:val="center"/>
              <w:rPr>
                <w:rFonts w:eastAsia="仿宋_GB2312"/>
                <w:szCs w:val="21"/>
              </w:rPr>
            </w:pPr>
            <w:r>
              <w:rPr>
                <w:rFonts w:hint="eastAsia" w:eastAsia="仿宋_GB2312"/>
                <w:szCs w:val="21"/>
              </w:rPr>
              <w:t>29</w:t>
            </w:r>
          </w:p>
        </w:tc>
        <w:tc>
          <w:tcPr>
            <w:tcW w:w="5005" w:type="dxa"/>
            <w:vAlign w:val="center"/>
          </w:tcPr>
          <w:p w14:paraId="1DFC33B4">
            <w:pPr>
              <w:jc w:val="center"/>
              <w:rPr>
                <w:rFonts w:eastAsia="仿宋_GB2312"/>
                <w:kern w:val="0"/>
                <w:szCs w:val="21"/>
              </w:rPr>
            </w:pPr>
            <w:r>
              <w:rPr>
                <w:rFonts w:hint="eastAsia" w:eastAsia="仿宋_GB2312"/>
                <w:kern w:val="0"/>
                <w:szCs w:val="21"/>
              </w:rPr>
              <w:t>天津市元林加油站有限公司</w:t>
            </w:r>
          </w:p>
        </w:tc>
        <w:tc>
          <w:tcPr>
            <w:tcW w:w="1559" w:type="dxa"/>
            <w:noWrap/>
          </w:tcPr>
          <w:p w14:paraId="2890A10A">
            <w:pPr>
              <w:jc w:val="center"/>
            </w:pPr>
            <w:r>
              <w:rPr>
                <w:rFonts w:hint="eastAsia" w:eastAsia="仿宋_GB2312"/>
                <w:color w:val="000000"/>
                <w:szCs w:val="21"/>
              </w:rPr>
              <w:t>1</w:t>
            </w:r>
          </w:p>
        </w:tc>
        <w:tc>
          <w:tcPr>
            <w:tcW w:w="1559" w:type="dxa"/>
          </w:tcPr>
          <w:p w14:paraId="3941E978">
            <w:pPr>
              <w:jc w:val="center"/>
            </w:pPr>
            <w:r>
              <w:rPr>
                <w:rFonts w:eastAsia="仿宋_GB2312"/>
                <w:color w:val="000000"/>
                <w:szCs w:val="21"/>
              </w:rPr>
              <w:t>1</w:t>
            </w:r>
          </w:p>
        </w:tc>
      </w:tr>
      <w:tr w14:paraId="697E7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2" w:type="dxa"/>
            <w:noWrap/>
            <w:vAlign w:val="bottom"/>
          </w:tcPr>
          <w:p w14:paraId="06B07CAF">
            <w:pPr>
              <w:jc w:val="center"/>
              <w:rPr>
                <w:rFonts w:eastAsia="仿宋_GB2312"/>
                <w:szCs w:val="21"/>
              </w:rPr>
            </w:pPr>
            <w:r>
              <w:rPr>
                <w:rFonts w:hint="eastAsia" w:eastAsia="仿宋_GB2312"/>
                <w:szCs w:val="21"/>
              </w:rPr>
              <w:t>30</w:t>
            </w:r>
          </w:p>
        </w:tc>
        <w:tc>
          <w:tcPr>
            <w:tcW w:w="5005" w:type="dxa"/>
            <w:vAlign w:val="center"/>
          </w:tcPr>
          <w:p w14:paraId="44AA3723">
            <w:pPr>
              <w:jc w:val="center"/>
              <w:rPr>
                <w:rFonts w:eastAsia="仿宋_GB2312"/>
                <w:kern w:val="0"/>
                <w:szCs w:val="21"/>
              </w:rPr>
            </w:pPr>
            <w:r>
              <w:rPr>
                <w:rFonts w:hint="eastAsia" w:eastAsia="仿宋_GB2312"/>
                <w:kern w:val="0"/>
                <w:szCs w:val="21"/>
              </w:rPr>
              <w:t>莱州市哈鹿加油站天津西青分支机构</w:t>
            </w:r>
          </w:p>
        </w:tc>
        <w:tc>
          <w:tcPr>
            <w:tcW w:w="1559" w:type="dxa"/>
            <w:noWrap/>
          </w:tcPr>
          <w:p w14:paraId="4A6E7495">
            <w:pPr>
              <w:jc w:val="center"/>
            </w:pPr>
            <w:r>
              <w:rPr>
                <w:rFonts w:hint="eastAsia" w:eastAsia="仿宋_GB2312"/>
                <w:color w:val="000000"/>
                <w:szCs w:val="21"/>
              </w:rPr>
              <w:t>1</w:t>
            </w:r>
          </w:p>
        </w:tc>
        <w:tc>
          <w:tcPr>
            <w:tcW w:w="1559" w:type="dxa"/>
          </w:tcPr>
          <w:p w14:paraId="3A7F0102">
            <w:pPr>
              <w:jc w:val="center"/>
            </w:pPr>
            <w:r>
              <w:rPr>
                <w:rFonts w:eastAsia="仿宋_GB2312"/>
                <w:color w:val="000000"/>
                <w:szCs w:val="21"/>
              </w:rPr>
              <w:t>1</w:t>
            </w:r>
          </w:p>
        </w:tc>
      </w:tr>
    </w:tbl>
    <w:p w14:paraId="656F21D3"/>
    <w:p w14:paraId="27E21697">
      <w:pPr>
        <w:spacing w:line="360" w:lineRule="auto"/>
        <w:rPr>
          <w:rFonts w:ascii="仿宋_GB2312" w:hAnsi="宋体" w:eastAsia="仿宋_GB2312"/>
          <w:szCs w:val="21"/>
        </w:rPr>
      </w:pPr>
    </w:p>
    <w:p w14:paraId="5208C392">
      <w:pPr>
        <w:pStyle w:val="12"/>
        <w:rPr>
          <w:rFonts w:ascii="Times New Roman" w:hAnsi="Times New Roman"/>
        </w:rPr>
      </w:pPr>
    </w:p>
    <w:p w14:paraId="7E1C435C">
      <w:pPr>
        <w:pStyle w:val="12"/>
        <w:rPr>
          <w:rFonts w:ascii="Times New Roman" w:hAnsi="Times New Roman"/>
        </w:rPr>
      </w:pPr>
      <w:r>
        <w:rPr>
          <w:rFonts w:ascii="Times New Roman" w:hAnsi="Times New Roman"/>
        </w:rPr>
        <w:t>第三部分  供应商须知</w:t>
      </w:r>
      <w:bookmarkEnd w:id="1"/>
    </w:p>
    <w:p w14:paraId="7A72C1BF"/>
    <w:p w14:paraId="7DF66864">
      <w:pPr>
        <w:pStyle w:val="36"/>
        <w:spacing w:line="360" w:lineRule="auto"/>
        <w:jc w:val="center"/>
        <w:rPr>
          <w:rFonts w:ascii="Times New Roman" w:hAnsi="Times New Roman" w:eastAsia="宋体" w:cs="Times New Roman"/>
          <w:color w:val="auto"/>
        </w:rPr>
      </w:pPr>
      <w:bookmarkStart w:id="4" w:name="_Toc411426751"/>
    </w:p>
    <w:p w14:paraId="4417B6DA">
      <w:pPr>
        <w:pStyle w:val="3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6"/>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6"/>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6"/>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“采购人”系指本次磋商活动的采购单位。“采购代理机构”系指组织本次磋商活动的机构，即“天津市西青区政府采购中心”。</w:t>
      </w:r>
    </w:p>
    <w:p w14:paraId="6C5B78AD">
      <w:pPr>
        <w:pStyle w:val="36"/>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6"/>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6"/>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6"/>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关于提供前期服务的供应商</w:t>
      </w:r>
    </w:p>
    <w:p w14:paraId="22C6485A">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4.6关于中小微企业参与磋商</w:t>
      </w:r>
    </w:p>
    <w:p w14:paraId="3FD27D1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632E5A4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7C11779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6"/>
        <w:spacing w:line="360" w:lineRule="auto"/>
        <w:ind w:firstLine="480" w:firstLineChars="200"/>
        <w:jc w:val="both"/>
        <w:rPr>
          <w:rFonts w:ascii="Times New Roman" w:hAnsi="Times New Roman" w:eastAsia="宋体" w:cs="Times New Roman"/>
          <w:color w:val="auto"/>
        </w:rPr>
      </w:pPr>
    </w:p>
    <w:p w14:paraId="3E5C3425">
      <w:pPr>
        <w:pStyle w:val="3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6"/>
        <w:spacing w:line="360" w:lineRule="auto"/>
        <w:ind w:firstLine="480" w:firstLineChars="200"/>
        <w:jc w:val="both"/>
        <w:rPr>
          <w:rFonts w:ascii="Times New Roman" w:hAnsi="Times New Roman" w:eastAsia="宋体" w:cs="Times New Roman"/>
          <w:color w:val="auto"/>
        </w:rPr>
      </w:pPr>
    </w:p>
    <w:p w14:paraId="7B138597">
      <w:pPr>
        <w:pStyle w:val="3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6"/>
        <w:spacing w:line="360" w:lineRule="auto"/>
        <w:jc w:val="center"/>
        <w:rPr>
          <w:rFonts w:ascii="Times New Roman" w:hAnsi="Times New Roman" w:eastAsia="宋体" w:cs="Times New Roman"/>
          <w:color w:val="auto"/>
        </w:rPr>
      </w:pPr>
    </w:p>
    <w:p w14:paraId="780E6F6E">
      <w:pPr>
        <w:pStyle w:val="3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6"/>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区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1F0C2DB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6"/>
        <w:spacing w:line="360" w:lineRule="auto"/>
        <w:ind w:firstLine="480" w:firstLineChars="200"/>
        <w:jc w:val="both"/>
        <w:rPr>
          <w:rFonts w:ascii="Times New Roman" w:hAnsi="Times New Roman" w:eastAsia="宋体" w:cs="Times New Roman"/>
          <w:color w:val="auto"/>
        </w:rPr>
      </w:pPr>
    </w:p>
    <w:p w14:paraId="74C6E41B">
      <w:pPr>
        <w:pStyle w:val="3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6"/>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6"/>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6"/>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6"/>
        <w:spacing w:line="360" w:lineRule="auto"/>
        <w:ind w:firstLine="480" w:firstLineChars="200"/>
        <w:jc w:val="both"/>
        <w:rPr>
          <w:rFonts w:ascii="Times New Roman" w:hAnsi="Times New Roman" w:eastAsia="宋体" w:cs="Times New Roman"/>
          <w:color w:val="auto"/>
        </w:rPr>
      </w:pPr>
    </w:p>
    <w:p w14:paraId="2094E161">
      <w:pPr>
        <w:pStyle w:val="3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区级集采机构入口”，并从“供应商系统”的“查看项目文件”中获取）。《成交通知书》一经发出即发生法律效力。</w:t>
      </w:r>
    </w:p>
    <w:p w14:paraId="688DAA0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区级集采机构入口”，并从“供应商系统”的“资格审查结果”中获取未通过资格审查的原因或从“供应商系统”的“综合得分及排名”中获取未成交人本人的评审得分与排序。</w:t>
      </w:r>
    </w:p>
    <w:p w14:paraId="027DCF3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区级集采机构入口”，并从“供应商系统”的“合同”中获取。</w:t>
      </w:r>
    </w:p>
    <w:p w14:paraId="749CDD5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6"/>
        <w:spacing w:line="360" w:lineRule="auto"/>
        <w:ind w:firstLine="480" w:firstLineChars="200"/>
        <w:jc w:val="both"/>
        <w:rPr>
          <w:rFonts w:ascii="Times New Roman" w:hAnsi="Times New Roman" w:eastAsia="宋体" w:cs="Times New Roman"/>
          <w:color w:val="auto"/>
        </w:rPr>
      </w:pPr>
    </w:p>
    <w:p w14:paraId="14B7D13C">
      <w:pPr>
        <w:pStyle w:val="36"/>
        <w:snapToGrid w:val="0"/>
        <w:spacing w:line="360" w:lineRule="auto"/>
        <w:ind w:firstLine="480" w:firstLineChars="200"/>
        <w:jc w:val="both"/>
        <w:rPr>
          <w:rFonts w:ascii="Times New Roman" w:hAnsi="Times New Roman" w:eastAsia="宋体" w:cs="Times New Roman"/>
          <w:color w:val="auto"/>
        </w:rPr>
      </w:pPr>
    </w:p>
    <w:p w14:paraId="0FEA1676">
      <w:pPr>
        <w:pStyle w:val="36"/>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5A16FE6B">
      <w:pPr>
        <w:pStyle w:val="12"/>
        <w:rPr>
          <w:rFonts w:ascii="Times New Roman" w:hAnsi="Times New Roman"/>
        </w:rPr>
      </w:pPr>
      <w:r>
        <w:rPr>
          <w:rFonts w:ascii="Times New Roman" w:hAnsi="Times New Roman"/>
        </w:rPr>
        <w:t>第四部分  合同草案</w:t>
      </w:r>
      <w:bookmarkEnd w:id="4"/>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tbl>
      <w:tblPr>
        <w:tblStyle w:val="17"/>
        <w:tblW w:w="9359" w:type="dxa"/>
        <w:tblInd w:w="-431" w:type="dxa"/>
        <w:tblLayout w:type="fixed"/>
        <w:tblCellMar>
          <w:top w:w="0" w:type="dxa"/>
          <w:left w:w="108" w:type="dxa"/>
          <w:bottom w:w="0" w:type="dxa"/>
          <w:right w:w="108" w:type="dxa"/>
        </w:tblCellMar>
      </w:tblPr>
      <w:tblGrid>
        <w:gridCol w:w="1702"/>
        <w:gridCol w:w="3119"/>
        <w:gridCol w:w="1510"/>
        <w:gridCol w:w="3028"/>
      </w:tblGrid>
      <w:tr w14:paraId="324815F0">
        <w:tblPrEx>
          <w:tblCellMar>
            <w:top w:w="0" w:type="dxa"/>
            <w:left w:w="108" w:type="dxa"/>
            <w:bottom w:w="0" w:type="dxa"/>
            <w:right w:w="108" w:type="dxa"/>
          </w:tblCellMar>
        </w:tblPrEx>
        <w:trPr>
          <w:trHeight w:val="719" w:hRule="atLeast"/>
        </w:trPr>
        <w:tc>
          <w:tcPr>
            <w:tcW w:w="1702" w:type="dxa"/>
            <w:vAlign w:val="center"/>
          </w:tcPr>
          <w:p w14:paraId="111E76E4">
            <w:pPr>
              <w:tabs>
                <w:tab w:val="left" w:pos="3702"/>
              </w:tabs>
              <w:snapToGrid w:val="0"/>
              <w:spacing w:line="312" w:lineRule="auto"/>
              <w:jc w:val="right"/>
              <w:rPr>
                <w:rFonts w:ascii="宋体" w:hAnsi="宋体" w:cs="宋体"/>
                <w:sz w:val="24"/>
                <w:szCs w:val="24"/>
                <w:u w:val="single"/>
              </w:rPr>
            </w:pPr>
            <w:r>
              <w:rPr>
                <w:rFonts w:hint="eastAsia" w:ascii="宋体" w:hAnsi="宋体" w:cs="宋体"/>
                <w:sz w:val="24"/>
                <w:szCs w:val="24"/>
                <w:u w:val="single"/>
              </w:rPr>
              <w:t>供方（章）：</w:t>
            </w:r>
          </w:p>
        </w:tc>
        <w:tc>
          <w:tcPr>
            <w:tcW w:w="3119" w:type="dxa"/>
            <w:vAlign w:val="center"/>
          </w:tcPr>
          <w:p w14:paraId="58C3CCDD">
            <w:pPr>
              <w:spacing w:line="312" w:lineRule="auto"/>
              <w:rPr>
                <w:rFonts w:ascii="宋体" w:hAnsi="宋体" w:cs="宋体"/>
                <w:sz w:val="24"/>
                <w:szCs w:val="24"/>
                <w:u w:val="single"/>
              </w:rPr>
            </w:pPr>
            <w:r>
              <w:rPr>
                <w:rFonts w:hint="eastAsia" w:ascii="宋体" w:hAnsi="宋体" w:cs="宋体"/>
                <w:sz w:val="24"/>
                <w:szCs w:val="24"/>
                <w:u w:val="single"/>
              </w:rPr>
              <w:t xml:space="preserve">  </w:t>
            </w:r>
          </w:p>
        </w:tc>
        <w:tc>
          <w:tcPr>
            <w:tcW w:w="1510" w:type="dxa"/>
            <w:vAlign w:val="center"/>
          </w:tcPr>
          <w:p w14:paraId="6A97116D">
            <w:pPr>
              <w:tabs>
                <w:tab w:val="left" w:pos="3702"/>
              </w:tabs>
              <w:snapToGrid w:val="0"/>
              <w:spacing w:line="312" w:lineRule="auto"/>
              <w:jc w:val="center"/>
              <w:rPr>
                <w:rFonts w:ascii="宋体" w:hAnsi="宋体" w:cs="宋体"/>
                <w:sz w:val="24"/>
                <w:szCs w:val="24"/>
              </w:rPr>
            </w:pPr>
            <w:r>
              <w:rPr>
                <w:rFonts w:hint="eastAsia" w:ascii="宋体" w:hAnsi="宋体" w:cs="宋体"/>
                <w:sz w:val="24"/>
                <w:szCs w:val="24"/>
                <w:u w:val="single"/>
              </w:rPr>
              <w:t>签订地点：</w:t>
            </w:r>
          </w:p>
        </w:tc>
        <w:tc>
          <w:tcPr>
            <w:tcW w:w="3028" w:type="dxa"/>
            <w:vAlign w:val="center"/>
          </w:tcPr>
          <w:p w14:paraId="408465F4">
            <w:pPr>
              <w:tabs>
                <w:tab w:val="left" w:pos="3702"/>
              </w:tabs>
              <w:snapToGrid w:val="0"/>
              <w:spacing w:line="312" w:lineRule="auto"/>
              <w:rPr>
                <w:rFonts w:ascii="宋体" w:hAnsi="宋体" w:cs="宋体"/>
                <w:sz w:val="24"/>
                <w:szCs w:val="24"/>
              </w:rPr>
            </w:pPr>
            <w:r>
              <w:rPr>
                <w:rFonts w:hint="eastAsia" w:ascii="宋体" w:hAnsi="宋体" w:cs="宋体"/>
                <w:sz w:val="24"/>
                <w:szCs w:val="24"/>
                <w:u w:val="single"/>
              </w:rPr>
              <w:t>天津市西青区应急管理局</w:t>
            </w:r>
          </w:p>
        </w:tc>
      </w:tr>
      <w:tr w14:paraId="595662CC">
        <w:tblPrEx>
          <w:tblCellMar>
            <w:top w:w="0" w:type="dxa"/>
            <w:left w:w="108" w:type="dxa"/>
            <w:bottom w:w="0" w:type="dxa"/>
            <w:right w:w="108" w:type="dxa"/>
          </w:tblCellMar>
        </w:tblPrEx>
        <w:trPr>
          <w:trHeight w:val="705" w:hRule="atLeast"/>
        </w:trPr>
        <w:tc>
          <w:tcPr>
            <w:tcW w:w="1702" w:type="dxa"/>
            <w:vAlign w:val="center"/>
          </w:tcPr>
          <w:p w14:paraId="127E58EE">
            <w:pPr>
              <w:tabs>
                <w:tab w:val="left" w:pos="3702"/>
              </w:tabs>
              <w:snapToGrid w:val="0"/>
              <w:spacing w:line="312" w:lineRule="auto"/>
              <w:jc w:val="right"/>
              <w:rPr>
                <w:rFonts w:ascii="宋体" w:hAnsi="宋体" w:cs="宋体"/>
                <w:sz w:val="24"/>
                <w:szCs w:val="24"/>
                <w:u w:val="single"/>
              </w:rPr>
            </w:pPr>
            <w:r>
              <w:rPr>
                <w:rFonts w:hint="eastAsia" w:ascii="宋体" w:hAnsi="宋体" w:cs="宋体"/>
                <w:sz w:val="24"/>
                <w:szCs w:val="24"/>
                <w:u w:val="single"/>
              </w:rPr>
              <w:t>需方（章）：</w:t>
            </w:r>
          </w:p>
        </w:tc>
        <w:tc>
          <w:tcPr>
            <w:tcW w:w="3119" w:type="dxa"/>
            <w:vAlign w:val="center"/>
          </w:tcPr>
          <w:p w14:paraId="1426538B">
            <w:pPr>
              <w:tabs>
                <w:tab w:val="left" w:pos="3702"/>
              </w:tabs>
              <w:snapToGrid w:val="0"/>
              <w:spacing w:line="312" w:lineRule="auto"/>
              <w:rPr>
                <w:rFonts w:ascii="宋体" w:hAnsi="宋体" w:cs="宋体"/>
                <w:sz w:val="24"/>
                <w:szCs w:val="24"/>
                <w:u w:val="single"/>
              </w:rPr>
            </w:pPr>
            <w:r>
              <w:rPr>
                <w:rFonts w:hint="eastAsia" w:ascii="宋体" w:hAnsi="宋体" w:cs="宋体"/>
                <w:sz w:val="24"/>
                <w:szCs w:val="24"/>
                <w:u w:val="single"/>
              </w:rPr>
              <w:t>天津市西青区应急管理局</w:t>
            </w:r>
          </w:p>
        </w:tc>
        <w:tc>
          <w:tcPr>
            <w:tcW w:w="1510" w:type="dxa"/>
            <w:vAlign w:val="center"/>
          </w:tcPr>
          <w:p w14:paraId="1D5FAE00">
            <w:pPr>
              <w:tabs>
                <w:tab w:val="left" w:pos="3702"/>
              </w:tabs>
              <w:snapToGrid w:val="0"/>
              <w:spacing w:line="312" w:lineRule="auto"/>
              <w:jc w:val="center"/>
              <w:rPr>
                <w:rFonts w:ascii="宋体" w:hAnsi="宋体" w:cs="宋体"/>
                <w:sz w:val="24"/>
                <w:szCs w:val="24"/>
              </w:rPr>
            </w:pPr>
            <w:r>
              <w:rPr>
                <w:rFonts w:hint="eastAsia" w:ascii="宋体" w:hAnsi="宋体" w:cs="宋体"/>
                <w:sz w:val="24"/>
                <w:szCs w:val="24"/>
                <w:u w:val="single"/>
              </w:rPr>
              <w:t>签订时间</w:t>
            </w:r>
            <w:r>
              <w:rPr>
                <w:rFonts w:hint="eastAsia" w:ascii="宋体" w:hAnsi="宋体" w:cs="宋体"/>
                <w:sz w:val="24"/>
                <w:szCs w:val="24"/>
              </w:rPr>
              <w:t>：</w:t>
            </w:r>
          </w:p>
        </w:tc>
        <w:tc>
          <w:tcPr>
            <w:tcW w:w="3028" w:type="dxa"/>
            <w:vAlign w:val="center"/>
          </w:tcPr>
          <w:p w14:paraId="7AA2F9CF">
            <w:pPr>
              <w:tabs>
                <w:tab w:val="left" w:pos="3702"/>
              </w:tabs>
              <w:snapToGrid w:val="0"/>
              <w:spacing w:line="312" w:lineRule="auto"/>
              <w:rPr>
                <w:rFonts w:ascii="宋体" w:hAnsi="宋体" w:cs="宋体"/>
                <w:sz w:val="24"/>
                <w:szCs w:val="24"/>
                <w:u w:val="single"/>
              </w:rPr>
            </w:pPr>
            <w:r>
              <w:rPr>
                <w:rFonts w:hint="eastAsia" w:ascii="宋体" w:hAnsi="宋体" w:cs="宋体"/>
                <w:sz w:val="24"/>
                <w:szCs w:val="24"/>
                <w:u w:val="single"/>
              </w:rPr>
              <w:t>202</w:t>
            </w:r>
            <w:r>
              <w:rPr>
                <w:rFonts w:ascii="宋体" w:hAnsi="宋体" w:cs="宋体"/>
                <w:sz w:val="24"/>
                <w:szCs w:val="24"/>
                <w:u w:val="single"/>
              </w:rPr>
              <w:t>6</w:t>
            </w:r>
            <w:r>
              <w:rPr>
                <w:rFonts w:hint="eastAsia" w:ascii="宋体" w:hAnsi="宋体" w:cs="宋体"/>
                <w:sz w:val="24"/>
                <w:szCs w:val="24"/>
                <w:u w:val="single"/>
              </w:rPr>
              <w:t>年   月   日</w:t>
            </w:r>
          </w:p>
        </w:tc>
      </w:tr>
      <w:tr w14:paraId="577F76B3">
        <w:tblPrEx>
          <w:tblCellMar>
            <w:top w:w="0" w:type="dxa"/>
            <w:left w:w="108" w:type="dxa"/>
            <w:bottom w:w="0" w:type="dxa"/>
            <w:right w:w="108" w:type="dxa"/>
          </w:tblCellMar>
        </w:tblPrEx>
        <w:trPr>
          <w:trHeight w:val="650" w:hRule="atLeast"/>
        </w:trPr>
        <w:tc>
          <w:tcPr>
            <w:tcW w:w="1702" w:type="dxa"/>
          </w:tcPr>
          <w:p w14:paraId="62191BD3">
            <w:pPr>
              <w:tabs>
                <w:tab w:val="left" w:pos="3702"/>
              </w:tabs>
              <w:snapToGrid w:val="0"/>
              <w:spacing w:line="312" w:lineRule="auto"/>
              <w:ind w:firstLine="480" w:firstLineChars="200"/>
              <w:rPr>
                <w:rFonts w:ascii="宋体" w:hAnsi="宋体" w:cs="宋体"/>
                <w:sz w:val="24"/>
                <w:szCs w:val="24"/>
              </w:rPr>
            </w:pPr>
          </w:p>
        </w:tc>
        <w:tc>
          <w:tcPr>
            <w:tcW w:w="3119" w:type="dxa"/>
          </w:tcPr>
          <w:p w14:paraId="784D672F">
            <w:pPr>
              <w:tabs>
                <w:tab w:val="left" w:pos="3702"/>
              </w:tabs>
              <w:snapToGrid w:val="0"/>
              <w:spacing w:line="312" w:lineRule="auto"/>
              <w:ind w:firstLine="480" w:firstLineChars="200"/>
              <w:rPr>
                <w:rFonts w:ascii="宋体" w:hAnsi="宋体" w:cs="宋体"/>
                <w:sz w:val="24"/>
                <w:szCs w:val="24"/>
                <w:u w:val="single"/>
              </w:rPr>
            </w:pPr>
          </w:p>
        </w:tc>
        <w:tc>
          <w:tcPr>
            <w:tcW w:w="1510" w:type="dxa"/>
            <w:vAlign w:val="center"/>
          </w:tcPr>
          <w:p w14:paraId="4C7C67BD">
            <w:pPr>
              <w:tabs>
                <w:tab w:val="left" w:pos="3702"/>
              </w:tabs>
              <w:snapToGrid w:val="0"/>
              <w:spacing w:line="312" w:lineRule="auto"/>
              <w:jc w:val="center"/>
              <w:rPr>
                <w:rFonts w:ascii="宋体" w:hAnsi="宋体" w:cs="宋体"/>
                <w:sz w:val="24"/>
                <w:szCs w:val="24"/>
                <w:u w:val="single"/>
              </w:rPr>
            </w:pPr>
            <w:r>
              <w:rPr>
                <w:rFonts w:hint="eastAsia" w:ascii="宋体" w:hAnsi="宋体" w:cs="宋体"/>
                <w:sz w:val="24"/>
                <w:szCs w:val="24"/>
                <w:u w:val="single"/>
              </w:rPr>
              <w:t>招标方式</w:t>
            </w:r>
            <w:r>
              <w:rPr>
                <w:rFonts w:hint="eastAsia" w:ascii="宋体" w:hAnsi="宋体" w:cs="宋体"/>
                <w:sz w:val="24"/>
                <w:szCs w:val="24"/>
              </w:rPr>
              <w:t>：</w:t>
            </w:r>
          </w:p>
        </w:tc>
        <w:tc>
          <w:tcPr>
            <w:tcW w:w="3028" w:type="dxa"/>
            <w:vAlign w:val="center"/>
          </w:tcPr>
          <w:p w14:paraId="5BA4ACA1">
            <w:pPr>
              <w:tabs>
                <w:tab w:val="left" w:pos="3702"/>
              </w:tabs>
              <w:snapToGrid w:val="0"/>
              <w:spacing w:line="312" w:lineRule="auto"/>
              <w:rPr>
                <w:rFonts w:ascii="宋体" w:hAnsi="宋体" w:cs="宋体"/>
                <w:sz w:val="24"/>
                <w:szCs w:val="24"/>
                <w:u w:val="single"/>
              </w:rPr>
            </w:pPr>
            <w:r>
              <w:rPr>
                <w:rFonts w:hint="eastAsia" w:ascii="宋体" w:hAnsi="宋体" w:cs="宋体"/>
                <w:sz w:val="24"/>
                <w:szCs w:val="24"/>
                <w:u w:val="single"/>
              </w:rPr>
              <w:t>竞争性磋商</w:t>
            </w:r>
          </w:p>
        </w:tc>
      </w:tr>
      <w:tr w14:paraId="24597F4E">
        <w:tblPrEx>
          <w:tblCellMar>
            <w:top w:w="0" w:type="dxa"/>
            <w:left w:w="108" w:type="dxa"/>
            <w:bottom w:w="0" w:type="dxa"/>
            <w:right w:w="108" w:type="dxa"/>
          </w:tblCellMar>
        </w:tblPrEx>
        <w:trPr>
          <w:trHeight w:val="814" w:hRule="atLeast"/>
        </w:trPr>
        <w:tc>
          <w:tcPr>
            <w:tcW w:w="1702" w:type="dxa"/>
          </w:tcPr>
          <w:p w14:paraId="4FF9A58A">
            <w:pPr>
              <w:tabs>
                <w:tab w:val="left" w:pos="3702"/>
              </w:tabs>
              <w:snapToGrid w:val="0"/>
              <w:spacing w:line="312" w:lineRule="auto"/>
              <w:ind w:firstLine="480" w:firstLineChars="200"/>
              <w:rPr>
                <w:rFonts w:ascii="宋体" w:hAnsi="宋体" w:cs="宋体"/>
                <w:sz w:val="24"/>
                <w:szCs w:val="24"/>
              </w:rPr>
            </w:pPr>
          </w:p>
        </w:tc>
        <w:tc>
          <w:tcPr>
            <w:tcW w:w="3119" w:type="dxa"/>
          </w:tcPr>
          <w:p w14:paraId="37508A48">
            <w:pPr>
              <w:tabs>
                <w:tab w:val="left" w:pos="3702"/>
              </w:tabs>
              <w:snapToGrid w:val="0"/>
              <w:spacing w:line="312" w:lineRule="auto"/>
              <w:ind w:firstLine="480" w:firstLineChars="200"/>
              <w:rPr>
                <w:rFonts w:ascii="宋体" w:hAnsi="宋体" w:cs="宋体"/>
                <w:sz w:val="24"/>
                <w:szCs w:val="24"/>
                <w:u w:val="single"/>
              </w:rPr>
            </w:pPr>
          </w:p>
        </w:tc>
        <w:tc>
          <w:tcPr>
            <w:tcW w:w="1510" w:type="dxa"/>
            <w:vAlign w:val="center"/>
          </w:tcPr>
          <w:p w14:paraId="27D5BC42">
            <w:pPr>
              <w:tabs>
                <w:tab w:val="left" w:pos="3702"/>
              </w:tabs>
              <w:snapToGrid w:val="0"/>
              <w:spacing w:line="312" w:lineRule="auto"/>
              <w:jc w:val="center"/>
              <w:rPr>
                <w:rFonts w:ascii="宋体" w:hAnsi="宋体" w:cs="宋体"/>
                <w:sz w:val="24"/>
                <w:szCs w:val="24"/>
                <w:u w:val="single"/>
              </w:rPr>
            </w:pPr>
            <w:r>
              <w:rPr>
                <w:rFonts w:hint="eastAsia" w:ascii="宋体" w:hAnsi="宋体" w:cs="宋体"/>
                <w:sz w:val="24"/>
                <w:szCs w:val="24"/>
                <w:u w:val="single"/>
              </w:rPr>
              <w:t>开标日期</w:t>
            </w:r>
            <w:r>
              <w:rPr>
                <w:rFonts w:hint="eastAsia" w:ascii="宋体" w:hAnsi="宋体" w:cs="宋体"/>
                <w:sz w:val="24"/>
                <w:szCs w:val="24"/>
              </w:rPr>
              <w:t>：</w:t>
            </w:r>
          </w:p>
        </w:tc>
        <w:tc>
          <w:tcPr>
            <w:tcW w:w="3028" w:type="dxa"/>
            <w:vAlign w:val="center"/>
          </w:tcPr>
          <w:p w14:paraId="4DA3EA1F">
            <w:pPr>
              <w:tabs>
                <w:tab w:val="left" w:pos="3702"/>
              </w:tabs>
              <w:snapToGrid w:val="0"/>
              <w:spacing w:line="312" w:lineRule="auto"/>
              <w:rPr>
                <w:rFonts w:ascii="宋体" w:hAnsi="宋体" w:cs="宋体"/>
                <w:sz w:val="24"/>
                <w:szCs w:val="24"/>
                <w:u w:val="single"/>
              </w:rPr>
            </w:pPr>
            <w:r>
              <w:rPr>
                <w:rFonts w:ascii="宋体" w:hAnsi="宋体" w:cs="宋体"/>
                <w:sz w:val="24"/>
                <w:szCs w:val="24"/>
                <w:u w:val="single"/>
              </w:rPr>
              <w:t xml:space="preserve">     </w:t>
            </w:r>
            <w:r>
              <w:rPr>
                <w:rFonts w:hint="eastAsia" w:ascii="宋体" w:hAnsi="宋体" w:cs="宋体"/>
                <w:sz w:val="24"/>
                <w:szCs w:val="24"/>
                <w:u w:val="single"/>
              </w:rPr>
              <w:t>年</w:t>
            </w:r>
            <w:r>
              <w:rPr>
                <w:rFonts w:ascii="宋体" w:hAnsi="宋体" w:cs="宋体"/>
                <w:sz w:val="24"/>
                <w:szCs w:val="24"/>
                <w:u w:val="single"/>
              </w:rPr>
              <w:t xml:space="preserve">   </w:t>
            </w:r>
            <w:r>
              <w:rPr>
                <w:rFonts w:hint="eastAsia" w:ascii="宋体" w:hAnsi="宋体" w:cs="宋体"/>
                <w:sz w:val="24"/>
                <w:szCs w:val="24"/>
                <w:u w:val="single"/>
              </w:rPr>
              <w:t>月</w:t>
            </w:r>
            <w:r>
              <w:rPr>
                <w:rFonts w:ascii="宋体" w:hAnsi="宋体" w:cs="宋体"/>
                <w:sz w:val="24"/>
                <w:szCs w:val="24"/>
                <w:u w:val="single"/>
              </w:rPr>
              <w:t xml:space="preserve">   </w:t>
            </w:r>
            <w:r>
              <w:rPr>
                <w:rFonts w:hint="eastAsia" w:ascii="宋体" w:hAnsi="宋体" w:cs="宋体"/>
                <w:sz w:val="24"/>
                <w:szCs w:val="24"/>
                <w:u w:val="single"/>
              </w:rPr>
              <w:t>日</w:t>
            </w:r>
          </w:p>
        </w:tc>
      </w:tr>
    </w:tbl>
    <w:p w14:paraId="18759739">
      <w:pPr>
        <w:spacing w:line="360" w:lineRule="auto"/>
        <w:ind w:firstLine="480" w:firstLineChars="200"/>
        <w:rPr>
          <w:rFonts w:ascii="宋体" w:hAnsi="宋体" w:cs="宋体"/>
          <w:b/>
          <w:bCs/>
          <w:sz w:val="24"/>
          <w:szCs w:val="24"/>
        </w:rPr>
      </w:pPr>
      <w:r>
        <w:rPr>
          <w:rFonts w:hint="eastAsia" w:ascii="宋体" w:hAnsi="宋体" w:cs="宋体"/>
          <w:bCs/>
          <w:sz w:val="24"/>
          <w:szCs w:val="24"/>
        </w:rPr>
        <w:t>供、需双方根据</w:t>
      </w:r>
      <w:r>
        <w:rPr>
          <w:rFonts w:ascii="宋体" w:hAnsi="宋体" w:cs="宋体"/>
          <w:bCs/>
          <w:sz w:val="24"/>
          <w:szCs w:val="24"/>
          <w:u w:val="single"/>
        </w:rPr>
        <w:t>西青区安防网危险化学品在线监测平台前端采集系统运行维护服务</w:t>
      </w:r>
      <w:r>
        <w:rPr>
          <w:rFonts w:hint="eastAsia" w:ascii="宋体" w:hAnsi="宋体" w:cs="宋体"/>
          <w:bCs/>
          <w:sz w:val="24"/>
          <w:szCs w:val="24"/>
        </w:rPr>
        <w:t>项目（项目编号：</w:t>
      </w:r>
      <w:r>
        <w:rPr>
          <w:rFonts w:hint="eastAsia" w:ascii="宋体" w:hAnsi="宋体" w:cs="宋体"/>
          <w:bCs/>
          <w:sz w:val="24"/>
          <w:szCs w:val="24"/>
          <w:u w:val="single"/>
        </w:rPr>
        <w:t xml:space="preserve"> </w:t>
      </w:r>
      <w:r>
        <w:rPr>
          <w:rFonts w:ascii="宋体" w:hAnsi="宋体" w:cs="宋体"/>
          <w:bCs/>
          <w:sz w:val="24"/>
          <w:szCs w:val="24"/>
          <w:u w:val="single"/>
        </w:rPr>
        <w:t xml:space="preserve">   </w:t>
      </w:r>
      <w:r>
        <w:rPr>
          <w:rFonts w:hint="eastAsia" w:ascii="宋体" w:hAnsi="宋体" w:cs="宋体"/>
          <w:bCs/>
          <w:sz w:val="24"/>
          <w:szCs w:val="24"/>
        </w:rPr>
        <w:t>）的磋商文件要求及</w:t>
      </w:r>
      <w:r>
        <w:rPr>
          <w:rFonts w:hint="eastAsia" w:ascii="宋体" w:hAnsi="宋体" w:cs="宋体"/>
          <w:bCs/>
          <w:sz w:val="24"/>
          <w:szCs w:val="24"/>
          <w:u w:val="single"/>
        </w:rPr>
        <w:t xml:space="preserve">     </w:t>
      </w:r>
      <w:r>
        <w:rPr>
          <w:rFonts w:hint="eastAsia" w:ascii="宋体" w:hAnsi="宋体" w:cs="宋体"/>
          <w:bCs/>
          <w:sz w:val="24"/>
          <w:szCs w:val="24"/>
        </w:rPr>
        <w:t>年</w:t>
      </w:r>
      <w:r>
        <w:rPr>
          <w:rFonts w:hint="eastAsia" w:ascii="宋体" w:hAnsi="宋体" w:cs="宋体"/>
          <w:bCs/>
          <w:sz w:val="24"/>
          <w:szCs w:val="24"/>
          <w:u w:val="single"/>
        </w:rPr>
        <w:t xml:space="preserve">    </w:t>
      </w:r>
      <w:r>
        <w:rPr>
          <w:rFonts w:hint="eastAsia" w:ascii="宋体" w:hAnsi="宋体" w:cs="宋体"/>
          <w:bCs/>
          <w:sz w:val="24"/>
          <w:szCs w:val="24"/>
        </w:rPr>
        <w:t>月</w:t>
      </w:r>
      <w:r>
        <w:rPr>
          <w:rFonts w:hint="eastAsia" w:ascii="宋体" w:hAnsi="宋体" w:cs="宋体"/>
          <w:bCs/>
          <w:sz w:val="24"/>
          <w:szCs w:val="24"/>
          <w:u w:val="single"/>
        </w:rPr>
        <w:t xml:space="preserve">    </w:t>
      </w:r>
      <w:r>
        <w:rPr>
          <w:rFonts w:hint="eastAsia" w:ascii="宋体" w:hAnsi="宋体" w:cs="宋体"/>
          <w:bCs/>
          <w:sz w:val="24"/>
          <w:szCs w:val="24"/>
        </w:rPr>
        <w:t>日天津市西青区</w:t>
      </w:r>
      <w:r>
        <w:rPr>
          <w:rFonts w:ascii="宋体" w:hAnsi="宋体" w:cs="宋体"/>
          <w:bCs/>
          <w:sz w:val="24"/>
          <w:szCs w:val="24"/>
        </w:rPr>
        <w:t>政府采购中心</w:t>
      </w:r>
      <w:r>
        <w:rPr>
          <w:rFonts w:hint="eastAsia" w:ascii="宋体" w:hAnsi="宋体" w:cs="宋体"/>
          <w:bCs/>
          <w:sz w:val="24"/>
          <w:szCs w:val="24"/>
        </w:rPr>
        <w:t>组织的该项目的磋商结果,本着</w:t>
      </w:r>
      <w:r>
        <w:rPr>
          <w:rFonts w:hint="eastAsia" w:ascii="宋体" w:hAnsi="宋体" w:cs="宋体"/>
          <w:bCs/>
          <w:sz w:val="24"/>
          <w:szCs w:val="24"/>
          <w:lang w:val="zh-CN"/>
        </w:rPr>
        <w:t>相互信任、真诚合作的原则,</w:t>
      </w:r>
      <w:r>
        <w:rPr>
          <w:rFonts w:hint="eastAsia" w:ascii="宋体" w:hAnsi="宋体" w:cs="宋体"/>
          <w:bCs/>
          <w:sz w:val="24"/>
          <w:szCs w:val="24"/>
        </w:rPr>
        <w:t>经</w:t>
      </w:r>
      <w:r>
        <w:rPr>
          <w:rFonts w:hint="eastAsia" w:ascii="宋体" w:hAnsi="宋体" w:cs="宋体"/>
          <w:bCs/>
          <w:sz w:val="24"/>
          <w:szCs w:val="24"/>
          <w:lang w:val="zh-CN"/>
        </w:rPr>
        <w:t>友好协商的基础上</w:t>
      </w:r>
      <w:r>
        <w:rPr>
          <w:rFonts w:hint="eastAsia" w:ascii="宋体" w:hAnsi="宋体" w:cs="宋体"/>
          <w:bCs/>
          <w:sz w:val="24"/>
          <w:szCs w:val="24"/>
        </w:rPr>
        <w:t>，共同签订本合同：</w:t>
      </w:r>
    </w:p>
    <w:p w14:paraId="72372EE9">
      <w:pPr>
        <w:tabs>
          <w:tab w:val="left" w:pos="5334"/>
        </w:tabs>
        <w:snapToGrid w:val="0"/>
        <w:spacing w:line="360" w:lineRule="auto"/>
        <w:ind w:firstLine="482" w:firstLineChars="200"/>
        <w:rPr>
          <w:rFonts w:ascii="宋体" w:hAnsi="宋体" w:cs="宋体"/>
          <w:sz w:val="24"/>
          <w:szCs w:val="24"/>
        </w:rPr>
      </w:pPr>
      <w:r>
        <w:rPr>
          <w:rFonts w:hint="eastAsia" w:ascii="宋体" w:hAnsi="宋体" w:cs="宋体"/>
          <w:b/>
          <w:sz w:val="24"/>
          <w:szCs w:val="24"/>
          <w:lang w:val="zh-CN"/>
        </w:rPr>
        <w:t>第一条    名称、数量、价款</w:t>
      </w:r>
      <w:r>
        <w:rPr>
          <w:rFonts w:hint="eastAsia" w:ascii="宋体" w:hAnsi="宋体" w:cs="宋体"/>
          <w:sz w:val="24"/>
          <w:szCs w:val="24"/>
        </w:rPr>
        <w:tab/>
      </w:r>
    </w:p>
    <w:p w14:paraId="4A0F8C3E">
      <w:pPr>
        <w:spacing w:line="360" w:lineRule="auto"/>
        <w:jc w:val="right"/>
        <w:rPr>
          <w:rFonts w:ascii="宋体" w:hAnsi="宋体" w:cs="宋体"/>
          <w:sz w:val="24"/>
          <w:szCs w:val="24"/>
        </w:rPr>
      </w:pPr>
      <w:r>
        <w:rPr>
          <w:rFonts w:hint="eastAsia" w:ascii="宋体" w:hAnsi="宋体" w:cs="宋体"/>
          <w:sz w:val="24"/>
          <w:szCs w:val="24"/>
        </w:rPr>
        <w:t>单位：元</w:t>
      </w:r>
    </w:p>
    <w:tbl>
      <w:tblPr>
        <w:tblStyle w:val="17"/>
        <w:tblW w:w="8767" w:type="dxa"/>
        <w:tblInd w:w="-1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397"/>
        <w:gridCol w:w="5290"/>
        <w:gridCol w:w="1080"/>
      </w:tblGrid>
      <w:tr w14:paraId="21A69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2397" w:type="dxa"/>
            <w:tcBorders>
              <w:top w:val="single" w:color="000000" w:sz="4" w:space="0"/>
              <w:left w:val="single" w:color="000000" w:sz="4" w:space="0"/>
              <w:bottom w:val="single" w:color="000000" w:sz="4" w:space="0"/>
              <w:right w:val="single" w:color="000000" w:sz="4" w:space="0"/>
              <w:tl2br w:val="nil"/>
              <w:tr2bl w:val="nil"/>
            </w:tcBorders>
            <w:vAlign w:val="center"/>
          </w:tcPr>
          <w:p w14:paraId="5183FA11">
            <w:pPr>
              <w:spacing w:line="360" w:lineRule="auto"/>
              <w:jc w:val="center"/>
              <w:rPr>
                <w:rFonts w:ascii="宋体" w:hAnsi="宋体" w:cs="宋体"/>
                <w:sz w:val="24"/>
                <w:szCs w:val="24"/>
              </w:rPr>
            </w:pPr>
            <w:r>
              <w:rPr>
                <w:rFonts w:hint="eastAsia" w:ascii="宋体" w:hAnsi="宋体" w:cs="宋体"/>
                <w:sz w:val="24"/>
                <w:szCs w:val="24"/>
              </w:rPr>
              <w:t>项目名称</w:t>
            </w:r>
          </w:p>
        </w:tc>
        <w:tc>
          <w:tcPr>
            <w:tcW w:w="5290" w:type="dxa"/>
            <w:tcBorders>
              <w:top w:val="single" w:color="000000" w:sz="4" w:space="0"/>
              <w:left w:val="single" w:color="auto" w:sz="4" w:space="0"/>
              <w:bottom w:val="single" w:color="000000" w:sz="4" w:space="0"/>
              <w:right w:val="single" w:color="000000" w:sz="4" w:space="0"/>
              <w:tl2br w:val="nil"/>
              <w:tr2bl w:val="nil"/>
            </w:tcBorders>
            <w:vAlign w:val="center"/>
          </w:tcPr>
          <w:p w14:paraId="4F1D4C52">
            <w:pPr>
              <w:spacing w:line="360" w:lineRule="auto"/>
              <w:jc w:val="center"/>
              <w:rPr>
                <w:rFonts w:ascii="宋体" w:hAnsi="宋体" w:cs="宋体"/>
                <w:sz w:val="24"/>
                <w:szCs w:val="24"/>
              </w:rPr>
            </w:pPr>
            <w:r>
              <w:rPr>
                <w:rFonts w:hint="eastAsia" w:ascii="宋体" w:hAnsi="宋体" w:cs="宋体"/>
                <w:sz w:val="24"/>
                <w:szCs w:val="24"/>
              </w:rPr>
              <w:t>服务内容及</w:t>
            </w:r>
            <w:r>
              <w:rPr>
                <w:rFonts w:ascii="宋体" w:hAnsi="宋体" w:cs="宋体"/>
                <w:sz w:val="24"/>
                <w:szCs w:val="24"/>
              </w:rPr>
              <w:t>技术要求</w:t>
            </w:r>
          </w:p>
        </w:tc>
        <w:tc>
          <w:tcPr>
            <w:tcW w:w="1080" w:type="dxa"/>
            <w:tcBorders>
              <w:top w:val="single" w:color="000000" w:sz="4" w:space="0"/>
              <w:left w:val="single" w:color="auto" w:sz="4" w:space="0"/>
              <w:bottom w:val="single" w:color="000000" w:sz="4" w:space="0"/>
              <w:right w:val="single" w:color="000000" w:sz="4" w:space="0"/>
              <w:tl2br w:val="nil"/>
              <w:tr2bl w:val="nil"/>
            </w:tcBorders>
          </w:tcPr>
          <w:p w14:paraId="3205C014">
            <w:pPr>
              <w:spacing w:line="360" w:lineRule="auto"/>
              <w:jc w:val="center"/>
              <w:rPr>
                <w:rFonts w:ascii="宋体" w:hAnsi="宋体" w:cs="宋体"/>
                <w:sz w:val="24"/>
                <w:szCs w:val="24"/>
              </w:rPr>
            </w:pPr>
            <w:r>
              <w:rPr>
                <w:rFonts w:hint="eastAsia" w:ascii="宋体" w:hAnsi="宋体" w:cs="宋体"/>
                <w:sz w:val="24"/>
                <w:szCs w:val="24"/>
              </w:rPr>
              <w:t>合同金额</w:t>
            </w:r>
          </w:p>
        </w:tc>
      </w:tr>
      <w:tr w14:paraId="77370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2397" w:type="dxa"/>
            <w:tcBorders>
              <w:top w:val="single" w:color="auto" w:sz="4" w:space="0"/>
              <w:left w:val="single" w:color="000000" w:sz="4" w:space="0"/>
              <w:bottom w:val="single" w:color="000000" w:sz="4" w:space="0"/>
              <w:right w:val="single" w:color="000000" w:sz="4" w:space="0"/>
              <w:tl2br w:val="nil"/>
              <w:tr2bl w:val="nil"/>
            </w:tcBorders>
            <w:vAlign w:val="center"/>
          </w:tcPr>
          <w:p w14:paraId="0E975AA2">
            <w:pPr>
              <w:spacing w:line="360" w:lineRule="auto"/>
              <w:jc w:val="center"/>
              <w:rPr>
                <w:rFonts w:ascii="宋体" w:hAnsi="宋体" w:cs="宋体"/>
                <w:sz w:val="24"/>
                <w:szCs w:val="24"/>
              </w:rPr>
            </w:pPr>
            <w:r>
              <w:rPr>
                <w:rFonts w:ascii="宋体" w:hAnsi="宋体" w:cs="宋体"/>
                <w:sz w:val="24"/>
                <w:szCs w:val="24"/>
              </w:rPr>
              <w:t>西青区安防网危险化学品在线监测平台前端采集系统运行维护服务项目</w:t>
            </w:r>
          </w:p>
        </w:tc>
        <w:tc>
          <w:tcPr>
            <w:tcW w:w="5290" w:type="dxa"/>
            <w:tcBorders>
              <w:top w:val="single" w:color="auto" w:sz="4" w:space="0"/>
              <w:left w:val="single" w:color="auto" w:sz="4" w:space="0"/>
              <w:bottom w:val="single" w:color="000000" w:sz="4" w:space="0"/>
              <w:right w:val="single" w:color="000000" w:sz="4" w:space="0"/>
              <w:tl2br w:val="nil"/>
              <w:tr2bl w:val="nil"/>
            </w:tcBorders>
            <w:vAlign w:val="center"/>
          </w:tcPr>
          <w:p w14:paraId="5F7CA2F6">
            <w:pPr>
              <w:spacing w:line="360" w:lineRule="auto"/>
              <w:jc w:val="center"/>
              <w:rPr>
                <w:rFonts w:ascii="宋体" w:hAnsi="宋体" w:cs="宋体"/>
                <w:sz w:val="24"/>
                <w:szCs w:val="24"/>
              </w:rPr>
            </w:pPr>
            <w:r>
              <w:rPr>
                <w:rFonts w:hint="eastAsia" w:ascii="宋体" w:hAnsi="宋体" w:cs="宋体"/>
                <w:sz w:val="24"/>
                <w:szCs w:val="24"/>
              </w:rPr>
              <w:t>详见附件明细</w:t>
            </w:r>
          </w:p>
          <w:p w14:paraId="4B84945A">
            <w:pPr>
              <w:spacing w:line="360" w:lineRule="auto"/>
              <w:rPr>
                <w:rFonts w:ascii="宋体" w:hAnsi="宋体" w:cs="宋体"/>
                <w:sz w:val="24"/>
                <w:szCs w:val="24"/>
              </w:rPr>
            </w:pPr>
            <w:r>
              <w:rPr>
                <w:rFonts w:hint="eastAsia" w:ascii="宋体" w:hAnsi="宋体" w:cs="宋体"/>
                <w:sz w:val="24"/>
                <w:szCs w:val="24"/>
              </w:rPr>
              <w:t xml:space="preserve"> </w:t>
            </w:r>
          </w:p>
        </w:tc>
        <w:tc>
          <w:tcPr>
            <w:tcW w:w="1080" w:type="dxa"/>
            <w:tcBorders>
              <w:top w:val="single" w:color="auto" w:sz="4" w:space="0"/>
              <w:left w:val="single" w:color="auto" w:sz="4" w:space="0"/>
              <w:bottom w:val="single" w:color="000000" w:sz="4" w:space="0"/>
              <w:right w:val="single" w:color="000000" w:sz="4" w:space="0"/>
              <w:tl2br w:val="nil"/>
              <w:tr2bl w:val="nil"/>
            </w:tcBorders>
            <w:vAlign w:val="center"/>
          </w:tcPr>
          <w:p w14:paraId="383C2A7F">
            <w:pPr>
              <w:spacing w:line="360" w:lineRule="auto"/>
              <w:ind w:firstLine="120" w:firstLineChars="50"/>
              <w:rPr>
                <w:rFonts w:ascii="宋体" w:hAnsi="宋体" w:cs="宋体"/>
                <w:sz w:val="24"/>
                <w:szCs w:val="24"/>
              </w:rPr>
            </w:pPr>
          </w:p>
        </w:tc>
      </w:tr>
      <w:tr w14:paraId="7C3DA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2" w:hRule="atLeast"/>
        </w:trPr>
        <w:tc>
          <w:tcPr>
            <w:tcW w:w="2397" w:type="dxa"/>
            <w:tcBorders>
              <w:top w:val="single" w:color="auto" w:sz="4" w:space="0"/>
              <w:left w:val="single" w:color="000000" w:sz="4" w:space="0"/>
              <w:bottom w:val="single" w:color="auto" w:sz="4" w:space="0"/>
              <w:right w:val="single" w:color="000000" w:sz="4" w:space="0"/>
              <w:tl2br w:val="nil"/>
              <w:tr2bl w:val="nil"/>
            </w:tcBorders>
            <w:vAlign w:val="center"/>
          </w:tcPr>
          <w:p w14:paraId="1669A228">
            <w:pPr>
              <w:spacing w:line="360" w:lineRule="auto"/>
              <w:jc w:val="center"/>
              <w:rPr>
                <w:rFonts w:ascii="宋体" w:hAnsi="宋体" w:cs="宋体"/>
                <w:sz w:val="24"/>
                <w:szCs w:val="24"/>
              </w:rPr>
            </w:pPr>
            <w:r>
              <w:rPr>
                <w:rFonts w:hint="eastAsia" w:ascii="宋体" w:hAnsi="宋体" w:cs="宋体"/>
                <w:sz w:val="24"/>
                <w:szCs w:val="24"/>
              </w:rPr>
              <w:t>合计</w:t>
            </w:r>
          </w:p>
        </w:tc>
        <w:tc>
          <w:tcPr>
            <w:tcW w:w="5290" w:type="dxa"/>
            <w:tcBorders>
              <w:top w:val="single" w:color="auto" w:sz="4" w:space="0"/>
              <w:left w:val="single" w:color="auto" w:sz="4" w:space="0"/>
              <w:bottom w:val="single" w:color="auto" w:sz="4" w:space="0"/>
              <w:right w:val="single" w:color="000000" w:sz="4" w:space="0"/>
              <w:tl2br w:val="nil"/>
              <w:tr2bl w:val="nil"/>
            </w:tcBorders>
            <w:vAlign w:val="center"/>
          </w:tcPr>
          <w:p w14:paraId="6D7E839D">
            <w:pPr>
              <w:spacing w:line="360" w:lineRule="auto"/>
              <w:jc w:val="center"/>
              <w:rPr>
                <w:rFonts w:ascii="宋体" w:hAnsi="宋体" w:cs="宋体"/>
                <w:sz w:val="24"/>
                <w:szCs w:val="24"/>
              </w:rPr>
            </w:pPr>
          </w:p>
        </w:tc>
        <w:tc>
          <w:tcPr>
            <w:tcW w:w="1080" w:type="dxa"/>
            <w:tcBorders>
              <w:top w:val="single" w:color="auto" w:sz="4" w:space="0"/>
              <w:left w:val="single" w:color="auto" w:sz="4" w:space="0"/>
              <w:bottom w:val="single" w:color="auto" w:sz="4" w:space="0"/>
              <w:right w:val="single" w:color="000000" w:sz="4" w:space="0"/>
              <w:tl2br w:val="nil"/>
              <w:tr2bl w:val="nil"/>
            </w:tcBorders>
            <w:vAlign w:val="center"/>
          </w:tcPr>
          <w:p w14:paraId="298C08E2">
            <w:pPr>
              <w:spacing w:line="360" w:lineRule="auto"/>
              <w:jc w:val="center"/>
              <w:rPr>
                <w:rFonts w:ascii="宋体" w:hAnsi="宋体" w:cs="宋体"/>
                <w:sz w:val="24"/>
                <w:szCs w:val="24"/>
              </w:rPr>
            </w:pPr>
          </w:p>
        </w:tc>
      </w:tr>
      <w:tr w14:paraId="16680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trPr>
        <w:tc>
          <w:tcPr>
            <w:tcW w:w="8767" w:type="dxa"/>
            <w:gridSpan w:val="3"/>
            <w:tcBorders>
              <w:top w:val="single" w:color="auto" w:sz="4" w:space="0"/>
              <w:left w:val="single" w:color="000000" w:sz="4" w:space="0"/>
              <w:bottom w:val="single" w:color="000000" w:sz="4" w:space="0"/>
              <w:right w:val="single" w:color="000000" w:sz="4" w:space="0"/>
              <w:tl2br w:val="nil"/>
              <w:tr2bl w:val="nil"/>
            </w:tcBorders>
          </w:tcPr>
          <w:p w14:paraId="635030AB">
            <w:pPr>
              <w:spacing w:line="360" w:lineRule="auto"/>
              <w:jc w:val="left"/>
              <w:rPr>
                <w:rFonts w:ascii="宋体" w:hAnsi="宋体" w:cs="宋体"/>
                <w:sz w:val="24"/>
                <w:szCs w:val="24"/>
              </w:rPr>
            </w:pPr>
            <w:r>
              <w:rPr>
                <w:rFonts w:hint="eastAsia" w:ascii="宋体" w:hAnsi="宋体" w:cs="宋体"/>
                <w:sz w:val="24"/>
                <w:szCs w:val="24"/>
              </w:rPr>
              <w:t xml:space="preserve">   合计人民币金额（大写）：元整 </w:t>
            </w:r>
          </w:p>
        </w:tc>
      </w:tr>
    </w:tbl>
    <w:p w14:paraId="2F92257C">
      <w:pPr>
        <w:spacing w:line="360" w:lineRule="auto"/>
        <w:ind w:firstLine="482" w:firstLineChars="200"/>
        <w:rPr>
          <w:rFonts w:ascii="宋体" w:hAnsi="宋体" w:cs="宋体"/>
          <w:bCs/>
          <w:sz w:val="24"/>
          <w:szCs w:val="24"/>
          <w:u w:val="single"/>
        </w:rPr>
      </w:pPr>
      <w:r>
        <w:rPr>
          <w:rFonts w:hint="eastAsia" w:ascii="宋体" w:hAnsi="宋体" w:cs="宋体"/>
          <w:b/>
          <w:sz w:val="24"/>
          <w:szCs w:val="24"/>
        </w:rPr>
        <w:t xml:space="preserve">第二条    </w:t>
      </w:r>
      <w:r>
        <w:rPr>
          <w:rFonts w:hint="eastAsia" w:ascii="宋体" w:hAnsi="宋体" w:cs="宋体"/>
          <w:b/>
          <w:sz w:val="24"/>
          <w:szCs w:val="24"/>
          <w:lang w:val="zh-CN"/>
        </w:rPr>
        <w:t>报价要求</w:t>
      </w:r>
      <w:r>
        <w:rPr>
          <w:rFonts w:hint="eastAsia" w:ascii="宋体" w:hAnsi="宋体" w:cs="宋体"/>
          <w:b/>
          <w:sz w:val="24"/>
          <w:szCs w:val="24"/>
        </w:rPr>
        <w:t>：</w:t>
      </w:r>
    </w:p>
    <w:p w14:paraId="14B4C5AA">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1.磋商报价以人民币填列。</w:t>
      </w:r>
    </w:p>
    <w:p w14:paraId="760FC666">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2.供方的报价应包括：人员工时费、车辆燃油费、维修维护费、备机备件购置费、纸张打印费、资料装订费、税费等为完成磋商文件（编号：）规定的一切工作所需的全部费用，供方应理解并接受需方不接受供方在实际项目实施过程中追加其余任何款项的要求。供方所报价格为完成本项目最终优惠价格。</w:t>
      </w:r>
    </w:p>
    <w:p w14:paraId="563B275F">
      <w:pPr>
        <w:snapToGrid w:val="0"/>
        <w:ind w:firstLine="480" w:firstLineChars="200"/>
        <w:rPr>
          <w:rFonts w:ascii="宋体" w:hAnsi="宋体" w:cs="宋体"/>
          <w:bCs/>
          <w:sz w:val="24"/>
          <w:szCs w:val="24"/>
        </w:rPr>
      </w:pPr>
      <w:r>
        <w:rPr>
          <w:rFonts w:hint="eastAsia" w:ascii="宋体" w:hAnsi="宋体" w:cs="宋体"/>
          <w:bCs/>
          <w:sz w:val="24"/>
          <w:szCs w:val="24"/>
        </w:rPr>
        <w:t>3.验收涉及相关费用由供方负责。</w:t>
      </w:r>
    </w:p>
    <w:p w14:paraId="36624C24">
      <w:pPr>
        <w:spacing w:line="360" w:lineRule="auto"/>
        <w:ind w:firstLine="482" w:firstLineChars="200"/>
        <w:rPr>
          <w:rFonts w:ascii="宋体" w:hAnsi="宋体" w:cs="宋体"/>
          <w:b/>
          <w:sz w:val="24"/>
          <w:szCs w:val="24"/>
        </w:rPr>
      </w:pPr>
      <w:r>
        <w:rPr>
          <w:rFonts w:hint="eastAsia" w:ascii="宋体" w:hAnsi="宋体" w:cs="宋体"/>
          <w:b/>
          <w:sz w:val="24"/>
          <w:szCs w:val="24"/>
        </w:rPr>
        <w:t>第三条    服务要求：</w:t>
      </w:r>
    </w:p>
    <w:p w14:paraId="740FD8BE">
      <w:pPr>
        <w:snapToGrid w:val="0"/>
        <w:spacing w:line="360" w:lineRule="auto"/>
        <w:ind w:firstLine="480" w:firstLineChars="200"/>
        <w:rPr>
          <w:rFonts w:ascii="宋体" w:hAnsi="宋体" w:cs="宋体"/>
          <w:bCs/>
          <w:sz w:val="24"/>
          <w:szCs w:val="24"/>
        </w:rPr>
      </w:pPr>
      <w:r>
        <w:rPr>
          <w:rFonts w:ascii="宋体" w:hAnsi="宋体" w:cs="宋体"/>
          <w:bCs/>
          <w:sz w:val="24"/>
          <w:szCs w:val="24"/>
        </w:rPr>
        <w:t>1.服务期内，供方运维人员不少于</w:t>
      </w:r>
      <w:r>
        <w:rPr>
          <w:rFonts w:hint="eastAsia" w:ascii="宋体" w:hAnsi="宋体" w:cs="宋体"/>
          <w:bCs/>
          <w:sz w:val="24"/>
          <w:szCs w:val="24"/>
        </w:rPr>
        <w:t>5</w:t>
      </w:r>
      <w:r>
        <w:rPr>
          <w:rFonts w:ascii="宋体" w:hAnsi="宋体" w:cs="宋体"/>
          <w:bCs/>
          <w:sz w:val="24"/>
          <w:szCs w:val="24"/>
        </w:rPr>
        <w:t>名，具有物联网工程、网络工程、软件工程等相关领域专业知识和实际运维经验，提供7*24小时技术支持。必要时，按需方要求提供驻场服务。</w:t>
      </w:r>
    </w:p>
    <w:p w14:paraId="1EFADECC">
      <w:pPr>
        <w:snapToGrid w:val="0"/>
        <w:spacing w:line="360" w:lineRule="auto"/>
        <w:ind w:firstLine="480" w:firstLineChars="200"/>
        <w:rPr>
          <w:rFonts w:ascii="宋体" w:hAnsi="宋体" w:cs="宋体"/>
          <w:bCs/>
          <w:sz w:val="24"/>
          <w:szCs w:val="24"/>
        </w:rPr>
      </w:pPr>
      <w:r>
        <w:rPr>
          <w:rFonts w:ascii="宋体" w:hAnsi="宋体" w:cs="宋体"/>
          <w:bCs/>
          <w:sz w:val="24"/>
          <w:szCs w:val="24"/>
        </w:rPr>
        <w:t>2.自签订合同之日起15个工作日内，供方应制定详细的运维方案，明确运维目标、运维内容、月巡检维护计划、故障应急响应程序、问题调查程序、变更实施程序等，运维方案应由需方审核确认。</w:t>
      </w:r>
    </w:p>
    <w:p w14:paraId="1941EFA2">
      <w:pPr>
        <w:snapToGrid w:val="0"/>
        <w:spacing w:line="360" w:lineRule="auto"/>
        <w:ind w:firstLine="480" w:firstLineChars="200"/>
        <w:rPr>
          <w:rFonts w:ascii="宋体" w:hAnsi="宋体" w:cs="宋体"/>
          <w:bCs/>
          <w:sz w:val="24"/>
          <w:szCs w:val="24"/>
        </w:rPr>
      </w:pPr>
      <w:r>
        <w:rPr>
          <w:rFonts w:ascii="宋体" w:hAnsi="宋体" w:cs="宋体"/>
          <w:bCs/>
          <w:sz w:val="24"/>
          <w:szCs w:val="24"/>
        </w:rPr>
        <w:t xml:space="preserve">3.供方实施运维服务前，应结合西青区安防网危险化学品在线监测平台建设现状，建立完善的初始配置管理清单台账，并结合运维工作开展过程中的变更实施进行动态调整。初始配置管理清单台账包括但不限于：设备位置记录表，汇总 IP 地址表、关键设备配置信息表、设备资产台账等，其中应明确IP、设备资产的唯一标识。 </w:t>
      </w:r>
    </w:p>
    <w:p w14:paraId="1192E42F">
      <w:pPr>
        <w:snapToGrid w:val="0"/>
        <w:spacing w:line="360" w:lineRule="auto"/>
        <w:ind w:firstLine="480" w:firstLineChars="200"/>
        <w:rPr>
          <w:rFonts w:ascii="宋体" w:hAnsi="宋体" w:cs="宋体"/>
          <w:bCs/>
          <w:sz w:val="24"/>
          <w:szCs w:val="24"/>
        </w:rPr>
      </w:pPr>
      <w:r>
        <w:rPr>
          <w:rFonts w:ascii="宋体" w:hAnsi="宋体" w:cs="宋体"/>
          <w:bCs/>
          <w:sz w:val="24"/>
          <w:szCs w:val="24"/>
        </w:rPr>
        <w:t>4.服务期内，供方每次巡检后，应对巡检范围内的每一个巡检对象制定独立、完整的巡检记录，记录内容包括但不限于：巡检记录的唯一标识、该次巡检的起始时间和完成时间（年月日时分）、该次巡检的执行人员姓名及联系方式、巡检对象的唯一标识（该标识应与配置管理中该对象的唯一标识一致，或与配置管理中该对象的唯一标识具备可识别的关联性）、巡检内容（针对不同对象制定不同的巡检任务）、执行的巡检操作、巡检发现的问题以及排查存在的安全隐患或可预见性故障、用户反馈意见、问题解决情况（可关联其他记录的唯一标识）。记录应由需方负责人员签字</w:t>
      </w:r>
      <w:r>
        <w:rPr>
          <w:rFonts w:hint="eastAsia" w:ascii="宋体" w:hAnsi="宋体" w:cs="宋体"/>
          <w:bCs/>
          <w:sz w:val="24"/>
          <w:szCs w:val="24"/>
        </w:rPr>
        <w:t>确认，其具体制式由双方协商确定。</w:t>
      </w:r>
    </w:p>
    <w:p w14:paraId="4B4899BE">
      <w:pPr>
        <w:snapToGrid w:val="0"/>
        <w:spacing w:line="360" w:lineRule="auto"/>
        <w:ind w:firstLine="480" w:firstLineChars="200"/>
        <w:rPr>
          <w:rFonts w:ascii="宋体" w:hAnsi="宋体" w:cs="宋体"/>
          <w:bCs/>
          <w:sz w:val="24"/>
          <w:szCs w:val="24"/>
        </w:rPr>
      </w:pPr>
      <w:r>
        <w:rPr>
          <w:rFonts w:ascii="宋体" w:hAnsi="宋体" w:cs="宋体"/>
          <w:bCs/>
          <w:sz w:val="24"/>
          <w:szCs w:val="24"/>
        </w:rPr>
        <w:t>5.服务期内，供方应每季度汇总当季度全部的巡检记录，编制巡检报告，报告应对当月巡检任务完成情况进行说明，对巡检范围内设备设施存在的故障情况及处理情况进行汇总分析，提出后续操作、使用、维护等工作的改进建议。</w:t>
      </w:r>
    </w:p>
    <w:p w14:paraId="3B3EF07B">
      <w:pPr>
        <w:snapToGrid w:val="0"/>
        <w:spacing w:line="360" w:lineRule="auto"/>
        <w:ind w:firstLine="480" w:firstLineChars="200"/>
        <w:rPr>
          <w:rFonts w:ascii="宋体" w:hAnsi="宋体" w:cs="宋体"/>
          <w:bCs/>
          <w:sz w:val="24"/>
          <w:szCs w:val="24"/>
        </w:rPr>
      </w:pPr>
      <w:r>
        <w:rPr>
          <w:rFonts w:ascii="宋体" w:hAnsi="宋体" w:cs="宋体"/>
          <w:bCs/>
          <w:sz w:val="24"/>
          <w:szCs w:val="24"/>
        </w:rPr>
        <w:t>6.服务期内，供方每次故障修复完成后，应对故障修复过程情况进行完整记录，记录内容包括但不限于：故障修复记录的唯一标识、故障来源（例行巡检发现，主动发现，用户故障通知）、故障来源的关联服务记录唯一标识（仅针对例行巡检）、故障发现时间（年月日时分）、设备故障描述、关联故障对象标识（该标识应与配置管理中该对象的唯一标识一致，或与配置管理中该对象的唯一标识具备可识别的关联性）、故障恢复时间（年月日时分）、故障持续时间（时分）、故障处理人姓名、故障处理人联系方式、故障修复过程描述、是否导致业务中断、备机备件使用情况、</w:t>
      </w:r>
      <w:r>
        <w:rPr>
          <w:rFonts w:hint="eastAsia" w:ascii="宋体" w:hAnsi="宋体" w:cs="宋体"/>
          <w:bCs/>
          <w:sz w:val="24"/>
          <w:szCs w:val="24"/>
        </w:rPr>
        <w:t>关联的其他服务记录唯一标识（如：设备维修维护、变更实施、问题调查等），并由需方相关负责人签字确认，其具体制式由双方协商确定。</w:t>
      </w:r>
    </w:p>
    <w:p w14:paraId="789C6C15">
      <w:pPr>
        <w:snapToGrid w:val="0"/>
        <w:spacing w:line="360" w:lineRule="auto"/>
        <w:ind w:firstLine="480" w:firstLineChars="200"/>
        <w:rPr>
          <w:rFonts w:ascii="宋体" w:hAnsi="宋体" w:cs="宋体"/>
          <w:bCs/>
          <w:sz w:val="24"/>
          <w:szCs w:val="24"/>
        </w:rPr>
      </w:pPr>
      <w:r>
        <w:rPr>
          <w:rFonts w:ascii="宋体" w:hAnsi="宋体" w:cs="宋体"/>
          <w:bCs/>
          <w:sz w:val="24"/>
          <w:szCs w:val="24"/>
        </w:rPr>
        <w:t>7.服务期内，每次设备维修维护或固件升级完成后，应对维修维护、固件升级情况及时进行记录，记录内容包括但不限于：维修维护设备记录的唯一标识、该次维修维护的起因（检维修计划、例行巡检发现、故障修复、网络安全管理、重保、业务需要）、维修维护起因关联服务记录唯一标识（仅针对例行巡检、故障修复、重保）该次维修维护的起始时间和完成时间（年月日时分）、该次维修维护的执行人姓名及联系方式（手机）、维修维护对象的唯一标识（该标识应与配置管理中该对象的唯一标识一致，或与配置管理中该对象的唯一标识具备可识别的关联性）、维修维护操</w:t>
      </w:r>
      <w:r>
        <w:rPr>
          <w:rFonts w:hint="eastAsia" w:ascii="宋体" w:hAnsi="宋体" w:cs="宋体"/>
          <w:bCs/>
          <w:sz w:val="24"/>
          <w:szCs w:val="24"/>
        </w:rPr>
        <w:t>作的具体说明、导致该次维修维护的具体原因、该次维修维护关联的记录标识（变更实施）。</w:t>
      </w:r>
    </w:p>
    <w:p w14:paraId="23EB53D2">
      <w:pPr>
        <w:snapToGrid w:val="0"/>
        <w:spacing w:line="360" w:lineRule="auto"/>
        <w:ind w:firstLine="480" w:firstLineChars="200"/>
        <w:rPr>
          <w:rFonts w:ascii="宋体" w:hAnsi="宋体" w:cs="宋体"/>
          <w:bCs/>
          <w:sz w:val="24"/>
          <w:szCs w:val="24"/>
        </w:rPr>
      </w:pPr>
      <w:r>
        <w:rPr>
          <w:rFonts w:ascii="宋体" w:hAnsi="宋体" w:cs="宋体"/>
          <w:bCs/>
          <w:sz w:val="24"/>
          <w:szCs w:val="24"/>
        </w:rPr>
        <w:t>8.服务期内，在重要节假日、重大活动、护网行动和其他重保任务期间应安排驻场人员专门负责重点保障和应急值守，提前做好全面巡检工作。每次重保结束后，应形成记录，内容包括但不限于：重保记录唯一标识、重保服务人员姓名及联系方式、重保起始时间和结束时间（年月日时分）、重保及值守工作事项（具体工作内容）、有无发生突发事件、紧急事件发生情况及处置记录、与该次紧急事件关联的服务记录（设备维修维护、变更实施）、用户确认情况等并由需方相关负责人签字确认，其具体制式由双方协商确定。</w:t>
      </w:r>
    </w:p>
    <w:p w14:paraId="15FB723D">
      <w:pPr>
        <w:snapToGrid w:val="0"/>
        <w:spacing w:line="360" w:lineRule="auto"/>
        <w:ind w:firstLine="480" w:firstLineChars="200"/>
        <w:rPr>
          <w:rFonts w:ascii="宋体" w:hAnsi="宋体" w:cs="宋体"/>
          <w:bCs/>
          <w:sz w:val="24"/>
          <w:szCs w:val="24"/>
        </w:rPr>
      </w:pPr>
      <w:r>
        <w:rPr>
          <w:rFonts w:ascii="宋体" w:hAnsi="宋体" w:cs="宋体"/>
          <w:bCs/>
          <w:sz w:val="24"/>
          <w:szCs w:val="24"/>
        </w:rPr>
        <w:t>9.服务期内，针对于重复出现或者排除时间超过2个小时的故障，供方应发起问题调查。问题调查记录内容包括但不限于：问题调查记录的唯一标识、问题来源（故障修复）、问题来源的关联服务记录唯一标识（若有）、问题调查起始时间和完成时间（年月日时分）、问题调查执行人姓名、问题调查执行人联系方式、问题主题描述、问题内容描述、问题调查过程描述、问题原因、解决方案或临时规避措施描述、用户确认情况等并由需方相关负责人签字确认，其具体制式由双方协商确定。</w:t>
      </w:r>
    </w:p>
    <w:p w14:paraId="6A5A448E">
      <w:pPr>
        <w:snapToGrid w:val="0"/>
        <w:spacing w:line="360" w:lineRule="auto"/>
        <w:ind w:firstLine="480" w:firstLineChars="200"/>
        <w:rPr>
          <w:rFonts w:ascii="宋体" w:hAnsi="宋体" w:cs="宋体"/>
          <w:bCs/>
          <w:sz w:val="24"/>
          <w:szCs w:val="24"/>
        </w:rPr>
      </w:pPr>
      <w:r>
        <w:rPr>
          <w:rFonts w:ascii="宋体" w:hAnsi="宋体" w:cs="宋体"/>
          <w:bCs/>
          <w:sz w:val="24"/>
          <w:szCs w:val="24"/>
        </w:rPr>
        <w:t>10.服务期内，供方针对每一次变更实施的过程及完成情况应形成独立、完整的变更记录，记录内容包括但不限于：变更记录的唯一标识、变更主题描述、变更来源（例行巡检、故障修复、设备维修维护、重保、网络安全管理、用户工作要求等）、变更内容描述、准予变更实施的用户确认签字、变更实施起始时间和完成时间、变更实施执行人姓名及联系方式、变更实施的操作记录、用户确认情况等并由需方相关负责人签字确认，其具体制式由双方协商确定。</w:t>
      </w:r>
    </w:p>
    <w:p w14:paraId="2404F6D8">
      <w:pPr>
        <w:snapToGrid w:val="0"/>
        <w:spacing w:line="360" w:lineRule="auto"/>
        <w:ind w:firstLine="480" w:firstLineChars="200"/>
        <w:rPr>
          <w:rFonts w:ascii="宋体" w:hAnsi="宋体" w:cs="宋体"/>
          <w:bCs/>
          <w:sz w:val="24"/>
          <w:szCs w:val="24"/>
        </w:rPr>
      </w:pPr>
      <w:r>
        <w:rPr>
          <w:rFonts w:ascii="宋体" w:hAnsi="宋体" w:cs="宋体"/>
          <w:bCs/>
          <w:sz w:val="24"/>
          <w:szCs w:val="24"/>
        </w:rPr>
        <w:t>11.服务期内，供方应做好关键设备设施运行日志的收集和保存工作，及时开展风险研判分析和处置。</w:t>
      </w:r>
    </w:p>
    <w:p w14:paraId="6D7E8E96">
      <w:pPr>
        <w:snapToGrid w:val="0"/>
        <w:spacing w:line="360" w:lineRule="auto"/>
        <w:ind w:firstLine="480" w:firstLineChars="200"/>
        <w:rPr>
          <w:rFonts w:ascii="宋体" w:hAnsi="宋体" w:cs="宋体"/>
          <w:bCs/>
          <w:sz w:val="24"/>
          <w:szCs w:val="24"/>
        </w:rPr>
      </w:pPr>
      <w:r>
        <w:rPr>
          <w:rFonts w:ascii="宋体" w:hAnsi="宋体" w:cs="宋体"/>
          <w:bCs/>
          <w:sz w:val="24"/>
          <w:szCs w:val="24"/>
        </w:rPr>
        <w:t>12.服务期过半，项目中期评价前，供方应向需方递交半年内全部的巡检记录、巡检报告、故障修复记录、设备维修维护记录、重保记录、问题调查记录、变更记录。</w:t>
      </w:r>
    </w:p>
    <w:p w14:paraId="2B3113B1">
      <w:pPr>
        <w:snapToGrid w:val="0"/>
        <w:spacing w:line="360" w:lineRule="auto"/>
        <w:ind w:firstLine="480" w:firstLineChars="200"/>
        <w:rPr>
          <w:rFonts w:ascii="宋体" w:hAnsi="宋体" w:cs="宋体"/>
          <w:bCs/>
          <w:sz w:val="24"/>
          <w:szCs w:val="24"/>
        </w:rPr>
      </w:pPr>
      <w:r>
        <w:rPr>
          <w:rFonts w:ascii="宋体" w:hAnsi="宋体" w:cs="宋体"/>
          <w:bCs/>
          <w:sz w:val="24"/>
          <w:szCs w:val="24"/>
        </w:rPr>
        <w:t>13.服务期届满，项目组织终期评价验收前，供方应向需方递交全部的巡检记录、巡检报告、故障修复记录、设备维修维护记录、重保记录、问题调查记录、变更记录。</w:t>
      </w:r>
    </w:p>
    <w:p w14:paraId="14CD493E">
      <w:pPr>
        <w:snapToGrid w:val="0"/>
        <w:spacing w:line="360" w:lineRule="auto"/>
        <w:ind w:firstLine="480" w:firstLineChars="200"/>
        <w:rPr>
          <w:rFonts w:ascii="宋体" w:hAnsi="宋体" w:cs="宋体"/>
          <w:bCs/>
          <w:sz w:val="24"/>
          <w:szCs w:val="24"/>
        </w:rPr>
      </w:pPr>
      <w:r>
        <w:rPr>
          <w:rFonts w:ascii="宋体" w:hAnsi="宋体" w:cs="宋体"/>
          <w:bCs/>
          <w:sz w:val="24"/>
          <w:szCs w:val="24"/>
        </w:rPr>
        <w:t>14.服务期届满，项目组织终期评价验收前，供方应向需方提交年度运维工作报告，报告应包括年度运维、故障处理、设备维修、问题调查、重要变更等情况的总体分析，并提出合理建议。</w:t>
      </w:r>
    </w:p>
    <w:p w14:paraId="227F7E22">
      <w:pPr>
        <w:snapToGrid w:val="0"/>
        <w:spacing w:line="360" w:lineRule="auto"/>
        <w:ind w:firstLine="480" w:firstLineChars="200"/>
        <w:rPr>
          <w:rFonts w:ascii="宋体" w:hAnsi="宋体" w:cs="宋体"/>
          <w:bCs/>
          <w:sz w:val="24"/>
          <w:szCs w:val="24"/>
        </w:rPr>
      </w:pPr>
      <w:r>
        <w:rPr>
          <w:rFonts w:ascii="宋体" w:hAnsi="宋体" w:cs="宋体"/>
          <w:bCs/>
          <w:sz w:val="24"/>
          <w:szCs w:val="24"/>
        </w:rPr>
        <w:t>15.供方应自配保障运维服务的车辆、维修工具等各种资源。</w:t>
      </w:r>
    </w:p>
    <w:p w14:paraId="10169115">
      <w:pPr>
        <w:snapToGrid w:val="0"/>
        <w:spacing w:line="360" w:lineRule="auto"/>
        <w:ind w:firstLine="480" w:firstLineChars="200"/>
        <w:rPr>
          <w:rFonts w:ascii="宋体" w:hAnsi="宋体" w:cs="宋体"/>
          <w:bCs/>
          <w:sz w:val="24"/>
          <w:szCs w:val="24"/>
        </w:rPr>
      </w:pPr>
      <w:r>
        <w:rPr>
          <w:rFonts w:ascii="宋体" w:hAnsi="宋体" w:cs="宋体"/>
          <w:bCs/>
          <w:sz w:val="24"/>
          <w:szCs w:val="24"/>
        </w:rPr>
        <w:t>16.当存在不可抗力因素（如自然灾害、政府行为、社会异常事件等）导致项目可能延期评价验收或可能影响供方中期/终期评价验收结果的情况时，供方应于发生该不可抗力事件的2个工作日内向需方反馈具体情况。</w:t>
      </w:r>
    </w:p>
    <w:p w14:paraId="4CC884FB">
      <w:pPr>
        <w:snapToGrid w:val="0"/>
        <w:spacing w:line="360" w:lineRule="auto"/>
        <w:ind w:firstLine="480" w:firstLineChars="200"/>
        <w:rPr>
          <w:rFonts w:ascii="宋体" w:hAnsi="宋体" w:cs="宋体"/>
          <w:bCs/>
          <w:sz w:val="24"/>
          <w:szCs w:val="24"/>
        </w:rPr>
      </w:pPr>
      <w:r>
        <w:rPr>
          <w:rFonts w:ascii="宋体" w:hAnsi="宋体" w:cs="宋体"/>
          <w:bCs/>
          <w:sz w:val="24"/>
          <w:szCs w:val="24"/>
        </w:rPr>
        <w:t>17.项目包括的各服务内容所依据的法律、法规、标准存在更新、调整时，供方应按照最新要求执行。</w:t>
      </w:r>
    </w:p>
    <w:p w14:paraId="43A26D6C">
      <w:pPr>
        <w:spacing w:line="360" w:lineRule="auto"/>
        <w:ind w:firstLine="482" w:firstLineChars="200"/>
        <w:rPr>
          <w:rFonts w:ascii="宋体" w:hAnsi="宋体" w:cs="宋体"/>
          <w:sz w:val="24"/>
          <w:szCs w:val="24"/>
        </w:rPr>
      </w:pPr>
      <w:r>
        <w:rPr>
          <w:rFonts w:hint="eastAsia" w:ascii="宋体" w:hAnsi="宋体" w:cs="宋体"/>
          <w:b/>
          <w:sz w:val="24"/>
          <w:szCs w:val="24"/>
        </w:rPr>
        <w:t>第四条    质量要求：</w:t>
      </w:r>
      <w:r>
        <w:rPr>
          <w:rFonts w:hint="eastAsia" w:ascii="宋体" w:hAnsi="宋体" w:cs="宋体"/>
          <w:sz w:val="24"/>
          <w:szCs w:val="24"/>
        </w:rPr>
        <w:t>严格按国家现行规范和质量评定标准执行。</w:t>
      </w:r>
    </w:p>
    <w:p w14:paraId="494C92B6">
      <w:pPr>
        <w:spacing w:line="360" w:lineRule="auto"/>
        <w:ind w:firstLine="482" w:firstLineChars="200"/>
        <w:rPr>
          <w:rFonts w:ascii="宋体" w:hAnsi="宋体" w:cs="宋体"/>
          <w:bCs/>
          <w:sz w:val="24"/>
          <w:szCs w:val="24"/>
          <w:u w:val="single"/>
        </w:rPr>
      </w:pPr>
      <w:r>
        <w:rPr>
          <w:rFonts w:hint="eastAsia" w:ascii="宋体" w:hAnsi="宋体" w:cs="宋体"/>
          <w:b/>
          <w:sz w:val="24"/>
          <w:szCs w:val="24"/>
        </w:rPr>
        <w:t>第五条    服务期限：</w:t>
      </w:r>
      <w:r>
        <w:rPr>
          <w:rFonts w:hint="eastAsia" w:ascii="宋体" w:hAnsi="宋体" w:cs="宋体"/>
          <w:bCs/>
          <w:sz w:val="24"/>
          <w:szCs w:val="24"/>
        </w:rPr>
        <w:t>自签订合同之日起1年</w:t>
      </w:r>
    </w:p>
    <w:p w14:paraId="19A53F17">
      <w:pPr>
        <w:snapToGrid w:val="0"/>
        <w:ind w:firstLine="482" w:firstLineChars="200"/>
        <w:rPr>
          <w:rFonts w:ascii="宋体" w:hAnsi="宋体" w:cs="宋体"/>
          <w:sz w:val="24"/>
          <w:szCs w:val="24"/>
          <w:u w:val="single"/>
        </w:rPr>
      </w:pPr>
      <w:r>
        <w:rPr>
          <w:rFonts w:hint="eastAsia" w:ascii="宋体" w:hAnsi="宋体" w:cs="宋体"/>
          <w:b/>
          <w:sz w:val="24"/>
          <w:szCs w:val="24"/>
        </w:rPr>
        <w:t>第六条    服务地点：</w:t>
      </w:r>
      <w:r>
        <w:rPr>
          <w:rFonts w:hint="eastAsia" w:ascii="宋体" w:hAnsi="宋体" w:cs="宋体"/>
          <w:sz w:val="24"/>
          <w:szCs w:val="24"/>
        </w:rPr>
        <w:t>天津市西青区应急管理局</w:t>
      </w:r>
      <w:r>
        <w:rPr>
          <w:rFonts w:hint="eastAsia" w:ascii="宋体" w:hAnsi="宋体"/>
          <w:sz w:val="24"/>
        </w:rPr>
        <w:t>、</w:t>
      </w:r>
      <w:r>
        <w:rPr>
          <w:rFonts w:ascii="宋体" w:hAnsi="宋体"/>
          <w:sz w:val="24"/>
        </w:rPr>
        <w:t>各</w:t>
      </w:r>
      <w:r>
        <w:rPr>
          <w:rFonts w:hint="eastAsia" w:ascii="宋体" w:hAnsi="宋体"/>
          <w:sz w:val="24"/>
        </w:rPr>
        <w:t>联网</w:t>
      </w:r>
      <w:r>
        <w:rPr>
          <w:rFonts w:ascii="宋体" w:hAnsi="宋体"/>
          <w:sz w:val="24"/>
        </w:rPr>
        <w:t>危化企业</w:t>
      </w:r>
      <w:r>
        <w:rPr>
          <w:rFonts w:hint="eastAsia" w:ascii="宋体" w:hAnsi="宋体" w:cs="宋体"/>
          <w:sz w:val="24"/>
          <w:szCs w:val="24"/>
        </w:rPr>
        <w:t xml:space="preserve">。              </w:t>
      </w:r>
    </w:p>
    <w:p w14:paraId="73720934">
      <w:pPr>
        <w:pStyle w:val="6"/>
        <w:spacing w:line="360" w:lineRule="auto"/>
        <w:ind w:firstLine="482" w:firstLineChars="200"/>
        <w:rPr>
          <w:rFonts w:ascii="宋体" w:hAnsi="宋体" w:cs="宋体"/>
          <w:b/>
          <w:sz w:val="24"/>
          <w:szCs w:val="24"/>
        </w:rPr>
      </w:pPr>
      <w:r>
        <w:rPr>
          <w:rFonts w:hint="eastAsia" w:ascii="宋体" w:hAnsi="宋体" w:cs="宋体"/>
          <w:b/>
          <w:sz w:val="24"/>
          <w:szCs w:val="24"/>
        </w:rPr>
        <w:t>第七条    项目评价验收：</w:t>
      </w:r>
    </w:p>
    <w:p w14:paraId="78D80467">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1.自本合同签订之日起，供方应履行合同所规定的任务，并按时提供运维服务。</w:t>
      </w:r>
    </w:p>
    <w:p w14:paraId="122DCEA5">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2.需方按照服务绩效评价形式对项目中/终期履约情况进行验收，并以评价考核结果打分对应的结算系数执行中/终期款项支付。考核评价内容具体包括服务记录评价、可用性评价、系统安全性评价、服务时效性评价和服务满意度评价。具体考核标准、评价方式及结算系数详见项目磋商文件（编号：）。</w:t>
      </w:r>
    </w:p>
    <w:p w14:paraId="025D40B9">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3.自合同签订之日起满6个月后的15个工作日内，由供方申请，需方以绩效评价形式对项目进行中期评价验收。因需方不具备时间或现场条件造成项目无法组织中期评价验收的，验收日期相应顺延。需方具备时间或现场条件的，供方应积极配合。</w:t>
      </w:r>
    </w:p>
    <w:p w14:paraId="4E88B633">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4.服务期届满后的15个工作日内，由供方申请，需方以绩效评价形式对项目进行终期评价验收。因需方不具备时间或现场条件造成项目无法组织终期评价验收的，验收日期相应顺延。需方具备时间或现场条件的，供方应积极配合。</w:t>
      </w:r>
    </w:p>
    <w:p w14:paraId="6DC296D2">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5.中/终期评价验收</w:t>
      </w:r>
      <w:r>
        <w:rPr>
          <w:rFonts w:ascii="宋体" w:hAnsi="宋体" w:cs="宋体"/>
          <w:bCs/>
          <w:sz w:val="24"/>
          <w:szCs w:val="24"/>
        </w:rPr>
        <w:t>结束后，</w:t>
      </w:r>
      <w:r>
        <w:rPr>
          <w:rFonts w:hint="eastAsia" w:ascii="宋体" w:hAnsi="宋体" w:cs="宋体"/>
          <w:bCs/>
          <w:sz w:val="24"/>
          <w:szCs w:val="24"/>
        </w:rPr>
        <w:t>供需</w:t>
      </w:r>
      <w:r>
        <w:rPr>
          <w:rFonts w:ascii="宋体" w:hAnsi="宋体" w:cs="宋体"/>
          <w:bCs/>
          <w:sz w:val="24"/>
          <w:szCs w:val="24"/>
        </w:rPr>
        <w:t>双方应共同填制</w:t>
      </w:r>
      <w:r>
        <w:rPr>
          <w:rFonts w:hint="eastAsia" w:ascii="宋体" w:hAnsi="宋体" w:cs="宋体"/>
          <w:bCs/>
          <w:sz w:val="24"/>
          <w:szCs w:val="24"/>
        </w:rPr>
        <w:t>合同履约验收报告作为项目阶段</w:t>
      </w:r>
      <w:r>
        <w:rPr>
          <w:rFonts w:ascii="宋体" w:hAnsi="宋体" w:cs="宋体"/>
          <w:bCs/>
          <w:sz w:val="24"/>
          <w:szCs w:val="24"/>
        </w:rPr>
        <w:t>性</w:t>
      </w:r>
      <w:r>
        <w:rPr>
          <w:rFonts w:hint="eastAsia" w:ascii="宋体" w:hAnsi="宋体" w:cs="宋体"/>
          <w:bCs/>
          <w:sz w:val="24"/>
          <w:szCs w:val="24"/>
        </w:rPr>
        <w:t>或</w:t>
      </w:r>
      <w:r>
        <w:rPr>
          <w:rFonts w:ascii="宋体" w:hAnsi="宋体" w:cs="宋体"/>
          <w:bCs/>
          <w:sz w:val="24"/>
          <w:szCs w:val="24"/>
        </w:rPr>
        <w:t>整体验收</w:t>
      </w:r>
      <w:r>
        <w:rPr>
          <w:rFonts w:hint="eastAsia" w:ascii="宋体" w:hAnsi="宋体" w:cs="宋体"/>
          <w:bCs/>
          <w:sz w:val="24"/>
          <w:szCs w:val="24"/>
        </w:rPr>
        <w:t>、</w:t>
      </w:r>
      <w:r>
        <w:rPr>
          <w:rFonts w:ascii="宋体" w:hAnsi="宋体" w:cs="宋体"/>
          <w:bCs/>
          <w:sz w:val="24"/>
          <w:szCs w:val="24"/>
        </w:rPr>
        <w:t>款项支付的</w:t>
      </w:r>
      <w:r>
        <w:rPr>
          <w:rFonts w:hint="eastAsia" w:ascii="宋体" w:hAnsi="宋体" w:cs="宋体"/>
          <w:bCs/>
          <w:sz w:val="24"/>
          <w:szCs w:val="24"/>
        </w:rPr>
        <w:t>凭据，如涉及聘请行业专家或第三方专业机构参与整体或其中单项考核评价的，行业专家或第三方专业机构应同时在合同履约验收报告对应专家意见栏内填写专家验收意见。</w:t>
      </w:r>
    </w:p>
    <w:p w14:paraId="5D20F464">
      <w:pPr>
        <w:snapToGrid w:val="0"/>
        <w:spacing w:line="360" w:lineRule="auto"/>
        <w:ind w:firstLine="480" w:firstLineChars="200"/>
        <w:rPr>
          <w:rFonts w:ascii="宋体" w:hAnsi="宋体" w:cs="宋体"/>
          <w:bCs/>
          <w:sz w:val="24"/>
          <w:szCs w:val="24"/>
        </w:rPr>
      </w:pPr>
      <w:r>
        <w:rPr>
          <w:rFonts w:hint="eastAsia" w:ascii="宋体" w:hAnsi="宋体" w:cs="宋体"/>
          <w:bCs/>
          <w:sz w:val="24"/>
          <w:szCs w:val="24"/>
        </w:rPr>
        <w:t>6.因（如自然灾害、政府行为、社会异常事件等）不可抗力因素可能或即将影响供方中期/终期评价考核得分的，供方应于发生该不可抗力事件之日起的两个工作日内向需方说明具体情况，经需方确认确属非供方原因造成的，需方可在考核评价时酌情处理。供方未在约定时间内说明具体情况的，视同因供方自身原因造成。</w:t>
      </w:r>
    </w:p>
    <w:p w14:paraId="544C9524">
      <w:pPr>
        <w:spacing w:line="360" w:lineRule="auto"/>
        <w:ind w:firstLine="482" w:firstLineChars="200"/>
        <w:rPr>
          <w:rFonts w:ascii="宋体" w:hAnsi="宋体" w:cs="宋体"/>
          <w:b/>
          <w:sz w:val="24"/>
          <w:szCs w:val="24"/>
        </w:rPr>
      </w:pPr>
      <w:r>
        <w:rPr>
          <w:rFonts w:hint="eastAsia" w:ascii="宋体" w:hAnsi="宋体" w:cs="宋体"/>
          <w:b/>
          <w:sz w:val="24"/>
          <w:szCs w:val="24"/>
        </w:rPr>
        <w:t>第八条    付款方式：</w:t>
      </w:r>
    </w:p>
    <w:p w14:paraId="190266BD">
      <w:pPr>
        <w:snapToGrid w:val="0"/>
        <w:spacing w:line="360" w:lineRule="auto"/>
        <w:ind w:firstLine="480" w:firstLineChars="200"/>
        <w:rPr>
          <w:rFonts w:ascii="宋体" w:hAnsi="宋体" w:cs="宋体"/>
          <w:sz w:val="24"/>
          <w:szCs w:val="24"/>
        </w:rPr>
      </w:pPr>
      <w:r>
        <w:rPr>
          <w:rFonts w:hint="eastAsia" w:ascii="宋体" w:hAnsi="宋体" w:cs="宋体"/>
          <w:sz w:val="24"/>
          <w:szCs w:val="24"/>
        </w:rPr>
        <w:t>1.自签订合同之日起的</w:t>
      </w:r>
      <w:r>
        <w:rPr>
          <w:rFonts w:ascii="宋体" w:hAnsi="宋体" w:cs="宋体"/>
          <w:sz w:val="24"/>
          <w:szCs w:val="24"/>
        </w:rPr>
        <w:t>30个工作日内，支付合同金额40%预付款，服务期过半，</w:t>
      </w:r>
      <w:r>
        <w:rPr>
          <w:rFonts w:hint="eastAsia" w:ascii="宋体" w:hAnsi="宋体" w:cs="宋体"/>
          <w:sz w:val="24"/>
          <w:szCs w:val="24"/>
        </w:rPr>
        <w:t>需方</w:t>
      </w:r>
      <w:r>
        <w:rPr>
          <w:rFonts w:ascii="宋体" w:hAnsi="宋体" w:cs="宋体"/>
          <w:sz w:val="24"/>
          <w:szCs w:val="24"/>
        </w:rPr>
        <w:t>组织完成项目中期绩效评价后的15个工作日内，支付合同中期服务款，按合同金额的30%与中期绩效评价得分对应结算系数两者乘积进行计算。服务期满，</w:t>
      </w:r>
      <w:r>
        <w:rPr>
          <w:rFonts w:hint="eastAsia" w:ascii="宋体" w:hAnsi="宋体" w:cs="宋体"/>
          <w:sz w:val="24"/>
          <w:szCs w:val="24"/>
        </w:rPr>
        <w:t>需方</w:t>
      </w:r>
      <w:r>
        <w:rPr>
          <w:rFonts w:ascii="宋体" w:hAnsi="宋体" w:cs="宋体"/>
          <w:sz w:val="24"/>
          <w:szCs w:val="24"/>
        </w:rPr>
        <w:t>组织完成项目终期绩效评价后的15个工作日内，支付合同终期服务款，按合同金额30%与终期绩效评价得分对应结算系数两者乘积进行计算。</w:t>
      </w:r>
    </w:p>
    <w:p w14:paraId="0C2C2047">
      <w:pPr>
        <w:snapToGrid w:val="0"/>
        <w:spacing w:line="360" w:lineRule="auto"/>
        <w:ind w:firstLine="480" w:firstLineChars="200"/>
        <w:rPr>
          <w:rFonts w:ascii="宋体" w:hAnsi="宋体" w:cs="宋体"/>
          <w:sz w:val="24"/>
          <w:szCs w:val="24"/>
        </w:rPr>
      </w:pPr>
      <w:r>
        <w:rPr>
          <w:rFonts w:hint="eastAsia" w:ascii="宋体" w:hAnsi="宋体" w:cs="宋体"/>
          <w:sz w:val="24"/>
          <w:szCs w:val="24"/>
        </w:rPr>
        <w:t>2.供方应在需方每次付款前，向需方开具等额增值税普通发票作为需方请款要件之一，因供方未能及时开具等额增值税普通发票而导致需方未能及时付款的，需方不承担任何责任。</w:t>
      </w:r>
    </w:p>
    <w:p w14:paraId="13DEFF70">
      <w:pPr>
        <w:tabs>
          <w:tab w:val="left" w:pos="360"/>
        </w:tabs>
        <w:spacing w:line="360" w:lineRule="auto"/>
        <w:ind w:firstLine="446" w:firstLineChars="186"/>
        <w:rPr>
          <w:rFonts w:ascii="宋体" w:hAnsi="宋体" w:cs="宋体"/>
          <w:sz w:val="24"/>
          <w:szCs w:val="24"/>
        </w:rPr>
      </w:pPr>
      <w:r>
        <w:rPr>
          <w:rFonts w:hint="eastAsia" w:ascii="宋体" w:hAnsi="宋体" w:cs="宋体"/>
          <w:bCs/>
          <w:sz w:val="24"/>
          <w:szCs w:val="24"/>
        </w:rPr>
        <w:t>3.</w:t>
      </w:r>
      <w:r>
        <w:rPr>
          <w:rFonts w:hint="eastAsia" w:ascii="宋体" w:hAnsi="宋体" w:cs="宋体"/>
          <w:sz w:val="24"/>
          <w:szCs w:val="24"/>
        </w:rPr>
        <w:t>因以下两种情形导致需方未能及时或</w:t>
      </w:r>
      <w:r>
        <w:rPr>
          <w:rFonts w:ascii="宋体" w:hAnsi="宋体" w:cs="宋体"/>
          <w:sz w:val="24"/>
          <w:szCs w:val="24"/>
        </w:rPr>
        <w:t>足额</w:t>
      </w:r>
      <w:r>
        <w:rPr>
          <w:rFonts w:hint="eastAsia" w:ascii="宋体" w:hAnsi="宋体" w:cs="宋体"/>
          <w:sz w:val="24"/>
          <w:szCs w:val="24"/>
        </w:rPr>
        <w:t>付款的</w:t>
      </w:r>
      <w:r>
        <w:rPr>
          <w:rFonts w:hint="eastAsia" w:ascii="宋体" w:hAnsi="宋体" w:cs="宋体"/>
          <w:bCs/>
          <w:sz w:val="24"/>
          <w:szCs w:val="24"/>
        </w:rPr>
        <w:t>，需方无需承担违约责任。①因财政部门内部批款审批流程未执行完毕导致需方未能按照约定期限付款的；②因需方所在地财政资金紧张，导致应支付款项所在年份内，需方申请经财政部门批复的用于本项目的年初预算经费不足以支付合同约定的应支付款项的。</w:t>
      </w:r>
    </w:p>
    <w:p w14:paraId="6CFA35A4">
      <w:pPr>
        <w:tabs>
          <w:tab w:val="left" w:pos="360"/>
        </w:tabs>
        <w:spacing w:line="360" w:lineRule="auto"/>
        <w:ind w:firstLine="448" w:firstLineChars="186"/>
        <w:rPr>
          <w:rFonts w:ascii="宋体" w:hAnsi="宋体" w:cs="宋体"/>
          <w:sz w:val="24"/>
          <w:szCs w:val="24"/>
          <w:u w:val="single"/>
        </w:rPr>
      </w:pPr>
      <w:r>
        <w:rPr>
          <w:rFonts w:hint="eastAsia" w:ascii="宋体" w:hAnsi="宋体" w:cs="宋体"/>
          <w:b/>
          <w:sz w:val="24"/>
          <w:szCs w:val="24"/>
        </w:rPr>
        <w:t>第九条    保密责任：</w:t>
      </w:r>
    </w:p>
    <w:p w14:paraId="55E8B922">
      <w:pPr>
        <w:snapToGrid w:val="0"/>
        <w:spacing w:line="360" w:lineRule="auto"/>
        <w:ind w:firstLine="480" w:firstLineChars="200"/>
        <w:rPr>
          <w:rFonts w:ascii="宋体" w:hAnsi="宋体" w:cs="宋体"/>
          <w:sz w:val="24"/>
          <w:szCs w:val="24"/>
        </w:rPr>
      </w:pPr>
      <w:r>
        <w:rPr>
          <w:rFonts w:hint="eastAsia" w:ascii="宋体" w:hAnsi="宋体" w:cs="宋体"/>
          <w:sz w:val="24"/>
          <w:szCs w:val="24"/>
        </w:rPr>
        <w:t>1.除非本协议另有约定，未经对方书面同意，一方不得擅自使用、复制、转让对方的商标、标志、商业信息、技术资料等信息。在本合同的履行期内，供方获得与本项目服务内容相关的信息及由此产生的相关资料，应当采取适当有效的方式保护，未经授权不得使用、传播或公开。除非有需方的书面许可，或已在社会上公开，该等信息不得对外披露。</w:t>
      </w:r>
    </w:p>
    <w:p w14:paraId="5C131E33">
      <w:pPr>
        <w:snapToGrid w:val="0"/>
        <w:spacing w:line="360" w:lineRule="auto"/>
        <w:ind w:firstLine="480" w:firstLineChars="200"/>
        <w:rPr>
          <w:rFonts w:ascii="宋体" w:hAnsi="宋体" w:cs="宋体"/>
          <w:sz w:val="24"/>
          <w:szCs w:val="24"/>
        </w:rPr>
      </w:pPr>
      <w:r>
        <w:rPr>
          <w:rFonts w:hint="eastAsia" w:ascii="宋体" w:hAnsi="宋体" w:cs="宋体"/>
          <w:sz w:val="24"/>
          <w:szCs w:val="24"/>
        </w:rPr>
        <w:t>2.供方在项目实施过程中接触或产生有关需方的数据时，应严格按《中华人民共和国保守国家秘密法》以及其他相关法律法规和制度执行。如由于供方的原因而导致泄密的，供方应承担相应法律责任。</w:t>
      </w:r>
    </w:p>
    <w:p w14:paraId="647A63FD">
      <w:pPr>
        <w:snapToGrid w:val="0"/>
        <w:spacing w:line="360" w:lineRule="auto"/>
        <w:ind w:firstLine="480" w:firstLineChars="200"/>
        <w:rPr>
          <w:rFonts w:ascii="宋体" w:hAnsi="宋体" w:cs="宋体"/>
          <w:sz w:val="24"/>
          <w:szCs w:val="24"/>
        </w:rPr>
      </w:pPr>
      <w:r>
        <w:rPr>
          <w:rFonts w:hint="eastAsia" w:ascii="宋体" w:hAnsi="宋体" w:cs="宋体"/>
          <w:sz w:val="24"/>
          <w:szCs w:val="24"/>
        </w:rPr>
        <w:t>3.未经对方书面同意，任何一方不得向第三方（有关法律法规规定的机构、政府采购监督管理机构或其它监管机构除外）泄露本合同的任何内容及本合同的签订、履行情况。</w:t>
      </w:r>
    </w:p>
    <w:p w14:paraId="465ADC78">
      <w:pPr>
        <w:snapToGrid w:val="0"/>
        <w:spacing w:line="360" w:lineRule="auto"/>
        <w:ind w:firstLine="480" w:firstLineChars="200"/>
        <w:rPr>
          <w:rFonts w:ascii="宋体" w:hAnsi="宋体" w:cs="宋体"/>
          <w:sz w:val="24"/>
          <w:szCs w:val="24"/>
        </w:rPr>
      </w:pPr>
      <w:r>
        <w:rPr>
          <w:rFonts w:hint="eastAsia" w:ascii="宋体" w:hAnsi="宋体" w:cs="宋体"/>
          <w:sz w:val="24"/>
          <w:szCs w:val="24"/>
        </w:rPr>
        <w:t>4.上述保密义务不因本合同的终止或无效而终止。</w:t>
      </w:r>
    </w:p>
    <w:p w14:paraId="26C8AF3A">
      <w:pPr>
        <w:snapToGrid w:val="0"/>
        <w:spacing w:line="360" w:lineRule="auto"/>
        <w:ind w:firstLine="480" w:firstLineChars="200"/>
        <w:rPr>
          <w:rFonts w:ascii="宋体" w:hAnsi="宋体" w:cs="宋体"/>
          <w:sz w:val="24"/>
          <w:szCs w:val="24"/>
        </w:rPr>
      </w:pPr>
      <w:r>
        <w:rPr>
          <w:rFonts w:hint="eastAsia" w:ascii="宋体" w:hAnsi="宋体" w:cs="宋体"/>
          <w:sz w:val="24"/>
          <w:szCs w:val="24"/>
        </w:rPr>
        <w:t>5.需方对保密协议有单独签订要求的，供方应配合签署相关的保密协议。</w:t>
      </w:r>
    </w:p>
    <w:p w14:paraId="7BF7106B">
      <w:pPr>
        <w:tabs>
          <w:tab w:val="left" w:pos="360"/>
        </w:tabs>
        <w:spacing w:line="360" w:lineRule="auto"/>
        <w:ind w:firstLine="448" w:firstLineChars="186"/>
        <w:rPr>
          <w:rFonts w:ascii="宋体" w:hAnsi="宋体" w:cs="宋体"/>
          <w:b/>
          <w:sz w:val="24"/>
          <w:szCs w:val="24"/>
        </w:rPr>
      </w:pPr>
      <w:r>
        <w:rPr>
          <w:rFonts w:hint="eastAsia" w:ascii="宋体" w:hAnsi="宋体" w:cs="宋体"/>
          <w:b/>
          <w:sz w:val="24"/>
          <w:szCs w:val="24"/>
        </w:rPr>
        <w:t>第十条    违约责任：</w:t>
      </w:r>
    </w:p>
    <w:p w14:paraId="503DDC98">
      <w:pPr>
        <w:snapToGrid w:val="0"/>
        <w:spacing w:line="360" w:lineRule="auto"/>
        <w:ind w:firstLine="480" w:firstLineChars="200"/>
        <w:rPr>
          <w:rFonts w:ascii="宋体" w:hAnsi="宋体" w:cs="宋体"/>
          <w:sz w:val="24"/>
          <w:szCs w:val="24"/>
        </w:rPr>
      </w:pPr>
      <w:r>
        <w:rPr>
          <w:rFonts w:hint="eastAsia" w:ascii="宋体" w:hAnsi="宋体" w:cs="宋体"/>
          <w:sz w:val="24"/>
          <w:szCs w:val="24"/>
        </w:rPr>
        <w:t>1.供方拒不履行合同或部分不履行合同的，需方有权解除合同，要求供方返还已收取的全部费用，未支付合同金额不再支付，同时供方向需方支付合同金额</w:t>
      </w:r>
      <w:r>
        <w:rPr>
          <w:rFonts w:ascii="宋体" w:hAnsi="宋体" w:cs="宋体"/>
          <w:sz w:val="24"/>
          <w:szCs w:val="24"/>
        </w:rPr>
        <w:t>3</w:t>
      </w:r>
      <w:r>
        <w:rPr>
          <w:rFonts w:hint="eastAsia" w:ascii="宋体" w:hAnsi="宋体" w:cs="宋体"/>
          <w:sz w:val="24"/>
          <w:szCs w:val="24"/>
        </w:rPr>
        <w:t>0%的违约金。</w:t>
      </w:r>
    </w:p>
    <w:p w14:paraId="704499A5">
      <w:pPr>
        <w:snapToGrid w:val="0"/>
        <w:spacing w:line="360" w:lineRule="auto"/>
        <w:ind w:firstLine="480" w:firstLineChars="200"/>
        <w:rPr>
          <w:rFonts w:ascii="宋体" w:hAnsi="宋体" w:cs="宋体"/>
          <w:sz w:val="24"/>
          <w:szCs w:val="24"/>
        </w:rPr>
      </w:pPr>
      <w:r>
        <w:rPr>
          <w:rFonts w:hint="eastAsia" w:ascii="宋体" w:hAnsi="宋体" w:cs="宋体"/>
          <w:sz w:val="24"/>
          <w:szCs w:val="24"/>
        </w:rPr>
        <w:t>2.在项目实施过程中，供方未按磋商文件（编号：）一般</w:t>
      </w:r>
      <w:r>
        <w:rPr>
          <w:rFonts w:ascii="宋体" w:hAnsi="宋体" w:cs="宋体"/>
          <w:sz w:val="24"/>
          <w:szCs w:val="24"/>
        </w:rPr>
        <w:t>技术</w:t>
      </w:r>
      <w:r>
        <w:rPr>
          <w:rFonts w:hint="eastAsia" w:ascii="宋体" w:hAnsi="宋体" w:cs="宋体"/>
          <w:sz w:val="24"/>
          <w:szCs w:val="24"/>
        </w:rPr>
        <w:t>需求以及本合同第三条服务要求开展服务的，需方每发现1次，供方向需方偿付合同金额千分之一的违约金。因未按磋商文件（编号：）一般</w:t>
      </w:r>
      <w:r>
        <w:rPr>
          <w:rFonts w:ascii="宋体" w:hAnsi="宋体" w:cs="宋体"/>
          <w:sz w:val="24"/>
          <w:szCs w:val="24"/>
        </w:rPr>
        <w:t>技术</w:t>
      </w:r>
      <w:r>
        <w:rPr>
          <w:rFonts w:hint="eastAsia" w:ascii="宋体" w:hAnsi="宋体" w:cs="宋体"/>
          <w:sz w:val="24"/>
          <w:szCs w:val="24"/>
        </w:rPr>
        <w:t>需求以及本合同第三条服务要求开展服务给需方造成严重影响的，包括但不限于：设备或业务连续中断48小时以上、发生网络安全事件造成数据丢失泄露等安全事件，供方应向需方支付合同金额30%的违约金，同时承担全部的法律责任。</w:t>
      </w:r>
    </w:p>
    <w:p w14:paraId="12C73466">
      <w:pPr>
        <w:snapToGrid w:val="0"/>
        <w:spacing w:line="360" w:lineRule="auto"/>
        <w:ind w:firstLine="480" w:firstLineChars="200"/>
        <w:rPr>
          <w:rFonts w:ascii="宋体" w:hAnsi="宋体" w:cs="宋体"/>
          <w:sz w:val="24"/>
          <w:szCs w:val="24"/>
        </w:rPr>
      </w:pPr>
      <w:r>
        <w:rPr>
          <w:rFonts w:hint="eastAsia" w:ascii="宋体" w:hAnsi="宋体" w:cs="宋体"/>
          <w:sz w:val="24"/>
          <w:szCs w:val="24"/>
        </w:rPr>
        <w:t>3.如供方存在本条第1、2款的违约行为时，需方有权书面向供方发出索赔通知，供方应当在收到需方索赔通知之日起10天内书面答复需方，否则，视为该索赔已被供方接受。供方未能在收到索赔通知后10天内，或征得需方同意的延长期限内，按照需方从上列方法中选择的方案解决索赔事宜的，需方将有权在本合同第八条约定的未支付款项内扣回索赔金额，未支付款项不足以扣回的，需方保留进一步追讨违约金的权利。所有违约金的支付不减轻供方合同项下的任何责任和义务。</w:t>
      </w:r>
    </w:p>
    <w:p w14:paraId="7F31DE6E">
      <w:pPr>
        <w:spacing w:line="360" w:lineRule="auto"/>
        <w:ind w:firstLine="482" w:firstLineChars="200"/>
        <w:rPr>
          <w:rFonts w:ascii="宋体" w:hAnsi="宋体" w:cs="宋体"/>
          <w:b/>
          <w:sz w:val="24"/>
          <w:szCs w:val="24"/>
        </w:rPr>
      </w:pPr>
      <w:r>
        <w:rPr>
          <w:rFonts w:hint="eastAsia" w:ascii="宋体" w:hAnsi="宋体" w:cs="宋体"/>
          <w:b/>
          <w:sz w:val="24"/>
          <w:szCs w:val="24"/>
        </w:rPr>
        <w:t>第十一条   供方责任：</w:t>
      </w:r>
    </w:p>
    <w:p w14:paraId="372F16B3">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1.供方提供的服务必须符合国家标准、行业标准（以较高标准执行）。供方承诺的服务条款必须与磋商响应时提供的完全一致，不存在任何偏差。如出现不一致，供方将承担违约责任。</w:t>
      </w:r>
    </w:p>
    <w:p w14:paraId="2486AADE">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2.供方所提供的服务或准备的备品备件必须具有合法手续及相关证明文件。如涉及知识产权、专利权、商标权、著作权等则必须是自己拥有或合法使用的，不会</w:t>
      </w:r>
      <w:r>
        <w:rPr>
          <w:rFonts w:ascii="宋体" w:hAnsi="宋体" w:cs="宋体"/>
          <w:sz w:val="24"/>
          <w:szCs w:val="24"/>
        </w:rPr>
        <w:t>侵犯任何第三方的</w:t>
      </w:r>
      <w:r>
        <w:rPr>
          <w:rFonts w:hint="eastAsia" w:ascii="宋体" w:hAnsi="宋体" w:cs="宋体"/>
          <w:sz w:val="24"/>
          <w:szCs w:val="24"/>
        </w:rPr>
        <w:t>权益</w:t>
      </w:r>
      <w:r>
        <w:rPr>
          <w:rFonts w:ascii="宋体" w:hAnsi="宋体" w:cs="宋体"/>
          <w:sz w:val="24"/>
          <w:szCs w:val="24"/>
        </w:rPr>
        <w:t>。</w:t>
      </w:r>
      <w:r>
        <w:rPr>
          <w:rFonts w:hint="eastAsia" w:ascii="宋体" w:hAnsi="宋体" w:cs="宋体"/>
          <w:sz w:val="24"/>
          <w:szCs w:val="24"/>
        </w:rPr>
        <w:t>如果供方</w:t>
      </w:r>
      <w:r>
        <w:rPr>
          <w:rFonts w:ascii="宋体" w:hAnsi="宋体" w:cs="宋体"/>
          <w:sz w:val="24"/>
          <w:szCs w:val="24"/>
        </w:rPr>
        <w:t>涉及侵犯</w:t>
      </w:r>
      <w:r>
        <w:rPr>
          <w:rFonts w:hint="eastAsia" w:ascii="宋体" w:hAnsi="宋体" w:cs="宋体"/>
          <w:sz w:val="24"/>
          <w:szCs w:val="24"/>
        </w:rPr>
        <w:t>了</w:t>
      </w:r>
      <w:r>
        <w:rPr>
          <w:rFonts w:ascii="宋体" w:hAnsi="宋体" w:cs="宋体"/>
          <w:sz w:val="24"/>
          <w:szCs w:val="24"/>
        </w:rPr>
        <w:t>任何第三</w:t>
      </w:r>
      <w:r>
        <w:rPr>
          <w:rFonts w:hint="eastAsia" w:ascii="宋体" w:hAnsi="宋体" w:cs="宋体"/>
          <w:sz w:val="24"/>
          <w:szCs w:val="24"/>
        </w:rPr>
        <w:t>方</w:t>
      </w:r>
      <w:r>
        <w:rPr>
          <w:rFonts w:ascii="宋体" w:hAnsi="宋体" w:cs="宋体"/>
          <w:sz w:val="24"/>
          <w:szCs w:val="24"/>
        </w:rPr>
        <w:t>的</w:t>
      </w:r>
      <w:r>
        <w:rPr>
          <w:rFonts w:hint="eastAsia" w:ascii="宋体" w:hAnsi="宋体" w:cs="宋体"/>
          <w:sz w:val="24"/>
          <w:szCs w:val="24"/>
        </w:rPr>
        <w:t>权益</w:t>
      </w:r>
      <w:r>
        <w:rPr>
          <w:rFonts w:ascii="宋体" w:hAnsi="宋体" w:cs="宋体"/>
          <w:sz w:val="24"/>
          <w:szCs w:val="24"/>
        </w:rPr>
        <w:t>，</w:t>
      </w:r>
      <w:r>
        <w:rPr>
          <w:rFonts w:hint="eastAsia" w:ascii="宋体" w:hAnsi="宋体" w:cs="宋体"/>
          <w:sz w:val="24"/>
          <w:szCs w:val="24"/>
        </w:rPr>
        <w:t>由此导致的一切纠纷与需方无关，需方不因此承担任何责任，如需方因此承担了任何责任，皆可向供方全额追偿。</w:t>
      </w:r>
    </w:p>
    <w:p w14:paraId="5D55D852">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3.为保证服务质量，供方应向需方提供参加项目任务工作人员的组成情况及分工，并保证其主要工作人员的稳定性。如果需要更换任何人员，应事先取得需方的同意，且接替人员的职位、资历应当与调换的人相当。供方指定【    】为项目负责人。</w:t>
      </w:r>
    </w:p>
    <w:p w14:paraId="41589B2E">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4.自合同签订之日起，供方有义务随时接受需方对服务标准执行情况、阶段性服务成果质量的监督检查，并按需方要求进行改正。</w:t>
      </w:r>
    </w:p>
    <w:p w14:paraId="7F4601EF">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5.供方针对不同的服务内容，应妥善安排具备相应技术资质、工作经验的项目组成员负责。服务过程必须遵照国家相关法律法规及技术规范要求，遵守职业行为规范和需方各项管理规章制度。</w:t>
      </w:r>
    </w:p>
    <w:p w14:paraId="3BC51FF1">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6.在合同执行过程中，供方有义务协助需方开展评价验收，并就需方需要注意的事项以书面形式提请需方注意。</w:t>
      </w:r>
    </w:p>
    <w:p w14:paraId="14672C9B">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7.供方应对所出具巡检报告、故障</w:t>
      </w:r>
      <w:r>
        <w:rPr>
          <w:rFonts w:ascii="宋体" w:hAnsi="宋体" w:cs="宋体"/>
          <w:sz w:val="24"/>
          <w:szCs w:val="24"/>
        </w:rPr>
        <w:t>修复</w:t>
      </w:r>
      <w:r>
        <w:rPr>
          <w:rFonts w:hint="eastAsia" w:ascii="宋体" w:hAnsi="宋体" w:cs="宋体"/>
          <w:sz w:val="24"/>
          <w:szCs w:val="24"/>
        </w:rPr>
        <w:t>记录、设备维修维护记录、重保记录、问题调查记录、变更记录等服务成果性资料的真实性、符合性，所提供的咨询意见或建议的科学性、可行性负责。</w:t>
      </w:r>
    </w:p>
    <w:p w14:paraId="5526F7CC">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8.供方未经需方同意不得擅自更改合同中的技术要求。</w:t>
      </w:r>
    </w:p>
    <w:p w14:paraId="52FD1D82">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9.供方应妥善保管需方提供的所有资料，自整体项目验收之日起15个工作日内向需方归还全部资料原件，如供方需要存档的，经需方书面同意后可以留存复印件。</w:t>
      </w:r>
    </w:p>
    <w:p w14:paraId="5361DA3E">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10.在合同履行期间，对需方的任何问题，供方有义务提供免费咨询解答。</w:t>
      </w:r>
    </w:p>
    <w:p w14:paraId="6BFE6A71">
      <w:pPr>
        <w:spacing w:line="360" w:lineRule="auto"/>
        <w:ind w:firstLine="482" w:firstLineChars="200"/>
        <w:rPr>
          <w:rFonts w:ascii="宋体" w:hAnsi="宋体" w:cs="宋体"/>
          <w:b/>
          <w:sz w:val="24"/>
          <w:szCs w:val="24"/>
        </w:rPr>
      </w:pPr>
      <w:r>
        <w:rPr>
          <w:rFonts w:hint="eastAsia" w:ascii="宋体" w:hAnsi="宋体" w:cs="宋体"/>
          <w:b/>
          <w:sz w:val="24"/>
          <w:szCs w:val="24"/>
        </w:rPr>
        <w:t>第十二条   需方责任：</w:t>
      </w:r>
    </w:p>
    <w:p w14:paraId="1A465CCD">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1.原则上，无特殊情况需方应按时开展项目考核评价验收，需方发现供方在履行服务过程中存在与合同约定不符或不满足需方需求的情况时，有权要求供方重新提供服务。</w:t>
      </w:r>
    </w:p>
    <w:p w14:paraId="1862DFBE">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2.需方应向供方提供为完成项目内容所需要的信息、资料和其他相关协助，并保证所提供信息、资料及相关协助的真实性、有效性和充分性。</w:t>
      </w:r>
    </w:p>
    <w:p w14:paraId="242E4980">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3.为供方运维服务人员开展运维服务工作提供相应的工作条件，协调有关部门。</w:t>
      </w:r>
    </w:p>
    <w:p w14:paraId="1EC6864C">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4.指定专人配合供方工作。</w:t>
      </w:r>
    </w:p>
    <w:p w14:paraId="411AE06F">
      <w:pPr>
        <w:tabs>
          <w:tab w:val="left" w:pos="360"/>
        </w:tabs>
        <w:spacing w:line="360" w:lineRule="auto"/>
        <w:ind w:firstLine="446" w:firstLineChars="186"/>
        <w:rPr>
          <w:rFonts w:ascii="宋体" w:hAnsi="宋体" w:cs="宋体"/>
          <w:sz w:val="24"/>
          <w:szCs w:val="24"/>
        </w:rPr>
      </w:pPr>
      <w:r>
        <w:rPr>
          <w:rFonts w:hint="eastAsia" w:ascii="宋体" w:hAnsi="宋体" w:cs="宋体"/>
          <w:sz w:val="24"/>
          <w:szCs w:val="24"/>
        </w:rPr>
        <w:t>5.按合同约定支付服务费。</w:t>
      </w:r>
    </w:p>
    <w:p w14:paraId="3F20DF76">
      <w:pPr>
        <w:spacing w:line="360" w:lineRule="auto"/>
        <w:ind w:firstLine="482" w:firstLineChars="200"/>
        <w:rPr>
          <w:rFonts w:ascii="宋体" w:hAnsi="宋体" w:cs="宋体"/>
          <w:sz w:val="24"/>
          <w:szCs w:val="24"/>
        </w:rPr>
      </w:pPr>
      <w:r>
        <w:rPr>
          <w:rFonts w:hint="eastAsia" w:ascii="宋体" w:hAnsi="宋体" w:cs="宋体"/>
          <w:b/>
          <w:sz w:val="24"/>
          <w:szCs w:val="24"/>
        </w:rPr>
        <w:t>第十三条    合同争议的解决方式：</w:t>
      </w:r>
      <w:r>
        <w:rPr>
          <w:rFonts w:hint="eastAsia" w:ascii="宋体" w:hAnsi="宋体" w:cs="宋体"/>
          <w:sz w:val="24"/>
          <w:szCs w:val="24"/>
        </w:rPr>
        <w:t>本合同在履行过程中发生的争议，由双方当事人协商解决；也可由有关部门调解；协商或调解不成的，按下列第（2）种方式解决。</w:t>
      </w:r>
    </w:p>
    <w:p w14:paraId="6B29833D">
      <w:pPr>
        <w:snapToGrid w:val="0"/>
        <w:spacing w:line="360" w:lineRule="auto"/>
        <w:ind w:firstLine="480" w:firstLineChars="200"/>
        <w:rPr>
          <w:rFonts w:ascii="宋体" w:hAnsi="宋体" w:cs="宋体"/>
          <w:sz w:val="24"/>
          <w:szCs w:val="24"/>
        </w:rPr>
      </w:pPr>
      <w:r>
        <w:rPr>
          <w:rFonts w:hint="eastAsia" w:ascii="宋体" w:hAnsi="宋体" w:cs="宋体"/>
          <w:sz w:val="24"/>
          <w:szCs w:val="24"/>
        </w:rPr>
        <w:t>（1）提交               仲裁委员会仲裁；</w:t>
      </w:r>
    </w:p>
    <w:p w14:paraId="329C9F0A">
      <w:pPr>
        <w:snapToGrid w:val="0"/>
        <w:spacing w:line="360" w:lineRule="auto"/>
        <w:ind w:firstLine="480" w:firstLineChars="200"/>
        <w:rPr>
          <w:rFonts w:ascii="宋体" w:hAnsi="宋体" w:cs="宋体"/>
          <w:sz w:val="24"/>
          <w:szCs w:val="24"/>
        </w:rPr>
      </w:pPr>
      <w:r>
        <w:rPr>
          <w:rFonts w:hint="eastAsia" w:ascii="宋体" w:hAnsi="宋体" w:cs="宋体"/>
          <w:sz w:val="24"/>
          <w:szCs w:val="24"/>
        </w:rPr>
        <w:t>（2）依法向需方所在地人民法院起诉。</w:t>
      </w:r>
    </w:p>
    <w:p w14:paraId="3D8E216B">
      <w:pPr>
        <w:spacing w:line="360" w:lineRule="auto"/>
        <w:ind w:firstLine="482" w:firstLineChars="200"/>
        <w:rPr>
          <w:rFonts w:ascii="宋体" w:hAnsi="宋体" w:cs="宋体"/>
          <w:b/>
          <w:sz w:val="24"/>
          <w:szCs w:val="24"/>
        </w:rPr>
      </w:pPr>
      <w:r>
        <w:rPr>
          <w:rFonts w:hint="eastAsia" w:ascii="宋体" w:hAnsi="宋体" w:cs="宋体"/>
          <w:b/>
          <w:sz w:val="24"/>
          <w:szCs w:val="24"/>
        </w:rPr>
        <w:t>第十四条    免责条款</w:t>
      </w:r>
    </w:p>
    <w:p w14:paraId="10A4D719">
      <w:pPr>
        <w:pStyle w:val="15"/>
        <w:spacing w:after="0" w:line="360" w:lineRule="auto"/>
        <w:ind w:firstLine="480"/>
        <w:jc w:val="both"/>
        <w:rPr>
          <w:kern w:val="2"/>
        </w:rPr>
      </w:pPr>
      <w:r>
        <w:rPr>
          <w:rFonts w:hint="eastAsia"/>
          <w:kern w:val="2"/>
        </w:rPr>
        <w:t>因自然灾害、政府行为、社会异常事件等不可抗力因素致使任何一方不能按本合同有关条款执行时，遇有上述不可抗力的一方，应在2个工作日内，提供不可抗力情况及相关证明文件，遭受不可抗力的一方由此而免责。否则，视同遭受不可抗力的一方因自身原因造成的违约。</w:t>
      </w:r>
    </w:p>
    <w:p w14:paraId="1EDC89AA">
      <w:pPr>
        <w:spacing w:line="360" w:lineRule="auto"/>
        <w:ind w:firstLine="482" w:firstLineChars="200"/>
        <w:rPr>
          <w:rFonts w:ascii="宋体" w:hAnsi="宋体" w:cs="宋体"/>
          <w:b/>
          <w:sz w:val="24"/>
          <w:szCs w:val="24"/>
        </w:rPr>
      </w:pPr>
      <w:r>
        <w:rPr>
          <w:rFonts w:hint="eastAsia" w:ascii="宋体" w:hAnsi="宋体" w:cs="宋体"/>
          <w:b/>
          <w:sz w:val="24"/>
          <w:szCs w:val="24"/>
        </w:rPr>
        <w:t>第十五条   合同提前终止</w:t>
      </w:r>
    </w:p>
    <w:p w14:paraId="0D99FF59">
      <w:pPr>
        <w:spacing w:line="360" w:lineRule="auto"/>
        <w:ind w:firstLine="480" w:firstLineChars="200"/>
        <w:rPr>
          <w:rFonts w:ascii="宋体" w:hAnsi="宋体" w:cs="宋体"/>
          <w:sz w:val="24"/>
          <w:szCs w:val="24"/>
        </w:rPr>
      </w:pPr>
      <w:r>
        <w:rPr>
          <w:rFonts w:hint="eastAsia" w:ascii="宋体" w:hAnsi="宋体" w:cs="宋体"/>
          <w:sz w:val="24"/>
          <w:szCs w:val="24"/>
        </w:rPr>
        <w:t>因特殊情况或自然灾害、政府行为、社会异常事件等不可抗力因素导致本项目必须提前终止且不具备继续实施条件的，经供需双方共同认定后，可以提前终止合同，但需方须支付供方于合同提前终止之日前所提供服务的相应费用，相应费用依据本合同附件服务明细，按照供方实际服务期天数进行结算，供方实际服务期天数为供方自</w:t>
      </w:r>
      <w:r>
        <w:rPr>
          <w:rFonts w:ascii="宋体" w:hAnsi="宋体" w:cs="宋体"/>
          <w:sz w:val="24"/>
          <w:szCs w:val="24"/>
        </w:rPr>
        <w:t>签订合同之日起至</w:t>
      </w:r>
      <w:r>
        <w:rPr>
          <w:rFonts w:hint="eastAsia" w:ascii="宋体" w:hAnsi="宋体" w:cs="宋体"/>
          <w:sz w:val="24"/>
          <w:szCs w:val="24"/>
        </w:rPr>
        <w:t>合同提前终止之日为止</w:t>
      </w:r>
      <w:r>
        <w:rPr>
          <w:rFonts w:ascii="宋体" w:hAnsi="宋体" w:cs="宋体"/>
          <w:sz w:val="24"/>
          <w:szCs w:val="24"/>
        </w:rPr>
        <w:t>的自然日天数</w:t>
      </w:r>
      <w:r>
        <w:rPr>
          <w:rFonts w:hint="eastAsia" w:ascii="宋体" w:hAnsi="宋体" w:cs="宋体"/>
          <w:sz w:val="24"/>
          <w:szCs w:val="24"/>
        </w:rPr>
        <w:t>。实际结算金额T=（合同总额/365）*供方实际服务期天数*供方</w:t>
      </w:r>
      <w:r>
        <w:rPr>
          <w:rFonts w:ascii="宋体" w:hAnsi="宋体" w:cs="宋体"/>
          <w:sz w:val="24"/>
          <w:szCs w:val="24"/>
        </w:rPr>
        <w:t>实际服务</w:t>
      </w:r>
      <w:r>
        <w:rPr>
          <w:rFonts w:hint="eastAsia" w:ascii="宋体" w:hAnsi="宋体" w:cs="宋体"/>
          <w:sz w:val="24"/>
          <w:szCs w:val="24"/>
        </w:rPr>
        <w:t>期绩效</w:t>
      </w:r>
      <w:r>
        <w:rPr>
          <w:rFonts w:ascii="宋体" w:hAnsi="宋体" w:cs="宋体"/>
          <w:sz w:val="24"/>
          <w:szCs w:val="24"/>
        </w:rPr>
        <w:t>评价</w:t>
      </w:r>
      <w:r>
        <w:rPr>
          <w:rFonts w:hint="eastAsia" w:ascii="宋体" w:hAnsi="宋体" w:cs="宋体"/>
          <w:sz w:val="24"/>
          <w:szCs w:val="24"/>
        </w:rPr>
        <w:t>得分对应</w:t>
      </w:r>
      <w:r>
        <w:rPr>
          <w:rFonts w:ascii="宋体" w:hAnsi="宋体" w:cs="宋体"/>
          <w:sz w:val="24"/>
          <w:szCs w:val="24"/>
        </w:rPr>
        <w:t>结算系数</w:t>
      </w:r>
      <w:r>
        <w:rPr>
          <w:rFonts w:hint="eastAsia" w:ascii="宋体" w:hAnsi="宋体" w:cs="宋体"/>
          <w:sz w:val="24"/>
          <w:szCs w:val="24"/>
        </w:rPr>
        <w:t>（</w:t>
      </w:r>
      <w:r>
        <w:rPr>
          <w:rFonts w:hint="eastAsia" w:ascii="宋体" w:hAnsi="宋体" w:cs="宋体"/>
          <w:bCs/>
          <w:sz w:val="24"/>
          <w:szCs w:val="24"/>
        </w:rPr>
        <w:t>参照项目磋商文件评价验收标准执行</w:t>
      </w:r>
      <w:r>
        <w:rPr>
          <w:rFonts w:hint="eastAsia" w:ascii="宋体" w:hAnsi="宋体" w:cs="宋体"/>
          <w:sz w:val="24"/>
          <w:szCs w:val="24"/>
        </w:rPr>
        <w:t>）</w:t>
      </w:r>
      <w:r>
        <w:rPr>
          <w:rFonts w:ascii="宋体" w:hAnsi="宋体" w:cs="宋体"/>
          <w:sz w:val="24"/>
          <w:szCs w:val="24"/>
        </w:rPr>
        <w:t>。</w:t>
      </w:r>
      <w:r>
        <w:rPr>
          <w:rFonts w:hint="eastAsia" w:ascii="宋体" w:hAnsi="宋体" w:cs="宋体"/>
          <w:sz w:val="24"/>
          <w:szCs w:val="24"/>
        </w:rPr>
        <w:t>截至合同提前终止之日，当需方已支付金额大于合同提前终止日前所提供服务的实际结算金额T时，供方应退还超出部分。退还部分金额=需方已支付款项-实</w:t>
      </w:r>
      <w:r>
        <w:rPr>
          <w:rFonts w:ascii="宋体" w:hAnsi="宋体" w:cs="宋体"/>
          <w:sz w:val="24"/>
          <w:szCs w:val="24"/>
        </w:rPr>
        <w:t>际</w:t>
      </w:r>
      <w:r>
        <w:rPr>
          <w:rFonts w:hint="eastAsia" w:ascii="宋体" w:hAnsi="宋体" w:cs="宋体"/>
          <w:sz w:val="24"/>
          <w:szCs w:val="24"/>
        </w:rPr>
        <w:t>结算金额T；当需方已支付金额小于合同提前终止日前所提供服务的实际结算金额T时，需方应支付不足部分。不足部分金额=实</w:t>
      </w:r>
      <w:r>
        <w:rPr>
          <w:rFonts w:ascii="宋体" w:hAnsi="宋体" w:cs="宋体"/>
          <w:sz w:val="24"/>
          <w:szCs w:val="24"/>
        </w:rPr>
        <w:t>际</w:t>
      </w:r>
      <w:r>
        <w:rPr>
          <w:rFonts w:hint="eastAsia" w:ascii="宋体" w:hAnsi="宋体" w:cs="宋体"/>
          <w:sz w:val="24"/>
          <w:szCs w:val="24"/>
        </w:rPr>
        <w:t>结算金额T</w:t>
      </w:r>
      <w:r>
        <w:rPr>
          <w:rFonts w:ascii="宋体" w:hAnsi="宋体" w:cs="宋体"/>
          <w:sz w:val="24"/>
          <w:szCs w:val="24"/>
        </w:rPr>
        <w:t>-</w:t>
      </w:r>
      <w:r>
        <w:rPr>
          <w:rFonts w:hint="eastAsia" w:ascii="宋体" w:hAnsi="宋体" w:cs="宋体"/>
          <w:sz w:val="24"/>
          <w:szCs w:val="24"/>
        </w:rPr>
        <w:t>需方已支付款项。</w:t>
      </w:r>
    </w:p>
    <w:p w14:paraId="67E5C2D6">
      <w:pPr>
        <w:snapToGrid w:val="0"/>
        <w:spacing w:line="360" w:lineRule="auto"/>
        <w:ind w:firstLine="482" w:firstLineChars="200"/>
        <w:rPr>
          <w:rFonts w:ascii="宋体" w:hAnsi="宋体" w:cs="宋体"/>
          <w:b/>
          <w:sz w:val="24"/>
          <w:szCs w:val="24"/>
        </w:rPr>
      </w:pPr>
      <w:r>
        <w:rPr>
          <w:rFonts w:hint="eastAsia" w:ascii="宋体" w:hAnsi="宋体" w:cs="宋体"/>
          <w:b/>
          <w:sz w:val="24"/>
          <w:szCs w:val="24"/>
        </w:rPr>
        <w:t>第十六条  其他约定事项：</w:t>
      </w:r>
    </w:p>
    <w:p w14:paraId="74706CD9">
      <w:pPr>
        <w:spacing w:line="360" w:lineRule="auto"/>
        <w:ind w:firstLine="480" w:firstLineChars="200"/>
        <w:rPr>
          <w:rFonts w:ascii="宋体" w:hAnsi="宋体" w:cs="宋体"/>
          <w:sz w:val="24"/>
          <w:szCs w:val="24"/>
        </w:rPr>
      </w:pPr>
      <w:r>
        <w:rPr>
          <w:rFonts w:hint="eastAsia" w:ascii="宋体" w:hAnsi="宋体" w:cs="宋体"/>
          <w:sz w:val="24"/>
          <w:szCs w:val="24"/>
        </w:rPr>
        <w:t>1.本项目磋商文件（编号：）属于本合同一部分与本合同具有同等法律效力。</w:t>
      </w:r>
    </w:p>
    <w:p w14:paraId="180CAA42">
      <w:pPr>
        <w:spacing w:line="360" w:lineRule="auto"/>
        <w:ind w:firstLine="480" w:firstLineChars="200"/>
        <w:rPr>
          <w:rFonts w:ascii="宋体" w:hAnsi="宋体" w:cs="宋体"/>
          <w:sz w:val="24"/>
          <w:szCs w:val="24"/>
        </w:rPr>
      </w:pPr>
      <w:r>
        <w:rPr>
          <w:rFonts w:hint="eastAsia" w:ascii="宋体" w:hAnsi="宋体" w:cs="宋体"/>
          <w:sz w:val="24"/>
          <w:szCs w:val="24"/>
        </w:rPr>
        <w:t>2.相关附件是合同的组成部分,有关涉及本项目供方在磋商现场提交的响应文件及有关澄清资料和服务承诺均视为本合同不可分割的一部分，对供方同样具有约束力与法律效力。</w:t>
      </w:r>
    </w:p>
    <w:p w14:paraId="38EC6F55">
      <w:pPr>
        <w:spacing w:line="360" w:lineRule="auto"/>
        <w:ind w:firstLine="480" w:firstLineChars="200"/>
        <w:rPr>
          <w:rFonts w:ascii="宋体" w:hAnsi="宋体" w:cs="宋体"/>
          <w:sz w:val="24"/>
          <w:szCs w:val="24"/>
        </w:rPr>
      </w:pPr>
      <w:r>
        <w:rPr>
          <w:rFonts w:hint="eastAsia" w:ascii="宋体" w:hAnsi="宋体" w:cs="宋体"/>
          <w:sz w:val="24"/>
          <w:szCs w:val="24"/>
        </w:rPr>
        <w:t>3.本合同一式六份，具有同等法律效力，需供双方各执二份，天津市西青区政府</w:t>
      </w:r>
      <w:r>
        <w:rPr>
          <w:rFonts w:ascii="宋体" w:hAnsi="宋体" w:cs="宋体"/>
          <w:sz w:val="24"/>
          <w:szCs w:val="24"/>
        </w:rPr>
        <w:t>采购中心</w:t>
      </w:r>
      <w:r>
        <w:rPr>
          <w:rFonts w:hint="eastAsia" w:ascii="宋体" w:hAnsi="宋体" w:cs="宋体"/>
          <w:sz w:val="24"/>
          <w:szCs w:val="24"/>
        </w:rPr>
        <w:t>执二份。</w:t>
      </w:r>
    </w:p>
    <w:p w14:paraId="6177E30C">
      <w:pPr>
        <w:spacing w:line="360" w:lineRule="auto"/>
        <w:ind w:firstLine="480" w:firstLineChars="200"/>
        <w:rPr>
          <w:rFonts w:ascii="宋体" w:hAnsi="宋体" w:cs="宋体"/>
          <w:sz w:val="24"/>
          <w:szCs w:val="24"/>
        </w:rPr>
      </w:pPr>
      <w:r>
        <w:rPr>
          <w:rFonts w:hint="eastAsia" w:ascii="宋体" w:hAnsi="宋体" w:cs="宋体"/>
          <w:sz w:val="24"/>
          <w:szCs w:val="24"/>
        </w:rPr>
        <w:t>4.本合同经双方法定代表人或获授权的委托代理人签字并加盖公章之日起即告生效。</w:t>
      </w:r>
    </w:p>
    <w:p w14:paraId="4F4E3506">
      <w:pPr>
        <w:spacing w:line="360" w:lineRule="auto"/>
        <w:ind w:firstLine="480" w:firstLineChars="200"/>
        <w:rPr>
          <w:rFonts w:ascii="宋体" w:hAnsi="宋体" w:cs="宋体"/>
          <w:sz w:val="24"/>
          <w:szCs w:val="24"/>
        </w:rPr>
      </w:pPr>
      <w:r>
        <w:rPr>
          <w:rFonts w:hint="eastAsia" w:ascii="宋体" w:hAnsi="宋体" w:cs="宋体"/>
          <w:sz w:val="24"/>
          <w:szCs w:val="24"/>
        </w:rPr>
        <w:t>5.经双方协商一致，双方可以书面形式对本合同做出补充，补充须经双方签字盖章确认。双方签署的补充协议是本合同的组成部分，具有同等的法律效力。</w:t>
      </w:r>
    </w:p>
    <w:p w14:paraId="06551614">
      <w:pPr>
        <w:spacing w:line="360" w:lineRule="auto"/>
        <w:ind w:firstLine="480" w:firstLineChars="200"/>
        <w:rPr>
          <w:rFonts w:ascii="宋体" w:hAnsi="宋体" w:cs="宋体"/>
          <w:sz w:val="24"/>
          <w:szCs w:val="24"/>
        </w:rPr>
      </w:pPr>
      <w:r>
        <w:rPr>
          <w:rFonts w:hint="eastAsia" w:ascii="宋体" w:hAnsi="宋体" w:cs="宋体"/>
          <w:sz w:val="24"/>
          <w:szCs w:val="24"/>
        </w:rPr>
        <w:t>6.如果本合同中的任何条款完全或部分无效或不具有执行力，则该条款被视为删除。但本合同的其余条款在不影响合同目的的情况下仍应有效。</w:t>
      </w:r>
    </w:p>
    <w:tbl>
      <w:tblPr>
        <w:tblStyle w:val="17"/>
        <w:tblpPr w:leftFromText="180" w:rightFromText="180" w:vertAnchor="text" w:horzAnchor="page" w:tblpX="1757" w:tblpY="69"/>
        <w:tblOverlap w:val="never"/>
        <w:tblW w:w="85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245"/>
        <w:gridCol w:w="4309"/>
      </w:tblGrid>
      <w:tr w14:paraId="46C5A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9" w:hRule="atLeast"/>
        </w:trPr>
        <w:tc>
          <w:tcPr>
            <w:tcW w:w="4245" w:type="dxa"/>
            <w:tcBorders>
              <w:top w:val="single" w:color="000000" w:sz="4" w:space="0"/>
              <w:left w:val="single" w:color="000000" w:sz="4" w:space="0"/>
              <w:bottom w:val="single" w:color="000000" w:sz="4" w:space="0"/>
              <w:right w:val="single" w:color="000000" w:sz="4" w:space="0"/>
              <w:tl2br w:val="nil"/>
              <w:tr2bl w:val="nil"/>
            </w:tcBorders>
          </w:tcPr>
          <w:p w14:paraId="093CAA27">
            <w:pPr>
              <w:spacing w:line="360" w:lineRule="auto"/>
              <w:ind w:left="1440" w:hanging="1440" w:hangingChars="600"/>
              <w:jc w:val="left"/>
              <w:rPr>
                <w:rFonts w:ascii="宋体" w:hAnsi="宋体" w:cs="宋体"/>
                <w:sz w:val="24"/>
                <w:szCs w:val="24"/>
              </w:rPr>
            </w:pPr>
            <w:r>
              <w:rPr>
                <w:rFonts w:hint="eastAsia" w:ascii="宋体" w:hAnsi="宋体" w:cs="宋体"/>
                <w:sz w:val="24"/>
                <w:szCs w:val="24"/>
              </w:rPr>
              <w:t xml:space="preserve">供方（章）：      </w:t>
            </w:r>
          </w:p>
          <w:p w14:paraId="77584613">
            <w:pPr>
              <w:spacing w:line="360" w:lineRule="auto"/>
              <w:jc w:val="left"/>
              <w:rPr>
                <w:rFonts w:ascii="宋体" w:hAnsi="宋体" w:cs="宋体"/>
                <w:sz w:val="24"/>
                <w:szCs w:val="24"/>
              </w:rPr>
            </w:pPr>
            <w:r>
              <w:rPr>
                <w:rFonts w:hint="eastAsia" w:ascii="宋体" w:hAnsi="宋体" w:cs="宋体"/>
                <w:sz w:val="24"/>
                <w:szCs w:val="24"/>
              </w:rPr>
              <w:t xml:space="preserve">地址及电话： </w:t>
            </w:r>
          </w:p>
          <w:p w14:paraId="108531AE">
            <w:pPr>
              <w:spacing w:line="360" w:lineRule="auto"/>
              <w:jc w:val="left"/>
              <w:rPr>
                <w:rFonts w:ascii="宋体" w:hAnsi="宋体" w:cs="宋体"/>
                <w:sz w:val="24"/>
                <w:szCs w:val="24"/>
              </w:rPr>
            </w:pPr>
            <w:r>
              <w:rPr>
                <w:rFonts w:hint="eastAsia" w:ascii="宋体" w:hAnsi="宋体" w:cs="宋体"/>
                <w:sz w:val="24"/>
                <w:szCs w:val="24"/>
              </w:rPr>
              <w:t>委托代理人：</w:t>
            </w:r>
          </w:p>
          <w:p w14:paraId="60CF8D8A">
            <w:pPr>
              <w:spacing w:line="360" w:lineRule="auto"/>
              <w:jc w:val="left"/>
              <w:rPr>
                <w:rFonts w:ascii="宋体" w:hAnsi="宋体" w:cs="宋体"/>
                <w:sz w:val="24"/>
                <w:szCs w:val="24"/>
              </w:rPr>
            </w:pPr>
            <w:r>
              <w:rPr>
                <w:rFonts w:hint="eastAsia" w:ascii="宋体" w:hAnsi="宋体" w:cs="宋体"/>
                <w:sz w:val="24"/>
                <w:szCs w:val="24"/>
              </w:rPr>
              <w:t>法定代表人：</w:t>
            </w:r>
          </w:p>
          <w:p w14:paraId="1575E338">
            <w:pPr>
              <w:spacing w:line="360" w:lineRule="auto"/>
              <w:jc w:val="left"/>
              <w:rPr>
                <w:rFonts w:ascii="宋体" w:hAnsi="宋体" w:cs="宋体"/>
                <w:sz w:val="24"/>
                <w:szCs w:val="24"/>
              </w:rPr>
            </w:pPr>
            <w:r>
              <w:rPr>
                <w:rFonts w:hint="eastAsia" w:ascii="宋体" w:hAnsi="宋体" w:cs="宋体"/>
                <w:sz w:val="24"/>
                <w:szCs w:val="24"/>
              </w:rPr>
              <w:t>开户银行及账号：</w:t>
            </w:r>
          </w:p>
          <w:p w14:paraId="669A8706">
            <w:pPr>
              <w:spacing w:line="360" w:lineRule="auto"/>
              <w:jc w:val="left"/>
              <w:rPr>
                <w:rFonts w:ascii="宋体" w:hAnsi="宋体" w:cs="宋体"/>
                <w:sz w:val="24"/>
                <w:szCs w:val="24"/>
              </w:rPr>
            </w:pPr>
            <w:r>
              <w:rPr>
                <w:rFonts w:hint="eastAsia" w:ascii="宋体" w:hAnsi="宋体" w:cs="宋体"/>
                <w:sz w:val="24"/>
                <w:szCs w:val="24"/>
              </w:rPr>
              <w:t xml:space="preserve">        </w:t>
            </w:r>
          </w:p>
          <w:p w14:paraId="513AED69">
            <w:pPr>
              <w:spacing w:line="360" w:lineRule="auto"/>
              <w:jc w:val="left"/>
              <w:rPr>
                <w:rFonts w:ascii="宋体" w:hAnsi="宋体" w:cs="宋体"/>
                <w:sz w:val="24"/>
                <w:szCs w:val="24"/>
              </w:rPr>
            </w:pPr>
            <w:r>
              <w:rPr>
                <w:rFonts w:hint="eastAsia" w:ascii="宋体" w:hAnsi="宋体" w:cs="宋体"/>
                <w:sz w:val="24"/>
                <w:szCs w:val="24"/>
              </w:rPr>
              <w:t>邮政编码：</w:t>
            </w:r>
          </w:p>
          <w:p w14:paraId="5CB2B520">
            <w:pPr>
              <w:spacing w:line="360" w:lineRule="auto"/>
              <w:jc w:val="left"/>
              <w:rPr>
                <w:rFonts w:ascii="宋体" w:hAnsi="宋体" w:cs="宋体"/>
                <w:sz w:val="24"/>
                <w:szCs w:val="24"/>
              </w:rPr>
            </w:pPr>
            <w:r>
              <w:rPr>
                <w:rFonts w:hint="eastAsia" w:ascii="宋体" w:hAnsi="宋体" w:cs="宋体"/>
                <w:sz w:val="24"/>
                <w:szCs w:val="24"/>
              </w:rPr>
              <w:t>合同签订日期：</w:t>
            </w:r>
          </w:p>
        </w:tc>
        <w:tc>
          <w:tcPr>
            <w:tcW w:w="4309" w:type="dxa"/>
            <w:tcBorders>
              <w:top w:val="single" w:color="000000" w:sz="4" w:space="0"/>
              <w:left w:val="single" w:color="auto" w:sz="4" w:space="0"/>
              <w:bottom w:val="single" w:color="000000" w:sz="4" w:space="0"/>
              <w:right w:val="single" w:color="000000" w:sz="4" w:space="0"/>
              <w:tl2br w:val="nil"/>
              <w:tr2bl w:val="nil"/>
            </w:tcBorders>
          </w:tcPr>
          <w:p w14:paraId="4EDB809D">
            <w:pPr>
              <w:spacing w:line="360" w:lineRule="auto"/>
              <w:jc w:val="left"/>
              <w:rPr>
                <w:rFonts w:ascii="宋体" w:hAnsi="宋体" w:cs="宋体"/>
                <w:sz w:val="24"/>
                <w:szCs w:val="24"/>
              </w:rPr>
            </w:pPr>
            <w:r>
              <w:rPr>
                <w:rFonts w:hint="eastAsia" w:ascii="宋体" w:hAnsi="宋体" w:cs="宋体"/>
                <w:sz w:val="24"/>
                <w:szCs w:val="24"/>
              </w:rPr>
              <w:t xml:space="preserve">需方（章）：天津市西青区应急管理局 </w:t>
            </w:r>
          </w:p>
          <w:p w14:paraId="55E1E7C4">
            <w:pPr>
              <w:spacing w:line="360" w:lineRule="auto"/>
              <w:jc w:val="left"/>
              <w:rPr>
                <w:rFonts w:ascii="宋体" w:hAnsi="宋体" w:cs="宋体"/>
                <w:sz w:val="24"/>
                <w:szCs w:val="24"/>
              </w:rPr>
            </w:pPr>
          </w:p>
          <w:p w14:paraId="56853726">
            <w:pPr>
              <w:spacing w:line="360" w:lineRule="auto"/>
              <w:jc w:val="left"/>
              <w:rPr>
                <w:rFonts w:ascii="宋体" w:hAnsi="宋体" w:cs="宋体"/>
                <w:sz w:val="24"/>
                <w:szCs w:val="24"/>
              </w:rPr>
            </w:pPr>
            <w:r>
              <w:rPr>
                <w:rFonts w:hint="eastAsia" w:ascii="宋体" w:hAnsi="宋体" w:cs="宋体"/>
                <w:sz w:val="24"/>
                <w:szCs w:val="24"/>
              </w:rPr>
              <w:t>地址及电话：天津市西青区杨柳青镇润杨道99号，27392095</w:t>
            </w:r>
          </w:p>
          <w:p w14:paraId="4FA18AB0">
            <w:pPr>
              <w:spacing w:line="360" w:lineRule="auto"/>
              <w:ind w:left="1440" w:hanging="1440" w:hangingChars="600"/>
              <w:jc w:val="left"/>
              <w:rPr>
                <w:rFonts w:ascii="宋体" w:hAnsi="宋体" w:cs="宋体"/>
                <w:sz w:val="24"/>
                <w:szCs w:val="24"/>
              </w:rPr>
            </w:pPr>
          </w:p>
          <w:p w14:paraId="035272A2">
            <w:pPr>
              <w:spacing w:line="360" w:lineRule="auto"/>
              <w:ind w:left="1440" w:hanging="1440" w:hangingChars="600"/>
              <w:jc w:val="left"/>
              <w:rPr>
                <w:rFonts w:ascii="宋体" w:hAnsi="宋体" w:cs="宋体"/>
                <w:sz w:val="24"/>
                <w:szCs w:val="24"/>
              </w:rPr>
            </w:pPr>
            <w:r>
              <w:rPr>
                <w:rFonts w:hint="eastAsia" w:ascii="宋体" w:hAnsi="宋体" w:cs="宋体"/>
                <w:sz w:val="24"/>
                <w:szCs w:val="24"/>
              </w:rPr>
              <w:t>委托代理人：</w:t>
            </w:r>
          </w:p>
          <w:p w14:paraId="0D046B86">
            <w:pPr>
              <w:spacing w:line="360" w:lineRule="auto"/>
              <w:ind w:left="1440" w:hanging="1440" w:hangingChars="600"/>
              <w:jc w:val="left"/>
              <w:rPr>
                <w:rFonts w:ascii="宋体" w:hAnsi="宋体" w:cs="宋体"/>
                <w:sz w:val="24"/>
                <w:szCs w:val="24"/>
              </w:rPr>
            </w:pPr>
            <w:r>
              <w:rPr>
                <w:rFonts w:hint="eastAsia" w:ascii="宋体" w:hAnsi="宋体" w:cs="宋体"/>
                <w:sz w:val="24"/>
                <w:szCs w:val="24"/>
              </w:rPr>
              <w:t>法定代表人：</w:t>
            </w:r>
          </w:p>
          <w:p w14:paraId="7D9DAFC5">
            <w:pPr>
              <w:spacing w:line="360" w:lineRule="auto"/>
              <w:jc w:val="left"/>
              <w:rPr>
                <w:rFonts w:ascii="宋体" w:hAnsi="宋体" w:cs="宋体"/>
                <w:sz w:val="24"/>
                <w:szCs w:val="24"/>
              </w:rPr>
            </w:pPr>
            <w:r>
              <w:rPr>
                <w:rFonts w:hint="eastAsia" w:ascii="宋体" w:hAnsi="宋体" w:cs="宋体"/>
                <w:sz w:val="24"/>
                <w:szCs w:val="24"/>
              </w:rPr>
              <w:t>开户银行及账号：中国农业银行天津杨柳青支行02020301040024505</w:t>
            </w:r>
          </w:p>
          <w:p w14:paraId="256D2354">
            <w:pPr>
              <w:spacing w:line="360" w:lineRule="auto"/>
              <w:ind w:left="1440" w:hanging="1440" w:hangingChars="600"/>
              <w:jc w:val="left"/>
              <w:rPr>
                <w:rFonts w:ascii="宋体" w:hAnsi="宋体" w:cs="宋体"/>
                <w:sz w:val="24"/>
                <w:szCs w:val="24"/>
              </w:rPr>
            </w:pPr>
            <w:r>
              <w:rPr>
                <w:rFonts w:hint="eastAsia" w:ascii="宋体" w:hAnsi="宋体" w:cs="宋体"/>
                <w:sz w:val="24"/>
                <w:szCs w:val="24"/>
              </w:rPr>
              <w:t>邮政编码：300380</w:t>
            </w:r>
          </w:p>
          <w:p w14:paraId="66F10124">
            <w:pPr>
              <w:spacing w:line="360" w:lineRule="auto"/>
              <w:ind w:left="1440" w:hanging="1440" w:hangingChars="600"/>
              <w:jc w:val="left"/>
              <w:rPr>
                <w:rFonts w:ascii="宋体" w:hAnsi="宋体" w:cs="宋体"/>
                <w:sz w:val="24"/>
                <w:szCs w:val="24"/>
              </w:rPr>
            </w:pPr>
            <w:r>
              <w:rPr>
                <w:rFonts w:hint="eastAsia" w:ascii="宋体" w:hAnsi="宋体" w:cs="宋体"/>
                <w:sz w:val="24"/>
                <w:szCs w:val="24"/>
              </w:rPr>
              <w:t>合同签订日期：  年  月  日</w:t>
            </w:r>
          </w:p>
        </w:tc>
      </w:tr>
    </w:tbl>
    <w:p w14:paraId="73ECD645">
      <w:pPr>
        <w:rPr>
          <w:szCs w:val="24"/>
        </w:rPr>
      </w:pPr>
      <w:r>
        <w:rPr>
          <w:rFonts w:hint="eastAsia" w:ascii="宋体" w:hAnsi="宋体" w:cs="宋体"/>
          <w:sz w:val="24"/>
          <w:szCs w:val="24"/>
        </w:rPr>
        <w:t xml:space="preserve"> 监制部门：天津市西青区应急管理局      印制单位：天津市西青区应急管理局</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5" w:name="_Toc411426753"/>
      <w:r>
        <w:t>第五部分  响应文件格式</w:t>
      </w:r>
      <w:bookmarkEnd w:id="5"/>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4"/>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4"/>
        <w:tabs>
          <w:tab w:val="left" w:pos="360"/>
        </w:tabs>
        <w:spacing w:line="360" w:lineRule="auto"/>
        <w:ind w:firstLine="480"/>
        <w:rPr>
          <w:sz w:val="24"/>
        </w:rPr>
      </w:pPr>
    </w:p>
    <w:p w14:paraId="28B93B00">
      <w:pPr>
        <w:pStyle w:val="44"/>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14:paraId="033FDF1F">
      <w:pPr>
        <w:pStyle w:val="44"/>
        <w:tabs>
          <w:tab w:val="left" w:pos="360"/>
        </w:tabs>
        <w:spacing w:line="360" w:lineRule="auto"/>
        <w:ind w:firstLine="480"/>
        <w:rPr>
          <w:sz w:val="24"/>
        </w:rPr>
      </w:pPr>
      <w:r>
        <w:rPr>
          <w:rFonts w:hint="eastAsia"/>
          <w:sz w:val="24"/>
        </w:rPr>
        <w:t>我单位具备良好的商业信誉和健全的财务会计制度，依法缴纳税收和社会保障资金。</w:t>
      </w:r>
    </w:p>
    <w:p w14:paraId="0E6E2466">
      <w:pPr>
        <w:pStyle w:val="44"/>
        <w:tabs>
          <w:tab w:val="left" w:pos="360"/>
        </w:tabs>
        <w:spacing w:line="360" w:lineRule="auto"/>
        <w:ind w:firstLine="480"/>
        <w:rPr>
          <w:sz w:val="24"/>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4"/>
        <w:tabs>
          <w:tab w:val="left" w:pos="360"/>
        </w:tabs>
        <w:spacing w:line="360" w:lineRule="auto"/>
        <w:ind w:firstLine="0" w:firstLineChars="0"/>
        <w:rPr>
          <w:sz w:val="24"/>
          <w:u w:val="single"/>
        </w:rPr>
      </w:pPr>
      <w:r>
        <w:rPr>
          <w:rFonts w:hint="eastAsia"/>
          <w:sz w:val="24"/>
          <w:u w:val="single"/>
        </w:rPr>
        <w:t xml:space="preserve">                                                                     </w:t>
      </w:r>
    </w:p>
    <w:p w14:paraId="3283D1A4">
      <w:pPr>
        <w:pStyle w:val="44"/>
        <w:tabs>
          <w:tab w:val="left" w:pos="360"/>
        </w:tabs>
        <w:spacing w:line="360" w:lineRule="auto"/>
        <w:ind w:firstLine="480"/>
        <w:rPr>
          <w:sz w:val="24"/>
        </w:rPr>
      </w:pPr>
    </w:p>
    <w:p w14:paraId="74BBB443">
      <w:pPr>
        <w:pStyle w:val="44"/>
        <w:spacing w:line="360" w:lineRule="auto"/>
        <w:ind w:firstLine="0" w:firstLineChars="0"/>
        <w:jc w:val="center"/>
        <w:rPr>
          <w:b/>
          <w:sz w:val="24"/>
        </w:rPr>
      </w:pPr>
    </w:p>
    <w:p w14:paraId="0925E9A6">
      <w:pPr>
        <w:pStyle w:val="44"/>
        <w:spacing w:line="360" w:lineRule="auto"/>
        <w:ind w:firstLine="0" w:firstLineChars="0"/>
        <w:jc w:val="center"/>
        <w:rPr>
          <w:b/>
          <w:sz w:val="24"/>
        </w:rPr>
      </w:pPr>
    </w:p>
    <w:p w14:paraId="5BD39334">
      <w:pPr>
        <w:pStyle w:val="44"/>
        <w:spacing w:line="360" w:lineRule="auto"/>
        <w:ind w:firstLine="0" w:firstLineChars="0"/>
        <w:jc w:val="center"/>
        <w:rPr>
          <w:b/>
          <w:sz w:val="24"/>
        </w:rPr>
      </w:pPr>
      <w:r>
        <w:rPr>
          <w:rFonts w:hint="eastAsia"/>
          <w:b/>
          <w:sz w:val="24"/>
        </w:rPr>
        <w:t>证明材料</w:t>
      </w:r>
    </w:p>
    <w:p w14:paraId="1AA43AD6">
      <w:pPr>
        <w:pStyle w:val="44"/>
        <w:tabs>
          <w:tab w:val="left" w:pos="360"/>
        </w:tabs>
        <w:spacing w:line="360" w:lineRule="auto"/>
        <w:ind w:firstLine="480"/>
        <w:rPr>
          <w:sz w:val="24"/>
        </w:rPr>
      </w:pPr>
    </w:p>
    <w:p w14:paraId="1796B92B">
      <w:pPr>
        <w:pStyle w:val="44"/>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14:paraId="5B9230F3">
      <w:pPr>
        <w:pStyle w:val="44"/>
        <w:tabs>
          <w:tab w:val="left" w:pos="360"/>
        </w:tabs>
        <w:spacing w:line="360" w:lineRule="auto"/>
        <w:ind w:firstLine="480"/>
        <w:rPr>
          <w:sz w:val="24"/>
        </w:rPr>
      </w:pPr>
    </w:p>
    <w:p w14:paraId="2E381CD0">
      <w:pPr>
        <w:pStyle w:val="44"/>
        <w:tabs>
          <w:tab w:val="left" w:pos="360"/>
        </w:tabs>
        <w:spacing w:line="360" w:lineRule="auto"/>
        <w:ind w:firstLine="480"/>
        <w:rPr>
          <w:sz w:val="24"/>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7"/>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szCs w:val="21"/>
              </w:rPr>
            </w:pPr>
            <w:r>
              <w:rPr>
                <w:rFonts w:hint="eastAsia"/>
                <w:szCs w:val="21"/>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szCs w:val="21"/>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szCs w:val="21"/>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szCs w:val="21"/>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szCs w:val="21"/>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szCs w:val="21"/>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modern"/>
    <w:pitch w:val="default"/>
    <w:sig w:usb0="E10002FF" w:usb1="4000FCFF" w:usb2="00000009" w:usb3="00000000" w:csb0="6000019F" w:csb1="DFD70000"/>
  </w:font>
  <w:font w:name=".......">
    <w:altName w:val="宋体"/>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9"/>
      <w:jc w:val="center"/>
    </w:pPr>
    <w:r>
      <w:fldChar w:fldCharType="begin"/>
    </w:r>
    <w:r>
      <w:instrText xml:space="preserve"> PAGE   \* MERGEFORMAT </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10"/>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3C4D510"/>
    <w:multiLevelType w:val="singleLevel"/>
    <w:tmpl w:val="43C4D510"/>
    <w:lvl w:ilvl="0" w:tentative="0">
      <w:start w:val="1"/>
      <w:numFmt w:val="bullet"/>
      <w:pStyle w:val="4"/>
      <w:lvlText w:val=""/>
      <w:lvlJc w:val="left"/>
      <w:pPr>
        <w:tabs>
          <w:tab w:val="left" w:pos="360"/>
        </w:tabs>
        <w:ind w:left="36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13BF"/>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5B1"/>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97"/>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0A36"/>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1CEB"/>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354"/>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0C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A47CA"/>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C2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A373E"/>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49F2"/>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CA3"/>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692"/>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AD93FC0"/>
    <w:rsid w:val="0BBD302D"/>
    <w:rsid w:val="0E7476E7"/>
    <w:rsid w:val="0E8042DE"/>
    <w:rsid w:val="0EA05576"/>
    <w:rsid w:val="1030329B"/>
    <w:rsid w:val="13D82E87"/>
    <w:rsid w:val="164069C7"/>
    <w:rsid w:val="16C32FBA"/>
    <w:rsid w:val="16C60AD4"/>
    <w:rsid w:val="17A22AEF"/>
    <w:rsid w:val="18CF093C"/>
    <w:rsid w:val="1A4B194F"/>
    <w:rsid w:val="1A657C9B"/>
    <w:rsid w:val="1B040E15"/>
    <w:rsid w:val="1CE3359A"/>
    <w:rsid w:val="1F006B10"/>
    <w:rsid w:val="228D276C"/>
    <w:rsid w:val="233E3803"/>
    <w:rsid w:val="281B5C24"/>
    <w:rsid w:val="29A97AD5"/>
    <w:rsid w:val="2B4104F9"/>
    <w:rsid w:val="32021A78"/>
    <w:rsid w:val="32E620B2"/>
    <w:rsid w:val="34056568"/>
    <w:rsid w:val="34EE4299"/>
    <w:rsid w:val="350757C1"/>
    <w:rsid w:val="3C237ED3"/>
    <w:rsid w:val="3D440713"/>
    <w:rsid w:val="3E955F68"/>
    <w:rsid w:val="3EA86F82"/>
    <w:rsid w:val="406B5793"/>
    <w:rsid w:val="416C13B5"/>
    <w:rsid w:val="430D73BE"/>
    <w:rsid w:val="43482915"/>
    <w:rsid w:val="44134CD1"/>
    <w:rsid w:val="4AAA5C63"/>
    <w:rsid w:val="4BC86043"/>
    <w:rsid w:val="4F3A122B"/>
    <w:rsid w:val="53583BBF"/>
    <w:rsid w:val="55B33581"/>
    <w:rsid w:val="59747B68"/>
    <w:rsid w:val="59DF6954"/>
    <w:rsid w:val="5AEC1FC0"/>
    <w:rsid w:val="5DDC779B"/>
    <w:rsid w:val="60B723C8"/>
    <w:rsid w:val="62FC162C"/>
    <w:rsid w:val="64B0159A"/>
    <w:rsid w:val="71AB2EE2"/>
    <w:rsid w:val="78986F77"/>
    <w:rsid w:val="79E11D2C"/>
    <w:rsid w:val="7A0E359F"/>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1"/>
    <w:qFormat/>
    <w:uiPriority w:val="0"/>
    <w:pPr>
      <w:keepNext/>
      <w:keepLines/>
      <w:spacing w:before="260" w:after="260" w:line="415" w:lineRule="auto"/>
      <w:outlineLvl w:val="2"/>
    </w:pPr>
    <w:rPr>
      <w:b/>
      <w:bCs/>
      <w:kern w:val="0"/>
      <w:sz w:val="32"/>
      <w:szCs w:val="32"/>
      <w:lang w:val="zh-CN"/>
    </w:rPr>
  </w:style>
  <w:style w:type="character" w:default="1" w:styleId="19">
    <w:name w:val="Default Paragraph Font"/>
    <w:semiHidden/>
    <w:unhideWhenUsed/>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List Bullet"/>
    <w:basedOn w:val="1"/>
    <w:semiHidden/>
    <w:unhideWhenUsed/>
    <w:uiPriority w:val="99"/>
    <w:pPr>
      <w:numPr>
        <w:ilvl w:val="0"/>
        <w:numId w:val="1"/>
      </w:numPr>
    </w:pPr>
  </w:style>
  <w:style w:type="paragraph" w:styleId="5">
    <w:name w:val="annotation text"/>
    <w:basedOn w:val="1"/>
    <w:link w:val="79"/>
    <w:semiHidden/>
    <w:unhideWhenUsed/>
    <w:qFormat/>
    <w:uiPriority w:val="99"/>
    <w:pPr>
      <w:jc w:val="left"/>
    </w:pPr>
  </w:style>
  <w:style w:type="paragraph" w:styleId="6">
    <w:name w:val="Body Text"/>
    <w:basedOn w:val="1"/>
    <w:link w:val="83"/>
    <w:qFormat/>
    <w:uiPriority w:val="0"/>
    <w:pPr>
      <w:spacing w:after="120"/>
    </w:pPr>
  </w:style>
  <w:style w:type="paragraph" w:styleId="7">
    <w:name w:val="Body Text Indent 2"/>
    <w:basedOn w:val="1"/>
    <w:link w:val="39"/>
    <w:qFormat/>
    <w:uiPriority w:val="0"/>
    <w:pPr>
      <w:tabs>
        <w:tab w:val="left" w:pos="360"/>
      </w:tabs>
      <w:spacing w:line="560" w:lineRule="atLeast"/>
      <w:ind w:left="-105" w:firstLine="465"/>
    </w:pPr>
    <w:rPr>
      <w:rFonts w:ascii="宋体"/>
      <w:sz w:val="28"/>
      <w:lang w:val="zh-CN"/>
    </w:rPr>
  </w:style>
  <w:style w:type="paragraph" w:styleId="8">
    <w:name w:val="Balloon Text"/>
    <w:basedOn w:val="1"/>
    <w:link w:val="34"/>
    <w:qFormat/>
    <w:uiPriority w:val="99"/>
    <w:rPr>
      <w:sz w:val="18"/>
      <w:szCs w:val="18"/>
      <w:lang w:val="zh-CN"/>
    </w:rPr>
  </w:style>
  <w:style w:type="paragraph" w:styleId="9">
    <w:name w:val="footer"/>
    <w:basedOn w:val="1"/>
    <w:link w:val="33"/>
    <w:qFormat/>
    <w:uiPriority w:val="99"/>
    <w:pPr>
      <w:tabs>
        <w:tab w:val="center" w:pos="4153"/>
        <w:tab w:val="right" w:pos="8306"/>
      </w:tabs>
      <w:snapToGrid w:val="0"/>
      <w:jc w:val="left"/>
    </w:pPr>
    <w:rPr>
      <w:kern w:val="0"/>
      <w:sz w:val="18"/>
      <w:szCs w:val="18"/>
      <w:lang w:val="zh-CN"/>
    </w:rPr>
  </w:style>
  <w:style w:type="paragraph" w:styleId="10">
    <w:name w:val="header"/>
    <w:basedOn w:val="1"/>
    <w:link w:val="32"/>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8"/>
    <w:qFormat/>
    <w:uiPriority w:val="11"/>
    <w:pPr>
      <w:spacing w:before="240" w:after="60" w:line="312" w:lineRule="auto"/>
      <w:jc w:val="center"/>
      <w:outlineLvl w:val="1"/>
    </w:pPr>
    <w:rPr>
      <w:rFonts w:ascii="Cambria" w:hAnsi="Cambria"/>
      <w:b/>
      <w:bCs/>
      <w:kern w:val="28"/>
      <w:sz w:val="32"/>
      <w:szCs w:val="32"/>
      <w:lang w:val="zh-CN"/>
    </w:rPr>
  </w:style>
  <w:style w:type="paragraph" w:styleId="13">
    <w:name w:val="Body Text Indent 3"/>
    <w:basedOn w:val="1"/>
    <w:link w:val="40"/>
    <w:qFormat/>
    <w:uiPriority w:val="0"/>
    <w:pPr>
      <w:tabs>
        <w:tab w:val="left" w:pos="360"/>
      </w:tabs>
      <w:spacing w:line="560" w:lineRule="exact"/>
      <w:ind w:firstLine="360"/>
    </w:pPr>
    <w:rPr>
      <w:rFonts w:ascii="宋体"/>
      <w:sz w:val="24"/>
      <w:lang w:val="zh-CN"/>
    </w:rPr>
  </w:style>
  <w:style w:type="paragraph" w:styleId="14">
    <w:name w:val="Body Text 2"/>
    <w:basedOn w:val="1"/>
    <w:link w:val="78"/>
    <w:semiHidden/>
    <w:unhideWhenUsed/>
    <w:qFormat/>
    <w:uiPriority w:val="99"/>
    <w:pPr>
      <w:spacing w:after="120" w:line="480" w:lineRule="auto"/>
    </w:pPr>
  </w:style>
  <w:style w:type="paragraph" w:styleId="1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80"/>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qFormat/>
    <w:uiPriority w:val="22"/>
    <w:rPr>
      <w:b/>
      <w:bCs/>
    </w:rPr>
  </w:style>
  <w:style w:type="character" w:styleId="21">
    <w:name w:val="page number"/>
    <w:basedOn w:val="19"/>
    <w:qFormat/>
    <w:uiPriority w:val="0"/>
  </w:style>
  <w:style w:type="character" w:styleId="22">
    <w:name w:val="FollowedHyperlink"/>
    <w:basedOn w:val="19"/>
    <w:semiHidden/>
    <w:unhideWhenUsed/>
    <w:uiPriority w:val="99"/>
    <w:rPr>
      <w:rFonts w:ascii="微软雅黑" w:hAnsi="微软雅黑" w:eastAsia="微软雅黑" w:cs="微软雅黑"/>
      <w:color w:val="428BCA"/>
      <w:u w:val="none"/>
    </w:rPr>
  </w:style>
  <w:style w:type="character" w:styleId="23">
    <w:name w:val="Emphasis"/>
    <w:qFormat/>
    <w:uiPriority w:val="20"/>
    <w:rPr>
      <w:i/>
      <w:iCs/>
    </w:rPr>
  </w:style>
  <w:style w:type="character" w:styleId="24">
    <w:name w:val="HTML Definition"/>
    <w:basedOn w:val="19"/>
    <w:semiHidden/>
    <w:unhideWhenUsed/>
    <w:uiPriority w:val="99"/>
    <w:rPr>
      <w:i/>
      <w:iCs/>
    </w:rPr>
  </w:style>
  <w:style w:type="character" w:styleId="25">
    <w:name w:val="Hyperlink"/>
    <w:qFormat/>
    <w:uiPriority w:val="0"/>
    <w:rPr>
      <w:rFonts w:hint="default" w:ascii="ˎ̥" w:hAnsi="ˎ̥"/>
      <w:color w:val="3E3E3E"/>
      <w:sz w:val="24"/>
      <w:szCs w:val="24"/>
      <w:u w:val="none"/>
    </w:rPr>
  </w:style>
  <w:style w:type="character" w:styleId="26">
    <w:name w:val="HTML Code"/>
    <w:basedOn w:val="19"/>
    <w:semiHidden/>
    <w:unhideWhenUsed/>
    <w:uiPriority w:val="99"/>
    <w:rPr>
      <w:rFonts w:ascii="Consolas" w:hAnsi="Consolas" w:eastAsia="Consolas" w:cs="Consolas"/>
      <w:color w:val="C7254E"/>
      <w:sz w:val="21"/>
      <w:szCs w:val="21"/>
      <w:shd w:val="clear" w:color="auto" w:fill="F9F2F4"/>
    </w:rPr>
  </w:style>
  <w:style w:type="character" w:styleId="27">
    <w:name w:val="annotation reference"/>
    <w:basedOn w:val="19"/>
    <w:semiHidden/>
    <w:unhideWhenUsed/>
    <w:qFormat/>
    <w:uiPriority w:val="99"/>
    <w:rPr>
      <w:sz w:val="21"/>
      <w:szCs w:val="21"/>
    </w:rPr>
  </w:style>
  <w:style w:type="character" w:styleId="28">
    <w:name w:val="HTML Cite"/>
    <w:basedOn w:val="19"/>
    <w:semiHidden/>
    <w:unhideWhenUsed/>
    <w:uiPriority w:val="99"/>
  </w:style>
  <w:style w:type="character" w:styleId="29">
    <w:name w:val="HTML Keyboard"/>
    <w:basedOn w:val="19"/>
    <w:semiHidden/>
    <w:unhideWhenUsed/>
    <w:uiPriority w:val="99"/>
    <w:rPr>
      <w:rFonts w:hint="default" w:ascii="Consolas" w:hAnsi="Consolas" w:eastAsia="Consolas" w:cs="Consolas"/>
      <w:sz w:val="21"/>
      <w:szCs w:val="21"/>
    </w:rPr>
  </w:style>
  <w:style w:type="character" w:styleId="30">
    <w:name w:val="HTML Sample"/>
    <w:basedOn w:val="19"/>
    <w:semiHidden/>
    <w:unhideWhenUsed/>
    <w:uiPriority w:val="99"/>
    <w:rPr>
      <w:rFonts w:hint="default" w:ascii="Consolas" w:hAnsi="Consolas" w:eastAsia="Consolas" w:cs="Consolas"/>
      <w:sz w:val="21"/>
      <w:szCs w:val="21"/>
    </w:rPr>
  </w:style>
  <w:style w:type="character" w:customStyle="1" w:styleId="31">
    <w:name w:val="标题 3 字符"/>
    <w:link w:val="2"/>
    <w:qFormat/>
    <w:uiPriority w:val="0"/>
    <w:rPr>
      <w:rFonts w:ascii="Times New Roman" w:hAnsi="Times New Roman" w:eastAsia="宋体" w:cs="Times New Roman"/>
      <w:b/>
      <w:bCs/>
      <w:sz w:val="32"/>
      <w:szCs w:val="32"/>
    </w:rPr>
  </w:style>
  <w:style w:type="character" w:customStyle="1" w:styleId="32">
    <w:name w:val="页眉 字符"/>
    <w:link w:val="10"/>
    <w:qFormat/>
    <w:uiPriority w:val="99"/>
    <w:rPr>
      <w:rFonts w:ascii="Times New Roman" w:hAnsi="Times New Roman" w:eastAsia="宋体" w:cs="Times New Roman"/>
      <w:sz w:val="18"/>
      <w:szCs w:val="18"/>
    </w:rPr>
  </w:style>
  <w:style w:type="character" w:customStyle="1" w:styleId="33">
    <w:name w:val="页脚 字符"/>
    <w:link w:val="9"/>
    <w:qFormat/>
    <w:uiPriority w:val="99"/>
    <w:rPr>
      <w:rFonts w:ascii="Times New Roman" w:hAnsi="Times New Roman" w:eastAsia="宋体" w:cs="Times New Roman"/>
      <w:sz w:val="18"/>
      <w:szCs w:val="18"/>
    </w:rPr>
  </w:style>
  <w:style w:type="character" w:customStyle="1" w:styleId="34">
    <w:name w:val="批注框文本 字符"/>
    <w:link w:val="8"/>
    <w:qFormat/>
    <w:uiPriority w:val="99"/>
    <w:rPr>
      <w:rFonts w:ascii="Times New Roman" w:hAnsi="Times New Roman"/>
      <w:kern w:val="2"/>
      <w:sz w:val="18"/>
      <w:szCs w:val="18"/>
    </w:rPr>
  </w:style>
  <w:style w:type="paragraph" w:customStyle="1" w:styleId="35">
    <w:name w:val="Char"/>
    <w:basedOn w:val="1"/>
    <w:qFormat/>
    <w:uiPriority w:val="0"/>
  </w:style>
  <w:style w:type="paragraph" w:customStyle="1" w:styleId="36">
    <w:name w:val="Default"/>
    <w:link w:val="81"/>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7">
    <w:name w:val="列出段落1"/>
    <w:basedOn w:val="1"/>
    <w:qFormat/>
    <w:uiPriority w:val="0"/>
    <w:pPr>
      <w:ind w:firstLine="420" w:firstLineChars="200"/>
    </w:pPr>
    <w:rPr>
      <w:rFonts w:ascii="Calibri" w:hAnsi="Calibri" w:cs="黑体"/>
      <w:szCs w:val="22"/>
    </w:rPr>
  </w:style>
  <w:style w:type="character" w:customStyle="1" w:styleId="38">
    <w:name w:val="副标题 字符"/>
    <w:link w:val="12"/>
    <w:qFormat/>
    <w:uiPriority w:val="11"/>
    <w:rPr>
      <w:rFonts w:ascii="Cambria" w:hAnsi="Cambria" w:cs="Times New Roman"/>
      <w:b/>
      <w:bCs/>
      <w:kern w:val="28"/>
      <w:sz w:val="32"/>
      <w:szCs w:val="32"/>
    </w:rPr>
  </w:style>
  <w:style w:type="character" w:customStyle="1" w:styleId="39">
    <w:name w:val="正文文本缩进 2 字符"/>
    <w:link w:val="7"/>
    <w:qFormat/>
    <w:uiPriority w:val="0"/>
    <w:rPr>
      <w:rFonts w:ascii="宋体" w:hAnsi="Times New Roman"/>
      <w:kern w:val="2"/>
      <w:sz w:val="28"/>
    </w:rPr>
  </w:style>
  <w:style w:type="character" w:customStyle="1" w:styleId="40">
    <w:name w:val="正文文本缩进 3 字符"/>
    <w:link w:val="13"/>
    <w:qFormat/>
    <w:uiPriority w:val="0"/>
    <w:rPr>
      <w:rFonts w:ascii="宋体" w:hAnsi="Times New Roman"/>
      <w:kern w:val="2"/>
      <w:sz w:val="24"/>
    </w:rPr>
  </w:style>
  <w:style w:type="paragraph" w:customStyle="1" w:styleId="41">
    <w:name w:val="Char1"/>
    <w:basedOn w:val="1"/>
    <w:autoRedefine/>
    <w:qFormat/>
    <w:uiPriority w:val="0"/>
    <w:pPr>
      <w:tabs>
        <w:tab w:val="left" w:pos="360"/>
      </w:tabs>
    </w:pPr>
    <w:rPr>
      <w:sz w:val="24"/>
      <w:szCs w:val="24"/>
    </w:rPr>
  </w:style>
  <w:style w:type="character" w:customStyle="1" w:styleId="42">
    <w:name w:val="control-label6"/>
    <w:qFormat/>
    <w:uiPriority w:val="0"/>
    <w:rPr>
      <w:rFonts w:hint="eastAsia" w:ascii="微软雅黑" w:hAnsi="微软雅黑" w:eastAsia="微软雅黑"/>
    </w:rPr>
  </w:style>
  <w:style w:type="character" w:customStyle="1" w:styleId="43">
    <w:name w:val="apple-converted-space"/>
    <w:qFormat/>
    <w:uiPriority w:val="0"/>
  </w:style>
  <w:style w:type="paragraph" w:styleId="44">
    <w:name w:val="List Paragraph"/>
    <w:basedOn w:val="1"/>
    <w:link w:val="45"/>
    <w:qFormat/>
    <w:uiPriority w:val="34"/>
    <w:pPr>
      <w:ind w:firstLine="420" w:firstLineChars="200"/>
    </w:pPr>
    <w:rPr>
      <w:szCs w:val="24"/>
      <w:lang w:val="zh-CN"/>
    </w:rPr>
  </w:style>
  <w:style w:type="character" w:customStyle="1" w:styleId="45">
    <w:name w:val="列出段落 字符"/>
    <w:link w:val="44"/>
    <w:qFormat/>
    <w:uiPriority w:val="34"/>
    <w:rPr>
      <w:rFonts w:ascii="Times New Roman" w:hAnsi="Times New Roman"/>
      <w:kern w:val="2"/>
      <w:sz w:val="21"/>
      <w:szCs w:val="24"/>
    </w:rPr>
  </w:style>
  <w:style w:type="paragraph" w:customStyle="1" w:styleId="46">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7">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8">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9">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50">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1">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2">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3">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8">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9">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60">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1">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2">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4">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5">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6">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7">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8">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9">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70">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1">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2">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5">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8">
    <w:name w:val="正文文本 2 字符"/>
    <w:basedOn w:val="19"/>
    <w:link w:val="14"/>
    <w:semiHidden/>
    <w:qFormat/>
    <w:uiPriority w:val="99"/>
    <w:rPr>
      <w:rFonts w:ascii="Times New Roman" w:hAnsi="Times New Roman"/>
      <w:kern w:val="2"/>
      <w:sz w:val="21"/>
    </w:rPr>
  </w:style>
  <w:style w:type="character" w:customStyle="1" w:styleId="79">
    <w:name w:val="批注文字 字符"/>
    <w:basedOn w:val="19"/>
    <w:link w:val="5"/>
    <w:semiHidden/>
    <w:qFormat/>
    <w:uiPriority w:val="99"/>
    <w:rPr>
      <w:rFonts w:ascii="Times New Roman" w:hAnsi="Times New Roman"/>
      <w:kern w:val="2"/>
      <w:sz w:val="21"/>
    </w:rPr>
  </w:style>
  <w:style w:type="character" w:customStyle="1" w:styleId="80">
    <w:name w:val="批注主题 字符"/>
    <w:basedOn w:val="79"/>
    <w:link w:val="16"/>
    <w:semiHidden/>
    <w:qFormat/>
    <w:uiPriority w:val="99"/>
    <w:rPr>
      <w:rFonts w:ascii="Times New Roman" w:hAnsi="Times New Roman"/>
      <w:b/>
      <w:bCs/>
      <w:kern w:val="2"/>
      <w:sz w:val="21"/>
    </w:rPr>
  </w:style>
  <w:style w:type="character" w:customStyle="1" w:styleId="81">
    <w:name w:val="Default Char"/>
    <w:link w:val="36"/>
    <w:qFormat/>
    <w:locked/>
    <w:uiPriority w:val="0"/>
    <w:rPr>
      <w:rFonts w:ascii="......." w:hAnsi="......." w:eastAsia="......." w:cs="......."/>
      <w:color w:val="000000"/>
      <w:sz w:val="24"/>
      <w:szCs w:val="24"/>
    </w:rPr>
  </w:style>
  <w:style w:type="character" w:customStyle="1" w:styleId="82">
    <w:name w:val="NormalCharacter"/>
    <w:qFormat/>
    <w:uiPriority w:val="0"/>
  </w:style>
  <w:style w:type="character" w:customStyle="1" w:styleId="83">
    <w:name w:val="正文文本 字符"/>
    <w:basedOn w:val="19"/>
    <w:link w:val="6"/>
    <w:qFormat/>
    <w:uiPriority w:val="0"/>
    <w:rPr>
      <w:rFonts w:ascii="Times New Roman" w:hAnsi="Times New Roman"/>
      <w:kern w:val="2"/>
      <w:sz w:val="21"/>
    </w:rPr>
  </w:style>
  <w:style w:type="character" w:customStyle="1" w:styleId="84">
    <w:name w:val="old"/>
    <w:basedOn w:val="19"/>
    <w:qFormat/>
    <w:uiPriority w:val="0"/>
    <w:rPr>
      <w:color w:val="999999"/>
    </w:rPr>
  </w:style>
  <w:style w:type="character" w:customStyle="1" w:styleId="85">
    <w:name w:val="hover2"/>
    <w:basedOn w:val="19"/>
    <w:qFormat/>
    <w:uiPriority w:val="0"/>
    <w:rPr>
      <w:shd w:val="clear" w:color="auto" w:fill="EEEEEE"/>
    </w:rPr>
  </w:style>
  <w:style w:type="character" w:customStyle="1" w:styleId="86">
    <w:name w:val="action"/>
    <w:basedOn w:val="19"/>
    <w:qFormat/>
    <w:uiPriority w:val="0"/>
    <w:rPr>
      <w:b/>
      <w:bCs/>
      <w:sz w:val="16"/>
      <w:szCs w:val="16"/>
      <w:shd w:val="clear" w:color="auto" w:fill="FFFFFF"/>
    </w:rPr>
  </w:style>
  <w:style w:type="character" w:customStyle="1" w:styleId="87">
    <w:name w:val="filename"/>
    <w:basedOn w:val="19"/>
    <w:qFormat/>
    <w:uiPriority w:val="0"/>
    <w:rPr>
      <w:color w:val="777777"/>
      <w:sz w:val="16"/>
      <w:szCs w:val="16"/>
    </w:rPr>
  </w:style>
  <w:style w:type="character" w:customStyle="1" w:styleId="88">
    <w:name w:val="hour_am"/>
    <w:basedOn w:val="19"/>
    <w:qFormat/>
    <w:uiPriority w:val="0"/>
  </w:style>
  <w:style w:type="character" w:customStyle="1" w:styleId="89">
    <w:name w:val="hour_pm"/>
    <w:basedOn w:val="19"/>
    <w:qFormat/>
    <w:uiPriority w:val="0"/>
  </w:style>
  <w:style w:type="character" w:customStyle="1" w:styleId="90">
    <w:name w:val="checked"/>
    <w:basedOn w:val="19"/>
    <w:qFormat/>
    <w:uiPriority w:val="0"/>
  </w:style>
  <w:style w:type="character" w:customStyle="1" w:styleId="91">
    <w:name w:val="checked1"/>
    <w:basedOn w:val="19"/>
    <w:qFormat/>
    <w:uiPriority w:val="0"/>
  </w:style>
  <w:style w:type="character" w:customStyle="1" w:styleId="92">
    <w:name w:val="hover1"/>
    <w:basedOn w:val="19"/>
    <w:qFormat/>
    <w:uiPriority w:val="0"/>
    <w:rPr>
      <w:shd w:val="clear" w:color="auto" w:fill="EEEEEE"/>
    </w:rPr>
  </w:style>
  <w:style w:type="paragraph" w:customStyle="1" w:styleId="93">
    <w:name w:val="首行缩进"/>
    <w:qFormat/>
    <w:uiPriority w:val="99"/>
    <w:pPr>
      <w:widowControl w:val="0"/>
      <w:spacing w:line="360" w:lineRule="auto"/>
      <w:ind w:firstLine="480" w:firstLineChars="200"/>
      <w:jc w:val="both"/>
    </w:pPr>
    <w:rPr>
      <w:rFonts w:ascii="Calibri" w:hAnsi="Calibri" w:eastAsia="宋体" w:cs="Times New Roman"/>
      <w:kern w:val="2"/>
      <w:sz w:val="24"/>
      <w:szCs w:val="22"/>
      <w:lang w:val="zh-CN"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8F0540-B48E-4243-8C00-3E814ECF0DD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75</Pages>
  <Words>8461</Words>
  <Characters>9276</Characters>
  <Lines>320</Lines>
  <Paragraphs>90</Paragraphs>
  <TotalTime>244</TotalTime>
  <ScaleCrop>false</ScaleCrop>
  <LinksUpToDate>false</LinksUpToDate>
  <CharactersWithSpaces>9382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沈川</cp:lastModifiedBy>
  <cp:lastPrinted>2015-08-04T03:01:00Z</cp:lastPrinted>
  <dcterms:modified xsi:type="dcterms:W3CDTF">2025-12-25T05:29:41Z</dcterms:modified>
  <dc:title>2015年天津市政府债券</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4541BFD854CD4549852A784102A73625_13</vt:lpwstr>
  </property>
</Properties>
</file>