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2A52385D">
      <w:pPr>
        <w:ind w:right="105"/>
        <w:jc w:val="center"/>
        <w:rPr>
          <w:rFonts w:hint="eastAsia" w:ascii="宋体" w:hAnsi="宋体" w:eastAsia="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天津市西青区融媒体中心物业服务项目</w:t>
      </w: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eastAsia="宋体" w:cs="Times New Roman"/>
          <w:b/>
          <w:color w:val="auto"/>
          <w:spacing w:val="40"/>
          <w:w w:val="66"/>
          <w:sz w:val="60"/>
          <w:szCs w:val="60"/>
        </w:rPr>
        <w:t>招标文件</w:t>
      </w:r>
    </w:p>
    <w:p w14:paraId="35709FBC">
      <w:pPr>
        <w:ind w:right="105"/>
        <w:jc w:val="right"/>
        <w:rPr>
          <w:rFonts w:eastAsia="黑体"/>
          <w:b/>
          <w:color w:val="auto"/>
          <w:spacing w:val="40"/>
          <w:w w:val="66"/>
          <w:sz w:val="60"/>
          <w:szCs w:val="60"/>
        </w:rPr>
      </w:pPr>
    </w:p>
    <w:p w14:paraId="33832FC4">
      <w:pPr>
        <w:ind w:right="1025"/>
        <w:jc w:val="center"/>
        <w:rPr>
          <w:rFonts w:eastAsia="黑体"/>
          <w:b/>
          <w:color w:val="auto"/>
          <w:spacing w:val="40"/>
          <w:w w:val="66"/>
          <w:sz w:val="60"/>
          <w:szCs w:val="60"/>
        </w:rPr>
      </w:pPr>
    </w:p>
    <w:p w14:paraId="02CC041D">
      <w:pPr>
        <w:jc w:val="center"/>
        <w:rPr>
          <w:rFonts w:eastAsia="黑体"/>
          <w:b/>
          <w:color w:val="auto"/>
          <w:spacing w:val="40"/>
          <w:w w:val="66"/>
          <w:sz w:val="15"/>
          <w:szCs w:val="15"/>
        </w:rPr>
      </w:pPr>
      <w:r>
        <w:rPr>
          <w:rFonts w:eastAsia="黑体"/>
          <w:b/>
          <w:color w:val="auto"/>
          <w:spacing w:val="40"/>
          <w:w w:val="66"/>
          <w:sz w:val="56"/>
          <w:szCs w:val="56"/>
        </w:rPr>
        <w:t xml:space="preserve">            </w:t>
      </w:r>
    </w:p>
    <w:p w14:paraId="5BBE5144">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TJXQ-2025-D-0042</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hint="default" w:eastAsia="仿宋_GB2312"/>
          <w:b/>
          <w:bCs/>
          <w:color w:val="FF0000"/>
          <w:kern w:val="0"/>
          <w:sz w:val="44"/>
          <w:szCs w:val="44"/>
          <w:lang w:val="en-US"/>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12</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天津市西青区融媒体中心</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天津市西青区融媒体中心物业服务项目</w:t>
      </w:r>
      <w:r>
        <w:rPr>
          <w:rFonts w:ascii="Times New Roman" w:hAnsi="Times New Roman" w:cs="Times New Roman" w:eastAsiaTheme="minorEastAsia"/>
          <w:color w:val="auto"/>
          <w:szCs w:val="32"/>
        </w:rPr>
        <w:t>实施政府采购。现欢迎合格的供应商参加投标。</w:t>
      </w:r>
    </w:p>
    <w:p w14:paraId="63FEC123">
      <w:pPr>
        <w:pStyle w:val="6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天津市西青区融媒体中心物业服务项目</w:t>
      </w:r>
      <w:r>
        <w:rPr>
          <w:rFonts w:ascii="Times New Roman" w:hAnsi="Times New Roman" w:eastAsia="宋体" w:cs="Times New Roman"/>
          <w:color w:val="auto"/>
        </w:rPr>
        <w:t xml:space="preserve">  </w:t>
      </w:r>
    </w:p>
    <w:p w14:paraId="2EE4879F">
      <w:pPr>
        <w:pStyle w:val="6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lang w:eastAsia="zh-CN"/>
        </w:rPr>
        <w:t>TJXQ-2025-D-0042</w:t>
      </w:r>
    </w:p>
    <w:p w14:paraId="4D69BFE7">
      <w:pPr>
        <w:pStyle w:val="61"/>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二、项目内容</w:t>
      </w:r>
    </w:p>
    <w:p w14:paraId="50867837">
      <w:pPr>
        <w:pStyle w:val="61"/>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采购明细项目：物业服务1项，技术要求详见附件</w:t>
      </w:r>
      <w:r>
        <w:rPr>
          <w:rFonts w:hint="eastAsia" w:ascii="宋体" w:hAnsi="宋体" w:eastAsia="宋体" w:cs="Times New Roman"/>
          <w:color w:val="auto"/>
          <w:kern w:val="2"/>
          <w:sz w:val="24"/>
          <w:szCs w:val="20"/>
          <w:lang w:val="en-US" w:eastAsia="zh-CN" w:bidi="ar-SA"/>
        </w:rPr>
        <w:tab/>
      </w:r>
      <w:r>
        <w:rPr>
          <w:rFonts w:hint="eastAsia" w:ascii="宋体" w:hAnsi="宋体" w:eastAsia="宋体" w:cs="Times New Roman"/>
          <w:color w:val="auto"/>
          <w:kern w:val="2"/>
          <w:sz w:val="24"/>
          <w:szCs w:val="20"/>
          <w:lang w:val="en-US" w:eastAsia="zh-CN" w:bidi="ar-SA"/>
        </w:rPr>
        <w:t>。</w:t>
      </w:r>
    </w:p>
    <w:p w14:paraId="4DC1DC03">
      <w:pPr>
        <w:pStyle w:val="61"/>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三、项目预算</w:t>
      </w:r>
    </w:p>
    <w:p w14:paraId="26733069">
      <w:pPr>
        <w:widowControl w:val="0"/>
        <w:autoSpaceDE w:val="0"/>
        <w:autoSpaceDN w:val="0"/>
        <w:adjustRightInd w:val="0"/>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2477405元。</w:t>
      </w:r>
    </w:p>
    <w:p w14:paraId="452893A0">
      <w:pPr>
        <w:pStyle w:val="61"/>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注：每包投标报价不得超出该包的预算（最高限价），否则投标无效。</w:t>
      </w:r>
    </w:p>
    <w:p w14:paraId="7E324ED9">
      <w:pPr>
        <w:pStyle w:val="61"/>
        <w:spacing w:line="360" w:lineRule="auto"/>
        <w:ind w:firstLine="480" w:firstLineChars="200"/>
        <w:jc w:val="both"/>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四、供应商资格要求（实质性要求）</w:t>
      </w:r>
    </w:p>
    <w:p w14:paraId="2FF6162D">
      <w:pPr>
        <w:tabs>
          <w:tab w:val="left" w:pos="210"/>
        </w:tabs>
        <w:autoSpaceDE w:val="0"/>
        <w:autoSpaceDN w:val="0"/>
        <w:adjustRightInd w:val="0"/>
        <w:spacing w:line="560" w:lineRule="exact"/>
        <w:ind w:firstLine="48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2、本次招标不接受联合体投标。</w:t>
      </w:r>
    </w:p>
    <w:p w14:paraId="3F5A0AD3">
      <w:pPr>
        <w:tabs>
          <w:tab w:val="left" w:pos="900"/>
          <w:tab w:val="left" w:pos="7740"/>
        </w:tabs>
        <w:spacing w:line="560" w:lineRule="exact"/>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3、提交投标文件截止日前3年在经营活动中没有重大违法记录的书面声明（截至提交响应文件截止日成立不足3年的供应商可提供自成立以来无重大违法记录的书面声明）。</w:t>
      </w:r>
    </w:p>
    <w:p w14:paraId="3E49267C">
      <w:pPr>
        <w:tabs>
          <w:tab w:val="left" w:pos="900"/>
          <w:tab w:val="left" w:pos="7740"/>
        </w:tabs>
        <w:spacing w:line="560" w:lineRule="exact"/>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4. 财务状况报告等相关材料：A.经第三方会计师事务所审计的2023年或2024年度财务报告复印件。B.2025年度银行出具的资信证明复印件。注：A、B两项提供任意一项均可</w:t>
      </w:r>
    </w:p>
    <w:p w14:paraId="2F6BF865">
      <w:pPr>
        <w:tabs>
          <w:tab w:val="left" w:pos="900"/>
          <w:tab w:val="left" w:pos="7740"/>
        </w:tabs>
        <w:spacing w:line="560" w:lineRule="exact"/>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5．提供开标日期前近半年任意1个月的依法缴纳税收或社会保险费的相关证明文件复印件（依法免税或不需要缴纳社会保障资金的供应商，应提供相应证明其依法免税或不需要缴纳社会保障资金的材料）</w:t>
      </w:r>
    </w:p>
    <w:p w14:paraId="12A34431">
      <w:pPr>
        <w:widowControl w:val="0"/>
        <w:autoSpaceDE w:val="0"/>
        <w:autoSpaceDN w:val="0"/>
        <w:adjustRightInd w:val="0"/>
        <w:spacing w:line="360" w:lineRule="auto"/>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6</w:t>
      </w:r>
      <w:r>
        <w:rPr>
          <w:rFonts w:hint="eastAsia" w:ascii="宋体" w:hAnsi="宋体" w:cs="Times New Roman"/>
          <w:color w:val="auto"/>
          <w:kern w:val="2"/>
          <w:sz w:val="24"/>
          <w:szCs w:val="20"/>
          <w:lang w:val="en-US" w:eastAsia="zh-CN" w:bidi="ar-SA"/>
        </w:rPr>
        <w:t>.</w:t>
      </w:r>
      <w:r>
        <w:rPr>
          <w:rFonts w:hint="eastAsia" w:ascii="宋体" w:hAnsi="宋体" w:eastAsia="宋体" w:cs="Times New Roman"/>
          <w:color w:val="auto"/>
          <w:kern w:val="2"/>
          <w:sz w:val="24"/>
          <w:szCs w:val="20"/>
          <w:lang w:val="en-US" w:eastAsia="zh-CN" w:bidi="ar-SA"/>
        </w:rPr>
        <w:t>本项目仅限中、小微企业、监狱企业、残疾人福利性单位参与，投标人须提供《中小企业声明函》或《残疾人福利性单位声明函》或属于监狱企业的证明文件。</w:t>
      </w:r>
    </w:p>
    <w:p w14:paraId="734AB459">
      <w:pPr>
        <w:pStyle w:val="61"/>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五、项目需要落实的政府采购政策</w:t>
      </w:r>
    </w:p>
    <w:p w14:paraId="3178374F">
      <w:pPr>
        <w:pStyle w:val="61"/>
        <w:spacing w:line="360" w:lineRule="auto"/>
        <w:ind w:firstLine="480" w:firstLineChars="200"/>
        <w:jc w:val="both"/>
        <w:rPr>
          <w:rFonts w:hint="eastAsia" w:ascii="Times New Roman" w:hAnsi="Times New Roman" w:eastAsia="宋体" w:cs="Times New Roman"/>
          <w:color w:val="auto"/>
          <w:szCs w:val="32"/>
          <w:lang w:val="en-US" w:eastAsia="zh-CN"/>
        </w:rPr>
      </w:pPr>
      <w:bookmarkStart w:id="1" w:name="_Toc412903615"/>
      <w:r>
        <w:rPr>
          <w:rFonts w:hint="eastAsia" w:ascii="Times New Roman" w:hAnsi="Times New Roman" w:eastAsia="宋体" w:cs="Times New Roman"/>
          <w:color w:val="auto"/>
          <w:szCs w:val="32"/>
          <w:lang w:val="en-US" w:eastAsia="zh-CN"/>
        </w:rPr>
        <w:t>（一）按照国家节能环保政策执行。</w:t>
      </w:r>
    </w:p>
    <w:p w14:paraId="5525A35D">
      <w:pPr>
        <w:pStyle w:val="61"/>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（二）本项目仅限中、小微企业、监狱企业、残疾人福利性单位参与，投标人须提供《中小企业声明函》或《残疾人福利性单位声明函》或属于监狱企业的证明文件。</w:t>
      </w:r>
    </w:p>
    <w:p w14:paraId="46EE1676">
      <w:pPr>
        <w:pStyle w:val="61"/>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pStyle w:val="61"/>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7039337">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六、获取招标文件时间、</w:t>
      </w:r>
      <w:r>
        <w:rPr>
          <w:rFonts w:ascii="Times New Roman" w:hAnsi="Times New Roman" w:eastAsia="宋体" w:cs="Times New Roman"/>
          <w:color w:val="auto"/>
          <w:highlight w:val="none"/>
        </w:rPr>
        <w:t>方式</w:t>
      </w:r>
    </w:p>
    <w:p w14:paraId="0C74E67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（一）获取招标文件时间：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ascii="Times New Roman" w:hAnsi="Times New Roman" w:eastAsia="宋体" w:cs="Times New Roman"/>
          <w:color w:val="auto"/>
          <w:highlight w:val="none"/>
        </w:rPr>
        <w:t>，</w:t>
      </w:r>
      <w:r>
        <w:rPr>
          <w:rFonts w:ascii="Times New Roman" w:hAnsi="Times New Roman" w:eastAsia="宋体" w:cs="Times New Roman"/>
          <w:color w:val="auto"/>
        </w:rPr>
        <w:t>每日9:00至17:00（北京时间，法定节假日除外）。</w:t>
      </w:r>
    </w:p>
    <w:p w14:paraId="50353A1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5"/>
          <w:rFonts w:hint="eastAsia" w:ascii="Times New Roman" w:hAnsi="Times New Roman" w:eastAsia="宋体" w:cs="Times New Roman"/>
          <w:color w:val="auto"/>
        </w:rPr>
        <w:t>http://tjgpc.zwfwb.tj.gov.cn</w:t>
      </w:r>
      <w:r>
        <w:rPr>
          <w:rStyle w:val="55"/>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1"/>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highlight w:val="none"/>
        </w:rPr>
        <w:t>使</w:t>
      </w:r>
      <w:r>
        <w:rPr>
          <w:rFonts w:ascii="Times New Roman" w:hAnsi="Times New Roman" w:eastAsia="宋体" w:cs="Times New Roman"/>
          <w:color w:val="auto"/>
        </w:rPr>
        <w:t>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ascii="Times New Roman" w:hAnsi="Times New Roman" w:eastAsia="宋体" w:cs="Times New Roman"/>
          <w:color w:val="auto"/>
          <w:highlight w:val="none"/>
        </w:rPr>
        <w:t>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w:t>
      </w:r>
      <w:r>
        <w:rPr>
          <w:rFonts w:ascii="Times New Roman" w:hAnsi="Times New Roman" w:eastAsia="宋体" w:cs="Times New Roman"/>
          <w:color w:val="auto"/>
        </w:rPr>
        <w:t>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（三）网上开标公示时间：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23</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lang w:val="en-US" w:eastAsia="zh-CN"/>
        </w:rPr>
        <w:t>3</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投标人可在规定时间内使用天津数字认证有限公司发出的CA数字证书（原天津市</w:t>
      </w:r>
      <w:r>
        <w:rPr>
          <w:rFonts w:hint="eastAsia" w:ascii="Times New Roman" w:hAnsi="Times New Roman" w:eastAsia="宋体" w:cs="Times New Roman"/>
          <w:color w:val="auto"/>
        </w:rPr>
        <w:t>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bookmarkStart w:id="12" w:name="_GoBack"/>
      <w:bookmarkEnd w:id="12"/>
    </w:p>
    <w:p w14:paraId="7F366A2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13B2137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3A17BD">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宋体" w:hAnsi="宋体"/>
          <w:sz w:val="24"/>
          <w:szCs w:val="24"/>
          <w:highlight w:val="none"/>
        </w:rPr>
        <w:t>022-27392459</w:t>
      </w:r>
    </w:p>
    <w:p w14:paraId="07E0CBFE">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天津市西青区融媒体中心</w:t>
      </w:r>
    </w:p>
    <w:p w14:paraId="1AC934FA">
      <w:pPr>
        <w:pStyle w:val="61"/>
        <w:spacing w:line="360" w:lineRule="auto"/>
        <w:ind w:firstLine="480" w:firstLineChars="200"/>
        <w:rPr>
          <w:rFonts w:ascii="Times New Roman" w:hAnsi="Times New Roman" w:eastAsia="宋体" w:cs="Times New Roman"/>
          <w:color w:val="auto"/>
          <w:highlight w:val="yellow"/>
        </w:rPr>
      </w:pPr>
      <w:r>
        <w:rPr>
          <w:rFonts w:ascii="Times New Roman" w:hAnsi="Times New Roman" w:eastAsia="宋体" w:cs="Times New Roman"/>
          <w:color w:val="auto"/>
          <w:highlight w:val="none"/>
        </w:rPr>
        <w:t>（二）采购人地址：</w:t>
      </w:r>
      <w:r>
        <w:rPr>
          <w:rFonts w:hint="eastAsia" w:ascii="宋体" w:hAnsi="宋体"/>
          <w:sz w:val="24"/>
          <w:szCs w:val="24"/>
          <w:highlight w:val="none"/>
        </w:rPr>
        <w:t>天津市</w:t>
      </w:r>
      <w:r>
        <w:rPr>
          <w:rFonts w:hint="eastAsia" w:ascii="宋体" w:hAnsi="宋体"/>
          <w:sz w:val="24"/>
          <w:szCs w:val="24"/>
        </w:rPr>
        <w:t>西青区杨柳青镇府前街4号</w:t>
      </w:r>
    </w:p>
    <w:p w14:paraId="78C5CEF9">
      <w:pPr>
        <w:pStyle w:val="61"/>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宋体" w:hAnsi="宋体"/>
          <w:sz w:val="24"/>
          <w:szCs w:val="24"/>
          <w:highlight w:val="none"/>
        </w:rPr>
        <w:t>赵金乾</w:t>
      </w:r>
    </w:p>
    <w:p w14:paraId="3FCFF874">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（四）采购人联系电话： </w:t>
      </w:r>
      <w:r>
        <w:rPr>
          <w:rFonts w:hint="eastAsia" w:ascii="宋体" w:hAnsi="宋体"/>
          <w:sz w:val="24"/>
          <w:szCs w:val="24"/>
          <w:highlight w:val="none"/>
        </w:rPr>
        <w:t>022-27392459</w:t>
      </w:r>
    </w:p>
    <w:p w14:paraId="7C31FCF7">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50E9A7">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9682F75">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天津市西青区融媒体中心</w:t>
      </w:r>
    </w:p>
    <w:p w14:paraId="6B4A7905">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宋体" w:hAnsi="宋体"/>
          <w:sz w:val="24"/>
          <w:szCs w:val="24"/>
          <w:highlight w:val="none"/>
        </w:rPr>
        <w:t>天津市西青区杨柳青镇府前街4号</w:t>
      </w:r>
    </w:p>
    <w:p w14:paraId="38B91D6F">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宋体" w:hAnsi="宋体"/>
          <w:sz w:val="24"/>
          <w:szCs w:val="24"/>
          <w:highlight w:val="none"/>
        </w:rPr>
        <w:t>赵金乾</w:t>
      </w:r>
    </w:p>
    <w:p w14:paraId="07BFE700">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宋体" w:hAnsi="宋体"/>
          <w:sz w:val="24"/>
          <w:szCs w:val="24"/>
          <w:highlight w:val="none"/>
        </w:rPr>
        <w:t>022-27392459</w:t>
      </w:r>
    </w:p>
    <w:p w14:paraId="21050C4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（二）供应商对质疑答复不满意的，或者采购人、</w:t>
      </w:r>
      <w:r>
        <w:rPr>
          <w:rFonts w:hint="eastAsia" w:ascii="Times New Roman" w:hAnsi="Times New Roman" w:eastAsia="宋体" w:cs="Times New Roman"/>
          <w:color w:val="auto"/>
        </w:rPr>
        <w:t>天津市西青区政府采购中心未在规定期限内作出答复的，供应商可以在质疑答复期满后15个工作日内，向采购人同级财政部门提出投诉，逾期不予受理。</w:t>
      </w:r>
    </w:p>
    <w:p w14:paraId="2C80DBA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1"/>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1"/>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autoSpaceDE w:val="0"/>
        <w:autoSpaceDN w:val="0"/>
        <w:adjustRightInd w:val="0"/>
        <w:spacing w:line="360" w:lineRule="auto"/>
        <w:ind w:firstLine="480" w:firstLineChars="200"/>
        <w:rPr>
          <w:color w:val="FF0000"/>
          <w:sz w:val="24"/>
        </w:rPr>
      </w:pPr>
      <w:r>
        <w:rPr>
          <w:sz w:val="24"/>
        </w:rPr>
        <w:t>2. 投标人的报价应包括：</w:t>
      </w:r>
      <w:r>
        <w:rPr>
          <w:rFonts w:hint="eastAsia" w:ascii="宋体" w:hAnsi="Calibri" w:cs="宋体"/>
          <w:kern w:val="0"/>
          <w:sz w:val="24"/>
        </w:rPr>
        <w:t>人员工资、福利、社险、住房公积金等人工费用、服装费、行政办公费、</w:t>
      </w:r>
      <w:r>
        <w:rPr>
          <w:rFonts w:hint="eastAsia" w:ascii="宋体" w:hAnsi="宋体"/>
          <w:sz w:val="24"/>
        </w:rPr>
        <w:t>保洁工具及耗材费用、餐厅日常供餐服务中所需的非固定资产类低值易耗品、厨杂用品、一次性消耗品及餐厅清洁所需工具、药剂费用</w:t>
      </w:r>
      <w:r>
        <w:rPr>
          <w:rFonts w:hint="eastAsia" w:ascii="宋体" w:hAnsi="Calibri" w:cs="宋体"/>
          <w:kern w:val="0"/>
          <w:sz w:val="24"/>
        </w:rPr>
        <w:t>、利润及税金等为完成招标文件规定的一切工作所需的全部费用。投标人所报价格应为最终优惠价格。</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color w:val="auto"/>
          <w:sz w:val="24"/>
        </w:rPr>
      </w:pPr>
      <w:r>
        <w:rPr>
          <w:color w:val="auto"/>
          <w:sz w:val="24"/>
        </w:rPr>
        <w:t>（二）服务要求</w:t>
      </w:r>
    </w:p>
    <w:p w14:paraId="338810DF">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4DC43A90">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0C5A0C12">
      <w:pPr>
        <w:autoSpaceDE w:val="0"/>
        <w:autoSpaceDN w:val="0"/>
        <w:adjustRightInd w:val="0"/>
        <w:spacing w:line="360" w:lineRule="auto"/>
        <w:ind w:firstLine="480" w:firstLineChars="200"/>
        <w:rPr>
          <w:color w:val="auto"/>
          <w:sz w:val="24"/>
        </w:rPr>
      </w:pPr>
      <w:r>
        <w:rPr>
          <w:color w:val="auto"/>
          <w:sz w:val="24"/>
        </w:rPr>
        <w:t>（三）时间、地点要求</w:t>
      </w:r>
    </w:p>
    <w:p w14:paraId="1C7B97B6">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合同签订之日起一年</w:t>
      </w:r>
      <w:r>
        <w:rPr>
          <w:color w:val="auto"/>
          <w:sz w:val="24"/>
        </w:rPr>
        <w:t>（特殊情况以合同为准）。</w:t>
      </w:r>
    </w:p>
    <w:p w14:paraId="6D5E9C8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eastAsia="zh-CN"/>
        </w:rPr>
        <w:t>天津市西青区融媒体中心</w:t>
      </w:r>
      <w:r>
        <w:rPr>
          <w:color w:val="auto"/>
          <w:sz w:val="24"/>
        </w:rPr>
        <w:t>（特殊情况以合同为准）。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36A1D15D">
      <w:pPr>
        <w:autoSpaceDE w:val="0"/>
        <w:autoSpaceDN w:val="0"/>
        <w:adjustRightInd w:val="0"/>
        <w:spacing w:line="360" w:lineRule="auto"/>
        <w:ind w:firstLine="480" w:firstLineChars="200"/>
        <w:rPr>
          <w:rFonts w:ascii="宋体" w:hAnsi="宋体"/>
          <w:sz w:val="24"/>
        </w:rPr>
      </w:pPr>
      <w:r>
        <w:rPr>
          <w:rFonts w:ascii="宋体" w:hAnsi="宋体"/>
          <w:sz w:val="24"/>
        </w:rPr>
        <w:t>按季度支付，每季度内的第二个月末结束后30个工作日内支付本季度物业费（特殊情况以合同为准）。</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88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7"/>
        <w:gridCol w:w="1389"/>
        <w:gridCol w:w="6259"/>
        <w:gridCol w:w="749"/>
      </w:tblGrid>
      <w:tr w14:paraId="4B101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075" w:type="dxa"/>
            <w:gridSpan w:val="3"/>
            <w:tcBorders>
              <w:top w:val="single" w:color="auto" w:sz="4" w:space="0"/>
              <w:left w:val="single" w:color="auto" w:sz="4" w:space="0"/>
              <w:bottom w:val="single" w:color="auto" w:sz="4" w:space="0"/>
              <w:right w:val="single" w:color="auto" w:sz="4" w:space="0"/>
            </w:tcBorders>
            <w:noWrap w:val="0"/>
            <w:vAlign w:val="center"/>
          </w:tcPr>
          <w:p w14:paraId="79932FCD">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第一部分 价格分</w:t>
            </w:r>
            <w:r>
              <w:rPr>
                <w:rFonts w:hint="eastAsia" w:ascii="宋体" w:hAnsi="宋体" w:eastAsia="宋体" w:cs="宋体"/>
                <w:sz w:val="24"/>
                <w:szCs w:val="24"/>
              </w:rPr>
              <w:t>（10分）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2B8484DD">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分值</w:t>
            </w:r>
          </w:p>
        </w:tc>
      </w:tr>
      <w:tr w14:paraId="7F57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3729EF44">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4BD4876F">
            <w:pPr>
              <w:widowControl/>
              <w:spacing w:line="360" w:lineRule="auto"/>
              <w:jc w:val="center"/>
              <w:rPr>
                <w:rFonts w:ascii="宋体" w:hAnsi="宋体" w:eastAsia="宋体" w:cs="宋体"/>
                <w:bCs/>
                <w:sz w:val="24"/>
                <w:szCs w:val="24"/>
              </w:rPr>
            </w:pPr>
            <w:r>
              <w:rPr>
                <w:rFonts w:hint="eastAsia" w:ascii="宋体" w:hAnsi="宋体" w:eastAsia="宋体" w:cs="宋体"/>
                <w:bCs/>
                <w:szCs w:val="21"/>
              </w:rPr>
              <w:t>价格</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79E8ED2B">
            <w:pPr>
              <w:tabs>
                <w:tab w:val="left" w:pos="210"/>
              </w:tabs>
              <w:autoSpaceDE w:val="0"/>
              <w:autoSpaceDN w:val="0"/>
              <w:adjustRightInd w:val="0"/>
              <w:spacing w:line="560" w:lineRule="exact"/>
              <w:ind w:firstLine="480"/>
              <w:rPr>
                <w:rFonts w:ascii="宋体" w:hAnsi="宋体" w:eastAsia="宋体" w:cs="Times New Roman"/>
                <w:szCs w:val="21"/>
              </w:rPr>
            </w:pPr>
            <w:r>
              <w:rPr>
                <w:rFonts w:hint="eastAsia" w:ascii="宋体" w:hAnsi="宋体" w:eastAsia="宋体" w:cs="Times New Roman"/>
                <w:szCs w:val="21"/>
              </w:rPr>
              <w:t>①磋商报价超过采购预算的，投标无效，未超过采购预算的投标报价按以下公式进行计算。</w:t>
            </w:r>
          </w:p>
          <w:p w14:paraId="6308FACA">
            <w:pPr>
              <w:tabs>
                <w:tab w:val="left" w:pos="210"/>
              </w:tabs>
              <w:autoSpaceDE w:val="0"/>
              <w:autoSpaceDN w:val="0"/>
              <w:adjustRightInd w:val="0"/>
              <w:spacing w:line="560" w:lineRule="exact"/>
              <w:ind w:firstLine="480"/>
              <w:rPr>
                <w:rFonts w:ascii="宋体" w:hAnsi="宋体" w:eastAsia="宋体" w:cs="Times New Roman"/>
                <w:szCs w:val="21"/>
              </w:rPr>
            </w:pPr>
            <w:r>
              <w:rPr>
                <w:rFonts w:hint="eastAsia" w:ascii="宋体" w:hAnsi="宋体" w:eastAsia="宋体" w:cs="Times New Roman"/>
                <w:szCs w:val="21"/>
              </w:rPr>
              <w:t>②磋商报价得分=（磋商基准价/最后磋商报价）×10</w:t>
            </w:r>
          </w:p>
          <w:p w14:paraId="40665A89">
            <w:pPr>
              <w:tabs>
                <w:tab w:val="left" w:pos="210"/>
              </w:tabs>
              <w:autoSpaceDE w:val="0"/>
              <w:autoSpaceDN w:val="0"/>
              <w:adjustRightInd w:val="0"/>
              <w:spacing w:line="560" w:lineRule="exact"/>
              <w:ind w:firstLine="480"/>
              <w:rPr>
                <w:rFonts w:ascii="宋体" w:hAnsi="宋体" w:eastAsia="宋体" w:cs="宋体"/>
                <w:bCs/>
                <w:szCs w:val="24"/>
              </w:rPr>
            </w:pPr>
            <w:r>
              <w:rPr>
                <w:rFonts w:hint="eastAsia" w:ascii="宋体" w:hAnsi="宋体" w:eastAsia="宋体" w:cs="Times New Roman"/>
                <w:szCs w:val="21"/>
              </w:rPr>
              <w:t>注：满足磋商文件要求且最后报价最低的供应商的价格为磋商基准价。</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1597A675">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10</w:t>
            </w:r>
          </w:p>
        </w:tc>
      </w:tr>
      <w:tr w14:paraId="70B24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8075" w:type="dxa"/>
            <w:gridSpan w:val="3"/>
            <w:tcBorders>
              <w:top w:val="single" w:color="auto" w:sz="4" w:space="0"/>
              <w:left w:val="single" w:color="auto" w:sz="4" w:space="0"/>
              <w:bottom w:val="single" w:color="auto" w:sz="4" w:space="0"/>
              <w:right w:val="single" w:color="auto" w:sz="4" w:space="0"/>
            </w:tcBorders>
            <w:noWrap w:val="0"/>
            <w:vAlign w:val="center"/>
          </w:tcPr>
          <w:p w14:paraId="5C760C31">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第二部分 客观分（</w:t>
            </w:r>
            <w:r>
              <w:rPr>
                <w:rFonts w:ascii="宋体" w:hAnsi="宋体" w:eastAsia="宋体" w:cs="宋体"/>
                <w:bCs/>
                <w:sz w:val="24"/>
                <w:szCs w:val="24"/>
              </w:rPr>
              <w:t>60</w:t>
            </w:r>
            <w:r>
              <w:rPr>
                <w:rFonts w:hint="eastAsia" w:ascii="宋体" w:hAnsi="宋体" w:eastAsia="宋体" w:cs="宋体"/>
                <w:bCs/>
                <w:sz w:val="24"/>
                <w:szCs w:val="24"/>
              </w:rPr>
              <w:t>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75528464">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分值</w:t>
            </w:r>
          </w:p>
        </w:tc>
      </w:tr>
      <w:tr w14:paraId="60696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4E5C6144">
            <w:pPr>
              <w:widowControl/>
              <w:spacing w:line="360" w:lineRule="auto"/>
              <w:jc w:val="center"/>
              <w:rPr>
                <w:rFonts w:ascii="宋体" w:hAnsi="宋体" w:eastAsia="宋体" w:cs="宋体"/>
                <w:bCs/>
                <w:sz w:val="24"/>
                <w:szCs w:val="24"/>
              </w:rPr>
            </w:pPr>
            <w:r>
              <w:rPr>
                <w:rFonts w:hint="eastAsia" w:ascii="宋体" w:hAnsi="宋体" w:eastAsia="宋体" w:cs="宋体"/>
                <w:bCs/>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5E086D69">
            <w:pPr>
              <w:widowControl/>
              <w:spacing w:line="360" w:lineRule="auto"/>
              <w:jc w:val="center"/>
              <w:rPr>
                <w:rFonts w:ascii="宋体" w:hAnsi="宋体" w:eastAsia="宋体" w:cs="宋体"/>
                <w:bCs/>
                <w:szCs w:val="21"/>
              </w:rPr>
            </w:pPr>
            <w:r>
              <w:rPr>
                <w:rFonts w:hint="eastAsia" w:ascii="宋体" w:hAnsi="宋体" w:eastAsia="宋体" w:cs="宋体"/>
                <w:bCs/>
                <w:szCs w:val="21"/>
              </w:rPr>
              <w:t>投标人业绩</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18AF8896">
            <w:pPr>
              <w:spacing w:line="360" w:lineRule="auto"/>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完全按照以下要求提供近三年（20</w:t>
            </w:r>
            <w:r>
              <w:rPr>
                <w:rFonts w:ascii="宋体" w:hAnsi="宋体" w:eastAsia="宋体" w:cs="宋体"/>
                <w:kern w:val="0"/>
                <w:szCs w:val="21"/>
              </w:rPr>
              <w:t>23</w:t>
            </w:r>
            <w:r>
              <w:rPr>
                <w:rFonts w:hint="eastAsia" w:ascii="宋体" w:hAnsi="宋体" w:eastAsia="宋体" w:cs="宋体"/>
                <w:kern w:val="0"/>
                <w:szCs w:val="21"/>
              </w:rPr>
              <w:t>年至今）与本项目内容相当且已完成的成功案例，并附文字说明，</w:t>
            </w:r>
            <w:r>
              <w:rPr>
                <w:rFonts w:ascii="宋体" w:hAnsi="宋体" w:eastAsia="宋体" w:cs="宋体"/>
                <w:kern w:val="0"/>
                <w:szCs w:val="21"/>
              </w:rPr>
              <w:t>提供的证明材料均不得遮挡涂黑</w:t>
            </w:r>
            <w:r>
              <w:rPr>
                <w:rFonts w:hint="eastAsia" w:ascii="宋体" w:hAnsi="宋体" w:eastAsia="宋体" w:cs="宋体"/>
                <w:kern w:val="0"/>
                <w:szCs w:val="21"/>
              </w:rPr>
              <w:t>，否则不予认定。</w:t>
            </w:r>
          </w:p>
          <w:p w14:paraId="2C4182BC">
            <w:pPr>
              <w:spacing w:line="360" w:lineRule="auto"/>
              <w:jc w:val="left"/>
              <w:rPr>
                <w:rFonts w:hint="eastAsia" w:ascii="宋体" w:hAnsi="宋体" w:eastAsia="宋体" w:cs="宋体"/>
                <w:kern w:val="0"/>
                <w:szCs w:val="21"/>
              </w:rPr>
            </w:pPr>
            <w:r>
              <w:rPr>
                <w:rFonts w:hint="eastAsia" w:ascii="宋体" w:hAnsi="宋体" w:eastAsia="宋体" w:cs="宋体"/>
                <w:kern w:val="0"/>
                <w:szCs w:val="21"/>
              </w:rPr>
              <w:t>A、合同复印件。包括合同金额、买卖双方名称及盖章、合同清单。</w:t>
            </w:r>
          </w:p>
          <w:p w14:paraId="2A6EA7BC">
            <w:pPr>
              <w:spacing w:line="360" w:lineRule="auto"/>
              <w:jc w:val="left"/>
              <w:rPr>
                <w:rFonts w:hint="eastAsia" w:ascii="宋体" w:hAnsi="宋体" w:eastAsia="宋体" w:cs="宋体"/>
                <w:kern w:val="0"/>
                <w:szCs w:val="21"/>
              </w:rPr>
            </w:pPr>
            <w:r>
              <w:rPr>
                <w:rFonts w:hint="eastAsia" w:ascii="宋体" w:hAnsi="宋体" w:eastAsia="宋体" w:cs="宋体"/>
                <w:kern w:val="0"/>
                <w:szCs w:val="21"/>
              </w:rPr>
              <w:t>B、验收报告复印件。</w:t>
            </w:r>
          </w:p>
          <w:p w14:paraId="2CE899A9">
            <w:pPr>
              <w:spacing w:line="360" w:lineRule="auto"/>
              <w:jc w:val="left"/>
              <w:rPr>
                <w:rFonts w:hint="eastAsia" w:ascii="宋体" w:hAnsi="宋体" w:eastAsia="宋体" w:cs="宋体"/>
                <w:kern w:val="0"/>
                <w:szCs w:val="21"/>
              </w:rPr>
            </w:pPr>
            <w:r>
              <w:rPr>
                <w:rFonts w:hint="eastAsia" w:ascii="宋体" w:hAnsi="宋体" w:eastAsia="宋体" w:cs="宋体"/>
                <w:kern w:val="0"/>
                <w:szCs w:val="21"/>
              </w:rPr>
              <w:t>C、用户出具的成功履行合同的相关证明材料。</w:t>
            </w:r>
          </w:p>
          <w:p w14:paraId="7ECB1264">
            <w:pPr>
              <w:spacing w:line="360" w:lineRule="auto"/>
              <w:jc w:val="left"/>
              <w:rPr>
                <w:rFonts w:hint="eastAsia" w:ascii="宋体" w:hAnsi="宋体" w:eastAsia="宋体" w:cs="宋体"/>
                <w:kern w:val="0"/>
                <w:szCs w:val="21"/>
              </w:rPr>
            </w:pPr>
            <w:r>
              <w:rPr>
                <w:rFonts w:hint="eastAsia" w:ascii="宋体" w:hAnsi="宋体" w:eastAsia="宋体" w:cs="宋体"/>
                <w:kern w:val="0"/>
                <w:szCs w:val="21"/>
              </w:rPr>
              <w:t>D、第B、C项可提供任意一项。</w:t>
            </w:r>
          </w:p>
          <w:p w14:paraId="44560476">
            <w:pPr>
              <w:spacing w:line="360" w:lineRule="auto"/>
              <w:jc w:val="left"/>
              <w:rPr>
                <w:rFonts w:ascii="宋体" w:hAnsi="宋体" w:eastAsia="宋体" w:cs="宋体"/>
                <w:bCs/>
                <w:sz w:val="24"/>
                <w:szCs w:val="24"/>
              </w:rPr>
            </w:pPr>
            <w:r>
              <w:rPr>
                <w:rFonts w:hint="eastAsia" w:ascii="宋体" w:hAnsi="宋体" w:eastAsia="宋体" w:cs="宋体"/>
                <w:kern w:val="0"/>
                <w:szCs w:val="21"/>
              </w:rPr>
              <w:t>三个以上（含三个）案例（</w:t>
            </w:r>
            <w:r>
              <w:rPr>
                <w:rFonts w:ascii="宋体" w:hAnsi="宋体" w:eastAsia="宋体" w:cs="宋体"/>
                <w:kern w:val="0"/>
                <w:szCs w:val="21"/>
              </w:rPr>
              <w:t>6</w:t>
            </w:r>
            <w:r>
              <w:rPr>
                <w:rFonts w:hint="eastAsia" w:ascii="宋体" w:hAnsi="宋体" w:eastAsia="宋体" w:cs="宋体"/>
                <w:kern w:val="0"/>
                <w:szCs w:val="21"/>
              </w:rPr>
              <w:t>分）；两个（含两个）案例（</w:t>
            </w:r>
            <w:r>
              <w:rPr>
                <w:rFonts w:ascii="宋体" w:hAnsi="宋体" w:eastAsia="宋体" w:cs="宋体"/>
                <w:kern w:val="0"/>
                <w:szCs w:val="21"/>
              </w:rPr>
              <w:t>4</w:t>
            </w:r>
            <w:r>
              <w:rPr>
                <w:rFonts w:hint="eastAsia" w:ascii="宋体" w:hAnsi="宋体" w:eastAsia="宋体" w:cs="宋体"/>
                <w:kern w:val="0"/>
                <w:szCs w:val="21"/>
              </w:rPr>
              <w:t>分）；两个以下案例（0分）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7EAC2139">
            <w:pPr>
              <w:widowControl/>
              <w:spacing w:line="360" w:lineRule="auto"/>
              <w:jc w:val="center"/>
              <w:rPr>
                <w:rFonts w:ascii="宋体" w:hAnsi="宋体" w:eastAsia="宋体" w:cs="宋体"/>
                <w:bCs/>
                <w:sz w:val="24"/>
                <w:szCs w:val="24"/>
              </w:rPr>
            </w:pPr>
            <w:r>
              <w:rPr>
                <w:rFonts w:ascii="宋体" w:hAnsi="宋体" w:eastAsia="宋体" w:cs="宋体"/>
                <w:bCs/>
                <w:szCs w:val="21"/>
              </w:rPr>
              <w:t>6</w:t>
            </w:r>
          </w:p>
        </w:tc>
      </w:tr>
      <w:tr w14:paraId="509E4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427" w:type="dxa"/>
            <w:tcBorders>
              <w:top w:val="single" w:color="auto" w:sz="4" w:space="0"/>
              <w:left w:val="single" w:color="auto" w:sz="4" w:space="0"/>
              <w:right w:val="single" w:color="auto" w:sz="4" w:space="0"/>
            </w:tcBorders>
            <w:noWrap w:val="0"/>
            <w:vAlign w:val="center"/>
          </w:tcPr>
          <w:p w14:paraId="6239DEC1">
            <w:pPr>
              <w:widowControl/>
              <w:spacing w:line="360" w:lineRule="auto"/>
              <w:jc w:val="center"/>
              <w:rPr>
                <w:rFonts w:ascii="宋体" w:hAnsi="宋体" w:eastAsia="宋体" w:cs="宋体"/>
                <w:bCs/>
                <w:sz w:val="24"/>
                <w:szCs w:val="24"/>
              </w:rPr>
            </w:pPr>
            <w:r>
              <w:rPr>
                <w:rFonts w:hint="eastAsia" w:ascii="宋体" w:hAnsi="宋体" w:eastAsia="宋体" w:cs="宋体"/>
                <w:bCs/>
                <w:szCs w:val="21"/>
              </w:rPr>
              <w:t>2</w:t>
            </w:r>
          </w:p>
        </w:tc>
        <w:tc>
          <w:tcPr>
            <w:tcW w:w="1389" w:type="dxa"/>
            <w:tcBorders>
              <w:top w:val="single" w:color="auto" w:sz="4" w:space="0"/>
              <w:left w:val="single" w:color="auto" w:sz="4" w:space="0"/>
              <w:right w:val="single" w:color="auto" w:sz="4" w:space="0"/>
            </w:tcBorders>
            <w:noWrap w:val="0"/>
            <w:vAlign w:val="center"/>
          </w:tcPr>
          <w:p w14:paraId="0F31DBCC">
            <w:pPr>
              <w:widowControl/>
              <w:spacing w:line="360" w:lineRule="auto"/>
              <w:jc w:val="center"/>
              <w:rPr>
                <w:rFonts w:ascii="宋体" w:hAnsi="宋体" w:eastAsia="宋体" w:cs="宋体"/>
                <w:bCs/>
                <w:szCs w:val="21"/>
              </w:rPr>
            </w:pPr>
            <w:r>
              <w:rPr>
                <w:rFonts w:hint="eastAsia" w:ascii="宋体" w:hAnsi="宋体" w:eastAsia="宋体" w:cs="宋体"/>
                <w:bCs/>
                <w:szCs w:val="21"/>
              </w:rPr>
              <w:t>投标人相关证书评价</w:t>
            </w:r>
          </w:p>
        </w:tc>
        <w:tc>
          <w:tcPr>
            <w:tcW w:w="6259" w:type="dxa"/>
            <w:tcBorders>
              <w:top w:val="single" w:color="auto" w:sz="4" w:space="0"/>
              <w:left w:val="single" w:color="auto" w:sz="4" w:space="0"/>
              <w:right w:val="single" w:color="auto" w:sz="4" w:space="0"/>
            </w:tcBorders>
            <w:noWrap w:val="0"/>
            <w:vAlign w:val="center"/>
          </w:tcPr>
          <w:p w14:paraId="1871F759">
            <w:pPr>
              <w:widowControl/>
              <w:tabs>
                <w:tab w:val="left" w:pos="2310"/>
              </w:tabs>
              <w:spacing w:line="360" w:lineRule="auto"/>
              <w:ind w:firstLine="462" w:firstLineChars="220"/>
              <w:jc w:val="left"/>
              <w:textAlignment w:val="center"/>
              <w:rPr>
                <w:rFonts w:ascii="宋体" w:hAnsi="宋体" w:eastAsia="宋体" w:cs="宋体"/>
                <w:bCs/>
                <w:sz w:val="24"/>
                <w:szCs w:val="24"/>
              </w:rPr>
            </w:pPr>
            <w:r>
              <w:rPr>
                <w:rFonts w:hint="eastAsia" w:ascii="宋体" w:hAnsi="宋体" w:eastAsia="宋体" w:cs="宋体"/>
                <w:kern w:val="0"/>
                <w:szCs w:val="21"/>
              </w:rPr>
              <w:t>提供在有效期内GB/T19001系列/ISO9001系列质量管理体系认证证书、GB/T24001系列/ISO14001系列环境管理体系认证证书、GB/T45001系列/ISO45001系列职业健康安全管理体系认证证书、ISO</w:t>
            </w:r>
            <w:r>
              <w:rPr>
                <w:rFonts w:ascii="宋体" w:hAnsi="宋体" w:eastAsia="宋体" w:cs="宋体"/>
                <w:kern w:val="0"/>
                <w:szCs w:val="21"/>
              </w:rPr>
              <w:t>22000</w:t>
            </w:r>
            <w:r>
              <w:rPr>
                <w:rFonts w:hint="eastAsia" w:ascii="宋体" w:hAnsi="宋体" w:eastAsia="宋体" w:cs="宋体"/>
                <w:kern w:val="0"/>
                <w:szCs w:val="21"/>
              </w:rPr>
              <w:t>食品安全管理体系认证证书、危害分析与关键控制点（HACCP）认证证书、物业管理服务（五星级）认证证书，提供1种证书得1分，最高得6分。</w:t>
            </w:r>
          </w:p>
        </w:tc>
        <w:tc>
          <w:tcPr>
            <w:tcW w:w="749" w:type="dxa"/>
            <w:tcBorders>
              <w:top w:val="single" w:color="auto" w:sz="4" w:space="0"/>
              <w:left w:val="single" w:color="auto" w:sz="4" w:space="0"/>
              <w:right w:val="single" w:color="auto" w:sz="4" w:space="0"/>
            </w:tcBorders>
            <w:noWrap w:val="0"/>
            <w:vAlign w:val="center"/>
          </w:tcPr>
          <w:p w14:paraId="482E81E8">
            <w:pPr>
              <w:widowControl/>
              <w:spacing w:line="360" w:lineRule="auto"/>
              <w:jc w:val="center"/>
              <w:rPr>
                <w:rFonts w:ascii="宋体" w:hAnsi="宋体" w:eastAsia="宋体" w:cs="宋体"/>
                <w:bCs/>
                <w:sz w:val="24"/>
                <w:szCs w:val="24"/>
              </w:rPr>
            </w:pPr>
            <w:r>
              <w:rPr>
                <w:rFonts w:ascii="宋体" w:hAnsi="宋体" w:eastAsia="宋体" w:cs="宋体"/>
                <w:bCs/>
                <w:szCs w:val="21"/>
              </w:rPr>
              <w:t>6</w:t>
            </w:r>
          </w:p>
        </w:tc>
      </w:tr>
      <w:tr w14:paraId="1D37B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427" w:type="dxa"/>
            <w:tcBorders>
              <w:top w:val="single" w:color="auto" w:sz="4" w:space="0"/>
              <w:left w:val="single" w:color="auto" w:sz="4" w:space="0"/>
              <w:right w:val="single" w:color="auto" w:sz="4" w:space="0"/>
            </w:tcBorders>
            <w:noWrap w:val="0"/>
            <w:vAlign w:val="center"/>
          </w:tcPr>
          <w:p w14:paraId="292F4596">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3</w:t>
            </w:r>
          </w:p>
        </w:tc>
        <w:tc>
          <w:tcPr>
            <w:tcW w:w="1389" w:type="dxa"/>
            <w:tcBorders>
              <w:top w:val="single" w:color="auto" w:sz="4" w:space="0"/>
              <w:left w:val="single" w:color="auto" w:sz="4" w:space="0"/>
              <w:right w:val="single" w:color="auto" w:sz="4" w:space="0"/>
            </w:tcBorders>
            <w:noWrap w:val="0"/>
            <w:vAlign w:val="center"/>
          </w:tcPr>
          <w:p w14:paraId="510ECBC8">
            <w:pPr>
              <w:widowControl/>
              <w:spacing w:line="360" w:lineRule="auto"/>
              <w:jc w:val="center"/>
              <w:rPr>
                <w:rFonts w:hint="eastAsia" w:ascii="宋体" w:hAnsi="宋体" w:eastAsia="宋体" w:cs="宋体"/>
                <w:kern w:val="0"/>
                <w:szCs w:val="21"/>
              </w:rPr>
            </w:pPr>
            <w:r>
              <w:rPr>
                <w:rFonts w:hint="eastAsia" w:ascii="宋体" w:hAnsi="宋体" w:eastAsia="宋体" w:cs="宋体"/>
                <w:kern w:val="0"/>
                <w:szCs w:val="21"/>
              </w:rPr>
              <w:t>拟派驻项目经理评价</w:t>
            </w:r>
          </w:p>
        </w:tc>
        <w:tc>
          <w:tcPr>
            <w:tcW w:w="6259" w:type="dxa"/>
            <w:tcBorders>
              <w:top w:val="single" w:color="auto" w:sz="4" w:space="0"/>
              <w:left w:val="single" w:color="auto" w:sz="4" w:space="0"/>
              <w:right w:val="single" w:color="auto" w:sz="4" w:space="0"/>
            </w:tcBorders>
            <w:noWrap w:val="0"/>
            <w:vAlign w:val="center"/>
          </w:tcPr>
          <w:p w14:paraId="7B425E06">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投入的项目经理为投标单位正式员工，提供企业与员工签订的劳动合同及开标日前一年内至少连续6个月由投标单位缴纳的社会保险证明加盖公章的复印件：1分，其他：0分；</w:t>
            </w:r>
          </w:p>
          <w:p w14:paraId="72C111DC">
            <w:pPr>
              <w:spacing w:line="360" w:lineRule="auto"/>
              <w:ind w:firstLine="210" w:firstLineChars="100"/>
              <w:jc w:val="left"/>
              <w:rPr>
                <w:rFonts w:ascii="Times New Roman" w:hAnsi="Times New Roman" w:eastAsia="宋体" w:cs="Times New Roman"/>
                <w:szCs w:val="24"/>
              </w:rPr>
            </w:pPr>
            <w:r>
              <w:rPr>
                <w:rFonts w:hint="eastAsia" w:ascii="Times New Roman" w:hAnsi="Times New Roman" w:eastAsia="宋体" w:cs="Times New Roman"/>
                <w:szCs w:val="24"/>
              </w:rPr>
              <w:t>提供项目经理</w:t>
            </w:r>
            <w:bookmarkStart w:id="2" w:name="OLE_LINK1"/>
            <w:r>
              <w:rPr>
                <w:rFonts w:hint="eastAsia" w:ascii="Times New Roman" w:hAnsi="Times New Roman" w:eastAsia="宋体" w:cs="Times New Roman"/>
                <w:szCs w:val="24"/>
              </w:rPr>
              <w:t>毕业证书扫描件，具有本科以上（含本科）学历的：</w:t>
            </w:r>
            <w:r>
              <w:rPr>
                <w:rFonts w:ascii="Times New Roman" w:hAnsi="Times New Roman" w:eastAsia="宋体" w:cs="Times New Roman"/>
                <w:szCs w:val="24"/>
              </w:rPr>
              <w:t>1</w:t>
            </w:r>
            <w:r>
              <w:rPr>
                <w:rFonts w:hint="eastAsia" w:ascii="Times New Roman" w:hAnsi="Times New Roman" w:eastAsia="宋体" w:cs="Times New Roman"/>
                <w:szCs w:val="24"/>
              </w:rPr>
              <w:t>分，其他：</w:t>
            </w:r>
            <w:r>
              <w:rPr>
                <w:rFonts w:ascii="Times New Roman" w:hAnsi="Times New Roman" w:eastAsia="宋体" w:cs="Times New Roman"/>
                <w:szCs w:val="24"/>
              </w:rPr>
              <w:t>0</w:t>
            </w:r>
            <w:r>
              <w:rPr>
                <w:rFonts w:hint="eastAsia" w:ascii="Times New Roman" w:hAnsi="Times New Roman" w:eastAsia="宋体" w:cs="Times New Roman"/>
                <w:szCs w:val="24"/>
              </w:rPr>
              <w:t>分；</w:t>
            </w:r>
          </w:p>
          <w:bookmarkEnd w:id="2"/>
          <w:p w14:paraId="6FFBA766">
            <w:pPr>
              <w:spacing w:line="360" w:lineRule="auto"/>
              <w:ind w:firstLine="210" w:firstLineChars="100"/>
              <w:jc w:val="left"/>
              <w:rPr>
                <w:rFonts w:ascii="Times New Roman" w:hAnsi="Times New Roman" w:eastAsia="宋体" w:cs="Times New Roman"/>
                <w:szCs w:val="24"/>
              </w:rPr>
            </w:pPr>
            <w:r>
              <w:rPr>
                <w:rFonts w:hint="eastAsia" w:ascii="Times New Roman" w:hAnsi="Times New Roman" w:eastAsia="宋体" w:cs="Times New Roman"/>
                <w:szCs w:val="24"/>
              </w:rPr>
              <w:t>提供项目经理身份证加盖公章的复印件，年龄在</w:t>
            </w:r>
            <w:r>
              <w:rPr>
                <w:rFonts w:ascii="Times New Roman" w:hAnsi="Times New Roman" w:eastAsia="宋体" w:cs="Times New Roman"/>
                <w:szCs w:val="24"/>
              </w:rPr>
              <w:t>45</w:t>
            </w:r>
            <w:r>
              <w:rPr>
                <w:rFonts w:hint="eastAsia" w:ascii="Times New Roman" w:hAnsi="Times New Roman" w:eastAsia="宋体" w:cs="Times New Roman"/>
                <w:szCs w:val="24"/>
              </w:rPr>
              <w:t>周岁或以下的：</w:t>
            </w:r>
            <w:r>
              <w:rPr>
                <w:rFonts w:ascii="Times New Roman" w:hAnsi="Times New Roman" w:eastAsia="宋体" w:cs="Times New Roman"/>
                <w:szCs w:val="24"/>
              </w:rPr>
              <w:t>1</w:t>
            </w:r>
            <w:r>
              <w:rPr>
                <w:rFonts w:hint="eastAsia" w:ascii="Times New Roman" w:hAnsi="Times New Roman" w:eastAsia="宋体" w:cs="Times New Roman"/>
                <w:szCs w:val="24"/>
              </w:rPr>
              <w:t>分，其他：</w:t>
            </w:r>
            <w:r>
              <w:rPr>
                <w:rFonts w:ascii="Times New Roman" w:hAnsi="Times New Roman" w:eastAsia="宋体" w:cs="Times New Roman"/>
                <w:szCs w:val="24"/>
              </w:rPr>
              <w:t>0</w:t>
            </w:r>
            <w:r>
              <w:rPr>
                <w:rFonts w:hint="eastAsia" w:ascii="Times New Roman" w:hAnsi="Times New Roman" w:eastAsia="宋体" w:cs="Times New Roman"/>
                <w:szCs w:val="24"/>
              </w:rPr>
              <w:t>分；</w:t>
            </w:r>
          </w:p>
          <w:p w14:paraId="1F3FEFDE">
            <w:pPr>
              <w:spacing w:line="360" w:lineRule="auto"/>
              <w:ind w:firstLine="420" w:firstLineChars="200"/>
              <w:jc w:val="left"/>
              <w:rPr>
                <w:rFonts w:ascii="Times New Roman" w:hAnsi="Times New Roman" w:eastAsia="宋体" w:cs="Times New Roman"/>
                <w:szCs w:val="24"/>
              </w:rPr>
            </w:pPr>
            <w:r>
              <w:rPr>
                <w:rFonts w:hint="eastAsia" w:ascii="Times New Roman" w:hAnsi="Times New Roman" w:eastAsia="宋体" w:cs="Times New Roman"/>
                <w:szCs w:val="24"/>
              </w:rPr>
              <w:t>提供项目经理持有的卫生防疫部门或医疗机构颁发的健康证</w:t>
            </w:r>
            <w:bookmarkStart w:id="3" w:name="OLE_LINK2"/>
            <w:r>
              <w:rPr>
                <w:rFonts w:hint="eastAsia" w:ascii="Times New Roman" w:hAnsi="Times New Roman" w:eastAsia="宋体" w:cs="Times New Roman"/>
                <w:szCs w:val="24"/>
              </w:rPr>
              <w:t>加盖公章的复印件</w:t>
            </w:r>
            <w:bookmarkEnd w:id="3"/>
            <w:r>
              <w:rPr>
                <w:rFonts w:hint="eastAsia" w:ascii="Times New Roman" w:hAnsi="Times New Roman" w:eastAsia="宋体" w:cs="Times New Roman"/>
                <w:szCs w:val="24"/>
              </w:rPr>
              <w:t>：</w:t>
            </w:r>
            <w:r>
              <w:rPr>
                <w:rFonts w:ascii="Times New Roman" w:hAnsi="Times New Roman" w:eastAsia="宋体" w:cs="Times New Roman"/>
                <w:szCs w:val="24"/>
              </w:rPr>
              <w:t>1</w:t>
            </w:r>
            <w:r>
              <w:rPr>
                <w:rFonts w:hint="eastAsia" w:ascii="Times New Roman" w:hAnsi="Times New Roman" w:eastAsia="宋体" w:cs="Times New Roman"/>
                <w:szCs w:val="24"/>
              </w:rPr>
              <w:t>分，其他：</w:t>
            </w:r>
            <w:r>
              <w:rPr>
                <w:rFonts w:ascii="Times New Roman" w:hAnsi="Times New Roman" w:eastAsia="宋体" w:cs="Times New Roman"/>
                <w:szCs w:val="24"/>
              </w:rPr>
              <w:t>0</w:t>
            </w:r>
            <w:r>
              <w:rPr>
                <w:rFonts w:hint="eastAsia" w:ascii="Times New Roman" w:hAnsi="Times New Roman" w:eastAsia="宋体" w:cs="Times New Roman"/>
                <w:szCs w:val="24"/>
              </w:rPr>
              <w:t>分；</w:t>
            </w:r>
          </w:p>
          <w:p w14:paraId="528DA49A">
            <w:pPr>
              <w:spacing w:line="360" w:lineRule="auto"/>
              <w:ind w:firstLine="420" w:firstLineChars="200"/>
              <w:jc w:val="left"/>
              <w:rPr>
                <w:rFonts w:hint="eastAsia" w:ascii="Times New Roman" w:hAnsi="Times New Roman" w:eastAsia="宋体" w:cs="Times New Roman"/>
                <w:szCs w:val="24"/>
                <w:highlight w:val="none"/>
              </w:rPr>
            </w:pPr>
            <w:bookmarkStart w:id="4" w:name="OLE_LINK3"/>
            <w:r>
              <w:rPr>
                <w:rFonts w:hint="eastAsia" w:ascii="Times New Roman" w:hAnsi="Times New Roman" w:eastAsia="宋体" w:cs="Times New Roman"/>
                <w:szCs w:val="24"/>
                <w:highlight w:val="none"/>
              </w:rPr>
              <w:t>提供项目经理《天津市物业管理师职业技能等级证书》（三级及以上）加盖公章的扫描件：2分，其他：0分；</w:t>
            </w:r>
          </w:p>
          <w:bookmarkEnd w:id="4"/>
          <w:p w14:paraId="7415D796">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提供项目经理用户服务证明扫描件（加盖用户单位公章），用户服务证明能表明该项目经理具备五年（含五年）以上非住宅物业管理经验的：2分，其他：0分。</w:t>
            </w:r>
          </w:p>
        </w:tc>
        <w:tc>
          <w:tcPr>
            <w:tcW w:w="749" w:type="dxa"/>
            <w:tcBorders>
              <w:top w:val="single" w:color="auto" w:sz="4" w:space="0"/>
              <w:left w:val="single" w:color="auto" w:sz="4" w:space="0"/>
              <w:right w:val="single" w:color="auto" w:sz="4" w:space="0"/>
            </w:tcBorders>
            <w:noWrap w:val="0"/>
            <w:vAlign w:val="center"/>
          </w:tcPr>
          <w:p w14:paraId="4551CB1F">
            <w:pPr>
              <w:widowControl/>
              <w:spacing w:line="360" w:lineRule="auto"/>
              <w:jc w:val="center"/>
              <w:rPr>
                <w:rFonts w:hint="eastAsia" w:ascii="宋体" w:hAnsi="宋体" w:eastAsia="宋体" w:cs="宋体"/>
                <w:bCs/>
                <w:sz w:val="24"/>
                <w:szCs w:val="24"/>
              </w:rPr>
            </w:pPr>
            <w:r>
              <w:rPr>
                <w:rFonts w:ascii="宋体" w:hAnsi="宋体" w:eastAsia="宋体" w:cs="宋体"/>
                <w:bCs/>
                <w:szCs w:val="21"/>
              </w:rPr>
              <w:t>8</w:t>
            </w:r>
          </w:p>
        </w:tc>
      </w:tr>
      <w:tr w14:paraId="15EFC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427" w:type="dxa"/>
            <w:tcBorders>
              <w:top w:val="single" w:color="auto" w:sz="4" w:space="0"/>
              <w:left w:val="single" w:color="auto" w:sz="4" w:space="0"/>
              <w:right w:val="single" w:color="auto" w:sz="4" w:space="0"/>
            </w:tcBorders>
            <w:noWrap w:val="0"/>
            <w:vAlign w:val="center"/>
          </w:tcPr>
          <w:p w14:paraId="2F86ED03">
            <w:pPr>
              <w:widowControl/>
              <w:spacing w:line="360" w:lineRule="auto"/>
              <w:jc w:val="center"/>
              <w:rPr>
                <w:rFonts w:ascii="宋体" w:hAnsi="宋体" w:eastAsia="宋体" w:cs="宋体"/>
                <w:bCs/>
                <w:sz w:val="24"/>
                <w:szCs w:val="24"/>
              </w:rPr>
            </w:pPr>
            <w:r>
              <w:rPr>
                <w:rFonts w:hint="eastAsia" w:ascii="宋体" w:hAnsi="宋体" w:eastAsia="宋体" w:cs="宋体"/>
                <w:bCs/>
                <w:sz w:val="24"/>
                <w:szCs w:val="24"/>
              </w:rPr>
              <w:t>4</w:t>
            </w:r>
          </w:p>
        </w:tc>
        <w:tc>
          <w:tcPr>
            <w:tcW w:w="1389" w:type="dxa"/>
            <w:tcBorders>
              <w:top w:val="single" w:color="auto" w:sz="4" w:space="0"/>
              <w:left w:val="single" w:color="auto" w:sz="4" w:space="0"/>
              <w:right w:val="single" w:color="auto" w:sz="4" w:space="0"/>
            </w:tcBorders>
            <w:noWrap w:val="0"/>
            <w:vAlign w:val="center"/>
          </w:tcPr>
          <w:p w14:paraId="147F870E">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派驻服务人员评价</w:t>
            </w:r>
          </w:p>
        </w:tc>
        <w:tc>
          <w:tcPr>
            <w:tcW w:w="6259" w:type="dxa"/>
            <w:tcBorders>
              <w:top w:val="single" w:color="auto" w:sz="4" w:space="0"/>
              <w:left w:val="single" w:color="auto" w:sz="4" w:space="0"/>
              <w:right w:val="single" w:color="auto" w:sz="4" w:space="0"/>
            </w:tcBorders>
            <w:noWrap w:val="0"/>
            <w:vAlign w:val="center"/>
          </w:tcPr>
          <w:p w14:paraId="22BEAAC5">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（1）餐厅主管兼厨师1名</w:t>
            </w:r>
          </w:p>
          <w:p w14:paraId="6EA23255">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职业资格证（中式烹调师）》三级及以上证书扫描件、医疗机构颁发的有效期内健康证、身份证加盖公章的复印件及开标日前一年内至少连续6个月由投标单位缴纳的社会保险证明扫描件：2分，其他0分（满分2分）。</w:t>
            </w:r>
          </w:p>
          <w:p w14:paraId="11A05F44">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（2）餐厅其他工作人员4名</w:t>
            </w:r>
          </w:p>
          <w:p w14:paraId="3846956A">
            <w:pPr>
              <w:spacing w:line="360" w:lineRule="auto"/>
              <w:ind w:firstLine="420" w:firstLineChars="200"/>
              <w:jc w:val="left"/>
              <w:rPr>
                <w:rFonts w:hint="eastAsia" w:ascii="Times New Roman" w:hAnsi="Times New Roman" w:eastAsia="宋体" w:cs="Times New Roman"/>
                <w:szCs w:val="24"/>
              </w:rPr>
            </w:pPr>
            <w:bookmarkStart w:id="5" w:name="OLE_LINK8"/>
            <w:r>
              <w:rPr>
                <w:rFonts w:hint="eastAsia" w:ascii="Times New Roman" w:hAnsi="Times New Roman" w:eastAsia="宋体" w:cs="Times New Roman"/>
                <w:szCs w:val="24"/>
              </w:rPr>
              <w:t>提供医疗机构颁发的有效期内健康证、身份证加盖公章的复印件及开标日前一年内至少连续6个月由投标单位缴纳的社会保险证明扫描件，每个满足要求的上述人员得1.5分，其他0分，（满分6分）。</w:t>
            </w:r>
          </w:p>
          <w:bookmarkEnd w:id="5"/>
          <w:p w14:paraId="7B165E6F">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（3）保洁员4名</w:t>
            </w:r>
          </w:p>
          <w:p w14:paraId="1FEAD486">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提供医疗机构颁发的有效期内健康证、天津市病媒生物防制培训证、</w:t>
            </w:r>
            <w:bookmarkStart w:id="6" w:name="OLE_LINK6"/>
            <w:r>
              <w:rPr>
                <w:rFonts w:hint="eastAsia" w:ascii="Times New Roman" w:hAnsi="Times New Roman" w:eastAsia="宋体" w:cs="Times New Roman"/>
                <w:szCs w:val="24"/>
              </w:rPr>
              <w:t>身份证加盖公章的复印件及</w:t>
            </w:r>
            <w:bookmarkEnd w:id="6"/>
            <w:bookmarkStart w:id="7" w:name="OLE_LINK5"/>
            <w:r>
              <w:rPr>
                <w:rFonts w:hint="eastAsia" w:ascii="Times New Roman" w:hAnsi="Times New Roman" w:eastAsia="宋体" w:cs="Times New Roman"/>
                <w:szCs w:val="24"/>
              </w:rPr>
              <w:t>开标日前一年内至少连续6个月</w:t>
            </w:r>
            <w:bookmarkEnd w:id="7"/>
            <w:r>
              <w:rPr>
                <w:rFonts w:hint="eastAsia" w:ascii="Times New Roman" w:hAnsi="Times New Roman" w:eastAsia="宋体" w:cs="Times New Roman"/>
                <w:szCs w:val="24"/>
              </w:rPr>
              <w:t>由投标单位缴纳的社会保险证明扫描件，每个满足要求的上述人员得2分，其他0分，（满分8分）。</w:t>
            </w:r>
          </w:p>
          <w:p w14:paraId="2E30BD2B">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（4）秩序维护部大门岗4名</w:t>
            </w:r>
          </w:p>
          <w:p w14:paraId="1B357BFF">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提供公安机关颁发的保安员证、身份证加盖公章的复印件及开标日前一年内至少连续6个月由投标单位缴纳的社会保险证明扫描件，每个满足要求的上述人员得2分，其他0分，（满分8分）。</w:t>
            </w:r>
          </w:p>
          <w:p w14:paraId="6E0F9A8C">
            <w:pPr>
              <w:numPr>
                <w:ilvl w:val="0"/>
                <w:numId w:val="5"/>
              </w:numPr>
              <w:spacing w:line="360" w:lineRule="auto"/>
              <w:ind w:left="420" w:left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消防控制室值班人员6名</w:t>
            </w:r>
          </w:p>
          <w:p w14:paraId="4EFF4809">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w:t>
            </w:r>
            <w:r>
              <w:rPr>
                <w:rFonts w:ascii="Times New Roman" w:hAnsi="Times New Roman" w:eastAsia="宋体" w:cs="Times New Roman"/>
                <w:szCs w:val="24"/>
              </w:rPr>
              <w:t>《中华人民共和国职业资格证消防设施操作员》中级及以上证书或《中华人民共和国职业资格证（职业（工种）：建（构）筑物消防员）》中级及以上证书</w:t>
            </w:r>
            <w:r>
              <w:rPr>
                <w:rFonts w:hint="eastAsia" w:ascii="Times New Roman" w:hAnsi="Times New Roman" w:eastAsia="宋体" w:cs="Times New Roman"/>
                <w:szCs w:val="24"/>
              </w:rPr>
              <w:t>、身份证加盖公章的复印件，每个满足要求的上述人员得1分，其他0分，（满分6分）。</w:t>
            </w:r>
          </w:p>
          <w:p w14:paraId="46DC7D02">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（6）变电室运行工6名</w:t>
            </w:r>
          </w:p>
          <w:p w14:paraId="361C5FEE">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提供中华人民共和国《特种作业操作证（高压电工作业）》及身份证加盖公章的复印件，每个满足要求的上述人员得1分，其他0分，（满分6分）。</w:t>
            </w:r>
          </w:p>
          <w:p w14:paraId="2F018CD2">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（7）维修主管1名</w:t>
            </w:r>
          </w:p>
          <w:p w14:paraId="645445C1">
            <w:pPr>
              <w:spacing w:line="360" w:lineRule="auto"/>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提供本科以上（含本科）学历毕业证书、身份证、医疗机构颁发的有效期内健康证、《特种作业操作证（低压电工作业）》、《特种作业操作证（高处作业）》和《特种设备安全管理和作业人员证（特种设备安全管理）》加盖公章的复印件及一年内至少连续6个月由投标单位缴纳社会保险证明扫描件，4分，其他0分（满分4分）。</w:t>
            </w:r>
          </w:p>
        </w:tc>
        <w:tc>
          <w:tcPr>
            <w:tcW w:w="749" w:type="dxa"/>
            <w:tcBorders>
              <w:top w:val="single" w:color="auto" w:sz="4" w:space="0"/>
              <w:left w:val="single" w:color="auto" w:sz="4" w:space="0"/>
              <w:right w:val="single" w:color="auto" w:sz="4" w:space="0"/>
            </w:tcBorders>
            <w:noWrap w:val="0"/>
            <w:vAlign w:val="center"/>
          </w:tcPr>
          <w:p w14:paraId="0F77B66E">
            <w:pPr>
              <w:widowControl/>
              <w:spacing w:line="360" w:lineRule="auto"/>
              <w:jc w:val="center"/>
              <w:rPr>
                <w:rFonts w:ascii="宋体" w:hAnsi="宋体" w:eastAsia="宋体" w:cs="宋体"/>
                <w:bCs/>
                <w:sz w:val="24"/>
                <w:szCs w:val="24"/>
              </w:rPr>
            </w:pPr>
            <w:r>
              <w:rPr>
                <w:rFonts w:ascii="宋体" w:hAnsi="宋体" w:eastAsia="宋体" w:cs="宋体"/>
                <w:kern w:val="0"/>
                <w:szCs w:val="21"/>
              </w:rPr>
              <w:t>40</w:t>
            </w:r>
          </w:p>
        </w:tc>
      </w:tr>
      <w:tr w14:paraId="108AA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075" w:type="dxa"/>
            <w:gridSpan w:val="3"/>
            <w:tcBorders>
              <w:top w:val="single" w:color="auto" w:sz="4" w:space="0"/>
              <w:left w:val="single" w:color="auto" w:sz="4" w:space="0"/>
              <w:bottom w:val="single" w:color="auto" w:sz="4" w:space="0"/>
              <w:right w:val="single" w:color="auto" w:sz="4" w:space="0"/>
            </w:tcBorders>
            <w:noWrap w:val="0"/>
            <w:vAlign w:val="center"/>
          </w:tcPr>
          <w:p w14:paraId="35FA66A8">
            <w:pPr>
              <w:widowControl/>
              <w:spacing w:line="360" w:lineRule="auto"/>
              <w:jc w:val="center"/>
              <w:rPr>
                <w:rFonts w:ascii="宋体" w:hAnsi="宋体" w:eastAsia="宋体" w:cs="宋体"/>
                <w:bCs/>
                <w:sz w:val="24"/>
                <w:szCs w:val="24"/>
              </w:rPr>
            </w:pPr>
            <w:r>
              <w:rPr>
                <w:rFonts w:hint="eastAsia" w:ascii="宋体" w:hAnsi="宋体" w:eastAsia="宋体" w:cs="宋体"/>
                <w:bCs/>
                <w:szCs w:val="21"/>
              </w:rPr>
              <w:t>第三部分 主观分（</w:t>
            </w:r>
            <w:r>
              <w:rPr>
                <w:rFonts w:ascii="宋体" w:hAnsi="宋体" w:eastAsia="宋体" w:cs="宋体"/>
                <w:bCs/>
                <w:szCs w:val="21"/>
              </w:rPr>
              <w:t>30</w:t>
            </w:r>
            <w:r>
              <w:rPr>
                <w:rFonts w:hint="eastAsia" w:ascii="宋体" w:hAnsi="宋体" w:eastAsia="宋体" w:cs="宋体"/>
                <w:bCs/>
                <w:szCs w:val="21"/>
              </w:rPr>
              <w:t>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0DEF0753">
            <w:pPr>
              <w:widowControl/>
              <w:spacing w:line="360" w:lineRule="auto"/>
              <w:jc w:val="center"/>
              <w:rPr>
                <w:rFonts w:ascii="宋体" w:hAnsi="宋体" w:eastAsia="宋体" w:cs="宋体"/>
                <w:bCs/>
                <w:sz w:val="24"/>
                <w:szCs w:val="24"/>
              </w:rPr>
            </w:pPr>
            <w:r>
              <w:rPr>
                <w:rFonts w:hint="eastAsia" w:ascii="宋体" w:hAnsi="宋体" w:eastAsia="宋体" w:cs="宋体"/>
                <w:bCs/>
                <w:szCs w:val="21"/>
              </w:rPr>
              <w:t>分值</w:t>
            </w:r>
          </w:p>
        </w:tc>
      </w:tr>
      <w:tr w14:paraId="7F86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E71B90D">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4313D8FC">
            <w:pPr>
              <w:spacing w:line="360" w:lineRule="auto"/>
              <w:jc w:val="left"/>
              <w:rPr>
                <w:rFonts w:ascii="宋体" w:hAnsi="宋体" w:eastAsia="宋体" w:cs="宋体"/>
                <w:bCs/>
                <w:sz w:val="24"/>
                <w:szCs w:val="24"/>
              </w:rPr>
            </w:pPr>
            <w:r>
              <w:rPr>
                <w:rFonts w:hint="eastAsia" w:ascii="宋体" w:hAnsi="宋体" w:eastAsia="宋体" w:cs="宋体"/>
                <w:kern w:val="0"/>
                <w:szCs w:val="21"/>
              </w:rPr>
              <w:t>物业管理服务质量标准评价</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15514E4E">
            <w:pPr>
              <w:spacing w:line="360" w:lineRule="auto"/>
              <w:jc w:val="left"/>
              <w:rPr>
                <w:rFonts w:hint="eastAsia" w:ascii="宋体" w:hAnsi="宋体" w:eastAsia="宋体" w:cs="宋体"/>
                <w:kern w:val="0"/>
                <w:szCs w:val="21"/>
              </w:rPr>
            </w:pPr>
            <w:r>
              <w:rPr>
                <w:rFonts w:hint="eastAsia" w:ascii="宋体" w:hAnsi="宋体" w:eastAsia="宋体" w:cs="宋体"/>
                <w:kern w:val="0"/>
                <w:szCs w:val="21"/>
              </w:rPr>
              <w:t>物业管理服务质量标准应包括服务目标、物业管理服务承诺指标及措施。</w:t>
            </w:r>
          </w:p>
          <w:p w14:paraId="7B3BB5B9">
            <w:pPr>
              <w:spacing w:line="360" w:lineRule="auto"/>
              <w:jc w:val="left"/>
              <w:rPr>
                <w:rFonts w:hint="eastAsia" w:ascii="宋体" w:hAnsi="宋体" w:eastAsia="宋体" w:cs="宋体"/>
                <w:kern w:val="0"/>
                <w:szCs w:val="21"/>
              </w:rPr>
            </w:pPr>
            <w:r>
              <w:rPr>
                <w:rFonts w:hint="eastAsia" w:ascii="宋体" w:hAnsi="宋体" w:eastAsia="宋体" w:cs="宋体"/>
                <w:kern w:val="0"/>
                <w:szCs w:val="21"/>
              </w:rPr>
              <w:t>项目管理服务质量标准符合项目需求，内容全面、突出重点，方式多样，以上均具备且有针对性，先进科学：</w:t>
            </w:r>
            <w:r>
              <w:rPr>
                <w:rFonts w:ascii="宋体" w:hAnsi="宋体" w:eastAsia="宋体" w:cs="宋体"/>
                <w:kern w:val="0"/>
                <w:szCs w:val="21"/>
              </w:rPr>
              <w:t>4</w:t>
            </w:r>
            <w:r>
              <w:rPr>
                <w:rFonts w:hint="eastAsia" w:ascii="宋体" w:hAnsi="宋体" w:eastAsia="宋体" w:cs="宋体"/>
                <w:kern w:val="0"/>
                <w:szCs w:val="21"/>
              </w:rPr>
              <w:t>分</w:t>
            </w:r>
          </w:p>
          <w:p w14:paraId="2711A5B0">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提供项目管理服务质量标准，具备可实施性：</w:t>
            </w:r>
            <w:r>
              <w:rPr>
                <w:rFonts w:ascii="宋体" w:hAnsi="宋体" w:eastAsia="宋体" w:cs="宋体"/>
                <w:kern w:val="0"/>
                <w:szCs w:val="21"/>
              </w:rPr>
              <w:t>3</w:t>
            </w:r>
            <w:r>
              <w:rPr>
                <w:rFonts w:hint="eastAsia" w:ascii="宋体" w:hAnsi="宋体" w:eastAsia="宋体" w:cs="宋体"/>
                <w:kern w:val="0"/>
                <w:szCs w:val="21"/>
              </w:rPr>
              <w:t>分</w:t>
            </w:r>
          </w:p>
          <w:p w14:paraId="240B2DA4">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提供项目管理服务质量标准，与项目内容有偏差：</w:t>
            </w:r>
            <w:r>
              <w:rPr>
                <w:rFonts w:ascii="宋体" w:hAnsi="宋体" w:eastAsia="宋体" w:cs="宋体"/>
                <w:kern w:val="0"/>
                <w:szCs w:val="21"/>
              </w:rPr>
              <w:t>2</w:t>
            </w:r>
            <w:r>
              <w:rPr>
                <w:rFonts w:hint="eastAsia" w:ascii="宋体" w:hAnsi="宋体" w:eastAsia="宋体" w:cs="宋体"/>
                <w:kern w:val="0"/>
                <w:szCs w:val="21"/>
              </w:rPr>
              <w:t>分</w:t>
            </w:r>
          </w:p>
          <w:p w14:paraId="333FA4A7">
            <w:pPr>
              <w:spacing w:line="360" w:lineRule="auto"/>
              <w:jc w:val="left"/>
              <w:rPr>
                <w:rFonts w:ascii="宋体" w:hAnsi="宋体" w:eastAsia="宋体" w:cs="宋体"/>
                <w:sz w:val="24"/>
                <w:szCs w:val="24"/>
              </w:rPr>
            </w:pPr>
            <w:r>
              <w:rPr>
                <w:rFonts w:hint="eastAsia" w:ascii="宋体" w:hAnsi="宋体" w:eastAsia="宋体" w:cs="宋体"/>
                <w:kern w:val="0"/>
                <w:szCs w:val="21"/>
              </w:rPr>
              <w:t>未提供或提供与本项目内容无关：0分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6EBC0893">
            <w:pPr>
              <w:widowControl/>
              <w:spacing w:line="360" w:lineRule="auto"/>
              <w:jc w:val="center"/>
              <w:rPr>
                <w:rFonts w:hint="eastAsia" w:ascii="宋体" w:hAnsi="宋体" w:eastAsia="宋体" w:cs="宋体"/>
                <w:kern w:val="0"/>
                <w:sz w:val="24"/>
                <w:szCs w:val="24"/>
              </w:rPr>
            </w:pPr>
            <w:r>
              <w:rPr>
                <w:rFonts w:ascii="宋体" w:hAnsi="宋体" w:eastAsia="宋体" w:cs="宋体"/>
                <w:kern w:val="0"/>
                <w:szCs w:val="21"/>
              </w:rPr>
              <w:t>4</w:t>
            </w:r>
          </w:p>
        </w:tc>
      </w:tr>
      <w:tr w14:paraId="7E8AE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489A94A5">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15DA02A1">
            <w:pPr>
              <w:spacing w:line="360" w:lineRule="auto"/>
              <w:jc w:val="left"/>
              <w:rPr>
                <w:rFonts w:ascii="宋体" w:hAnsi="宋体" w:eastAsia="宋体" w:cs="宋体"/>
                <w:bCs/>
                <w:sz w:val="24"/>
                <w:szCs w:val="24"/>
              </w:rPr>
            </w:pPr>
            <w:r>
              <w:rPr>
                <w:rFonts w:hint="eastAsia" w:ascii="宋体" w:hAnsi="宋体" w:eastAsia="宋体" w:cs="宋体"/>
                <w:kern w:val="0"/>
                <w:szCs w:val="21"/>
              </w:rPr>
              <w:t>食堂餐饮加工流程</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234E96A3">
            <w:pPr>
              <w:spacing w:line="360" w:lineRule="auto"/>
              <w:jc w:val="left"/>
              <w:rPr>
                <w:rFonts w:hint="eastAsia" w:ascii="宋体" w:hAnsi="宋体" w:eastAsia="宋体" w:cs="宋体"/>
                <w:kern w:val="0"/>
                <w:szCs w:val="21"/>
              </w:rPr>
            </w:pPr>
            <w:r>
              <w:rPr>
                <w:rFonts w:hint="eastAsia" w:ascii="宋体" w:hAnsi="宋体" w:eastAsia="宋体" w:cs="宋体"/>
                <w:kern w:val="0"/>
                <w:szCs w:val="21"/>
              </w:rPr>
              <w:t>食堂餐饮加工流程完整详细、环节完善周全、且针对本项目特性：</w:t>
            </w:r>
            <w:r>
              <w:rPr>
                <w:rFonts w:ascii="宋体" w:hAnsi="宋体" w:eastAsia="宋体" w:cs="宋体"/>
                <w:kern w:val="0"/>
                <w:szCs w:val="21"/>
              </w:rPr>
              <w:t>4</w:t>
            </w:r>
            <w:r>
              <w:rPr>
                <w:rFonts w:hint="eastAsia" w:ascii="宋体" w:hAnsi="宋体" w:eastAsia="宋体" w:cs="宋体"/>
                <w:kern w:val="0"/>
                <w:szCs w:val="21"/>
              </w:rPr>
              <w:t>分</w:t>
            </w:r>
          </w:p>
          <w:p w14:paraId="50EF4142">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提供食堂餐饮加工流程，具备可实施性：</w:t>
            </w:r>
            <w:r>
              <w:rPr>
                <w:rFonts w:ascii="宋体" w:hAnsi="宋体" w:eastAsia="宋体" w:cs="宋体"/>
                <w:kern w:val="0"/>
                <w:szCs w:val="21"/>
              </w:rPr>
              <w:t>3</w:t>
            </w:r>
            <w:r>
              <w:rPr>
                <w:rFonts w:hint="eastAsia" w:ascii="宋体" w:hAnsi="宋体" w:eastAsia="宋体" w:cs="宋体"/>
                <w:kern w:val="0"/>
                <w:szCs w:val="21"/>
              </w:rPr>
              <w:t>分</w:t>
            </w:r>
          </w:p>
          <w:p w14:paraId="222A270F">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提供食堂餐饮加工流程，与项目内容有偏差：</w:t>
            </w:r>
            <w:r>
              <w:rPr>
                <w:rFonts w:ascii="宋体" w:hAnsi="宋体" w:eastAsia="宋体" w:cs="宋体"/>
                <w:kern w:val="0"/>
                <w:szCs w:val="21"/>
              </w:rPr>
              <w:t>1</w:t>
            </w:r>
            <w:r>
              <w:rPr>
                <w:rFonts w:hint="eastAsia" w:ascii="宋体" w:hAnsi="宋体" w:eastAsia="宋体" w:cs="宋体"/>
                <w:kern w:val="0"/>
                <w:szCs w:val="21"/>
              </w:rPr>
              <w:t>分</w:t>
            </w:r>
          </w:p>
          <w:p w14:paraId="76D9B44E">
            <w:pPr>
              <w:spacing w:line="360" w:lineRule="auto"/>
              <w:jc w:val="left"/>
              <w:rPr>
                <w:rFonts w:ascii="宋体" w:hAnsi="宋体" w:eastAsia="宋体" w:cs="宋体"/>
                <w:sz w:val="24"/>
                <w:szCs w:val="24"/>
              </w:rPr>
            </w:pPr>
            <w:r>
              <w:rPr>
                <w:rFonts w:hint="eastAsia" w:ascii="宋体" w:hAnsi="宋体" w:eastAsia="宋体" w:cs="宋体"/>
                <w:kern w:val="0"/>
                <w:szCs w:val="21"/>
              </w:rPr>
              <w:t>其它得0分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61017604">
            <w:pPr>
              <w:widowControl/>
              <w:spacing w:line="360" w:lineRule="auto"/>
              <w:jc w:val="center"/>
              <w:rPr>
                <w:rFonts w:hint="eastAsia" w:ascii="宋体" w:hAnsi="宋体" w:eastAsia="宋体" w:cs="宋体"/>
                <w:kern w:val="0"/>
                <w:sz w:val="24"/>
                <w:szCs w:val="24"/>
              </w:rPr>
            </w:pPr>
            <w:r>
              <w:rPr>
                <w:rFonts w:ascii="宋体" w:hAnsi="宋体" w:eastAsia="宋体" w:cs="宋体"/>
                <w:kern w:val="0"/>
                <w:szCs w:val="21"/>
              </w:rPr>
              <w:t>4</w:t>
            </w:r>
          </w:p>
        </w:tc>
      </w:tr>
      <w:tr w14:paraId="43D8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DEF4409">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79EA6737">
            <w:pPr>
              <w:spacing w:line="360" w:lineRule="auto"/>
              <w:jc w:val="left"/>
              <w:rPr>
                <w:rFonts w:hint="eastAsia" w:ascii="宋体" w:hAnsi="宋体" w:eastAsia="宋体" w:cs="宋体"/>
                <w:kern w:val="0"/>
                <w:szCs w:val="21"/>
              </w:rPr>
            </w:pPr>
            <w:r>
              <w:rPr>
                <w:rFonts w:hint="eastAsia" w:ascii="宋体" w:hAnsi="宋体" w:eastAsia="宋体" w:cs="宋体"/>
                <w:kern w:val="0"/>
                <w:szCs w:val="21"/>
              </w:rPr>
              <w:t>食品加工安全管理措施</w:t>
            </w:r>
          </w:p>
          <w:p w14:paraId="12EABFF6">
            <w:pPr>
              <w:spacing w:line="360" w:lineRule="auto"/>
              <w:jc w:val="left"/>
              <w:rPr>
                <w:rFonts w:ascii="宋体" w:hAnsi="宋体" w:eastAsia="宋体" w:cs="宋体"/>
                <w:bCs/>
                <w:sz w:val="24"/>
                <w:szCs w:val="24"/>
              </w:rPr>
            </w:pPr>
          </w:p>
        </w:tc>
        <w:tc>
          <w:tcPr>
            <w:tcW w:w="6259" w:type="dxa"/>
            <w:tcBorders>
              <w:top w:val="single" w:color="auto" w:sz="4" w:space="0"/>
              <w:left w:val="single" w:color="auto" w:sz="4" w:space="0"/>
              <w:bottom w:val="single" w:color="auto" w:sz="4" w:space="0"/>
              <w:right w:val="single" w:color="auto" w:sz="4" w:space="0"/>
            </w:tcBorders>
            <w:noWrap w:val="0"/>
            <w:vAlign w:val="center"/>
          </w:tcPr>
          <w:p w14:paraId="42595F01">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提供食品加工安全管理方案及措施详细、合理，针对本项目特性：</w:t>
            </w:r>
            <w:r>
              <w:rPr>
                <w:rFonts w:ascii="宋体" w:hAnsi="宋体" w:eastAsia="宋体" w:cs="宋体"/>
                <w:kern w:val="0"/>
                <w:szCs w:val="21"/>
              </w:rPr>
              <w:t>3</w:t>
            </w:r>
            <w:r>
              <w:rPr>
                <w:rFonts w:hint="eastAsia" w:ascii="宋体" w:hAnsi="宋体" w:eastAsia="宋体" w:cs="宋体"/>
                <w:kern w:val="0"/>
                <w:szCs w:val="21"/>
              </w:rPr>
              <w:t>分；</w:t>
            </w:r>
          </w:p>
          <w:p w14:paraId="0470606F">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提供食品加工安全管理方案及措施:</w:t>
            </w:r>
            <w:r>
              <w:rPr>
                <w:rFonts w:ascii="宋体" w:hAnsi="宋体" w:eastAsia="宋体" w:cs="宋体"/>
                <w:kern w:val="0"/>
                <w:szCs w:val="21"/>
              </w:rPr>
              <w:t>2</w:t>
            </w:r>
            <w:r>
              <w:rPr>
                <w:rFonts w:hint="eastAsia" w:ascii="宋体" w:hAnsi="宋体" w:eastAsia="宋体" w:cs="宋体"/>
                <w:kern w:val="0"/>
                <w:szCs w:val="21"/>
              </w:rPr>
              <w:t>分</w:t>
            </w:r>
          </w:p>
          <w:p w14:paraId="6273A3AC">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提供食品加工安全管理方案或措施：</w:t>
            </w:r>
            <w:r>
              <w:rPr>
                <w:rFonts w:ascii="宋体" w:hAnsi="宋体" w:eastAsia="宋体" w:cs="宋体"/>
                <w:kern w:val="0"/>
                <w:szCs w:val="21"/>
              </w:rPr>
              <w:t>1</w:t>
            </w:r>
            <w:r>
              <w:rPr>
                <w:rFonts w:hint="eastAsia" w:ascii="宋体" w:hAnsi="宋体" w:eastAsia="宋体" w:cs="宋体"/>
                <w:kern w:val="0"/>
                <w:szCs w:val="21"/>
              </w:rPr>
              <w:t>分</w:t>
            </w:r>
          </w:p>
          <w:p w14:paraId="1E477127">
            <w:pPr>
              <w:spacing w:line="360" w:lineRule="auto"/>
              <w:jc w:val="left"/>
              <w:rPr>
                <w:rFonts w:ascii="宋体" w:hAnsi="宋体" w:eastAsia="宋体" w:cs="宋体"/>
                <w:sz w:val="24"/>
                <w:szCs w:val="24"/>
              </w:rPr>
            </w:pPr>
            <w:r>
              <w:rPr>
                <w:rFonts w:hint="eastAsia" w:ascii="宋体" w:hAnsi="宋体" w:eastAsia="宋体" w:cs="宋体"/>
                <w:kern w:val="0"/>
                <w:szCs w:val="21"/>
              </w:rPr>
              <w:t>无描述：0分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4F5965F7">
            <w:pPr>
              <w:widowControl/>
              <w:spacing w:line="360" w:lineRule="auto"/>
              <w:jc w:val="center"/>
              <w:rPr>
                <w:rFonts w:hint="eastAsia" w:ascii="宋体" w:hAnsi="宋体" w:eastAsia="宋体" w:cs="宋体"/>
                <w:color w:val="000000"/>
                <w:kern w:val="0"/>
                <w:sz w:val="24"/>
                <w:szCs w:val="24"/>
              </w:rPr>
            </w:pPr>
            <w:r>
              <w:rPr>
                <w:rFonts w:ascii="宋体" w:hAnsi="宋体" w:eastAsia="宋体" w:cs="宋体"/>
                <w:color w:val="000000"/>
                <w:kern w:val="0"/>
                <w:szCs w:val="21"/>
              </w:rPr>
              <w:t>3</w:t>
            </w:r>
          </w:p>
        </w:tc>
      </w:tr>
      <w:tr w14:paraId="0C1E4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74CFF84">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4</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25DAB36E">
            <w:pPr>
              <w:spacing w:line="360" w:lineRule="auto"/>
              <w:jc w:val="left"/>
              <w:rPr>
                <w:rFonts w:ascii="宋体" w:hAnsi="宋体" w:eastAsia="宋体" w:cs="宋体"/>
                <w:bCs/>
                <w:sz w:val="24"/>
                <w:szCs w:val="24"/>
              </w:rPr>
            </w:pPr>
            <w:r>
              <w:rPr>
                <w:rFonts w:hint="eastAsia" w:ascii="宋体" w:hAnsi="宋体" w:eastAsia="宋体" w:cs="宋体"/>
                <w:kern w:val="0"/>
                <w:szCs w:val="21"/>
              </w:rPr>
              <w:t>对项目重点、难点的理解评价</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483E4D36">
            <w:pPr>
              <w:spacing w:line="360" w:lineRule="auto"/>
              <w:jc w:val="left"/>
              <w:rPr>
                <w:rFonts w:hint="eastAsia" w:ascii="宋体" w:hAnsi="宋体" w:eastAsia="宋体" w:cs="宋体"/>
                <w:kern w:val="0"/>
                <w:szCs w:val="21"/>
              </w:rPr>
            </w:pPr>
            <w:r>
              <w:rPr>
                <w:rFonts w:hint="eastAsia" w:ascii="Times New Roman" w:hAnsi="Times New Roman" w:eastAsia="宋体" w:cs="Times New Roman"/>
                <w:szCs w:val="21"/>
              </w:rPr>
              <w:t>项目重难点分析及措施（剖析准确，有事实依据或数据支撑）</w:t>
            </w:r>
          </w:p>
          <w:p w14:paraId="2CD5B495">
            <w:pPr>
              <w:spacing w:line="360" w:lineRule="auto"/>
              <w:jc w:val="left"/>
              <w:rPr>
                <w:rFonts w:hint="eastAsia" w:ascii="宋体" w:hAnsi="宋体" w:eastAsia="宋体" w:cs="宋体"/>
                <w:kern w:val="0"/>
                <w:szCs w:val="21"/>
              </w:rPr>
            </w:pPr>
            <w:r>
              <w:rPr>
                <w:rFonts w:hint="eastAsia" w:ascii="宋体" w:hAnsi="宋体" w:eastAsia="宋体" w:cs="宋体"/>
                <w:kern w:val="0"/>
                <w:szCs w:val="21"/>
              </w:rPr>
              <w:t>以上均具备且解决措施优化项目内容：</w:t>
            </w:r>
            <w:r>
              <w:rPr>
                <w:rFonts w:ascii="宋体" w:hAnsi="宋体" w:eastAsia="宋体" w:cs="宋体"/>
                <w:kern w:val="0"/>
                <w:szCs w:val="21"/>
              </w:rPr>
              <w:t>3</w:t>
            </w:r>
            <w:r>
              <w:rPr>
                <w:rFonts w:hint="eastAsia" w:ascii="宋体" w:hAnsi="宋体" w:eastAsia="宋体" w:cs="宋体"/>
                <w:kern w:val="0"/>
                <w:szCs w:val="21"/>
              </w:rPr>
              <w:t>分</w:t>
            </w:r>
          </w:p>
          <w:p w14:paraId="6F306879">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提供重难点分析且具备解决措施：</w:t>
            </w:r>
            <w:r>
              <w:rPr>
                <w:rFonts w:ascii="宋体" w:hAnsi="宋体" w:eastAsia="宋体" w:cs="宋体"/>
                <w:kern w:val="0"/>
                <w:szCs w:val="21"/>
              </w:rPr>
              <w:t>2</w:t>
            </w:r>
            <w:r>
              <w:rPr>
                <w:rFonts w:hint="eastAsia" w:ascii="宋体" w:hAnsi="宋体" w:eastAsia="宋体" w:cs="宋体"/>
                <w:kern w:val="0"/>
                <w:szCs w:val="21"/>
              </w:rPr>
              <w:t>分</w:t>
            </w:r>
          </w:p>
          <w:p w14:paraId="5ACBE5BE">
            <w:pPr>
              <w:spacing w:line="360" w:lineRule="auto"/>
              <w:jc w:val="left"/>
              <w:rPr>
                <w:rFonts w:hint="eastAsia" w:ascii="Times New Roman" w:hAnsi="Times New Roman" w:eastAsia="宋体" w:cs="Times New Roman"/>
                <w:szCs w:val="24"/>
              </w:rPr>
            </w:pPr>
            <w:r>
              <w:rPr>
                <w:rFonts w:hint="eastAsia" w:ascii="宋体" w:hAnsi="宋体" w:eastAsia="宋体" w:cs="宋体"/>
                <w:kern w:val="0"/>
                <w:szCs w:val="21"/>
              </w:rPr>
              <w:t>提供重难点分或具备解决措施：</w:t>
            </w:r>
            <w:r>
              <w:rPr>
                <w:rFonts w:ascii="宋体" w:hAnsi="宋体" w:eastAsia="宋体" w:cs="宋体"/>
                <w:kern w:val="0"/>
                <w:szCs w:val="21"/>
              </w:rPr>
              <w:t>1</w:t>
            </w:r>
            <w:r>
              <w:rPr>
                <w:rFonts w:hint="eastAsia" w:ascii="宋体" w:hAnsi="宋体" w:eastAsia="宋体" w:cs="宋体"/>
                <w:kern w:val="0"/>
                <w:szCs w:val="21"/>
              </w:rPr>
              <w:t>分</w:t>
            </w:r>
          </w:p>
          <w:p w14:paraId="12C456EF">
            <w:pPr>
              <w:spacing w:line="360" w:lineRule="auto"/>
              <w:jc w:val="left"/>
              <w:rPr>
                <w:rFonts w:ascii="宋体" w:hAnsi="宋体" w:eastAsia="宋体" w:cs="宋体"/>
                <w:sz w:val="24"/>
                <w:szCs w:val="24"/>
              </w:rPr>
            </w:pPr>
            <w:r>
              <w:rPr>
                <w:rFonts w:hint="eastAsia" w:ascii="宋体" w:hAnsi="宋体" w:eastAsia="宋体" w:cs="宋体"/>
                <w:kern w:val="0"/>
                <w:szCs w:val="21"/>
              </w:rPr>
              <w:t>未提供或提供与本项目内容无关：0分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4E1CC95A">
            <w:pPr>
              <w:widowControl/>
              <w:spacing w:line="360" w:lineRule="auto"/>
              <w:jc w:val="center"/>
              <w:rPr>
                <w:rFonts w:ascii="宋体" w:hAnsi="宋体" w:eastAsia="宋体" w:cs="宋体"/>
                <w:kern w:val="0"/>
                <w:sz w:val="24"/>
                <w:szCs w:val="24"/>
              </w:rPr>
            </w:pPr>
            <w:r>
              <w:rPr>
                <w:rFonts w:ascii="宋体" w:hAnsi="宋体" w:eastAsia="宋体" w:cs="宋体"/>
                <w:kern w:val="0"/>
                <w:szCs w:val="21"/>
              </w:rPr>
              <w:t>3</w:t>
            </w:r>
          </w:p>
        </w:tc>
      </w:tr>
      <w:tr w14:paraId="05F4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66B0B254">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5</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39341913">
            <w:pPr>
              <w:spacing w:line="360" w:lineRule="auto"/>
              <w:jc w:val="left"/>
              <w:rPr>
                <w:rFonts w:ascii="宋体" w:hAnsi="宋体" w:eastAsia="宋体" w:cs="宋体"/>
                <w:bCs/>
                <w:sz w:val="24"/>
                <w:szCs w:val="24"/>
              </w:rPr>
            </w:pPr>
            <w:r>
              <w:rPr>
                <w:rFonts w:hint="eastAsia" w:ascii="宋体" w:hAnsi="宋体" w:eastAsia="宋体" w:cs="宋体"/>
                <w:kern w:val="0"/>
                <w:szCs w:val="21"/>
              </w:rPr>
              <w:t>人员培训方案评价</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75C0190E">
            <w:pPr>
              <w:spacing w:line="360" w:lineRule="auto"/>
              <w:jc w:val="left"/>
              <w:rPr>
                <w:rFonts w:hint="eastAsia" w:ascii="宋体" w:hAnsi="宋体" w:eastAsia="宋体" w:cs="宋体"/>
                <w:kern w:val="0"/>
                <w:szCs w:val="21"/>
              </w:rPr>
            </w:pPr>
            <w:r>
              <w:rPr>
                <w:rFonts w:hint="eastAsia" w:ascii="宋体" w:hAnsi="宋体" w:eastAsia="宋体" w:cs="宋体"/>
                <w:kern w:val="0"/>
                <w:szCs w:val="21"/>
              </w:rPr>
              <w:t>人员培训包括对各类人员的培训计划、方式、目标及言行规范、仪容仪表、公众形象等，有数据支撑，全项内容：</w:t>
            </w:r>
            <w:r>
              <w:rPr>
                <w:rFonts w:ascii="宋体" w:hAnsi="宋体" w:eastAsia="宋体" w:cs="宋体"/>
                <w:kern w:val="0"/>
                <w:szCs w:val="21"/>
              </w:rPr>
              <w:t>3</w:t>
            </w:r>
            <w:r>
              <w:rPr>
                <w:rFonts w:hint="eastAsia" w:ascii="宋体" w:hAnsi="宋体" w:eastAsia="宋体" w:cs="宋体"/>
                <w:kern w:val="0"/>
                <w:szCs w:val="21"/>
              </w:rPr>
              <w:t>分；</w:t>
            </w:r>
          </w:p>
          <w:p w14:paraId="41967A3B">
            <w:pPr>
              <w:spacing w:line="360" w:lineRule="auto"/>
              <w:jc w:val="left"/>
              <w:rPr>
                <w:rFonts w:hint="eastAsia" w:ascii="宋体" w:hAnsi="宋体" w:eastAsia="宋体" w:cs="宋体"/>
                <w:kern w:val="0"/>
                <w:szCs w:val="21"/>
              </w:rPr>
            </w:pPr>
            <w:r>
              <w:rPr>
                <w:rFonts w:hint="eastAsia" w:ascii="宋体" w:hAnsi="宋体" w:eastAsia="宋体" w:cs="宋体"/>
                <w:kern w:val="0"/>
                <w:szCs w:val="21"/>
              </w:rPr>
              <w:t>人员培训包括对各类人员的培训计划、方式、目标及言行规范、仪容仪表、公众形象三项及以上内容：</w:t>
            </w:r>
            <w:r>
              <w:rPr>
                <w:rFonts w:ascii="宋体" w:hAnsi="宋体" w:eastAsia="宋体" w:cs="宋体"/>
                <w:kern w:val="0"/>
                <w:szCs w:val="21"/>
              </w:rPr>
              <w:t>2</w:t>
            </w:r>
            <w:r>
              <w:rPr>
                <w:rFonts w:hint="eastAsia" w:ascii="宋体" w:hAnsi="宋体" w:eastAsia="宋体" w:cs="宋体"/>
                <w:kern w:val="0"/>
                <w:szCs w:val="21"/>
              </w:rPr>
              <w:t>分；</w:t>
            </w:r>
          </w:p>
          <w:p w14:paraId="78149690">
            <w:pPr>
              <w:spacing w:line="360" w:lineRule="auto"/>
              <w:jc w:val="left"/>
              <w:rPr>
                <w:rFonts w:hint="eastAsia" w:ascii="宋体" w:hAnsi="宋体" w:eastAsia="宋体" w:cs="宋体"/>
                <w:kern w:val="0"/>
                <w:szCs w:val="21"/>
              </w:rPr>
            </w:pPr>
            <w:r>
              <w:rPr>
                <w:rFonts w:hint="eastAsia" w:ascii="宋体" w:hAnsi="宋体" w:eastAsia="宋体" w:cs="宋体"/>
                <w:kern w:val="0"/>
                <w:szCs w:val="21"/>
              </w:rPr>
              <w:t>人员培训包括对各类人员的培训计划、方式、目标及言行规范、仪容仪表、公众形象一项及以上内容：</w:t>
            </w:r>
            <w:r>
              <w:rPr>
                <w:rFonts w:ascii="宋体" w:hAnsi="宋体" w:eastAsia="宋体" w:cs="宋体"/>
                <w:kern w:val="0"/>
                <w:szCs w:val="21"/>
              </w:rPr>
              <w:t>1</w:t>
            </w:r>
            <w:r>
              <w:rPr>
                <w:rFonts w:hint="eastAsia" w:ascii="宋体" w:hAnsi="宋体" w:eastAsia="宋体" w:cs="宋体"/>
                <w:kern w:val="0"/>
                <w:szCs w:val="21"/>
              </w:rPr>
              <w:t>分；</w:t>
            </w:r>
          </w:p>
          <w:p w14:paraId="4D3F7299">
            <w:pPr>
              <w:spacing w:line="360" w:lineRule="auto"/>
              <w:jc w:val="left"/>
              <w:rPr>
                <w:rFonts w:ascii="宋体" w:hAnsi="宋体" w:eastAsia="宋体" w:cs="宋体"/>
                <w:sz w:val="24"/>
                <w:szCs w:val="24"/>
              </w:rPr>
            </w:pPr>
            <w:r>
              <w:rPr>
                <w:rFonts w:hint="eastAsia" w:ascii="宋体" w:hAnsi="宋体" w:eastAsia="宋体" w:cs="宋体"/>
                <w:kern w:val="0"/>
                <w:szCs w:val="21"/>
              </w:rPr>
              <w:t>其他：0分；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28183590">
            <w:pPr>
              <w:widowControl/>
              <w:spacing w:line="360" w:lineRule="auto"/>
              <w:jc w:val="center"/>
              <w:rPr>
                <w:rFonts w:hint="eastAsia" w:ascii="宋体" w:hAnsi="宋体" w:eastAsia="宋体" w:cs="宋体"/>
                <w:kern w:val="0"/>
                <w:sz w:val="24"/>
                <w:szCs w:val="24"/>
              </w:rPr>
            </w:pPr>
            <w:r>
              <w:rPr>
                <w:rFonts w:ascii="宋体" w:hAnsi="宋体" w:eastAsia="宋体" w:cs="宋体"/>
                <w:kern w:val="0"/>
                <w:szCs w:val="21"/>
              </w:rPr>
              <w:t>3</w:t>
            </w:r>
          </w:p>
        </w:tc>
      </w:tr>
      <w:tr w14:paraId="0553E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5804592F">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6</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65ECF71B">
            <w:pPr>
              <w:spacing w:line="360" w:lineRule="auto"/>
              <w:jc w:val="left"/>
              <w:rPr>
                <w:rFonts w:ascii="宋体" w:hAnsi="宋体" w:eastAsia="宋体" w:cs="宋体"/>
                <w:bCs/>
                <w:sz w:val="24"/>
                <w:szCs w:val="24"/>
              </w:rPr>
            </w:pPr>
            <w:r>
              <w:rPr>
                <w:rFonts w:hint="eastAsia" w:ascii="宋体" w:hAnsi="宋体" w:eastAsia="宋体" w:cs="宋体"/>
                <w:kern w:val="0"/>
                <w:szCs w:val="21"/>
              </w:rPr>
              <w:t>人员保密管理制度</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0A14D2A7">
            <w:pPr>
              <w:spacing w:line="360" w:lineRule="auto"/>
              <w:jc w:val="left"/>
              <w:rPr>
                <w:rFonts w:hint="eastAsia" w:ascii="宋体" w:hAnsi="宋体" w:eastAsia="宋体" w:cs="宋体"/>
                <w:kern w:val="0"/>
                <w:szCs w:val="21"/>
              </w:rPr>
            </w:pPr>
            <w:r>
              <w:rPr>
                <w:rFonts w:hint="eastAsia" w:ascii="宋体" w:hAnsi="宋体" w:eastAsia="宋体" w:cs="宋体"/>
                <w:kern w:val="0"/>
                <w:szCs w:val="21"/>
              </w:rPr>
              <w:t>人员保密管理方案规范、切实可行：</w:t>
            </w:r>
            <w:r>
              <w:rPr>
                <w:rFonts w:ascii="宋体" w:hAnsi="宋体" w:eastAsia="宋体" w:cs="宋体"/>
                <w:kern w:val="0"/>
                <w:szCs w:val="21"/>
              </w:rPr>
              <w:t>3</w:t>
            </w:r>
            <w:r>
              <w:rPr>
                <w:rFonts w:hint="eastAsia" w:ascii="宋体" w:hAnsi="宋体" w:eastAsia="宋体" w:cs="宋体"/>
                <w:kern w:val="0"/>
                <w:szCs w:val="21"/>
              </w:rPr>
              <w:t>分；</w:t>
            </w:r>
          </w:p>
          <w:p w14:paraId="22EE1C14">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提供人员保密管理方案：</w:t>
            </w:r>
            <w:r>
              <w:rPr>
                <w:rFonts w:ascii="宋体" w:hAnsi="宋体" w:eastAsia="宋体" w:cs="宋体"/>
                <w:kern w:val="0"/>
                <w:szCs w:val="21"/>
              </w:rPr>
              <w:t>2</w:t>
            </w:r>
            <w:r>
              <w:rPr>
                <w:rFonts w:hint="eastAsia" w:ascii="宋体" w:hAnsi="宋体" w:eastAsia="宋体" w:cs="宋体"/>
                <w:kern w:val="0"/>
                <w:szCs w:val="21"/>
              </w:rPr>
              <w:t>分；</w:t>
            </w:r>
          </w:p>
          <w:p w14:paraId="29E24C92">
            <w:pPr>
              <w:spacing w:line="360" w:lineRule="auto"/>
              <w:jc w:val="left"/>
              <w:rPr>
                <w:rFonts w:ascii="宋体" w:hAnsi="宋体" w:eastAsia="宋体" w:cs="宋体"/>
                <w:sz w:val="24"/>
                <w:szCs w:val="24"/>
              </w:rPr>
            </w:pPr>
            <w:r>
              <w:rPr>
                <w:rFonts w:hint="eastAsia" w:ascii="宋体" w:hAnsi="宋体" w:eastAsia="宋体" w:cs="宋体"/>
                <w:kern w:val="0"/>
                <w:szCs w:val="21"/>
              </w:rPr>
              <w:t>其他：0分。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0F574D6F">
            <w:pPr>
              <w:widowControl/>
              <w:spacing w:line="360" w:lineRule="auto"/>
              <w:jc w:val="center"/>
              <w:rPr>
                <w:rFonts w:hint="eastAsia" w:ascii="宋体" w:hAnsi="宋体" w:eastAsia="宋体" w:cs="宋体"/>
                <w:kern w:val="0"/>
                <w:sz w:val="24"/>
                <w:szCs w:val="24"/>
              </w:rPr>
            </w:pPr>
            <w:r>
              <w:rPr>
                <w:rFonts w:ascii="宋体" w:hAnsi="宋体" w:eastAsia="宋体" w:cs="宋体"/>
                <w:kern w:val="0"/>
                <w:szCs w:val="21"/>
              </w:rPr>
              <w:t>3</w:t>
            </w:r>
          </w:p>
        </w:tc>
      </w:tr>
      <w:tr w14:paraId="74C5F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229C7ECE">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7</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38B162F9">
            <w:pPr>
              <w:spacing w:line="360" w:lineRule="auto"/>
              <w:jc w:val="left"/>
              <w:rPr>
                <w:rFonts w:ascii="宋体" w:hAnsi="宋体" w:eastAsia="宋体" w:cs="宋体"/>
                <w:bCs/>
                <w:sz w:val="24"/>
                <w:szCs w:val="24"/>
              </w:rPr>
            </w:pPr>
            <w:r>
              <w:rPr>
                <w:rFonts w:hint="eastAsia" w:ascii="宋体" w:hAnsi="宋体" w:eastAsia="宋体" w:cs="宋体"/>
                <w:kern w:val="0"/>
                <w:szCs w:val="21"/>
              </w:rPr>
              <w:t>针对本项目规章管理制度</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747C5B51">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投标人所提供的管理制度全面、完善，保障措施到位、运行方案可行，以上均具备且针对本项目特性，其制度能使工作成果能够优于采购方的服务标准：</w:t>
            </w:r>
            <w:r>
              <w:rPr>
                <w:rFonts w:ascii="宋体" w:hAnsi="宋体" w:eastAsia="宋体" w:cs="宋体"/>
                <w:kern w:val="0"/>
                <w:szCs w:val="21"/>
              </w:rPr>
              <w:t>3</w:t>
            </w:r>
            <w:r>
              <w:rPr>
                <w:rFonts w:hint="eastAsia" w:ascii="宋体" w:hAnsi="宋体" w:eastAsia="宋体" w:cs="宋体"/>
                <w:kern w:val="0"/>
                <w:szCs w:val="21"/>
              </w:rPr>
              <w:t>分；</w:t>
            </w:r>
          </w:p>
          <w:p w14:paraId="59C324BE">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提供的管理制度全面，其制度能使工作成果能够满足采购方的服务标准：</w:t>
            </w:r>
            <w:r>
              <w:rPr>
                <w:rFonts w:ascii="宋体" w:hAnsi="宋体" w:eastAsia="宋体" w:cs="宋体"/>
                <w:kern w:val="0"/>
                <w:szCs w:val="21"/>
              </w:rPr>
              <w:t>2</w:t>
            </w:r>
            <w:r>
              <w:rPr>
                <w:rFonts w:hint="eastAsia" w:ascii="宋体" w:hAnsi="宋体" w:eastAsia="宋体" w:cs="宋体"/>
                <w:kern w:val="0"/>
                <w:szCs w:val="21"/>
              </w:rPr>
              <w:t>分；</w:t>
            </w:r>
          </w:p>
          <w:p w14:paraId="114D7C75">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提供的管理制度部分全面，考虑不周：1分；</w:t>
            </w:r>
          </w:p>
          <w:p w14:paraId="73A5EDAD">
            <w:pPr>
              <w:spacing w:line="360" w:lineRule="auto"/>
              <w:jc w:val="left"/>
              <w:rPr>
                <w:rFonts w:ascii="宋体" w:hAnsi="宋体" w:eastAsia="宋体" w:cs="宋体"/>
                <w:sz w:val="24"/>
                <w:szCs w:val="24"/>
              </w:rPr>
            </w:pPr>
            <w:r>
              <w:rPr>
                <w:rFonts w:hint="eastAsia" w:ascii="宋体" w:hAnsi="宋体" w:eastAsia="宋体" w:cs="宋体"/>
                <w:kern w:val="0"/>
                <w:szCs w:val="21"/>
              </w:rPr>
              <w:t>其他：0分。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33C54B06">
            <w:pPr>
              <w:widowControl/>
              <w:spacing w:line="360" w:lineRule="auto"/>
              <w:jc w:val="center"/>
              <w:rPr>
                <w:rFonts w:hint="eastAsia" w:ascii="宋体" w:hAnsi="宋体" w:eastAsia="宋体" w:cs="宋体"/>
                <w:kern w:val="0"/>
                <w:sz w:val="24"/>
                <w:szCs w:val="24"/>
              </w:rPr>
            </w:pPr>
            <w:r>
              <w:rPr>
                <w:rFonts w:ascii="宋体" w:hAnsi="宋体" w:eastAsia="宋体" w:cs="宋体"/>
                <w:kern w:val="0"/>
                <w:szCs w:val="21"/>
              </w:rPr>
              <w:t>3</w:t>
            </w:r>
          </w:p>
        </w:tc>
      </w:tr>
      <w:tr w14:paraId="70994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2553A0C5">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8</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6391F4F0">
            <w:pPr>
              <w:spacing w:line="360" w:lineRule="auto"/>
              <w:jc w:val="left"/>
              <w:rPr>
                <w:rFonts w:ascii="宋体" w:hAnsi="宋体" w:eastAsia="宋体" w:cs="宋体"/>
                <w:bCs/>
                <w:sz w:val="24"/>
                <w:szCs w:val="24"/>
              </w:rPr>
            </w:pPr>
            <w:r>
              <w:rPr>
                <w:rFonts w:hint="eastAsia" w:ascii="宋体" w:hAnsi="宋体" w:eastAsia="宋体" w:cs="宋体"/>
                <w:kern w:val="0"/>
                <w:szCs w:val="21"/>
              </w:rPr>
              <w:t>应急方案及措施</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385B30FB">
            <w:pPr>
              <w:spacing w:line="360" w:lineRule="auto"/>
              <w:jc w:val="left"/>
              <w:rPr>
                <w:rFonts w:ascii="宋体" w:hAnsi="宋体" w:eastAsia="宋体" w:cs="宋体"/>
                <w:kern w:val="0"/>
                <w:szCs w:val="21"/>
              </w:rPr>
            </w:pPr>
            <w:r>
              <w:rPr>
                <w:rFonts w:ascii="宋体" w:hAnsi="宋体" w:eastAsia="宋体" w:cs="宋体"/>
                <w:kern w:val="0"/>
                <w:szCs w:val="21"/>
              </w:rPr>
              <w:t>模式及流程先进、资源安排科学，以上均具备且应对措施有针对性，分级精准：4分</w:t>
            </w:r>
          </w:p>
          <w:p w14:paraId="1B668B91">
            <w:pPr>
              <w:spacing w:line="360" w:lineRule="auto"/>
              <w:jc w:val="left"/>
              <w:rPr>
                <w:rFonts w:ascii="宋体" w:hAnsi="宋体" w:eastAsia="宋体" w:cs="宋体"/>
                <w:kern w:val="0"/>
                <w:szCs w:val="21"/>
              </w:rPr>
            </w:pPr>
            <w:r>
              <w:rPr>
                <w:rFonts w:ascii="宋体" w:hAnsi="宋体" w:eastAsia="宋体" w:cs="宋体"/>
                <w:kern w:val="0"/>
                <w:szCs w:val="21"/>
              </w:rPr>
              <w:t>提供应急方案及措施：3分</w:t>
            </w:r>
          </w:p>
          <w:p w14:paraId="5DD387BB">
            <w:pPr>
              <w:spacing w:line="360" w:lineRule="auto"/>
              <w:jc w:val="left"/>
              <w:rPr>
                <w:rFonts w:ascii="宋体" w:hAnsi="宋体" w:eastAsia="宋体" w:cs="宋体"/>
                <w:kern w:val="0"/>
                <w:szCs w:val="21"/>
              </w:rPr>
            </w:pPr>
            <w:r>
              <w:rPr>
                <w:rFonts w:ascii="宋体" w:hAnsi="宋体" w:eastAsia="宋体" w:cs="宋体"/>
                <w:kern w:val="0"/>
                <w:szCs w:val="21"/>
              </w:rPr>
              <w:t>提供应急方案或措施：1分</w:t>
            </w:r>
          </w:p>
          <w:p w14:paraId="27AED773">
            <w:pPr>
              <w:spacing w:line="360" w:lineRule="auto"/>
              <w:jc w:val="left"/>
              <w:rPr>
                <w:rFonts w:ascii="宋体" w:hAnsi="宋体" w:eastAsia="宋体" w:cs="宋体"/>
                <w:sz w:val="24"/>
                <w:szCs w:val="24"/>
              </w:rPr>
            </w:pPr>
            <w:r>
              <w:rPr>
                <w:rFonts w:ascii="宋体" w:hAnsi="宋体" w:eastAsia="宋体" w:cs="宋体"/>
                <w:kern w:val="0"/>
                <w:szCs w:val="21"/>
              </w:rPr>
              <w:t>未提供或提供与本项目内容无关：0分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082C0185">
            <w:pPr>
              <w:widowControl/>
              <w:spacing w:line="360" w:lineRule="auto"/>
              <w:jc w:val="center"/>
              <w:rPr>
                <w:rFonts w:ascii="宋体" w:hAnsi="宋体" w:eastAsia="宋体" w:cs="宋体"/>
                <w:kern w:val="0"/>
                <w:sz w:val="24"/>
                <w:szCs w:val="24"/>
              </w:rPr>
            </w:pPr>
            <w:r>
              <w:rPr>
                <w:rFonts w:ascii="宋体" w:hAnsi="宋体" w:eastAsia="宋体" w:cs="宋体"/>
                <w:kern w:val="0"/>
                <w:szCs w:val="21"/>
              </w:rPr>
              <w:t>4</w:t>
            </w:r>
          </w:p>
        </w:tc>
      </w:tr>
      <w:tr w14:paraId="4700C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6"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3297C677">
            <w:pPr>
              <w:widowControl/>
              <w:spacing w:line="360" w:lineRule="auto"/>
              <w:jc w:val="center"/>
              <w:rPr>
                <w:rFonts w:ascii="宋体" w:hAnsi="宋体" w:eastAsia="宋体" w:cs="宋体"/>
                <w:kern w:val="0"/>
                <w:sz w:val="24"/>
                <w:szCs w:val="24"/>
              </w:rPr>
            </w:pPr>
            <w:r>
              <w:rPr>
                <w:rFonts w:hint="eastAsia" w:ascii="宋体" w:hAnsi="宋体" w:eastAsia="宋体" w:cs="宋体"/>
                <w:kern w:val="0"/>
                <w:szCs w:val="21"/>
              </w:rPr>
              <w:t>9</w:t>
            </w:r>
          </w:p>
        </w:tc>
        <w:tc>
          <w:tcPr>
            <w:tcW w:w="1389" w:type="dxa"/>
            <w:tcBorders>
              <w:top w:val="single" w:color="auto" w:sz="4" w:space="0"/>
              <w:left w:val="single" w:color="auto" w:sz="4" w:space="0"/>
              <w:bottom w:val="single" w:color="auto" w:sz="4" w:space="0"/>
              <w:right w:val="single" w:color="auto" w:sz="4" w:space="0"/>
            </w:tcBorders>
            <w:noWrap w:val="0"/>
            <w:vAlign w:val="center"/>
          </w:tcPr>
          <w:p w14:paraId="33E38204">
            <w:pPr>
              <w:spacing w:line="360" w:lineRule="auto"/>
              <w:jc w:val="left"/>
              <w:rPr>
                <w:rFonts w:ascii="宋体" w:hAnsi="宋体" w:eastAsia="宋体" w:cs="宋体"/>
                <w:bCs/>
                <w:sz w:val="24"/>
                <w:szCs w:val="24"/>
              </w:rPr>
            </w:pPr>
            <w:r>
              <w:rPr>
                <w:rFonts w:hint="eastAsia" w:ascii="宋体" w:hAnsi="宋体" w:eastAsia="宋体" w:cs="宋体"/>
                <w:kern w:val="0"/>
                <w:szCs w:val="21"/>
              </w:rPr>
              <w:t>投诉流程、满意度调查制度</w:t>
            </w:r>
          </w:p>
        </w:tc>
        <w:tc>
          <w:tcPr>
            <w:tcW w:w="6259" w:type="dxa"/>
            <w:tcBorders>
              <w:top w:val="single" w:color="auto" w:sz="4" w:space="0"/>
              <w:left w:val="single" w:color="auto" w:sz="4" w:space="0"/>
              <w:bottom w:val="single" w:color="auto" w:sz="4" w:space="0"/>
              <w:right w:val="single" w:color="auto" w:sz="4" w:space="0"/>
            </w:tcBorders>
            <w:noWrap w:val="0"/>
            <w:vAlign w:val="center"/>
          </w:tcPr>
          <w:p w14:paraId="08FD79AA">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投诉流程、满意度调查制度健全、可行：</w:t>
            </w:r>
            <w:r>
              <w:rPr>
                <w:rFonts w:ascii="宋体" w:hAnsi="宋体" w:eastAsia="宋体" w:cs="宋体"/>
                <w:kern w:val="0"/>
                <w:szCs w:val="21"/>
              </w:rPr>
              <w:t>3</w:t>
            </w:r>
            <w:r>
              <w:rPr>
                <w:rFonts w:hint="eastAsia" w:ascii="宋体" w:hAnsi="宋体" w:eastAsia="宋体" w:cs="宋体"/>
                <w:kern w:val="0"/>
                <w:szCs w:val="21"/>
              </w:rPr>
              <w:t>分</w:t>
            </w:r>
          </w:p>
          <w:p w14:paraId="1666E5F8">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提供投诉流程、满意度调查制度：</w:t>
            </w:r>
            <w:r>
              <w:rPr>
                <w:rFonts w:ascii="宋体" w:hAnsi="宋体" w:eastAsia="宋体" w:cs="宋体"/>
                <w:kern w:val="0"/>
                <w:szCs w:val="21"/>
              </w:rPr>
              <w:t>2</w:t>
            </w:r>
            <w:r>
              <w:rPr>
                <w:rFonts w:hint="eastAsia" w:ascii="宋体" w:hAnsi="宋体" w:eastAsia="宋体" w:cs="宋体"/>
                <w:kern w:val="0"/>
                <w:szCs w:val="21"/>
              </w:rPr>
              <w:t>分</w:t>
            </w:r>
          </w:p>
          <w:p w14:paraId="173181C5">
            <w:pPr>
              <w:spacing w:line="360" w:lineRule="auto"/>
              <w:jc w:val="left"/>
              <w:rPr>
                <w:rFonts w:hint="eastAsia" w:ascii="宋体" w:hAnsi="宋体" w:eastAsia="宋体" w:cs="宋体"/>
                <w:kern w:val="0"/>
                <w:szCs w:val="21"/>
              </w:rPr>
            </w:pPr>
            <w:r>
              <w:rPr>
                <w:rFonts w:hint="eastAsia" w:ascii="宋体" w:hAnsi="宋体" w:eastAsia="宋体" w:cs="宋体"/>
                <w:kern w:val="0"/>
                <w:szCs w:val="21"/>
              </w:rPr>
              <w:t>提供投诉流程或满意度调查制度：</w:t>
            </w:r>
            <w:r>
              <w:rPr>
                <w:rFonts w:ascii="宋体" w:hAnsi="宋体" w:eastAsia="宋体" w:cs="宋体"/>
                <w:kern w:val="0"/>
                <w:szCs w:val="21"/>
              </w:rPr>
              <w:t>1</w:t>
            </w:r>
            <w:r>
              <w:rPr>
                <w:rFonts w:hint="eastAsia" w:ascii="宋体" w:hAnsi="宋体" w:eastAsia="宋体" w:cs="宋体"/>
                <w:kern w:val="0"/>
                <w:szCs w:val="21"/>
              </w:rPr>
              <w:t>分；</w:t>
            </w:r>
          </w:p>
          <w:p w14:paraId="7C0C232E">
            <w:pPr>
              <w:spacing w:line="360" w:lineRule="auto"/>
              <w:jc w:val="left"/>
              <w:rPr>
                <w:rFonts w:ascii="宋体" w:hAnsi="宋体" w:eastAsia="宋体" w:cs="宋体"/>
                <w:sz w:val="24"/>
                <w:szCs w:val="24"/>
              </w:rPr>
            </w:pPr>
            <w:r>
              <w:rPr>
                <w:rFonts w:hint="eastAsia" w:ascii="宋体" w:hAnsi="宋体" w:eastAsia="宋体" w:cs="宋体"/>
                <w:kern w:val="0"/>
                <w:szCs w:val="21"/>
              </w:rPr>
              <w:t>其他：0分。</w:t>
            </w:r>
          </w:p>
        </w:tc>
        <w:tc>
          <w:tcPr>
            <w:tcW w:w="749" w:type="dxa"/>
            <w:tcBorders>
              <w:top w:val="single" w:color="auto" w:sz="4" w:space="0"/>
              <w:left w:val="single" w:color="auto" w:sz="4" w:space="0"/>
              <w:bottom w:val="single" w:color="auto" w:sz="4" w:space="0"/>
              <w:right w:val="single" w:color="auto" w:sz="4" w:space="0"/>
            </w:tcBorders>
            <w:noWrap w:val="0"/>
            <w:vAlign w:val="center"/>
          </w:tcPr>
          <w:p w14:paraId="58CA7578">
            <w:pPr>
              <w:widowControl/>
              <w:spacing w:line="360" w:lineRule="auto"/>
              <w:jc w:val="center"/>
              <w:rPr>
                <w:rFonts w:ascii="宋体" w:hAnsi="宋体" w:eastAsia="宋体" w:cs="宋体"/>
                <w:kern w:val="0"/>
                <w:sz w:val="24"/>
                <w:szCs w:val="24"/>
              </w:rPr>
            </w:pPr>
            <w:r>
              <w:rPr>
                <w:rFonts w:ascii="宋体" w:hAnsi="宋体" w:eastAsia="宋体" w:cs="宋体"/>
                <w:kern w:val="0"/>
                <w:szCs w:val="21"/>
              </w:rPr>
              <w:t>3</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1"/>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rPr>
        <w:t>五、项目需求书：</w:t>
      </w:r>
    </w:p>
    <w:p w14:paraId="1EB4429E">
      <w:pPr>
        <w:widowControl/>
        <w:spacing w:line="360" w:lineRule="auto"/>
        <w:ind w:firstLine="480" w:firstLineChars="200"/>
        <w:jc w:val="left"/>
        <w:rPr>
          <w:rFonts w:ascii="Times New Roman" w:hAnsi="Times New Roman" w:eastAsia="宋体" w:cs="Times New Roman"/>
          <w:sz w:val="24"/>
        </w:rPr>
      </w:pPr>
      <w:r>
        <w:rPr>
          <w:rFonts w:hint="eastAsia" w:ascii="Times New Roman" w:hAnsi="Times New Roman" w:eastAsia="宋体" w:cs="Times New Roman"/>
          <w:sz w:val="24"/>
        </w:rPr>
        <w:t>本项目属于物业管理行业。</w:t>
      </w:r>
    </w:p>
    <w:p w14:paraId="7E6E9CE3">
      <w:pPr>
        <w:spacing w:line="360" w:lineRule="auto"/>
        <w:rPr>
          <w:rFonts w:ascii="宋体" w:hAnsi="宋体" w:eastAsia="宋体" w:cs="Times New Roman"/>
          <w:sz w:val="24"/>
          <w:szCs w:val="24"/>
        </w:rPr>
      </w:pPr>
      <w:r>
        <w:rPr>
          <w:rFonts w:hint="eastAsia" w:ascii="宋体" w:hAnsi="宋体" w:eastAsia="宋体" w:cs="Times New Roman"/>
          <w:sz w:val="24"/>
          <w:szCs w:val="24"/>
        </w:rPr>
        <w:t>1、实质性技术需求</w:t>
      </w:r>
    </w:p>
    <w:tbl>
      <w:tblPr>
        <w:tblStyle w:val="48"/>
        <w:tblW w:w="500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6"/>
        <w:gridCol w:w="1139"/>
        <w:gridCol w:w="1135"/>
        <w:gridCol w:w="5446"/>
      </w:tblGrid>
      <w:tr w14:paraId="00A58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noWrap w:val="0"/>
            <w:vAlign w:val="center"/>
          </w:tcPr>
          <w:p w14:paraId="129B0FC7">
            <w:pPr>
              <w:jc w:val="center"/>
              <w:rPr>
                <w:rFonts w:ascii="宋体" w:hAnsi="宋体" w:eastAsia="宋体" w:cs="Times New Roman"/>
                <w:sz w:val="24"/>
                <w:szCs w:val="24"/>
              </w:rPr>
            </w:pPr>
            <w:r>
              <w:rPr>
                <w:rFonts w:hint="eastAsia" w:ascii="宋体" w:hAnsi="宋体" w:eastAsia="宋体" w:cs="Times New Roman"/>
                <w:sz w:val="24"/>
                <w:szCs w:val="24"/>
              </w:rPr>
              <w:t>序号</w:t>
            </w:r>
          </w:p>
        </w:tc>
        <w:tc>
          <w:tcPr>
            <w:tcW w:w="667" w:type="pct"/>
            <w:noWrap w:val="0"/>
            <w:vAlign w:val="center"/>
          </w:tcPr>
          <w:p w14:paraId="220364D2">
            <w:pPr>
              <w:jc w:val="center"/>
              <w:rPr>
                <w:rFonts w:ascii="宋体" w:hAnsi="宋体" w:eastAsia="宋体" w:cs="Times New Roman"/>
                <w:sz w:val="24"/>
                <w:szCs w:val="24"/>
              </w:rPr>
            </w:pPr>
            <w:r>
              <w:rPr>
                <w:rFonts w:hint="eastAsia" w:ascii="宋体" w:hAnsi="宋体" w:eastAsia="宋体" w:cs="Times New Roman"/>
                <w:sz w:val="24"/>
                <w:szCs w:val="24"/>
              </w:rPr>
              <w:t>采购项名称</w:t>
            </w:r>
          </w:p>
        </w:tc>
        <w:tc>
          <w:tcPr>
            <w:tcW w:w="665" w:type="pct"/>
            <w:noWrap w:val="0"/>
            <w:vAlign w:val="center"/>
          </w:tcPr>
          <w:p w14:paraId="6DA1AD00">
            <w:pPr>
              <w:jc w:val="center"/>
              <w:rPr>
                <w:rFonts w:hint="eastAsia" w:ascii="宋体" w:hAnsi="宋体" w:eastAsia="宋体" w:cs="Times New Roman"/>
                <w:sz w:val="24"/>
                <w:szCs w:val="24"/>
              </w:rPr>
            </w:pPr>
            <w:r>
              <w:rPr>
                <w:rFonts w:hint="eastAsia" w:ascii="宋体" w:hAnsi="宋体" w:eastAsia="宋体" w:cs="Times New Roman"/>
                <w:sz w:val="24"/>
                <w:szCs w:val="24"/>
              </w:rPr>
              <w:t>数量和单位</w:t>
            </w:r>
          </w:p>
        </w:tc>
        <w:tc>
          <w:tcPr>
            <w:tcW w:w="3190" w:type="pct"/>
            <w:noWrap w:val="0"/>
            <w:vAlign w:val="center"/>
          </w:tcPr>
          <w:p w14:paraId="242F8BF8">
            <w:pPr>
              <w:jc w:val="center"/>
              <w:rPr>
                <w:rFonts w:ascii="宋体" w:hAnsi="宋体" w:eastAsia="宋体" w:cs="Times New Roman"/>
                <w:sz w:val="24"/>
                <w:szCs w:val="24"/>
              </w:rPr>
            </w:pPr>
            <w:r>
              <w:rPr>
                <w:rFonts w:hint="eastAsia" w:ascii="宋体" w:hAnsi="宋体" w:eastAsia="宋体" w:cs="Times New Roman"/>
                <w:sz w:val="24"/>
                <w:szCs w:val="24"/>
              </w:rPr>
              <w:t>实质性需求条款</w:t>
            </w:r>
          </w:p>
        </w:tc>
      </w:tr>
      <w:tr w14:paraId="681E3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vMerge w:val="restart"/>
            <w:noWrap w:val="0"/>
            <w:vAlign w:val="center"/>
          </w:tcPr>
          <w:p w14:paraId="6DA5F6D9">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667" w:type="pct"/>
            <w:vMerge w:val="restart"/>
            <w:noWrap w:val="0"/>
            <w:vAlign w:val="center"/>
          </w:tcPr>
          <w:p w14:paraId="1B5A4CC1">
            <w:pPr>
              <w:jc w:val="center"/>
              <w:rPr>
                <w:rFonts w:hint="eastAsia" w:ascii="宋体" w:hAnsi="宋体" w:eastAsia="宋体" w:cs="Times New Roman"/>
                <w:sz w:val="24"/>
                <w:szCs w:val="24"/>
              </w:rPr>
            </w:pPr>
            <w:r>
              <w:rPr>
                <w:rFonts w:hint="eastAsia" w:ascii="宋体" w:hAnsi="宋体" w:eastAsia="宋体" w:cs="Times New Roman"/>
                <w:sz w:val="24"/>
                <w:szCs w:val="24"/>
              </w:rPr>
              <w:t>天津市西青区融媒体中心物业服务项目</w:t>
            </w:r>
          </w:p>
        </w:tc>
        <w:tc>
          <w:tcPr>
            <w:tcW w:w="665" w:type="pct"/>
            <w:vMerge w:val="restart"/>
            <w:noWrap w:val="0"/>
            <w:vAlign w:val="center"/>
          </w:tcPr>
          <w:p w14:paraId="5DC38E18">
            <w:pPr>
              <w:jc w:val="center"/>
              <w:rPr>
                <w:rFonts w:ascii="宋体" w:hAnsi="宋体" w:eastAsia="宋体" w:cs="Times New Roman"/>
                <w:sz w:val="24"/>
                <w:szCs w:val="24"/>
              </w:rPr>
            </w:pPr>
            <w:r>
              <w:rPr>
                <w:rFonts w:hint="eastAsia" w:ascii="宋体" w:hAnsi="宋体" w:eastAsia="宋体" w:cs="Times New Roman"/>
                <w:sz w:val="24"/>
                <w:szCs w:val="24"/>
              </w:rPr>
              <w:t>1</w:t>
            </w:r>
          </w:p>
        </w:tc>
        <w:tc>
          <w:tcPr>
            <w:tcW w:w="3190" w:type="pct"/>
            <w:noWrap w:val="0"/>
            <w:vAlign w:val="center"/>
          </w:tcPr>
          <w:p w14:paraId="770768E2">
            <w:pPr>
              <w:spacing w:after="120"/>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投标人须承诺所提供的服务、人员、设备及耗材等均符合相关强制性规定。</w:t>
            </w:r>
          </w:p>
        </w:tc>
      </w:tr>
      <w:tr w14:paraId="1E09D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vMerge w:val="continue"/>
            <w:noWrap w:val="0"/>
            <w:vAlign w:val="center"/>
          </w:tcPr>
          <w:p w14:paraId="42FAC63C">
            <w:pPr>
              <w:jc w:val="center"/>
              <w:rPr>
                <w:rFonts w:hint="eastAsia" w:ascii="宋体" w:hAnsi="宋体" w:eastAsia="宋体" w:cs="Times New Roman"/>
                <w:sz w:val="24"/>
                <w:szCs w:val="24"/>
              </w:rPr>
            </w:pPr>
          </w:p>
        </w:tc>
        <w:tc>
          <w:tcPr>
            <w:tcW w:w="667" w:type="pct"/>
            <w:vMerge w:val="continue"/>
            <w:noWrap w:val="0"/>
            <w:vAlign w:val="center"/>
          </w:tcPr>
          <w:p w14:paraId="1355E052">
            <w:pPr>
              <w:jc w:val="center"/>
              <w:rPr>
                <w:rFonts w:hint="eastAsia" w:ascii="宋体" w:hAnsi="宋体" w:eastAsia="宋体" w:cs="Times New Roman"/>
                <w:sz w:val="24"/>
                <w:szCs w:val="24"/>
              </w:rPr>
            </w:pPr>
          </w:p>
        </w:tc>
        <w:tc>
          <w:tcPr>
            <w:tcW w:w="665" w:type="pct"/>
            <w:vMerge w:val="continue"/>
            <w:noWrap w:val="0"/>
            <w:vAlign w:val="center"/>
          </w:tcPr>
          <w:p w14:paraId="3A2D4D20">
            <w:pPr>
              <w:jc w:val="center"/>
              <w:rPr>
                <w:rFonts w:ascii="宋体" w:hAnsi="宋体" w:eastAsia="宋体" w:cs="Times New Roman"/>
                <w:sz w:val="24"/>
                <w:szCs w:val="24"/>
              </w:rPr>
            </w:pPr>
          </w:p>
        </w:tc>
        <w:tc>
          <w:tcPr>
            <w:tcW w:w="3190" w:type="pct"/>
            <w:noWrap w:val="0"/>
            <w:vAlign w:val="center"/>
          </w:tcPr>
          <w:p w14:paraId="4A3FC6BF">
            <w:pPr>
              <w:spacing w:after="120"/>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投标人须承诺相应专业人员须具备国家相关部门颁发的在有效期内的资质证书，项目实施过程中保证持证上岗。</w:t>
            </w:r>
          </w:p>
        </w:tc>
      </w:tr>
      <w:tr w14:paraId="1ADE9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vMerge w:val="continue"/>
            <w:noWrap w:val="0"/>
            <w:vAlign w:val="center"/>
          </w:tcPr>
          <w:p w14:paraId="0E1F26C8">
            <w:pPr>
              <w:jc w:val="center"/>
              <w:rPr>
                <w:rFonts w:hint="eastAsia" w:ascii="宋体" w:hAnsi="宋体" w:eastAsia="宋体" w:cs="Times New Roman"/>
                <w:sz w:val="24"/>
                <w:szCs w:val="24"/>
              </w:rPr>
            </w:pPr>
          </w:p>
        </w:tc>
        <w:tc>
          <w:tcPr>
            <w:tcW w:w="667" w:type="pct"/>
            <w:vMerge w:val="continue"/>
            <w:noWrap w:val="0"/>
            <w:vAlign w:val="center"/>
          </w:tcPr>
          <w:p w14:paraId="7AE9E2C5">
            <w:pPr>
              <w:jc w:val="center"/>
              <w:rPr>
                <w:rFonts w:hint="eastAsia" w:ascii="宋体" w:hAnsi="宋体" w:eastAsia="宋体" w:cs="Times New Roman"/>
                <w:sz w:val="24"/>
                <w:szCs w:val="24"/>
              </w:rPr>
            </w:pPr>
          </w:p>
        </w:tc>
        <w:tc>
          <w:tcPr>
            <w:tcW w:w="665" w:type="pct"/>
            <w:vMerge w:val="continue"/>
            <w:noWrap w:val="0"/>
            <w:vAlign w:val="center"/>
          </w:tcPr>
          <w:p w14:paraId="3C41F67F">
            <w:pPr>
              <w:jc w:val="center"/>
              <w:rPr>
                <w:rFonts w:ascii="宋体" w:hAnsi="宋体" w:eastAsia="宋体" w:cs="Times New Roman"/>
                <w:sz w:val="24"/>
                <w:szCs w:val="24"/>
              </w:rPr>
            </w:pPr>
          </w:p>
        </w:tc>
        <w:tc>
          <w:tcPr>
            <w:tcW w:w="3190" w:type="pct"/>
            <w:noWrap w:val="0"/>
            <w:vAlign w:val="center"/>
          </w:tcPr>
          <w:p w14:paraId="6C1543A9">
            <w:pPr>
              <w:spacing w:after="120"/>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投标人应根据本企业的成本自行决定报价，但不得以低于其企业成本的报价投标；投标人的投标报价，应是本项目采购范围和招标文件及合同条款上所列的各项内容中所述的全部，不得以任何理由予以重复。</w:t>
            </w:r>
          </w:p>
        </w:tc>
      </w:tr>
      <w:tr w14:paraId="22637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vMerge w:val="continue"/>
            <w:noWrap w:val="0"/>
            <w:vAlign w:val="center"/>
          </w:tcPr>
          <w:p w14:paraId="73E42DFC">
            <w:pPr>
              <w:jc w:val="center"/>
              <w:rPr>
                <w:rFonts w:hint="eastAsia" w:ascii="宋体" w:hAnsi="宋体" w:eastAsia="宋体" w:cs="Times New Roman"/>
                <w:sz w:val="24"/>
                <w:szCs w:val="24"/>
              </w:rPr>
            </w:pPr>
          </w:p>
        </w:tc>
        <w:tc>
          <w:tcPr>
            <w:tcW w:w="667" w:type="pct"/>
            <w:vMerge w:val="continue"/>
            <w:noWrap w:val="0"/>
            <w:vAlign w:val="center"/>
          </w:tcPr>
          <w:p w14:paraId="11C1F272">
            <w:pPr>
              <w:jc w:val="center"/>
              <w:rPr>
                <w:rFonts w:hint="eastAsia" w:ascii="宋体" w:hAnsi="宋体" w:eastAsia="宋体" w:cs="Times New Roman"/>
                <w:sz w:val="24"/>
                <w:szCs w:val="24"/>
              </w:rPr>
            </w:pPr>
          </w:p>
        </w:tc>
        <w:tc>
          <w:tcPr>
            <w:tcW w:w="665" w:type="pct"/>
            <w:vMerge w:val="continue"/>
            <w:noWrap w:val="0"/>
            <w:vAlign w:val="center"/>
          </w:tcPr>
          <w:p w14:paraId="55633C66">
            <w:pPr>
              <w:jc w:val="center"/>
              <w:rPr>
                <w:rFonts w:ascii="宋体" w:hAnsi="宋体" w:eastAsia="宋体" w:cs="Times New Roman"/>
                <w:sz w:val="24"/>
                <w:szCs w:val="24"/>
              </w:rPr>
            </w:pPr>
          </w:p>
        </w:tc>
        <w:tc>
          <w:tcPr>
            <w:tcW w:w="3190" w:type="pct"/>
            <w:noWrap w:val="0"/>
            <w:vAlign w:val="center"/>
          </w:tcPr>
          <w:p w14:paraId="3906F9CB">
            <w:pPr>
              <w:spacing w:after="120"/>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tc>
      </w:tr>
    </w:tbl>
    <w:p w14:paraId="51AAC5F4">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2、一般技术需求</w:t>
      </w:r>
    </w:p>
    <w:tbl>
      <w:tblPr>
        <w:tblStyle w:val="48"/>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123"/>
        <w:gridCol w:w="1134"/>
        <w:gridCol w:w="5483"/>
      </w:tblGrid>
      <w:tr w14:paraId="0B779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D56F97F">
            <w:pPr>
              <w:jc w:val="center"/>
              <w:rPr>
                <w:rFonts w:ascii="宋体" w:hAnsi="宋体" w:eastAsia="宋体" w:cs="Times New Roman"/>
                <w:sz w:val="24"/>
                <w:szCs w:val="24"/>
              </w:rPr>
            </w:pPr>
            <w:r>
              <w:rPr>
                <w:rFonts w:hint="eastAsia" w:ascii="宋体" w:hAnsi="宋体" w:eastAsia="宋体" w:cs="Times New Roman"/>
                <w:sz w:val="24"/>
                <w:szCs w:val="24"/>
              </w:rPr>
              <w:t>序号</w:t>
            </w:r>
          </w:p>
        </w:tc>
        <w:tc>
          <w:tcPr>
            <w:tcW w:w="1123" w:type="dxa"/>
            <w:noWrap w:val="0"/>
            <w:vAlign w:val="center"/>
          </w:tcPr>
          <w:p w14:paraId="04900C5A">
            <w:pPr>
              <w:jc w:val="center"/>
              <w:rPr>
                <w:rFonts w:ascii="宋体" w:hAnsi="宋体" w:eastAsia="宋体" w:cs="Times New Roman"/>
                <w:sz w:val="24"/>
                <w:szCs w:val="24"/>
              </w:rPr>
            </w:pPr>
            <w:r>
              <w:rPr>
                <w:rFonts w:hint="eastAsia" w:ascii="宋体" w:hAnsi="宋体" w:eastAsia="宋体" w:cs="Times New Roman"/>
                <w:sz w:val="24"/>
                <w:szCs w:val="24"/>
              </w:rPr>
              <w:t>采购项名称</w:t>
            </w:r>
          </w:p>
        </w:tc>
        <w:tc>
          <w:tcPr>
            <w:tcW w:w="1134" w:type="dxa"/>
            <w:noWrap w:val="0"/>
            <w:vAlign w:val="center"/>
          </w:tcPr>
          <w:p w14:paraId="034D5AE9">
            <w:pPr>
              <w:jc w:val="center"/>
              <w:rPr>
                <w:rFonts w:hint="eastAsia" w:ascii="宋体" w:hAnsi="宋体" w:eastAsia="宋体" w:cs="Times New Roman"/>
                <w:sz w:val="24"/>
                <w:szCs w:val="24"/>
              </w:rPr>
            </w:pPr>
            <w:r>
              <w:rPr>
                <w:rFonts w:hint="eastAsia" w:ascii="宋体" w:hAnsi="宋体" w:eastAsia="宋体" w:cs="Times New Roman"/>
                <w:sz w:val="24"/>
                <w:szCs w:val="24"/>
              </w:rPr>
              <w:t>数量和单位</w:t>
            </w:r>
          </w:p>
        </w:tc>
        <w:tc>
          <w:tcPr>
            <w:tcW w:w="5483" w:type="dxa"/>
            <w:noWrap w:val="0"/>
            <w:vAlign w:val="center"/>
          </w:tcPr>
          <w:p w14:paraId="0334641C">
            <w:pPr>
              <w:jc w:val="center"/>
              <w:rPr>
                <w:rFonts w:ascii="宋体" w:hAnsi="宋体" w:eastAsia="宋体" w:cs="Times New Roman"/>
                <w:sz w:val="24"/>
                <w:szCs w:val="24"/>
              </w:rPr>
            </w:pPr>
            <w:r>
              <w:rPr>
                <w:rFonts w:hint="eastAsia" w:ascii="宋体" w:hAnsi="宋体" w:eastAsia="宋体" w:cs="Times New Roman"/>
                <w:sz w:val="24"/>
                <w:szCs w:val="24"/>
              </w:rPr>
              <w:t>需求条款</w:t>
            </w:r>
          </w:p>
        </w:tc>
      </w:tr>
      <w:tr w14:paraId="47759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DF64F3B">
            <w:pPr>
              <w:jc w:val="center"/>
              <w:rPr>
                <w:rFonts w:hint="eastAsia" w:ascii="宋体" w:hAnsi="宋体" w:eastAsia="宋体" w:cs="Times New Roman"/>
                <w:sz w:val="24"/>
                <w:szCs w:val="24"/>
              </w:rPr>
            </w:pPr>
            <w:r>
              <w:rPr>
                <w:rFonts w:ascii="宋体" w:hAnsi="宋体" w:eastAsia="宋体" w:cs="Times New Roman"/>
                <w:sz w:val="24"/>
                <w:szCs w:val="24"/>
              </w:rPr>
              <w:t>1</w:t>
            </w:r>
          </w:p>
        </w:tc>
        <w:tc>
          <w:tcPr>
            <w:tcW w:w="1123" w:type="dxa"/>
            <w:noWrap w:val="0"/>
            <w:vAlign w:val="center"/>
          </w:tcPr>
          <w:p w14:paraId="5756A461">
            <w:pPr>
              <w:jc w:val="center"/>
              <w:rPr>
                <w:rFonts w:hint="eastAsia" w:ascii="宋体" w:hAnsi="宋体" w:eastAsia="宋体" w:cs="Times New Roman"/>
                <w:sz w:val="24"/>
                <w:szCs w:val="24"/>
              </w:rPr>
            </w:pPr>
            <w:r>
              <w:rPr>
                <w:rFonts w:hint="eastAsia" w:ascii="宋体" w:hAnsi="宋体" w:eastAsia="宋体" w:cs="Times New Roman"/>
                <w:sz w:val="24"/>
                <w:szCs w:val="24"/>
              </w:rPr>
              <w:t>岗位需要</w:t>
            </w:r>
          </w:p>
        </w:tc>
        <w:tc>
          <w:tcPr>
            <w:tcW w:w="1134" w:type="dxa"/>
            <w:noWrap w:val="0"/>
            <w:vAlign w:val="center"/>
          </w:tcPr>
          <w:p w14:paraId="642AE7AD">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3216AA53">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一、项目介绍</w:t>
            </w:r>
          </w:p>
          <w:p w14:paraId="0A1185C7">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需提供建筑面积10633平方米的机关办公</w:t>
            </w:r>
            <w:r>
              <w:rPr>
                <w:rFonts w:hint="eastAsia" w:ascii="Times New Roman" w:hAnsi="Times New Roman" w:eastAsia="宋体" w:cs="Times New Roman"/>
                <w:szCs w:val="24"/>
                <w:lang w:val="en-US" w:eastAsia="zh-CN"/>
              </w:rPr>
              <w:t>大楼</w:t>
            </w:r>
            <w:r>
              <w:rPr>
                <w:rFonts w:hint="eastAsia" w:ascii="Times New Roman" w:hAnsi="Times New Roman" w:eastAsia="宋体" w:cs="Times New Roman"/>
                <w:szCs w:val="24"/>
              </w:rPr>
              <w:t>的物业服务及</w:t>
            </w:r>
            <w:r>
              <w:rPr>
                <w:rFonts w:ascii="Times New Roman" w:hAnsi="Times New Roman" w:eastAsia="宋体" w:cs="Times New Roman"/>
                <w:szCs w:val="24"/>
              </w:rPr>
              <w:t>88</w:t>
            </w:r>
            <w:r>
              <w:rPr>
                <w:rFonts w:hint="eastAsia" w:ascii="Times New Roman" w:hAnsi="Times New Roman" w:eastAsia="宋体" w:cs="Times New Roman"/>
                <w:szCs w:val="24"/>
              </w:rPr>
              <w:t>人的餐饮服务。</w:t>
            </w:r>
          </w:p>
          <w:p w14:paraId="75F8EFB0">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二、服务需求</w:t>
            </w:r>
          </w:p>
          <w:p w14:paraId="51C96387">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物业服务公司需针对本项目组建专门的服务队伍，拟设立一个综合办公室和四个服务部门，全员共计27名，具体为：</w:t>
            </w:r>
          </w:p>
          <w:p w14:paraId="24D3A840">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1.综合办公室：项目经理1名。</w:t>
            </w:r>
          </w:p>
          <w:p w14:paraId="1F3EF947">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2.保洁部：保洁员4名。</w:t>
            </w:r>
          </w:p>
          <w:p w14:paraId="507A4B13">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3.工程部：维修主管1名、变电室运行电工6名（兼电气设备日常维修，每班2人，24小时值班，需持证上岗），共7人。</w:t>
            </w:r>
          </w:p>
          <w:p w14:paraId="6488BF34">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4.秩序维护部：大门岗4名；消防控制室值班员6人（每班2人，24小时值班，需持证上岗），共10人。</w:t>
            </w:r>
          </w:p>
          <w:p w14:paraId="453276F1">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Times New Roman" w:hAnsi="Times New Roman" w:eastAsia="宋体" w:cs="Times New Roman"/>
                <w:szCs w:val="24"/>
              </w:rPr>
              <w:t>5.餐饮部：餐厅主管兼厨师1名、厨师1名、面点工1名、特色小吃及冷荤厨师1名、粗加工兼洗碗工1名，共5人。</w:t>
            </w:r>
          </w:p>
        </w:tc>
      </w:tr>
      <w:tr w14:paraId="11516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FBA479E">
            <w:pPr>
              <w:jc w:val="center"/>
              <w:rPr>
                <w:rFonts w:ascii="宋体" w:hAnsi="宋体" w:eastAsia="宋体" w:cs="Times New Roman"/>
                <w:sz w:val="24"/>
                <w:szCs w:val="24"/>
              </w:rPr>
            </w:pPr>
            <w:r>
              <w:rPr>
                <w:rFonts w:hint="eastAsia" w:ascii="宋体" w:hAnsi="宋体" w:eastAsia="宋体" w:cs="Times New Roman"/>
                <w:sz w:val="24"/>
                <w:szCs w:val="24"/>
              </w:rPr>
              <w:t>2</w:t>
            </w:r>
          </w:p>
        </w:tc>
        <w:tc>
          <w:tcPr>
            <w:tcW w:w="1123" w:type="dxa"/>
            <w:noWrap w:val="0"/>
            <w:vAlign w:val="center"/>
          </w:tcPr>
          <w:p w14:paraId="3AD95C4F">
            <w:pPr>
              <w:jc w:val="center"/>
              <w:rPr>
                <w:rFonts w:hint="eastAsia" w:ascii="宋体" w:hAnsi="宋体" w:eastAsia="宋体" w:cs="Times New Roman"/>
                <w:sz w:val="24"/>
                <w:szCs w:val="24"/>
              </w:rPr>
            </w:pPr>
            <w:r>
              <w:rPr>
                <w:rFonts w:hint="eastAsia" w:ascii="宋体" w:hAnsi="宋体" w:eastAsia="宋体" w:cs="Times New Roman"/>
                <w:sz w:val="24"/>
                <w:szCs w:val="24"/>
              </w:rPr>
              <w:t>综合办公室</w:t>
            </w:r>
          </w:p>
        </w:tc>
        <w:tc>
          <w:tcPr>
            <w:tcW w:w="1134" w:type="dxa"/>
            <w:noWrap w:val="0"/>
            <w:vAlign w:val="center"/>
          </w:tcPr>
          <w:p w14:paraId="084EA2C9">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21516B86">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服务内容</w:t>
            </w:r>
          </w:p>
          <w:p w14:paraId="1075DE35">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对本项目日常工作全权负责。</w:t>
            </w:r>
          </w:p>
          <w:p w14:paraId="26EE18BB">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负责贯彻和实施公司及上级部门的各项指令和有关规定。</w:t>
            </w:r>
          </w:p>
          <w:p w14:paraId="1D7F8011">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负责各岗位员工的管理、培训并组织完成绩效考核。</w:t>
            </w:r>
          </w:p>
          <w:p w14:paraId="3203036E">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定期主持召开例会，掌握员工思想动态，常与员工沟通，增强集体凝聚力。</w:t>
            </w:r>
          </w:p>
          <w:p w14:paraId="5BF78A82">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熟悉项目情况，与采购人保持密切联系，及时处理采购人诉求意见。</w:t>
            </w:r>
          </w:p>
          <w:p w14:paraId="11A00940">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对处理不了的问题及时向上级领导汇报，避免事态扩大。</w:t>
            </w:r>
          </w:p>
          <w:p w14:paraId="23F266DA">
            <w:pPr>
              <w:widowControl w:val="0"/>
              <w:numPr>
                <w:ilvl w:val="0"/>
                <w:numId w:val="6"/>
              </w:numPr>
              <w:tabs>
                <w:tab w:val="left" w:pos="1134"/>
              </w:tabs>
              <w:autoSpaceDE w:val="0"/>
              <w:autoSpaceDN w:val="0"/>
              <w:adjustRightInd w:val="0"/>
              <w:spacing w:line="560" w:lineRule="exact"/>
              <w:ind w:left="0" w:firstLine="48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依据项目实际情况定期向采购人提出优化、提升物业管理服务建议。</w:t>
            </w:r>
          </w:p>
          <w:p w14:paraId="0EAE42A7">
            <w:pPr>
              <w:widowControl w:val="0"/>
              <w:numPr>
                <w:ilvl w:val="0"/>
                <w:numId w:val="6"/>
              </w:numPr>
              <w:tabs>
                <w:tab w:val="left" w:pos="1134"/>
              </w:tabs>
              <w:autoSpaceDE w:val="0"/>
              <w:autoSpaceDN w:val="0"/>
              <w:adjustRightInd w:val="0"/>
              <w:spacing w:line="560" w:lineRule="exact"/>
              <w:ind w:left="0" w:firstLine="480" w:firstLineChars="0"/>
              <w:jc w:val="both"/>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认真完成公司和采购人交办的其他工作。</w:t>
            </w:r>
          </w:p>
        </w:tc>
      </w:tr>
      <w:tr w14:paraId="2D53A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BCE2BAC">
            <w:pPr>
              <w:jc w:val="center"/>
              <w:rPr>
                <w:rFonts w:hint="eastAsia" w:ascii="宋体" w:hAnsi="宋体" w:eastAsia="宋体" w:cs="Times New Roman"/>
                <w:sz w:val="24"/>
                <w:szCs w:val="24"/>
              </w:rPr>
            </w:pPr>
            <w:r>
              <w:rPr>
                <w:rFonts w:ascii="宋体" w:hAnsi="宋体" w:eastAsia="宋体" w:cs="Times New Roman"/>
                <w:sz w:val="24"/>
                <w:szCs w:val="24"/>
              </w:rPr>
              <w:t>3</w:t>
            </w:r>
          </w:p>
        </w:tc>
        <w:tc>
          <w:tcPr>
            <w:tcW w:w="1123" w:type="dxa"/>
            <w:noWrap w:val="0"/>
            <w:vAlign w:val="center"/>
          </w:tcPr>
          <w:p w14:paraId="3F673518">
            <w:pPr>
              <w:jc w:val="center"/>
              <w:rPr>
                <w:rFonts w:hint="eastAsia" w:ascii="宋体" w:hAnsi="宋体" w:eastAsia="宋体" w:cs="Times New Roman"/>
                <w:sz w:val="24"/>
                <w:szCs w:val="24"/>
              </w:rPr>
            </w:pPr>
            <w:r>
              <w:rPr>
                <w:rFonts w:hint="eastAsia" w:ascii="宋体" w:hAnsi="宋体" w:eastAsia="宋体" w:cs="Times New Roman"/>
                <w:sz w:val="24"/>
                <w:szCs w:val="24"/>
              </w:rPr>
              <w:t>清洁保洁服务</w:t>
            </w:r>
          </w:p>
        </w:tc>
        <w:tc>
          <w:tcPr>
            <w:tcW w:w="1134" w:type="dxa"/>
            <w:noWrap w:val="0"/>
            <w:vAlign w:val="center"/>
          </w:tcPr>
          <w:p w14:paraId="715BA510">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4F7DBA4F">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1</w:t>
            </w:r>
            <w:r>
              <w:rPr>
                <w:rFonts w:ascii="Times New Roman" w:hAnsi="Times New Roman" w:eastAsia="宋体" w:cs="Times New Roman"/>
                <w:szCs w:val="24"/>
              </w:rPr>
              <w:t>.</w:t>
            </w:r>
            <w:r>
              <w:rPr>
                <w:rFonts w:hint="eastAsia" w:ascii="Times New Roman" w:hAnsi="Times New Roman" w:eastAsia="宋体" w:cs="Times New Roman"/>
                <w:szCs w:val="24"/>
              </w:rPr>
              <w:t>服务内容</w:t>
            </w:r>
          </w:p>
          <w:p w14:paraId="59E93A0E">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（1）日常清洁服务：负责项目门厅、大堂、前台、楼道、会议室、卫生间、茶水间等清洁消毒工作。</w:t>
            </w:r>
          </w:p>
          <w:p w14:paraId="5A81E9AC">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（2）日常垃圾收集并运送到项目垃圾站集中存放，配合环卫部门清运。</w:t>
            </w:r>
          </w:p>
          <w:p w14:paraId="04A8D663">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（3）消杀服务。</w:t>
            </w:r>
          </w:p>
          <w:p w14:paraId="18CD8D74">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（4）外围或停车场卫生清洁。</w:t>
            </w:r>
          </w:p>
          <w:p w14:paraId="5950CAFA">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（5）特殊天气处置（雨雪等）。</w:t>
            </w:r>
          </w:p>
          <w:p w14:paraId="03AC9668">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（6）做好垃圾分类投放、控烟等相关工作。</w:t>
            </w:r>
          </w:p>
          <w:p w14:paraId="2DC4CA5A">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2</w:t>
            </w:r>
            <w:r>
              <w:rPr>
                <w:rFonts w:ascii="Times New Roman" w:hAnsi="Times New Roman" w:eastAsia="宋体" w:cs="Times New Roman"/>
                <w:szCs w:val="24"/>
              </w:rPr>
              <w:t>.</w:t>
            </w:r>
            <w:r>
              <w:rPr>
                <w:rFonts w:hint="eastAsia" w:ascii="Times New Roman" w:hAnsi="Times New Roman" w:eastAsia="宋体" w:cs="Times New Roman"/>
                <w:szCs w:val="24"/>
              </w:rPr>
              <w:t>服务标准</w:t>
            </w:r>
          </w:p>
          <w:p w14:paraId="761A1276">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w:t>
            </w:r>
            <w:r>
              <w:rPr>
                <w:rFonts w:ascii="Times New Roman" w:hAnsi="Times New Roman" w:eastAsia="宋体" w:cs="Times New Roman"/>
                <w:szCs w:val="24"/>
              </w:rPr>
              <w:t>1</w:t>
            </w:r>
            <w:r>
              <w:rPr>
                <w:rFonts w:hint="eastAsia" w:ascii="Times New Roman" w:hAnsi="Times New Roman" w:eastAsia="宋体" w:cs="Times New Roman"/>
                <w:szCs w:val="24"/>
              </w:rPr>
              <w:t>）公共区域</w:t>
            </w:r>
          </w:p>
          <w:p w14:paraId="1A59F2B1">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①地面光亮无水迹、污迹，无尘物。</w:t>
            </w:r>
          </w:p>
          <w:p w14:paraId="0526640B">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②楼梯、走廊、指示牌、门牌、墙壁、柱子、顶板无尘和无污物。</w:t>
            </w:r>
          </w:p>
          <w:p w14:paraId="0B60BE71">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③垃圾桶内垃圾及时清理，并摆放整齐，外观干净。</w:t>
            </w:r>
          </w:p>
          <w:p w14:paraId="46147131">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④厅堂内无蚊蝇。</w:t>
            </w:r>
          </w:p>
          <w:p w14:paraId="71C2AD3F">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⑤大厅入口地台、梯级、墙壁表面、所有玻璃门窗及设施无尘土，无污迹。</w:t>
            </w:r>
          </w:p>
          <w:p w14:paraId="0BB8FB23">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⑥大厅天花板无尘埃。</w:t>
            </w:r>
          </w:p>
          <w:p w14:paraId="5D5958A6">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⑦无鼠害、蚊蝇、蟑螂。</w:t>
            </w:r>
          </w:p>
          <w:p w14:paraId="0AA7792A">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⑧及时填写清洁巡视记录。</w:t>
            </w:r>
          </w:p>
          <w:p w14:paraId="3AFBB52C">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w:t>
            </w:r>
            <w:r>
              <w:rPr>
                <w:rFonts w:ascii="Times New Roman" w:hAnsi="Times New Roman" w:eastAsia="宋体" w:cs="Times New Roman"/>
                <w:szCs w:val="24"/>
              </w:rPr>
              <w:t>2</w:t>
            </w:r>
            <w:r>
              <w:rPr>
                <w:rFonts w:hint="eastAsia" w:ascii="Times New Roman" w:hAnsi="Times New Roman" w:eastAsia="宋体" w:cs="Times New Roman"/>
                <w:szCs w:val="24"/>
              </w:rPr>
              <w:t>）卫生间</w:t>
            </w:r>
          </w:p>
          <w:p w14:paraId="2DF38C9E">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①门、窗、天花板、墙壁、隔板无尘物、无污迹。</w:t>
            </w:r>
          </w:p>
          <w:p w14:paraId="2601D909">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②玻璃、镜面明亮无水迹。</w:t>
            </w:r>
          </w:p>
          <w:p w14:paraId="27951C4C">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③地面墙角无尘、无污迹、无杂物、无蛛网、无水迹。</w:t>
            </w:r>
          </w:p>
          <w:p w14:paraId="468DA8CA">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④地面、水龙头、弯管、马桶座及盖、水箱等无污迹、无污物，电镀件明亮。</w:t>
            </w:r>
          </w:p>
          <w:p w14:paraId="55792024">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⑤便池无尘、无污迹、无杂物，小便池内放置香精球，并及时更换。</w:t>
            </w:r>
          </w:p>
          <w:p w14:paraId="24BBE319">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⑥纸篓内垃圾及时清理。</w:t>
            </w:r>
          </w:p>
          <w:p w14:paraId="2337CB2F">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⑦设备（烘手器、灯、开关、暖气、通风口、门锁等）无尘、无污迹。</w:t>
            </w:r>
          </w:p>
          <w:p w14:paraId="69866A9C">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⑧空气清新、无异味，及时补充客用品</w:t>
            </w:r>
            <w:r>
              <w:rPr>
                <w:rFonts w:ascii="Times New Roman" w:hAnsi="Times New Roman" w:eastAsia="宋体" w:cs="Times New Roman"/>
                <w:szCs w:val="24"/>
              </w:rPr>
              <w:t xml:space="preserve"> (</w:t>
            </w:r>
            <w:r>
              <w:rPr>
                <w:rFonts w:hint="eastAsia" w:ascii="Times New Roman" w:hAnsi="Times New Roman" w:eastAsia="宋体" w:cs="Times New Roman"/>
                <w:szCs w:val="24"/>
              </w:rPr>
              <w:t>洗手液、擦手纸、卷纸等）。</w:t>
            </w:r>
          </w:p>
          <w:p w14:paraId="3CE4AA88">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⑨墩布间干净、整洁、无杂物，物品码放整齐，不囤积。</w:t>
            </w:r>
          </w:p>
          <w:p w14:paraId="2E2B4784">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⑩门把手、水龙头、门窗、洗手池、便池随时保持清洁，抹布、拖把明确标记，严格区分，不得混用，每次使用后冲洗消毒。</w:t>
            </w:r>
          </w:p>
          <w:p w14:paraId="6F334A21">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w:t>
            </w:r>
            <w:r>
              <w:rPr>
                <w:rFonts w:ascii="Times New Roman" w:hAnsi="Times New Roman" w:eastAsia="宋体" w:cs="Times New Roman"/>
                <w:szCs w:val="24"/>
              </w:rPr>
              <w:t>3</w:t>
            </w:r>
            <w:r>
              <w:rPr>
                <w:rFonts w:hint="eastAsia" w:ascii="Times New Roman" w:hAnsi="Times New Roman" w:eastAsia="宋体" w:cs="Times New Roman"/>
                <w:szCs w:val="24"/>
              </w:rPr>
              <w:t>）楼梯及楼梯间</w:t>
            </w:r>
          </w:p>
          <w:p w14:paraId="593C0548">
            <w:pPr>
              <w:widowControl w:val="0"/>
              <w:numPr>
                <w:ilvl w:val="0"/>
                <w:numId w:val="7"/>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台阶地面无污渍、无灰尘、无杂物、表面干净。</w:t>
            </w:r>
          </w:p>
          <w:p w14:paraId="772CBE2C">
            <w:pPr>
              <w:widowControl w:val="0"/>
              <w:numPr>
                <w:ilvl w:val="0"/>
                <w:numId w:val="7"/>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墙面无污渍、无灰尘、无杂物、无蜘蛛网。</w:t>
            </w:r>
          </w:p>
          <w:p w14:paraId="23473115">
            <w:pPr>
              <w:widowControl w:val="0"/>
              <w:numPr>
                <w:ilvl w:val="0"/>
                <w:numId w:val="7"/>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门窗无污渍、无灰尘、无杂物。</w:t>
            </w:r>
          </w:p>
          <w:p w14:paraId="7F3A6E9E">
            <w:pPr>
              <w:widowControl w:val="0"/>
              <w:numPr>
                <w:ilvl w:val="0"/>
                <w:numId w:val="7"/>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指示牌无污渍、无灰尘、表面光亮。</w:t>
            </w:r>
          </w:p>
          <w:p w14:paraId="63EAE305">
            <w:pPr>
              <w:widowControl w:val="0"/>
              <w:numPr>
                <w:ilvl w:val="0"/>
                <w:numId w:val="7"/>
              </w:numPr>
              <w:tabs>
                <w:tab w:val="left" w:pos="210"/>
              </w:tabs>
              <w:autoSpaceDE w:val="0"/>
              <w:autoSpaceDN w:val="0"/>
              <w:adjustRightInd w:val="0"/>
              <w:spacing w:line="560" w:lineRule="exact"/>
              <w:ind w:left="780" w:hanging="360" w:firstLineChars="0"/>
              <w:jc w:val="both"/>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扶手无污渍、无灰尘、表面干净。</w:t>
            </w:r>
          </w:p>
          <w:p w14:paraId="162BB238">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（4）会议室、活动室、接待室</w:t>
            </w:r>
          </w:p>
          <w:p w14:paraId="0F84C8A4">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地面无污渍、无灰尘、无杂物、表面光亮。</w:t>
            </w:r>
          </w:p>
          <w:p w14:paraId="187C836E">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墙面无污渍、无灰尘、无杂物、无蜘蛛网。</w:t>
            </w:r>
          </w:p>
          <w:p w14:paraId="73BDF64A">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桌椅无污渍、无灰尘、无杂物、无水渍。</w:t>
            </w:r>
          </w:p>
          <w:p w14:paraId="09C38B80">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门窗无污渍、无灰尘、无杂物。</w:t>
            </w:r>
          </w:p>
          <w:p w14:paraId="5C533CD9">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天花板无污渍、无灰尘、无蜘蛛网。</w:t>
            </w:r>
          </w:p>
          <w:p w14:paraId="3EC79E90">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办公家具摆设整齐，无污渍、无灰尘、表面清洁。</w:t>
            </w:r>
          </w:p>
          <w:p w14:paraId="06524A66">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垃圾桶无污渍、无灰尘、无异味。</w:t>
            </w:r>
          </w:p>
          <w:p w14:paraId="1DF3A4FB">
            <w:pPr>
              <w:widowControl w:val="0"/>
              <w:numPr>
                <w:ilvl w:val="0"/>
                <w:numId w:val="8"/>
              </w:numPr>
              <w:tabs>
                <w:tab w:val="left" w:pos="210"/>
              </w:tabs>
              <w:autoSpaceDE w:val="0"/>
              <w:autoSpaceDN w:val="0"/>
              <w:adjustRightInd w:val="0"/>
              <w:spacing w:line="560" w:lineRule="exact"/>
              <w:ind w:left="780" w:hanging="360" w:firstLineChars="0"/>
              <w:jc w:val="both"/>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整体环境室内空气清新、无蟑螂、蚊蝇。</w:t>
            </w:r>
          </w:p>
          <w:p w14:paraId="373F887A">
            <w:pPr>
              <w:tabs>
                <w:tab w:val="left" w:pos="210"/>
              </w:tabs>
              <w:autoSpaceDE w:val="0"/>
              <w:autoSpaceDN w:val="0"/>
              <w:adjustRightInd w:val="0"/>
              <w:spacing w:line="560" w:lineRule="exact"/>
              <w:ind w:left="420"/>
              <w:rPr>
                <w:rFonts w:ascii="Times New Roman" w:hAnsi="Times New Roman" w:eastAsia="宋体" w:cs="Times New Roman"/>
                <w:szCs w:val="24"/>
              </w:rPr>
            </w:pPr>
            <w:r>
              <w:rPr>
                <w:rFonts w:hint="eastAsia" w:ascii="Times New Roman" w:hAnsi="Times New Roman" w:eastAsia="宋体" w:cs="Times New Roman"/>
                <w:szCs w:val="24"/>
              </w:rPr>
              <w:t>（5）庭院、外场保洁</w:t>
            </w:r>
          </w:p>
          <w:p w14:paraId="369674AF">
            <w:pPr>
              <w:tabs>
                <w:tab w:val="left" w:pos="210"/>
              </w:tabs>
              <w:autoSpaceDE w:val="0"/>
              <w:autoSpaceDN w:val="0"/>
              <w:adjustRightInd w:val="0"/>
              <w:spacing w:line="560" w:lineRule="exact"/>
              <w:ind w:firstLine="480"/>
              <w:rPr>
                <w:rFonts w:ascii="Times New Roman" w:hAnsi="Times New Roman" w:eastAsia="宋体" w:cs="Times New Roman"/>
                <w:szCs w:val="24"/>
              </w:rPr>
            </w:pPr>
            <w:bookmarkStart w:id="8" w:name="_Hlk86678227"/>
            <w:r>
              <w:rPr>
                <w:rFonts w:hint="eastAsia" w:ascii="Times New Roman" w:hAnsi="Times New Roman" w:eastAsia="宋体" w:cs="Times New Roman"/>
                <w:szCs w:val="24"/>
              </w:rPr>
              <w:t>①</w:t>
            </w:r>
            <w:bookmarkEnd w:id="8"/>
            <w:r>
              <w:rPr>
                <w:rFonts w:hint="eastAsia" w:ascii="Times New Roman" w:hAnsi="Times New Roman" w:eastAsia="宋体" w:cs="Times New Roman"/>
                <w:szCs w:val="24"/>
              </w:rPr>
              <w:t>庭院、广场地面清洁无废弃物。</w:t>
            </w:r>
          </w:p>
          <w:p w14:paraId="642B9434">
            <w:pPr>
              <w:tabs>
                <w:tab w:val="left" w:pos="210"/>
              </w:tabs>
              <w:autoSpaceDE w:val="0"/>
              <w:autoSpaceDN w:val="0"/>
              <w:adjustRightInd w:val="0"/>
              <w:spacing w:line="560" w:lineRule="exact"/>
              <w:ind w:firstLine="480"/>
              <w:rPr>
                <w:rFonts w:ascii="Times New Roman" w:hAnsi="Times New Roman" w:eastAsia="宋体" w:cs="Times New Roman"/>
                <w:szCs w:val="24"/>
              </w:rPr>
            </w:pPr>
            <w:bookmarkStart w:id="9" w:name="_Hlk86678234"/>
            <w:r>
              <w:rPr>
                <w:rFonts w:hint="eastAsia" w:ascii="Times New Roman" w:hAnsi="Times New Roman" w:eastAsia="宋体" w:cs="Times New Roman"/>
                <w:szCs w:val="24"/>
              </w:rPr>
              <w:t>②</w:t>
            </w:r>
            <w:bookmarkEnd w:id="9"/>
            <w:r>
              <w:rPr>
                <w:rFonts w:hint="eastAsia" w:ascii="Times New Roman" w:hAnsi="Times New Roman" w:eastAsia="宋体" w:cs="Times New Roman"/>
                <w:szCs w:val="24"/>
              </w:rPr>
              <w:t>保洁重点是烟头、废纸、杂物等，随时捡拾入桶。</w:t>
            </w:r>
          </w:p>
          <w:p w14:paraId="35B12882">
            <w:pPr>
              <w:tabs>
                <w:tab w:val="left" w:pos="210"/>
              </w:tabs>
              <w:autoSpaceDE w:val="0"/>
              <w:autoSpaceDN w:val="0"/>
              <w:adjustRightInd w:val="0"/>
              <w:spacing w:line="560" w:lineRule="exact"/>
              <w:ind w:firstLine="480"/>
              <w:rPr>
                <w:rFonts w:ascii="Times New Roman" w:hAnsi="Times New Roman" w:eastAsia="宋体" w:cs="Times New Roman"/>
                <w:szCs w:val="24"/>
              </w:rPr>
            </w:pPr>
            <w:r>
              <w:rPr>
                <w:rFonts w:hint="eastAsia" w:ascii="Times New Roman" w:hAnsi="Times New Roman" w:eastAsia="宋体" w:cs="Times New Roman"/>
                <w:szCs w:val="24"/>
              </w:rPr>
              <w:t>③收集并运送到项目垃圾站集中存放，配合环卫部门清运；垃圾站消毒，无蚊蝇滋生。</w:t>
            </w:r>
          </w:p>
          <w:p w14:paraId="316A9EBF">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hint="eastAsia" w:ascii="Times New Roman" w:hAnsi="Times New Roman" w:eastAsia="宋体" w:cs="Times New Roman"/>
                <w:szCs w:val="24"/>
              </w:rPr>
              <w:t>④清扫及时，夏季清除积水、冬季清扫积雪。</w:t>
            </w:r>
          </w:p>
        </w:tc>
      </w:tr>
      <w:tr w14:paraId="57CE7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35814DF">
            <w:pPr>
              <w:jc w:val="center"/>
              <w:rPr>
                <w:rFonts w:hint="eastAsia" w:ascii="宋体" w:hAnsi="宋体" w:eastAsia="宋体" w:cs="Times New Roman"/>
                <w:sz w:val="24"/>
                <w:szCs w:val="24"/>
              </w:rPr>
            </w:pPr>
            <w:r>
              <w:rPr>
                <w:rFonts w:ascii="宋体" w:hAnsi="宋体" w:eastAsia="宋体" w:cs="Times New Roman"/>
                <w:sz w:val="24"/>
                <w:szCs w:val="24"/>
              </w:rPr>
              <w:t>4</w:t>
            </w:r>
          </w:p>
        </w:tc>
        <w:tc>
          <w:tcPr>
            <w:tcW w:w="1123" w:type="dxa"/>
            <w:noWrap w:val="0"/>
            <w:vAlign w:val="center"/>
          </w:tcPr>
          <w:p w14:paraId="4F425D4F">
            <w:pPr>
              <w:jc w:val="center"/>
              <w:rPr>
                <w:rFonts w:hint="eastAsia" w:ascii="宋体" w:hAnsi="宋体" w:eastAsia="宋体" w:cs="Times New Roman"/>
                <w:sz w:val="24"/>
                <w:szCs w:val="24"/>
              </w:rPr>
            </w:pPr>
            <w:r>
              <w:rPr>
                <w:rFonts w:hint="eastAsia" w:ascii="宋体" w:hAnsi="宋体" w:eastAsia="宋体" w:cs="Times New Roman"/>
                <w:sz w:val="24"/>
                <w:szCs w:val="24"/>
              </w:rPr>
              <w:t>秩序维护服务</w:t>
            </w:r>
          </w:p>
        </w:tc>
        <w:tc>
          <w:tcPr>
            <w:tcW w:w="1134" w:type="dxa"/>
            <w:noWrap w:val="0"/>
            <w:vAlign w:val="center"/>
          </w:tcPr>
          <w:p w14:paraId="5E0C542C">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3187E6F1">
            <w:pPr>
              <w:tabs>
                <w:tab w:val="left" w:pos="210"/>
              </w:tabs>
              <w:autoSpaceDE w:val="0"/>
              <w:autoSpaceDN w:val="0"/>
              <w:adjustRightInd w:val="0"/>
              <w:spacing w:line="560" w:lineRule="exact"/>
              <w:ind w:firstLine="480"/>
              <w:rPr>
                <w:rFonts w:hint="eastAsia" w:ascii="Times New Roman" w:hAnsi="Times New Roman" w:eastAsia="宋体" w:cs="Times New Roman"/>
                <w:szCs w:val="24"/>
              </w:rPr>
            </w:pPr>
            <w:r>
              <w:rPr>
                <w:rFonts w:ascii="Times New Roman" w:hAnsi="Times New Roman" w:eastAsia="宋体" w:cs="Times New Roman"/>
                <w:szCs w:val="24"/>
              </w:rPr>
              <w:t>1.</w:t>
            </w:r>
            <w:r>
              <w:rPr>
                <w:rFonts w:hint="eastAsia" w:ascii="Times New Roman" w:hAnsi="Times New Roman" w:eastAsia="宋体" w:cs="Times New Roman"/>
                <w:szCs w:val="24"/>
              </w:rPr>
              <w:t>服务内容</w:t>
            </w:r>
          </w:p>
          <w:p w14:paraId="365A05D3">
            <w:pPr>
              <w:tabs>
                <w:tab w:val="left" w:pos="210"/>
              </w:tabs>
              <w:autoSpaceDE w:val="0"/>
              <w:autoSpaceDN w:val="0"/>
              <w:adjustRightInd w:val="0"/>
              <w:spacing w:line="560" w:lineRule="exact"/>
              <w:ind w:left="420"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秩序维护是指为保证管理范围内安全和正常工作秩序，对来人来访进行登记、查验，做好安全保卫工作；做好车辆停放指引，车辆摆放有序。</w:t>
            </w:r>
          </w:p>
          <w:p w14:paraId="5C928868">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（1）门岗值守及人员车辆出入管理工作。</w:t>
            </w:r>
          </w:p>
          <w:p w14:paraId="673F87A5">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（2）日常巡逻工作。</w:t>
            </w:r>
          </w:p>
          <w:p w14:paraId="3CA1696A">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（3）消防控制室和监控室值守工作。</w:t>
            </w:r>
          </w:p>
          <w:p w14:paraId="219B8C7E">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（4）值守区域的卫生清洁工作。</w:t>
            </w:r>
          </w:p>
          <w:p w14:paraId="2A81348F">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（5）其他临时性工作。</w:t>
            </w:r>
          </w:p>
          <w:p w14:paraId="3C030C36">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2.服务标准</w:t>
            </w:r>
          </w:p>
          <w:p w14:paraId="28488D9F">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（1）严格执行验证、登记制度，各门岗24小时值班，了解并能熟练使用和掌握门禁系统，及时识别外来人员，杜绝闲杂人员进入管理区域，做好交接班工作。</w:t>
            </w:r>
          </w:p>
          <w:p w14:paraId="101F3061">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（2）门岗每日上下班时间段立岗值守，其余时间如遇人员来访时应起立进行接待。</w:t>
            </w:r>
          </w:p>
          <w:p w14:paraId="24FC2FBE">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（3）庭院、楼内秩序良好，道路畅通，车辆停放有序，指挥和疏导进出车辆，引导要及时，防止车辆停放于门口。</w:t>
            </w:r>
          </w:p>
          <w:p w14:paraId="57BA87DB">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（4）非工作时间及时关闭各入口大门，如有人员需要进入，务必核实清楚后方可放行，否则一律不允许进入。</w:t>
            </w:r>
          </w:p>
          <w:p w14:paraId="5C359C82">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（5）巡逻人员按规定的巡逻时间、巡逻路线、巡逻制度和职责巡视。做到勤走、勤查、勤问，尽职尽责，确保安全，并做好巡查记录。</w:t>
            </w:r>
          </w:p>
          <w:p w14:paraId="64079BE5">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6）巡逻人员巡逻中要勤观察、勤思考。对可疑的气味、烟尘，可疑的光、热、声响等要及时查明原因，视情况报告有关领导和部门，正确处置、及时消除隐患。做好防火、防盗、防破坏、防治安灾害事故以及防汛等安全工作。</w:t>
            </w:r>
          </w:p>
          <w:p w14:paraId="40C60524">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（7）巡逻人员巡逻中要及时制止车辆和货物的乱停乱放现象，防止阻塞交通和消防通道、防止损坏绿地和破坏公物的现象。</w:t>
            </w:r>
          </w:p>
          <w:p w14:paraId="59FCAFD7">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（8）巡逻人员应对服务范围内公共设施、消防器材进行巡视，发现问题及时上报。</w:t>
            </w:r>
          </w:p>
          <w:p w14:paraId="0E13D111">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（9）消防控制室和监控室值班人员熟悉消防和监控设备工作原理、功能、熟练掌握操作技术；不得擅自拆卸、挪用或停用设备，确保设备的正常运行。</w:t>
            </w:r>
          </w:p>
          <w:p w14:paraId="6F6E32B1">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（10）消防控制室和监控室值班人员负责对监控室设备的管理，做好日常设备检查，并负责设备操作，做好监控记录，及时向主管领导反映情况等工作。</w:t>
            </w:r>
          </w:p>
          <w:p w14:paraId="1F7BE56B">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11）消防控制室和监控室值班人员不能随意让无关人员进入监控室，外来人员如确需进入，需填写《来访人员登记表》，调看录像资料需征得相关领导同意后方可查看，并坚持执行保密制度，不得将值班情况外传。</w:t>
            </w:r>
          </w:p>
          <w:p w14:paraId="27FD415D">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（12）值守区域物品摆放规范，周边区域整洁无杂物。</w:t>
            </w:r>
          </w:p>
          <w:p w14:paraId="06CF983C">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（13）制定应急工作预案，提高处理应急事故的能力。做好重大活动，重要领导、宾客及重大节日的安全保卫工作。</w:t>
            </w:r>
          </w:p>
          <w:p w14:paraId="5F6FFEC5">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lang w:bidi="ar"/>
              </w:rPr>
            </w:pPr>
            <w:r>
              <w:rPr>
                <w:rFonts w:hint="eastAsia" w:ascii="Times New Roman" w:hAnsi="Times New Roman" w:eastAsia="宋体" w:cs="Times New Roman"/>
                <w:szCs w:val="24"/>
              </w:rPr>
              <w:t>（14）完成上级交给的其它任务，协助各有关岗位共同完成好各项工作。</w:t>
            </w:r>
          </w:p>
        </w:tc>
      </w:tr>
      <w:tr w14:paraId="662DA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2689A9E">
            <w:pPr>
              <w:jc w:val="center"/>
              <w:rPr>
                <w:rFonts w:hint="eastAsia" w:ascii="宋体" w:hAnsi="宋体" w:eastAsia="宋体" w:cs="Times New Roman"/>
                <w:sz w:val="24"/>
                <w:szCs w:val="24"/>
              </w:rPr>
            </w:pPr>
            <w:r>
              <w:rPr>
                <w:rFonts w:ascii="宋体" w:hAnsi="宋体" w:eastAsia="宋体" w:cs="Times New Roman"/>
                <w:sz w:val="24"/>
                <w:szCs w:val="24"/>
              </w:rPr>
              <w:t>4</w:t>
            </w:r>
          </w:p>
        </w:tc>
        <w:tc>
          <w:tcPr>
            <w:tcW w:w="1123" w:type="dxa"/>
            <w:noWrap w:val="0"/>
            <w:vAlign w:val="center"/>
          </w:tcPr>
          <w:p w14:paraId="5E3E9448">
            <w:pPr>
              <w:jc w:val="center"/>
              <w:rPr>
                <w:rFonts w:hint="eastAsia" w:ascii="宋体" w:hAnsi="宋体" w:eastAsia="宋体" w:cs="Times New Roman"/>
                <w:sz w:val="24"/>
                <w:szCs w:val="24"/>
              </w:rPr>
            </w:pPr>
            <w:r>
              <w:rPr>
                <w:rFonts w:hint="eastAsia" w:ascii="宋体" w:hAnsi="宋体" w:eastAsia="宋体" w:cs="Times New Roman"/>
                <w:sz w:val="24"/>
                <w:szCs w:val="24"/>
              </w:rPr>
              <w:t>日常维修服务</w:t>
            </w:r>
          </w:p>
        </w:tc>
        <w:tc>
          <w:tcPr>
            <w:tcW w:w="1134" w:type="dxa"/>
            <w:noWrap w:val="0"/>
            <w:vAlign w:val="center"/>
          </w:tcPr>
          <w:p w14:paraId="76AFC53A">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7843DCB4">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1.服务内容</w:t>
            </w:r>
          </w:p>
          <w:p w14:paraId="6BF30E36">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（1）负责楼宇房屋日常管理：门、窗、墙、地面、露台、天花顶棚等零修小修及应急维修工作。</w:t>
            </w:r>
          </w:p>
          <w:p w14:paraId="2326947B">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（2）日常配电系统管理：变电室运行值班值守，配电箱、线路、开关、插座巡查检修维护工作。</w:t>
            </w:r>
          </w:p>
          <w:p w14:paraId="0C73810E">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（3）日常空调系统管理：空调系统运行及末端的巡查、检修、维护、清理工作。</w:t>
            </w:r>
          </w:p>
          <w:p w14:paraId="694A0160">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（4）给排水系统管理：洗手间、开水间、给水泵房、管道及排水系统等设施设备维护工作。</w:t>
            </w:r>
          </w:p>
          <w:p w14:paraId="64E17D6F">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（5）日常系统管理：门禁、监控系统日常运行管理和巡视工作。</w:t>
            </w:r>
          </w:p>
          <w:p w14:paraId="656C3046">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（6）电梯服务管理：电梯运行巡查，监督维保单位进行维保工作；做好电梯困人、故障等紧急处理工作。</w:t>
            </w:r>
          </w:p>
          <w:p w14:paraId="1CA96729">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（7）应急预案：执行办公场地制订的防火、停电、跑水、防汛等应急措施。发现不正常状态必须找出原因加以纠正。</w:t>
            </w:r>
          </w:p>
          <w:p w14:paraId="0FA5C8A4">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2.服务标准</w:t>
            </w:r>
          </w:p>
          <w:p w14:paraId="2861ED9C">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（1）每日对区域内楼宇房屋、供配电系统、空调系统、给排水系统、安防门禁系统、电梯等方面进行一次巡视，按照规定填写相关记录表单；每月全面检查一次。</w:t>
            </w:r>
          </w:p>
          <w:p w14:paraId="7BB34585">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（2）对在巡视中检查出的零修、小修工作及时维修，做好记录；对于现场不能及时修理的，及时上报，并进行记录跟踪，维修维护率100％。</w:t>
            </w:r>
          </w:p>
          <w:p w14:paraId="1C21DABD">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（3）公共设施无破损变形，无明显锈蚀。照明设施、各类标识清洁、完好。</w:t>
            </w:r>
          </w:p>
          <w:p w14:paraId="10E35FB4">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（4）办公家具、门窗、门（木门、不锈钢门、防火门）、窗（铝合金窗、推拉、平开、百叶窗）：牢固、平整、门窗及门窗配件齐全。</w:t>
            </w:r>
          </w:p>
          <w:p w14:paraId="7315AA5F">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（5）所有维修材料由采购方提供，投标人负责安排人员维修。</w:t>
            </w:r>
          </w:p>
          <w:p w14:paraId="30482884">
            <w:pPr>
              <w:widowControl/>
              <w:tabs>
                <w:tab w:val="left" w:pos="210"/>
                <w:tab w:val="left" w:pos="709"/>
                <w:tab w:val="left" w:pos="1134"/>
              </w:tabs>
              <w:autoSpaceDE w:val="0"/>
              <w:autoSpaceDN w:val="0"/>
              <w:spacing w:before="0" w:beforeAutospacing="0" w:after="0" w:afterAutospacing="0" w:line="360" w:lineRule="auto"/>
              <w:ind w:firstLine="420" w:firstLineChars="200"/>
              <w:jc w:val="left"/>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t>（6）做到及时维修，维护（具有专业资质），确保供电、供水、空调、电梯等设备按照标准正常运行。</w:t>
            </w:r>
          </w:p>
        </w:tc>
      </w:tr>
      <w:tr w14:paraId="71414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04608D2">
            <w:pPr>
              <w:jc w:val="center"/>
              <w:rPr>
                <w:rFonts w:hint="eastAsia" w:ascii="宋体" w:hAnsi="宋体" w:eastAsia="宋体" w:cs="Times New Roman"/>
                <w:sz w:val="24"/>
                <w:szCs w:val="24"/>
              </w:rPr>
            </w:pPr>
            <w:r>
              <w:rPr>
                <w:rFonts w:ascii="宋体" w:hAnsi="宋体" w:eastAsia="宋体" w:cs="Times New Roman"/>
                <w:sz w:val="24"/>
                <w:szCs w:val="24"/>
              </w:rPr>
              <w:t>5</w:t>
            </w:r>
          </w:p>
        </w:tc>
        <w:tc>
          <w:tcPr>
            <w:tcW w:w="1123" w:type="dxa"/>
            <w:noWrap w:val="0"/>
            <w:vAlign w:val="center"/>
          </w:tcPr>
          <w:p w14:paraId="6B8DC7C4">
            <w:pPr>
              <w:jc w:val="center"/>
              <w:rPr>
                <w:rFonts w:hint="eastAsia" w:ascii="宋体" w:hAnsi="宋体" w:eastAsia="宋体" w:cs="Times New Roman"/>
                <w:sz w:val="24"/>
                <w:szCs w:val="24"/>
              </w:rPr>
            </w:pPr>
            <w:r>
              <w:rPr>
                <w:rFonts w:hint="eastAsia" w:ascii="宋体" w:hAnsi="宋体" w:eastAsia="宋体" w:cs="Times New Roman"/>
                <w:sz w:val="24"/>
                <w:szCs w:val="24"/>
              </w:rPr>
              <w:t>餐饮服务</w:t>
            </w:r>
          </w:p>
        </w:tc>
        <w:tc>
          <w:tcPr>
            <w:tcW w:w="1134" w:type="dxa"/>
            <w:noWrap w:val="0"/>
            <w:vAlign w:val="center"/>
          </w:tcPr>
          <w:p w14:paraId="279C139E">
            <w:pPr>
              <w:jc w:val="center"/>
              <w:rPr>
                <w:rFonts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1DB6B3EA">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1.服务内容</w:t>
            </w:r>
          </w:p>
          <w:p w14:paraId="7C4D746C">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（1）负责食堂整体运营。</w:t>
            </w:r>
          </w:p>
          <w:p w14:paraId="54C80674">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（2）采购、制作、分发、清洁等。</w:t>
            </w:r>
          </w:p>
          <w:p w14:paraId="0310687B">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（3）确保食材安全健康。</w:t>
            </w:r>
          </w:p>
          <w:p w14:paraId="405DFED3">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（4）扶贫产品采购。</w:t>
            </w:r>
          </w:p>
          <w:p w14:paraId="67069C38">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（5）按相关规定做好餐饮废弃物的收集、清理、投放等工作。</w:t>
            </w:r>
          </w:p>
          <w:p w14:paraId="34BC898E">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（6）厨师定期培训，服务员注重形象、服务到位。</w:t>
            </w:r>
          </w:p>
          <w:p w14:paraId="1636D70A">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（7）推行农药残留检测和食品留样检测。</w:t>
            </w:r>
          </w:p>
          <w:p w14:paraId="3D530ED0">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2.服务标准</w:t>
            </w:r>
          </w:p>
          <w:p w14:paraId="67099148">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（1）菜肴搭配合理，营养膳食，适合大多数人的口味，并掌握好供应时间节点，按需操作和供应，减少浪费。</w:t>
            </w:r>
          </w:p>
          <w:p w14:paraId="10053A3E">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蔬菜的采购，应采购新鲜，外表光滑，农残检测符合规定（定期进行农残检测）；采购肉类食品，应采购符合国家防疫检验合格的肉类产品，所采购肉品不得出现变质情况；米面粮油、调料类食品应外包装完好，无变质；食堂采购人员要按需采购，所采购的任何原材料必须保质保量，生熟食品、调料要分开放置，防止交叉污染，并采取先进先出、易坏先用的原则合理使用。</w:t>
            </w:r>
          </w:p>
          <w:p w14:paraId="1EF9C7C0">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（3）餐饮服务做到主动、热情、耐心、周到。</w:t>
            </w:r>
          </w:p>
          <w:p w14:paraId="7BC890D1">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（4）从业人员须持有《健康证》，确保符合健康防疫要求；上岗着装统一，衣帽整洁，带好口罩，佩戴工号牌；不在食品加工区域和餐饮供应场所吸烟。</w:t>
            </w:r>
          </w:p>
          <w:p w14:paraId="2EE77C30">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（5）餐厅保持清洁，门窗光亮，空气清新、畅通；桌椅干净无尘，地面清洁，有饭菜打翻，及时清理；餐具严格消毒，无污垢，无异味。</w:t>
            </w:r>
          </w:p>
          <w:p w14:paraId="11960165">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（6）发生投诉，虚心听取意见或建议，经核实后，及时整改，争取投诉者的谅解。</w:t>
            </w:r>
          </w:p>
          <w:p w14:paraId="7FEF852D">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3.服务要求</w:t>
            </w:r>
          </w:p>
          <w:p w14:paraId="7BBE0741">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（1）制定科学、合理、切实可行的餐饮管理服务方案。</w:t>
            </w:r>
          </w:p>
          <w:p w14:paraId="645DFB9A">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（2）餐厅管理以满足工作人员的餐饮需求为基础，通过建立有序运转的服务支持系统，提供优质、高效、经济、便捷的餐饮服务和人性化管理，与高标准的整体要求相适应。</w:t>
            </w:r>
          </w:p>
          <w:p w14:paraId="7F004C10">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3）贯彻执行食品卫生制度，抓好卫生和安全工作，加强安全保卫、防火教育，确保餐厅厨房安全。认真记录并保持仓库规定的温度、湿度，做到防火、防潮、防霉变。严格按照《食品安全法》要求采购食品原材料，严禁采购腐败变质食品和过期食品。必须将每日饭菜成品留样（满足125g）48小时。食堂工作人员必须保持食品和冰箱存放食品的清洁卫生。合理储存食品，做到餐具和食品生熟、荤素分开，防止食品相互交叉污染。</w:t>
            </w:r>
          </w:p>
          <w:p w14:paraId="6165F222">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（4）菜品样式多种选择，营养搭配科学合理，满足营养需求。具备开发各种饭菜花色品种的能力，满足不同层次就餐者要求。</w:t>
            </w:r>
          </w:p>
          <w:p w14:paraId="71F7D1DA">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5）为保证设备设施的正常运行，餐饮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联系进行维修，确保燃气灶具安全使用。</w:t>
            </w:r>
          </w:p>
          <w:p w14:paraId="719A3FB9">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6）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1FD8E9A6">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（7）采购人负责办理餐厅营业的卫生许可证，中标方负责办理食堂员工的健康证，保证炊管人员持证上岗，所有服务人员必须有《健康证》，并定期体检。</w:t>
            </w:r>
          </w:p>
          <w:p w14:paraId="6D9ADCBE">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8）食堂内各种物品表面的清洁和消毒。地面：无污染，湿式清扫，有效消毒液溶液擦洗，每日2次；墙面：无污染，清水和消毒液清理，每周1次；操作间内物品表面：无污染，清水或消毒液清洗，每日1-2次，厨房和餐厅用品严格区分，不得混用，每次使用后冲洗消毒。</w:t>
            </w:r>
          </w:p>
          <w:p w14:paraId="6EBF05A2">
            <w:pPr>
              <w:tabs>
                <w:tab w:val="left" w:pos="210"/>
              </w:tabs>
              <w:autoSpaceDE w:val="0"/>
              <w:autoSpaceDN w:val="0"/>
              <w:adjustRightInd w:val="0"/>
              <w:spacing w:line="560" w:lineRule="exact"/>
              <w:ind w:left="420"/>
              <w:rPr>
                <w:rFonts w:hint="eastAsia" w:ascii="Times New Roman" w:hAnsi="Times New Roman" w:eastAsia="宋体" w:cs="Times New Roman"/>
                <w:szCs w:val="24"/>
              </w:rPr>
            </w:pPr>
            <w:r>
              <w:rPr>
                <w:rFonts w:hint="eastAsia" w:ascii="Times New Roman" w:hAnsi="Times New Roman" w:eastAsia="宋体" w:cs="Times New Roman"/>
                <w:szCs w:val="24"/>
              </w:rPr>
              <w:t>（9）产生垃圾，做到每餐倾倒。</w:t>
            </w:r>
          </w:p>
          <w:p w14:paraId="66DBDE9B">
            <w:pPr>
              <w:tabs>
                <w:tab w:val="left" w:pos="210"/>
              </w:tabs>
              <w:autoSpaceDE w:val="0"/>
              <w:autoSpaceDN w:val="0"/>
              <w:adjustRightInd w:val="0"/>
              <w:spacing w:line="560" w:lineRule="exact"/>
              <w:ind w:firstLine="420" w:firstLineChars="200"/>
              <w:rPr>
                <w:rFonts w:hint="eastAsia" w:ascii="Times New Roman" w:hAnsi="Times New Roman" w:eastAsia="宋体" w:cs="Times New Roman"/>
                <w:szCs w:val="24"/>
              </w:rPr>
            </w:pPr>
            <w:r>
              <w:rPr>
                <w:rFonts w:hint="eastAsia" w:ascii="Times New Roman" w:hAnsi="Times New Roman" w:eastAsia="宋体" w:cs="Times New Roman"/>
                <w:szCs w:val="24"/>
              </w:rPr>
              <w:t>（10）接受卫生防疫部门不定期对食堂卫生进行防疫检查，接受采购人对原材料及成品价格的检查。</w:t>
            </w:r>
          </w:p>
          <w:p w14:paraId="488409C8">
            <w:pPr>
              <w:tabs>
                <w:tab w:val="left" w:pos="210"/>
              </w:tabs>
              <w:autoSpaceDE w:val="0"/>
              <w:autoSpaceDN w:val="0"/>
              <w:adjustRightInd w:val="0"/>
              <w:spacing w:line="560" w:lineRule="exact"/>
              <w:rPr>
                <w:rFonts w:hint="eastAsia" w:ascii="Times New Roman" w:hAnsi="Times New Roman" w:eastAsia="宋体" w:cs="Times New Roman"/>
                <w:szCs w:val="24"/>
              </w:rPr>
            </w:pPr>
            <w:r>
              <w:rPr>
                <w:rFonts w:hint="eastAsia" w:ascii="Times New Roman" w:hAnsi="Times New Roman" w:eastAsia="宋体" w:cs="Times New Roman"/>
                <w:szCs w:val="24"/>
              </w:rPr>
              <w:t>4.餐饮标准</w:t>
            </w:r>
          </w:p>
          <w:p w14:paraId="47BE92F3">
            <w:pPr>
              <w:tabs>
                <w:tab w:val="left" w:pos="210"/>
              </w:tabs>
              <w:autoSpaceDE w:val="0"/>
              <w:autoSpaceDN w:val="0"/>
              <w:adjustRightInd w:val="0"/>
              <w:spacing w:line="560" w:lineRule="exact"/>
              <w:ind w:firstLine="420" w:firstLineChars="200"/>
              <w:rPr>
                <w:rFonts w:hint="eastAsia" w:ascii="宋体" w:hAnsi="宋体" w:eastAsia="宋体" w:cs="Times New Roman"/>
                <w:sz w:val="24"/>
                <w:szCs w:val="24"/>
              </w:rPr>
            </w:pPr>
            <w:r>
              <w:rPr>
                <w:rFonts w:hint="eastAsia" w:ascii="Times New Roman" w:hAnsi="Times New Roman" w:eastAsia="宋体" w:cs="Times New Roman"/>
                <w:szCs w:val="24"/>
              </w:rPr>
              <w:t>（1）按照采购人要求，根据实际用餐标准，按需采购粮油、蔬菜、水产、猪牛羊肉、禽蛋、水果、调料等所有食材原材料。投标人需全年提供三餐餐饮服务（含法定节假日），用餐标准：30元/人/天（其中财政担负27元；个人担负3元；每月按21.5天核算），工作日用餐人数约</w:t>
            </w:r>
            <w:r>
              <w:rPr>
                <w:rFonts w:ascii="Times New Roman" w:hAnsi="Times New Roman" w:eastAsia="宋体" w:cs="Times New Roman"/>
                <w:szCs w:val="24"/>
              </w:rPr>
              <w:t>88</w:t>
            </w:r>
            <w:r>
              <w:rPr>
                <w:rFonts w:hint="eastAsia" w:ascii="Times New Roman" w:hAnsi="Times New Roman" w:eastAsia="宋体" w:cs="Times New Roman"/>
                <w:szCs w:val="24"/>
              </w:rPr>
              <w:t>人。本项目食堂为包工包料，投标人须按照就餐标准制作菜单，全部菜单内容为现场制作，并将采购人审核，按照菜单要求提供餐饮服务。（餐饮标准参见附件1）</w:t>
            </w:r>
          </w:p>
        </w:tc>
      </w:tr>
      <w:tr w14:paraId="76734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A66836E">
            <w:pPr>
              <w:jc w:val="center"/>
              <w:rPr>
                <w:rFonts w:ascii="宋体" w:hAnsi="宋体" w:eastAsia="宋体" w:cs="Times New Roman"/>
                <w:sz w:val="24"/>
                <w:szCs w:val="24"/>
              </w:rPr>
            </w:pPr>
            <w:r>
              <w:rPr>
                <w:rFonts w:ascii="宋体" w:hAnsi="宋体" w:eastAsia="宋体" w:cs="Times New Roman"/>
                <w:sz w:val="24"/>
                <w:szCs w:val="24"/>
              </w:rPr>
              <w:t>6</w:t>
            </w:r>
          </w:p>
        </w:tc>
        <w:tc>
          <w:tcPr>
            <w:tcW w:w="1123" w:type="dxa"/>
            <w:noWrap w:val="0"/>
            <w:vAlign w:val="center"/>
          </w:tcPr>
          <w:p w14:paraId="03B54EE8">
            <w:pPr>
              <w:jc w:val="center"/>
              <w:rPr>
                <w:rFonts w:hint="eastAsia" w:ascii="宋体" w:hAnsi="宋体" w:eastAsia="宋体" w:cs="Times New Roman"/>
                <w:sz w:val="24"/>
                <w:szCs w:val="24"/>
              </w:rPr>
            </w:pPr>
            <w:r>
              <w:rPr>
                <w:rFonts w:hint="eastAsia" w:ascii="宋体" w:hAnsi="宋体" w:eastAsia="宋体" w:cs="Times New Roman"/>
                <w:sz w:val="24"/>
                <w:szCs w:val="24"/>
              </w:rPr>
              <w:t>项目管理要求</w:t>
            </w:r>
          </w:p>
        </w:tc>
        <w:tc>
          <w:tcPr>
            <w:tcW w:w="1134" w:type="dxa"/>
            <w:noWrap w:val="0"/>
            <w:vAlign w:val="center"/>
          </w:tcPr>
          <w:p w14:paraId="333EEBD0">
            <w:pPr>
              <w:jc w:val="center"/>
              <w:rPr>
                <w:rFonts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2DDAE547">
            <w:pPr>
              <w:widowControl w:val="0"/>
              <w:spacing w:line="360" w:lineRule="auto"/>
              <w:jc w:val="left"/>
              <w:rPr>
                <w:rFonts w:ascii="宋体" w:hAnsi="宋体" w:eastAsia="宋体" w:cs="Times New Roman"/>
                <w:kern w:val="2"/>
                <w:sz w:val="21"/>
                <w:szCs w:val="21"/>
                <w:lang w:val="en-US" w:eastAsia="zh-CN" w:bidi="ar-SA"/>
              </w:rPr>
            </w:pPr>
            <w:r>
              <w:rPr>
                <w:rFonts w:hint="eastAsia" w:ascii="宋体" w:hAnsi="宋体" w:eastAsia="仿宋_GB2312" w:cs="Times New Roman"/>
                <w:kern w:val="2"/>
                <w:sz w:val="21"/>
                <w:szCs w:val="21"/>
                <w:lang w:val="en-US" w:eastAsia="zh-CN" w:bidi="ar-SA"/>
              </w:rPr>
              <w:t>1</w:t>
            </w:r>
            <w:r>
              <w:rPr>
                <w:rFonts w:ascii="宋体" w:hAnsi="宋体" w:eastAsia="宋体" w:cs="Times New Roman"/>
                <w:kern w:val="2"/>
                <w:sz w:val="21"/>
                <w:szCs w:val="21"/>
                <w:lang w:val="en-US" w:eastAsia="zh-CN" w:bidi="ar-SA"/>
              </w:rPr>
              <w:t>.</w:t>
            </w:r>
            <w:r>
              <w:rPr>
                <w:rFonts w:hint="eastAsia" w:ascii="宋体" w:hAnsi="宋体" w:eastAsia="宋体" w:cs="Times New Roman"/>
                <w:kern w:val="2"/>
                <w:sz w:val="21"/>
                <w:szCs w:val="21"/>
                <w:lang w:val="en-US" w:eastAsia="zh-CN" w:bidi="ar-SA"/>
              </w:rPr>
              <w:t>投标人应制定切实可行的物业管理规章制度、各岗位工作计划、工作流程、员工守则等。</w:t>
            </w:r>
          </w:p>
          <w:p w14:paraId="7D318324">
            <w:pPr>
              <w:widowControl w:val="0"/>
              <w:spacing w:line="360" w:lineRule="auto"/>
              <w:jc w:val="left"/>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1"/>
                <w:szCs w:val="21"/>
                <w:lang w:val="en-US" w:eastAsia="zh-CN" w:bidi="ar-SA"/>
              </w:rPr>
              <w:t>2.投标人要对物业服务人员进行资格审查和保密监督管理，做好保密教育，遵守党政机关保密规定。</w:t>
            </w:r>
          </w:p>
        </w:tc>
      </w:tr>
      <w:tr w14:paraId="4E17A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AD34493">
            <w:pPr>
              <w:jc w:val="center"/>
              <w:rPr>
                <w:rFonts w:hint="eastAsia" w:ascii="宋体" w:hAnsi="宋体" w:eastAsia="宋体" w:cs="Times New Roman"/>
                <w:sz w:val="24"/>
                <w:szCs w:val="24"/>
              </w:rPr>
            </w:pPr>
            <w:r>
              <w:rPr>
                <w:rFonts w:ascii="宋体" w:hAnsi="宋体" w:eastAsia="宋体" w:cs="Times New Roman"/>
                <w:sz w:val="24"/>
                <w:szCs w:val="24"/>
              </w:rPr>
              <w:t>7</w:t>
            </w:r>
          </w:p>
        </w:tc>
        <w:tc>
          <w:tcPr>
            <w:tcW w:w="1123" w:type="dxa"/>
            <w:noWrap w:val="0"/>
            <w:vAlign w:val="center"/>
          </w:tcPr>
          <w:p w14:paraId="7CC1AAAA">
            <w:pPr>
              <w:jc w:val="center"/>
              <w:rPr>
                <w:rFonts w:ascii="宋体" w:hAnsi="宋体" w:eastAsia="宋体" w:cs="Times New Roman"/>
                <w:sz w:val="24"/>
                <w:szCs w:val="24"/>
              </w:rPr>
            </w:pPr>
            <w:r>
              <w:rPr>
                <w:rFonts w:hint="eastAsia" w:ascii="宋体" w:hAnsi="宋体" w:eastAsia="宋体" w:cs="Times New Roman"/>
                <w:sz w:val="24"/>
                <w:szCs w:val="24"/>
              </w:rPr>
              <w:t>费用</w:t>
            </w:r>
          </w:p>
          <w:p w14:paraId="48891D35">
            <w:pPr>
              <w:jc w:val="center"/>
              <w:rPr>
                <w:rFonts w:hint="eastAsia" w:ascii="宋体" w:hAnsi="宋体" w:eastAsia="宋体" w:cs="Times New Roman"/>
                <w:sz w:val="24"/>
                <w:szCs w:val="24"/>
              </w:rPr>
            </w:pPr>
            <w:r>
              <w:rPr>
                <w:rFonts w:hint="eastAsia" w:ascii="宋体" w:hAnsi="宋体" w:eastAsia="宋体" w:cs="Times New Roman"/>
                <w:sz w:val="24"/>
                <w:szCs w:val="24"/>
              </w:rPr>
              <w:t>分割</w:t>
            </w:r>
          </w:p>
        </w:tc>
        <w:tc>
          <w:tcPr>
            <w:tcW w:w="1134" w:type="dxa"/>
            <w:noWrap w:val="0"/>
            <w:vAlign w:val="center"/>
          </w:tcPr>
          <w:p w14:paraId="6C6598AC">
            <w:pPr>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5483" w:type="dxa"/>
            <w:noWrap w:val="0"/>
            <w:vAlign w:val="center"/>
          </w:tcPr>
          <w:p w14:paraId="1860BEBE">
            <w:pPr>
              <w:spacing w:line="360" w:lineRule="auto"/>
              <w:jc w:val="left"/>
              <w:rPr>
                <w:rFonts w:hint="eastAsia" w:ascii="宋体" w:hAnsi="宋体" w:eastAsia="宋体" w:cs="Times New Roman"/>
                <w:szCs w:val="21"/>
              </w:rPr>
            </w:pPr>
            <w:r>
              <w:rPr>
                <w:rFonts w:hint="eastAsia" w:ascii="宋体" w:hAnsi="宋体" w:eastAsia="宋体" w:cs="Times New Roman"/>
                <w:szCs w:val="21"/>
              </w:rPr>
              <w:t>1</w:t>
            </w:r>
            <w:r>
              <w:rPr>
                <w:rFonts w:ascii="宋体" w:hAnsi="宋体" w:eastAsia="宋体" w:cs="Times New Roman"/>
                <w:szCs w:val="21"/>
              </w:rPr>
              <w:t>.</w:t>
            </w:r>
            <w:r>
              <w:rPr>
                <w:rFonts w:hint="eastAsia" w:ascii="宋体" w:hAnsi="宋体" w:eastAsia="宋体" w:cs="Times New Roman"/>
                <w:szCs w:val="21"/>
              </w:rPr>
              <w:t>全体物业服务人员统一服装及劳保用品由投标人统一提供；</w:t>
            </w:r>
          </w:p>
          <w:p w14:paraId="5AF340DE">
            <w:pPr>
              <w:spacing w:line="360" w:lineRule="auto"/>
              <w:jc w:val="left"/>
              <w:rPr>
                <w:rFonts w:ascii="宋体" w:hAnsi="宋体" w:eastAsia="宋体" w:cs="Times New Roman"/>
                <w:szCs w:val="21"/>
              </w:rPr>
            </w:pPr>
            <w:r>
              <w:rPr>
                <w:rFonts w:hint="eastAsia" w:ascii="宋体" w:hAnsi="宋体" w:eastAsia="宋体" w:cs="Times New Roman"/>
                <w:szCs w:val="21"/>
              </w:rPr>
              <w:t>2</w:t>
            </w:r>
            <w:r>
              <w:rPr>
                <w:rFonts w:ascii="宋体" w:hAnsi="宋体" w:eastAsia="宋体" w:cs="Times New Roman"/>
                <w:szCs w:val="21"/>
              </w:rPr>
              <w:t>.</w:t>
            </w:r>
            <w:r>
              <w:rPr>
                <w:rFonts w:hint="eastAsia" w:ascii="宋体" w:hAnsi="宋体" w:eastAsia="宋体" w:cs="Times New Roman"/>
                <w:szCs w:val="21"/>
              </w:rPr>
              <w:t>采购人无偿提供物业管理用房、仓库、办公电话、网络及因物业服务产生的能源费用（水、电、暖、气等）。</w:t>
            </w:r>
          </w:p>
          <w:p w14:paraId="0A5D4FEB">
            <w:pPr>
              <w:spacing w:line="360" w:lineRule="auto"/>
              <w:jc w:val="left"/>
              <w:rPr>
                <w:rFonts w:hint="eastAsia" w:ascii="宋体" w:hAnsi="宋体" w:eastAsia="宋体" w:cs="Times New Roman"/>
                <w:szCs w:val="21"/>
              </w:rPr>
            </w:pPr>
            <w:r>
              <w:rPr>
                <w:rFonts w:hint="eastAsia" w:ascii="宋体" w:hAnsi="宋体" w:eastAsia="宋体" w:cs="Times New Roman"/>
                <w:szCs w:val="21"/>
              </w:rPr>
              <w:t>3.本项目常用清洁工具、日常保洁用品、清洁用剂、垃圾袋及卫生间客用品擦手纸、洗手液、卷纸等公共区域标识及卫生间卷纸盒、垃圾桶、轿厢防尘垫等公共区域设施费用，服务人员办公用品等物资由投标人提供。</w:t>
            </w:r>
          </w:p>
          <w:p w14:paraId="7BB82312">
            <w:pPr>
              <w:spacing w:line="360" w:lineRule="auto"/>
              <w:jc w:val="left"/>
              <w:rPr>
                <w:rFonts w:hint="eastAsia" w:ascii="宋体" w:hAnsi="宋体" w:eastAsia="宋体" w:cs="Times New Roman"/>
                <w:szCs w:val="21"/>
              </w:rPr>
            </w:pPr>
            <w:r>
              <w:rPr>
                <w:rFonts w:hint="eastAsia" w:ascii="宋体" w:hAnsi="宋体" w:eastAsia="宋体" w:cs="Times New Roman"/>
                <w:szCs w:val="21"/>
              </w:rPr>
              <w:t>4.本项目餐厅日常供餐服务中所需的非固定资产类低值易耗品、厨杂用品、一次性消耗品及餐厅清洁所需工具、药剂等完成供餐服务的物资等由投标人提供。</w:t>
            </w:r>
          </w:p>
          <w:p w14:paraId="3E205B01">
            <w:pPr>
              <w:spacing w:line="360" w:lineRule="auto"/>
              <w:jc w:val="left"/>
              <w:rPr>
                <w:rFonts w:hint="eastAsia" w:ascii="Times New Roman" w:hAnsi="Times New Roman" w:eastAsia="宋体" w:cs="Times New Roman"/>
                <w:szCs w:val="24"/>
              </w:rPr>
            </w:pPr>
            <w:r>
              <w:rPr>
                <w:rFonts w:hint="eastAsia" w:ascii="宋体" w:hAnsi="宋体" w:eastAsia="宋体" w:cs="Times New Roman"/>
                <w:szCs w:val="21"/>
              </w:rPr>
              <w:t>5.采购人负责采购维修耗材，中标人负责安排人员（配备日常使用的小型工具）进行维修。</w:t>
            </w:r>
          </w:p>
        </w:tc>
      </w:tr>
    </w:tbl>
    <w:p w14:paraId="7EA1E313">
      <w:pPr>
        <w:widowControl w:val="0"/>
        <w:jc w:val="both"/>
        <w:rPr>
          <w:rFonts w:ascii="宋体" w:hAnsi="宋体" w:eastAsia="仿宋_GB2312" w:cs="Times New Roman"/>
          <w:kern w:val="2"/>
          <w:sz w:val="24"/>
          <w:szCs w:val="24"/>
          <w:lang w:val="en-US" w:eastAsia="zh-CN" w:bidi="ar-SA"/>
        </w:rPr>
      </w:pPr>
    </w:p>
    <w:p w14:paraId="0959F0D0">
      <w:pPr>
        <w:widowControl w:val="0"/>
        <w:jc w:val="both"/>
        <w:rPr>
          <w:rFonts w:ascii="宋体" w:hAnsi="宋体" w:eastAsia="仿宋_GB2312" w:cs="Times New Roman"/>
          <w:kern w:val="2"/>
          <w:sz w:val="24"/>
          <w:szCs w:val="24"/>
          <w:lang w:val="en-US" w:eastAsia="zh-CN" w:bidi="ar-SA"/>
        </w:rPr>
      </w:pPr>
      <w:r>
        <w:rPr>
          <w:rFonts w:hint="eastAsia" w:ascii="宋体" w:hAnsi="宋体" w:eastAsia="仿宋_GB2312" w:cs="Times New Roman"/>
          <w:kern w:val="2"/>
          <w:sz w:val="24"/>
          <w:szCs w:val="24"/>
          <w:lang w:val="en-US" w:eastAsia="zh-CN" w:bidi="ar-SA"/>
        </w:rPr>
        <w:t>附件1</w:t>
      </w:r>
      <w:r>
        <w:rPr>
          <w:rFonts w:ascii="宋体" w:hAnsi="宋体" w:eastAsia="仿宋_GB2312" w:cs="Times New Roman"/>
          <w:kern w:val="2"/>
          <w:sz w:val="24"/>
          <w:szCs w:val="24"/>
          <w:lang w:val="en-US" w:eastAsia="zh-CN" w:bidi="ar-SA"/>
        </w:rPr>
        <w:t xml:space="preserve"> </w:t>
      </w:r>
      <w:r>
        <w:rPr>
          <w:rFonts w:hint="eastAsia" w:ascii="宋体" w:hAnsi="宋体" w:eastAsia="仿宋_GB2312" w:cs="Times New Roman"/>
          <w:kern w:val="2"/>
          <w:sz w:val="24"/>
          <w:szCs w:val="24"/>
          <w:lang w:val="en-US" w:eastAsia="zh-CN" w:bidi="ar-SA"/>
        </w:rPr>
        <w:t>：</w:t>
      </w:r>
    </w:p>
    <w:p w14:paraId="39FA8E8B">
      <w:pPr>
        <w:widowControl w:val="0"/>
        <w:jc w:val="both"/>
        <w:rPr>
          <w:rFonts w:hint="eastAsia" w:ascii="宋体" w:hAnsi="宋体" w:eastAsia="仿宋_GB2312" w:cs="Times New Roman"/>
          <w:kern w:val="2"/>
          <w:sz w:val="24"/>
          <w:szCs w:val="24"/>
          <w:lang w:val="en-US" w:eastAsia="zh-CN" w:bidi="ar-SA"/>
        </w:rPr>
      </w:pPr>
    </w:p>
    <w:tbl>
      <w:tblPr>
        <w:tblStyle w:val="48"/>
        <w:tblW w:w="4935" w:type="pct"/>
        <w:tblInd w:w="1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739"/>
        <w:gridCol w:w="766"/>
        <w:gridCol w:w="6423"/>
      </w:tblGrid>
      <w:tr w14:paraId="5F608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000" w:type="pct"/>
            <w:gridSpan w:val="4"/>
            <w:noWrap w:val="0"/>
            <w:vAlign w:val="center"/>
          </w:tcPr>
          <w:p w14:paraId="57C1A6D0">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菜单示例</w:t>
            </w:r>
          </w:p>
        </w:tc>
      </w:tr>
      <w:tr w14:paraId="209DF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91" w:type="pct"/>
            <w:vMerge w:val="restart"/>
            <w:noWrap w:val="0"/>
            <w:vAlign w:val="center"/>
          </w:tcPr>
          <w:p w14:paraId="35789DCC">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早点</w:t>
            </w:r>
          </w:p>
        </w:tc>
        <w:tc>
          <w:tcPr>
            <w:tcW w:w="439" w:type="pct"/>
            <w:vMerge w:val="restart"/>
            <w:noWrap w:val="0"/>
            <w:vAlign w:val="center"/>
          </w:tcPr>
          <w:p w14:paraId="13E534ED">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汤粥类</w:t>
            </w:r>
          </w:p>
        </w:tc>
        <w:tc>
          <w:tcPr>
            <w:tcW w:w="455" w:type="pct"/>
            <w:noWrap w:val="0"/>
            <w:vAlign w:val="center"/>
          </w:tcPr>
          <w:p w14:paraId="7F479B3E">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粥</w:t>
            </w:r>
          </w:p>
          <w:p w14:paraId="6F6B816C">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2种</w:t>
            </w:r>
          </w:p>
        </w:tc>
        <w:tc>
          <w:tcPr>
            <w:tcW w:w="3815" w:type="pct"/>
            <w:noWrap w:val="0"/>
            <w:vAlign w:val="center"/>
          </w:tcPr>
          <w:p w14:paraId="1637DB37">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玉米粥、棒渣粥、八宝粥、小米粥、黑米粥、绿豆大米粥、红枣枸杞粥、银耳百合粥、皮蛋瘦肉粥、银杏百合粥、赤豆薏米粥、麦片粥、南瓜粥、地瓜棒渣粥、蔬菜粥、山药粥、桂圆枸杞粥。</w:t>
            </w:r>
          </w:p>
        </w:tc>
      </w:tr>
      <w:tr w14:paraId="5CDEC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91" w:type="pct"/>
            <w:vMerge w:val="continue"/>
            <w:noWrap w:val="0"/>
            <w:vAlign w:val="center"/>
          </w:tcPr>
          <w:p w14:paraId="2203D89D">
            <w:pPr>
              <w:widowControl/>
              <w:snapToGrid w:val="0"/>
              <w:jc w:val="center"/>
              <w:rPr>
                <w:rFonts w:ascii="宋体" w:hAnsi="宋体" w:eastAsia="宋体" w:cs="Tahoma"/>
                <w:kern w:val="0"/>
                <w:sz w:val="22"/>
                <w:szCs w:val="28"/>
              </w:rPr>
            </w:pPr>
          </w:p>
        </w:tc>
        <w:tc>
          <w:tcPr>
            <w:tcW w:w="439" w:type="pct"/>
            <w:vMerge w:val="continue"/>
            <w:noWrap w:val="0"/>
            <w:vAlign w:val="center"/>
          </w:tcPr>
          <w:p w14:paraId="7255A7A6">
            <w:pPr>
              <w:widowControl/>
              <w:snapToGrid w:val="0"/>
              <w:jc w:val="center"/>
              <w:rPr>
                <w:rFonts w:ascii="宋体" w:hAnsi="宋体" w:eastAsia="宋体" w:cs="Tahoma"/>
                <w:kern w:val="0"/>
                <w:sz w:val="22"/>
                <w:szCs w:val="28"/>
              </w:rPr>
            </w:pPr>
          </w:p>
        </w:tc>
        <w:tc>
          <w:tcPr>
            <w:tcW w:w="455" w:type="pct"/>
            <w:noWrap w:val="0"/>
            <w:vAlign w:val="center"/>
          </w:tcPr>
          <w:p w14:paraId="3B7F60D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汤</w:t>
            </w:r>
          </w:p>
          <w:p w14:paraId="600CDB49">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1种</w:t>
            </w:r>
          </w:p>
        </w:tc>
        <w:tc>
          <w:tcPr>
            <w:tcW w:w="3815" w:type="pct"/>
            <w:noWrap w:val="0"/>
            <w:vAlign w:val="center"/>
          </w:tcPr>
          <w:p w14:paraId="3D955614">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西红柿鸡蛋汤、紫菜汤、瓜片蛋花汤、酸辣汤、醋浇汤、鱼头养生汤、虫草排骨汤、羊杂汤、虾皮白菜汤、虾皮冬瓜汤、疙瘩汤、杂菌养生汤、木须汤、粉丝全贝汤、青萝粉丝汤、菠菜蛋花汤、养生雪梨汤。</w:t>
            </w:r>
          </w:p>
        </w:tc>
      </w:tr>
      <w:tr w14:paraId="575E7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291" w:type="pct"/>
            <w:vMerge w:val="continue"/>
            <w:noWrap w:val="0"/>
            <w:vAlign w:val="center"/>
          </w:tcPr>
          <w:p w14:paraId="18E97901">
            <w:pPr>
              <w:widowControl/>
              <w:snapToGrid w:val="0"/>
              <w:jc w:val="center"/>
              <w:rPr>
                <w:rFonts w:ascii="宋体" w:hAnsi="宋体" w:eastAsia="宋体" w:cs="Tahoma"/>
                <w:kern w:val="0"/>
                <w:sz w:val="22"/>
                <w:szCs w:val="28"/>
              </w:rPr>
            </w:pPr>
          </w:p>
        </w:tc>
        <w:tc>
          <w:tcPr>
            <w:tcW w:w="439" w:type="pct"/>
            <w:vMerge w:val="restart"/>
            <w:noWrap w:val="0"/>
            <w:vAlign w:val="center"/>
          </w:tcPr>
          <w:p w14:paraId="582609EC">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主食类</w:t>
            </w:r>
          </w:p>
        </w:tc>
        <w:tc>
          <w:tcPr>
            <w:tcW w:w="455" w:type="pct"/>
            <w:noWrap w:val="0"/>
            <w:vAlign w:val="center"/>
          </w:tcPr>
          <w:p w14:paraId="1DB1D1CE">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每日</w:t>
            </w:r>
          </w:p>
          <w:p w14:paraId="21C46D5A">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必备</w:t>
            </w:r>
          </w:p>
        </w:tc>
        <w:tc>
          <w:tcPr>
            <w:tcW w:w="3815" w:type="pct"/>
            <w:noWrap w:val="0"/>
            <w:vAlign w:val="center"/>
          </w:tcPr>
          <w:p w14:paraId="40DE56F1">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茶鸡蛋、煎鸡蛋、白水蛋、卤鸡蛋、虎皮鸡蛋（选一种）</w:t>
            </w:r>
          </w:p>
        </w:tc>
      </w:tr>
      <w:tr w14:paraId="7B26D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291" w:type="pct"/>
            <w:vMerge w:val="continue"/>
            <w:noWrap w:val="0"/>
            <w:vAlign w:val="center"/>
          </w:tcPr>
          <w:p w14:paraId="405778D3">
            <w:pPr>
              <w:widowControl/>
              <w:snapToGrid w:val="0"/>
              <w:jc w:val="center"/>
              <w:rPr>
                <w:rFonts w:ascii="宋体" w:hAnsi="宋体" w:eastAsia="宋体" w:cs="Tahoma"/>
                <w:kern w:val="0"/>
                <w:sz w:val="22"/>
                <w:szCs w:val="28"/>
              </w:rPr>
            </w:pPr>
          </w:p>
        </w:tc>
        <w:tc>
          <w:tcPr>
            <w:tcW w:w="439" w:type="pct"/>
            <w:vMerge w:val="continue"/>
            <w:noWrap w:val="0"/>
            <w:vAlign w:val="center"/>
          </w:tcPr>
          <w:p w14:paraId="14093FF0">
            <w:pPr>
              <w:widowControl/>
              <w:snapToGrid w:val="0"/>
              <w:jc w:val="center"/>
              <w:rPr>
                <w:rFonts w:ascii="宋体" w:hAnsi="宋体" w:eastAsia="宋体" w:cs="Tahoma"/>
                <w:kern w:val="0"/>
                <w:sz w:val="22"/>
                <w:szCs w:val="28"/>
              </w:rPr>
            </w:pPr>
          </w:p>
        </w:tc>
        <w:tc>
          <w:tcPr>
            <w:tcW w:w="455" w:type="pct"/>
            <w:noWrap w:val="0"/>
            <w:vAlign w:val="center"/>
          </w:tcPr>
          <w:p w14:paraId="091FC61A">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主食</w:t>
            </w:r>
          </w:p>
          <w:p w14:paraId="0BDFE761">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4种</w:t>
            </w:r>
          </w:p>
        </w:tc>
        <w:tc>
          <w:tcPr>
            <w:tcW w:w="3815" w:type="pct"/>
            <w:noWrap w:val="0"/>
            <w:vAlign w:val="center"/>
          </w:tcPr>
          <w:p w14:paraId="76324854">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家常大饼、葱花饼、椒盐大饼、麻酱饼、烧饼夹火腿、手抓饼、大饼夹鸡蛋、油酥烧饼、老豆腐、锅巴菜、云吞、煎包、窝头、双色花卷、馅饼、肉笼、豆沙包、蒸饺、茄夹、藕夹、素丸子、蝴蝶卷、三鲜盒子、方便面</w:t>
            </w:r>
          </w:p>
        </w:tc>
      </w:tr>
      <w:tr w14:paraId="75FCB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291" w:type="pct"/>
            <w:vMerge w:val="continue"/>
            <w:noWrap w:val="0"/>
            <w:vAlign w:val="center"/>
          </w:tcPr>
          <w:p w14:paraId="403390B7">
            <w:pPr>
              <w:widowControl/>
              <w:snapToGrid w:val="0"/>
              <w:jc w:val="center"/>
              <w:rPr>
                <w:rFonts w:ascii="宋体" w:hAnsi="宋体" w:eastAsia="宋体" w:cs="Tahoma"/>
                <w:kern w:val="0"/>
                <w:sz w:val="22"/>
                <w:szCs w:val="28"/>
              </w:rPr>
            </w:pPr>
          </w:p>
        </w:tc>
        <w:tc>
          <w:tcPr>
            <w:tcW w:w="439" w:type="pct"/>
            <w:vMerge w:val="restart"/>
            <w:noWrap w:val="0"/>
            <w:vAlign w:val="center"/>
          </w:tcPr>
          <w:p w14:paraId="2B63E7AF">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副食类</w:t>
            </w:r>
          </w:p>
        </w:tc>
        <w:tc>
          <w:tcPr>
            <w:tcW w:w="455" w:type="pct"/>
            <w:noWrap w:val="0"/>
            <w:vAlign w:val="center"/>
          </w:tcPr>
          <w:p w14:paraId="6423A08F">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每日</w:t>
            </w:r>
          </w:p>
          <w:p w14:paraId="4DE7C91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必备</w:t>
            </w:r>
          </w:p>
        </w:tc>
        <w:tc>
          <w:tcPr>
            <w:tcW w:w="3815" w:type="pct"/>
            <w:noWrap w:val="0"/>
            <w:vAlign w:val="center"/>
          </w:tcPr>
          <w:p w14:paraId="20682DF5">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自制小菜4种：香葱豆腐、皮蛋豆腐、什锦豆腐、炝拌藕片、炝拌瓜条、拌双耳、浇油土豆丝、浇油豆芽、爽口萝卜丝、浇油海带丝、葱香豆腐丝、炝拌三丁、糖醋心里美、西芹果仁、酸辣土豆丝、蒜泥黄瓜、蒜泥茄条、蚝油生菜、炝拌洋白菜、八宝菠菜、素什锦、浇油苦菊、蒜泥皮冻、炝拌双花、西芹腐竹、咸鸭蛋、葱花鸡蛋、香葱鸡蛋、瓜丝鸡蛋、虾酱鸡蛋、酱牛肉、老火腿</w:t>
            </w:r>
          </w:p>
        </w:tc>
      </w:tr>
      <w:tr w14:paraId="536A5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55A79CAA">
            <w:pPr>
              <w:widowControl/>
              <w:snapToGrid w:val="0"/>
              <w:jc w:val="center"/>
              <w:rPr>
                <w:rFonts w:ascii="宋体" w:hAnsi="宋体" w:eastAsia="宋体" w:cs="Tahoma"/>
                <w:kern w:val="0"/>
                <w:sz w:val="22"/>
                <w:szCs w:val="28"/>
              </w:rPr>
            </w:pPr>
          </w:p>
        </w:tc>
        <w:tc>
          <w:tcPr>
            <w:tcW w:w="439" w:type="pct"/>
            <w:vMerge w:val="continue"/>
            <w:noWrap w:val="0"/>
            <w:vAlign w:val="center"/>
          </w:tcPr>
          <w:p w14:paraId="69972491">
            <w:pPr>
              <w:widowControl/>
              <w:snapToGrid w:val="0"/>
              <w:jc w:val="center"/>
              <w:rPr>
                <w:rFonts w:ascii="宋体" w:hAnsi="宋体" w:eastAsia="宋体" w:cs="Tahoma"/>
                <w:kern w:val="0"/>
                <w:sz w:val="22"/>
                <w:szCs w:val="28"/>
              </w:rPr>
            </w:pPr>
          </w:p>
        </w:tc>
        <w:tc>
          <w:tcPr>
            <w:tcW w:w="455" w:type="pct"/>
            <w:noWrap w:val="0"/>
            <w:vAlign w:val="center"/>
          </w:tcPr>
          <w:p w14:paraId="19397586">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特色</w:t>
            </w:r>
          </w:p>
          <w:p w14:paraId="485402FF">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小吃</w:t>
            </w:r>
          </w:p>
        </w:tc>
        <w:tc>
          <w:tcPr>
            <w:tcW w:w="3815" w:type="pct"/>
            <w:noWrap w:val="0"/>
            <w:vAlign w:val="center"/>
          </w:tcPr>
          <w:p w14:paraId="6B98FC58">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煎饼果子、大饼卷圈等</w:t>
            </w:r>
          </w:p>
        </w:tc>
      </w:tr>
      <w:tr w14:paraId="29EE3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291" w:type="pct"/>
            <w:vMerge w:val="restart"/>
            <w:noWrap w:val="0"/>
            <w:vAlign w:val="center"/>
          </w:tcPr>
          <w:p w14:paraId="56486907">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午餐</w:t>
            </w:r>
          </w:p>
        </w:tc>
        <w:tc>
          <w:tcPr>
            <w:tcW w:w="439" w:type="pct"/>
            <w:noWrap w:val="0"/>
            <w:vAlign w:val="center"/>
          </w:tcPr>
          <w:p w14:paraId="09D84C7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主荤</w:t>
            </w:r>
          </w:p>
          <w:p w14:paraId="20165D48">
            <w:pPr>
              <w:widowControl/>
              <w:snapToGrid w:val="0"/>
              <w:jc w:val="center"/>
              <w:rPr>
                <w:rFonts w:ascii="宋体" w:hAnsi="宋体" w:eastAsia="宋体" w:cs="Tahoma"/>
                <w:kern w:val="0"/>
                <w:sz w:val="22"/>
                <w:szCs w:val="28"/>
              </w:rPr>
            </w:pPr>
          </w:p>
        </w:tc>
        <w:tc>
          <w:tcPr>
            <w:tcW w:w="455" w:type="pct"/>
            <w:noWrap w:val="0"/>
            <w:vAlign w:val="center"/>
          </w:tcPr>
          <w:p w14:paraId="6BB6AFAE">
            <w:pPr>
              <w:widowControl/>
              <w:snapToGrid w:val="0"/>
              <w:jc w:val="center"/>
              <w:rPr>
                <w:rFonts w:ascii="宋体" w:hAnsi="宋体" w:eastAsia="宋体" w:cs="Tahoma"/>
                <w:kern w:val="0"/>
                <w:sz w:val="22"/>
                <w:szCs w:val="28"/>
              </w:rPr>
            </w:pPr>
          </w:p>
        </w:tc>
        <w:tc>
          <w:tcPr>
            <w:tcW w:w="3815" w:type="pct"/>
            <w:noWrap w:val="0"/>
            <w:vAlign w:val="center"/>
          </w:tcPr>
          <w:p w14:paraId="6DB133E3">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叉烧肉、红烧肉、红烧猪手、香辣大虾、红焖羊排、家熬河鱼、酱香排骨、香菇鸡块、小炒牛肉、盐水大虾、咕</w:t>
            </w:r>
            <w:r>
              <w:rPr>
                <w:rFonts w:hint="eastAsia" w:ascii="宋体" w:hAnsi="宋体" w:eastAsia="宋体" w:cs="宋体"/>
                <w:kern w:val="0"/>
                <w:sz w:val="22"/>
                <w:szCs w:val="28"/>
              </w:rPr>
              <w:t>咾</w:t>
            </w:r>
            <w:r>
              <w:rPr>
                <w:rFonts w:hint="eastAsia" w:ascii="宋体" w:hAnsi="宋体" w:eastAsia="宋体" w:cs="仿宋_GB2312"/>
                <w:kern w:val="0"/>
                <w:sz w:val="22"/>
                <w:szCs w:val="28"/>
              </w:rPr>
              <w:t>肉、糖醋鸡柳、孜</w:t>
            </w:r>
            <w:r>
              <w:rPr>
                <w:rFonts w:hint="eastAsia" w:ascii="宋体" w:hAnsi="宋体" w:eastAsia="宋体" w:cs="Tahoma"/>
                <w:kern w:val="0"/>
                <w:sz w:val="22"/>
                <w:szCs w:val="28"/>
              </w:rPr>
              <w:t>然羊肉、杭椒牛柳、羊蝎子、黄焖土鸡、清蒸鲽鱼、清蒸龙利鱼、红烧带鱼、椒盐带鱼、香炸多春鱼、香炸沙丁鱼、清蒸鲈鱼、干烧平昌、清炒虾仁、椒盐虾仁、扒肘条</w:t>
            </w:r>
          </w:p>
        </w:tc>
      </w:tr>
      <w:tr w14:paraId="2F61E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1" w:type="pct"/>
            <w:vMerge w:val="continue"/>
            <w:noWrap w:val="0"/>
            <w:vAlign w:val="center"/>
          </w:tcPr>
          <w:p w14:paraId="70188741">
            <w:pPr>
              <w:widowControl/>
              <w:snapToGrid w:val="0"/>
              <w:jc w:val="center"/>
              <w:rPr>
                <w:rFonts w:ascii="宋体" w:hAnsi="宋体" w:eastAsia="宋体" w:cs="Tahoma"/>
                <w:kern w:val="0"/>
                <w:sz w:val="22"/>
                <w:szCs w:val="28"/>
              </w:rPr>
            </w:pPr>
          </w:p>
        </w:tc>
        <w:tc>
          <w:tcPr>
            <w:tcW w:w="439" w:type="pct"/>
            <w:noWrap w:val="0"/>
            <w:vAlign w:val="center"/>
          </w:tcPr>
          <w:p w14:paraId="5DB7829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次荤</w:t>
            </w:r>
          </w:p>
          <w:p w14:paraId="173FBDAA">
            <w:pPr>
              <w:widowControl/>
              <w:snapToGrid w:val="0"/>
              <w:jc w:val="center"/>
              <w:rPr>
                <w:rFonts w:ascii="宋体" w:hAnsi="宋体" w:eastAsia="宋体" w:cs="Tahoma"/>
                <w:kern w:val="0"/>
                <w:sz w:val="22"/>
                <w:szCs w:val="28"/>
              </w:rPr>
            </w:pPr>
          </w:p>
        </w:tc>
        <w:tc>
          <w:tcPr>
            <w:tcW w:w="455" w:type="pct"/>
            <w:noWrap w:val="0"/>
            <w:vAlign w:val="center"/>
          </w:tcPr>
          <w:p w14:paraId="7E558779">
            <w:pPr>
              <w:widowControl/>
              <w:snapToGrid w:val="0"/>
              <w:jc w:val="center"/>
              <w:rPr>
                <w:rFonts w:ascii="宋体" w:hAnsi="宋体" w:eastAsia="宋体" w:cs="Tahoma"/>
                <w:kern w:val="0"/>
                <w:sz w:val="22"/>
                <w:szCs w:val="28"/>
              </w:rPr>
            </w:pPr>
          </w:p>
        </w:tc>
        <w:tc>
          <w:tcPr>
            <w:tcW w:w="3815" w:type="pct"/>
            <w:noWrap w:val="0"/>
            <w:vAlign w:val="center"/>
          </w:tcPr>
          <w:p w14:paraId="0A17D552">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辣炒豆芽、木须肉、蒜薹肉丝、西芹肉丝、肉末豆腐、炒合菜、木须虾仁、回锅肉、鱼香肉丝、宫保鸡丁、肉片地三鲜、京酱肉丝、杏鲍菇肉片、肉片千叶、苜蓿豆腐、黄瓜鸡蛋、青椒木耳鸡蛋、肉片茄子、西芹火腿、葱爆豆片、蚝油肉片、肉松平菇、干煸豆角、肉片豆角、油爆双鲜、干煸鱿鱼须、香辣三丁、家常豆腐、丝瓜鸡蛋、西芹腊肉、老爆三、腰果西芹、肉片烧腐竹、海米西芹、京味小炒肉、过年菜、苜蓿培根</w:t>
            </w:r>
          </w:p>
        </w:tc>
      </w:tr>
      <w:tr w14:paraId="65315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1" w:type="pct"/>
            <w:vMerge w:val="continue"/>
            <w:noWrap w:val="0"/>
            <w:vAlign w:val="center"/>
          </w:tcPr>
          <w:p w14:paraId="6A6DE469">
            <w:pPr>
              <w:widowControl/>
              <w:snapToGrid w:val="0"/>
              <w:jc w:val="center"/>
              <w:rPr>
                <w:rFonts w:ascii="宋体" w:hAnsi="宋体" w:eastAsia="宋体" w:cs="Tahoma"/>
                <w:kern w:val="0"/>
                <w:sz w:val="22"/>
                <w:szCs w:val="28"/>
              </w:rPr>
            </w:pPr>
          </w:p>
        </w:tc>
        <w:tc>
          <w:tcPr>
            <w:tcW w:w="439" w:type="pct"/>
            <w:noWrap w:val="0"/>
            <w:vAlign w:val="center"/>
          </w:tcPr>
          <w:p w14:paraId="2D2107F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素菜</w:t>
            </w:r>
          </w:p>
          <w:p w14:paraId="6FBE8844">
            <w:pPr>
              <w:widowControl/>
              <w:snapToGrid w:val="0"/>
              <w:jc w:val="center"/>
              <w:rPr>
                <w:rFonts w:ascii="宋体" w:hAnsi="宋体" w:eastAsia="宋体" w:cs="Tahoma"/>
                <w:kern w:val="0"/>
                <w:sz w:val="22"/>
                <w:szCs w:val="28"/>
              </w:rPr>
            </w:pPr>
          </w:p>
        </w:tc>
        <w:tc>
          <w:tcPr>
            <w:tcW w:w="455" w:type="pct"/>
            <w:noWrap w:val="0"/>
            <w:vAlign w:val="center"/>
          </w:tcPr>
          <w:p w14:paraId="55A7956E">
            <w:pPr>
              <w:widowControl/>
              <w:snapToGrid w:val="0"/>
              <w:jc w:val="center"/>
              <w:rPr>
                <w:rFonts w:ascii="宋体" w:hAnsi="宋体" w:eastAsia="宋体" w:cs="Tahoma"/>
                <w:kern w:val="0"/>
                <w:sz w:val="22"/>
                <w:szCs w:val="28"/>
              </w:rPr>
            </w:pPr>
          </w:p>
        </w:tc>
        <w:tc>
          <w:tcPr>
            <w:tcW w:w="3815" w:type="pct"/>
            <w:noWrap w:val="0"/>
            <w:vAlign w:val="center"/>
          </w:tcPr>
          <w:p w14:paraId="7E6AFC4B">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韭菜豆芽、辣炒豆芽、番茄菜花、西芹香干、西芹百合、素烧冬瓜、松仁玉米、开洋白菜、家常茄子、家常土豆丝、油焖豆腐、葱爆豆腐、虾皮小白菜、清炒油麦菜、酱爆圆白菜、醋溜白菜、素烧茄子、清炒豆角、鲍汁冬瓜、鲍汁双花、葱烧木耳、韭菜香干、西芹炒河粉、小炒千叶、尖椒土豆片、香辣豆皮、砂锅豆腐、木耳山药、雪里红</w:t>
            </w:r>
          </w:p>
        </w:tc>
      </w:tr>
      <w:tr w14:paraId="35839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1" w:type="pct"/>
            <w:vMerge w:val="continue"/>
            <w:noWrap w:val="0"/>
            <w:vAlign w:val="center"/>
          </w:tcPr>
          <w:p w14:paraId="3435A20A">
            <w:pPr>
              <w:widowControl/>
              <w:snapToGrid w:val="0"/>
              <w:jc w:val="center"/>
              <w:rPr>
                <w:rFonts w:ascii="宋体" w:hAnsi="宋体" w:eastAsia="宋体" w:cs="Tahoma"/>
                <w:kern w:val="0"/>
                <w:sz w:val="22"/>
                <w:szCs w:val="28"/>
              </w:rPr>
            </w:pPr>
          </w:p>
        </w:tc>
        <w:tc>
          <w:tcPr>
            <w:tcW w:w="439" w:type="pct"/>
            <w:noWrap w:val="0"/>
            <w:vAlign w:val="center"/>
          </w:tcPr>
          <w:p w14:paraId="42C057CA">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凉菜</w:t>
            </w:r>
          </w:p>
          <w:p w14:paraId="2C06E5EB">
            <w:pPr>
              <w:widowControl/>
              <w:snapToGrid w:val="0"/>
              <w:jc w:val="center"/>
              <w:rPr>
                <w:rFonts w:ascii="宋体" w:hAnsi="宋体" w:eastAsia="宋体" w:cs="Tahoma"/>
                <w:kern w:val="0"/>
                <w:sz w:val="22"/>
                <w:szCs w:val="28"/>
              </w:rPr>
            </w:pPr>
          </w:p>
        </w:tc>
        <w:tc>
          <w:tcPr>
            <w:tcW w:w="455" w:type="pct"/>
            <w:noWrap w:val="0"/>
            <w:vAlign w:val="center"/>
          </w:tcPr>
          <w:p w14:paraId="2FB3282C">
            <w:pPr>
              <w:widowControl/>
              <w:snapToGrid w:val="0"/>
              <w:jc w:val="center"/>
              <w:rPr>
                <w:rFonts w:ascii="宋体" w:hAnsi="宋体" w:eastAsia="宋体" w:cs="Tahoma"/>
                <w:kern w:val="0"/>
                <w:sz w:val="22"/>
                <w:szCs w:val="28"/>
              </w:rPr>
            </w:pPr>
          </w:p>
        </w:tc>
        <w:tc>
          <w:tcPr>
            <w:tcW w:w="3815" w:type="pct"/>
            <w:noWrap w:val="0"/>
            <w:vAlign w:val="center"/>
          </w:tcPr>
          <w:p w14:paraId="3C355460">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姜汁藕片、酸辣蕨根粉、五香豆丝、老醋木耳、老醋蛰头、大拌菜、爽口田七、果仁三丁、橙汁瓜条、鲮鱼油麦、蒜泥笋丝、红油金针菇、香葱豆腐、西芹果仁、木耳山药、杏仁苦瓜、爽口苦菊、爽口菜心、红油土豆丝、浇油白菜、蒜香双花、鸡丝拉皮、浇油雪里红、蒜泥豆角、浇油海带丝</w:t>
            </w:r>
          </w:p>
        </w:tc>
      </w:tr>
      <w:tr w14:paraId="78F58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1" w:type="pct"/>
            <w:vMerge w:val="continue"/>
            <w:noWrap w:val="0"/>
            <w:vAlign w:val="center"/>
          </w:tcPr>
          <w:p w14:paraId="6078921C">
            <w:pPr>
              <w:widowControl/>
              <w:snapToGrid w:val="0"/>
              <w:jc w:val="center"/>
              <w:rPr>
                <w:rFonts w:ascii="宋体" w:hAnsi="宋体" w:eastAsia="宋体" w:cs="Tahoma"/>
                <w:kern w:val="0"/>
                <w:sz w:val="22"/>
                <w:szCs w:val="28"/>
              </w:rPr>
            </w:pPr>
          </w:p>
        </w:tc>
        <w:tc>
          <w:tcPr>
            <w:tcW w:w="439" w:type="pct"/>
            <w:noWrap w:val="0"/>
            <w:vAlign w:val="center"/>
          </w:tcPr>
          <w:p w14:paraId="028FE51A">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特色小吃</w:t>
            </w:r>
          </w:p>
        </w:tc>
        <w:tc>
          <w:tcPr>
            <w:tcW w:w="455" w:type="pct"/>
            <w:noWrap w:val="0"/>
            <w:vAlign w:val="center"/>
          </w:tcPr>
          <w:p w14:paraId="5F276C09">
            <w:pPr>
              <w:widowControl/>
              <w:snapToGrid w:val="0"/>
              <w:jc w:val="center"/>
              <w:rPr>
                <w:rFonts w:ascii="宋体" w:hAnsi="宋体" w:eastAsia="宋体" w:cs="Tahoma"/>
                <w:kern w:val="0"/>
                <w:sz w:val="22"/>
                <w:szCs w:val="28"/>
              </w:rPr>
            </w:pPr>
          </w:p>
        </w:tc>
        <w:tc>
          <w:tcPr>
            <w:tcW w:w="3815" w:type="pct"/>
            <w:noWrap w:val="0"/>
            <w:vAlign w:val="center"/>
          </w:tcPr>
          <w:p w14:paraId="593CDF21">
            <w:pPr>
              <w:widowControl/>
              <w:snapToGrid w:val="0"/>
              <w:jc w:val="left"/>
              <w:rPr>
                <w:rFonts w:ascii="宋体" w:hAnsi="宋体" w:eastAsia="宋体" w:cs="Tahoma"/>
                <w:kern w:val="0"/>
                <w:sz w:val="22"/>
                <w:szCs w:val="28"/>
              </w:rPr>
            </w:pPr>
            <w:r>
              <w:rPr>
                <w:rFonts w:hint="eastAsia" w:ascii="宋体" w:hAnsi="宋体" w:eastAsia="宋体" w:cs="Tahoma"/>
                <w:kern w:val="0"/>
                <w:sz w:val="22"/>
                <w:szCs w:val="28"/>
              </w:rPr>
              <w:t>牛肉面、陕西臊子面、油泼面、小卤面、过桥米线、四川担担面、酱油炒饭、烧饼</w:t>
            </w:r>
          </w:p>
        </w:tc>
      </w:tr>
      <w:tr w14:paraId="6100F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2B4E394D">
            <w:pPr>
              <w:widowControl/>
              <w:snapToGrid w:val="0"/>
              <w:jc w:val="center"/>
              <w:rPr>
                <w:rFonts w:ascii="宋体" w:hAnsi="宋体" w:eastAsia="宋体" w:cs="Tahoma"/>
                <w:kern w:val="0"/>
                <w:sz w:val="22"/>
                <w:szCs w:val="28"/>
              </w:rPr>
            </w:pPr>
          </w:p>
        </w:tc>
        <w:tc>
          <w:tcPr>
            <w:tcW w:w="439" w:type="pct"/>
            <w:noWrap w:val="0"/>
            <w:vAlign w:val="center"/>
          </w:tcPr>
          <w:p w14:paraId="0D113680">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主食</w:t>
            </w:r>
          </w:p>
        </w:tc>
        <w:tc>
          <w:tcPr>
            <w:tcW w:w="455" w:type="pct"/>
            <w:noWrap w:val="0"/>
            <w:vAlign w:val="center"/>
          </w:tcPr>
          <w:p w14:paraId="01C75EBC">
            <w:pPr>
              <w:widowControl/>
              <w:snapToGrid w:val="0"/>
              <w:jc w:val="center"/>
              <w:rPr>
                <w:rFonts w:ascii="宋体" w:hAnsi="宋体" w:eastAsia="宋体" w:cs="Tahoma"/>
                <w:kern w:val="0"/>
                <w:sz w:val="22"/>
                <w:szCs w:val="28"/>
              </w:rPr>
            </w:pPr>
          </w:p>
        </w:tc>
        <w:tc>
          <w:tcPr>
            <w:tcW w:w="3815" w:type="pct"/>
            <w:noWrap w:val="0"/>
            <w:vAlign w:val="center"/>
          </w:tcPr>
          <w:p w14:paraId="3317416C">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同上任选3种</w:t>
            </w:r>
          </w:p>
        </w:tc>
      </w:tr>
      <w:tr w14:paraId="58D37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264F3FA5">
            <w:pPr>
              <w:widowControl/>
              <w:snapToGrid w:val="0"/>
              <w:jc w:val="center"/>
              <w:rPr>
                <w:rFonts w:ascii="宋体" w:hAnsi="宋体" w:eastAsia="宋体" w:cs="Tahoma"/>
                <w:kern w:val="0"/>
                <w:sz w:val="22"/>
                <w:szCs w:val="28"/>
              </w:rPr>
            </w:pPr>
          </w:p>
        </w:tc>
        <w:tc>
          <w:tcPr>
            <w:tcW w:w="439" w:type="pct"/>
            <w:vMerge w:val="restart"/>
            <w:noWrap w:val="0"/>
            <w:vAlign w:val="center"/>
          </w:tcPr>
          <w:p w14:paraId="0990AD1E">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汤粥</w:t>
            </w:r>
          </w:p>
        </w:tc>
        <w:tc>
          <w:tcPr>
            <w:tcW w:w="455" w:type="pct"/>
            <w:noWrap w:val="0"/>
            <w:vAlign w:val="center"/>
          </w:tcPr>
          <w:p w14:paraId="44E794D0">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粥1种</w:t>
            </w:r>
          </w:p>
        </w:tc>
        <w:tc>
          <w:tcPr>
            <w:tcW w:w="3815" w:type="pct"/>
            <w:noWrap w:val="0"/>
            <w:vAlign w:val="center"/>
          </w:tcPr>
          <w:p w14:paraId="680BCDE1">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r w14:paraId="5CFA1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4928C191">
            <w:pPr>
              <w:widowControl/>
              <w:snapToGrid w:val="0"/>
              <w:jc w:val="center"/>
              <w:rPr>
                <w:rFonts w:ascii="宋体" w:hAnsi="宋体" w:eastAsia="宋体" w:cs="Tahoma"/>
                <w:kern w:val="0"/>
                <w:sz w:val="22"/>
                <w:szCs w:val="28"/>
              </w:rPr>
            </w:pPr>
          </w:p>
        </w:tc>
        <w:tc>
          <w:tcPr>
            <w:tcW w:w="439" w:type="pct"/>
            <w:vMerge w:val="continue"/>
            <w:noWrap w:val="0"/>
            <w:vAlign w:val="center"/>
          </w:tcPr>
          <w:p w14:paraId="44DF5CB3">
            <w:pPr>
              <w:widowControl/>
              <w:snapToGrid w:val="0"/>
              <w:jc w:val="center"/>
              <w:rPr>
                <w:rFonts w:ascii="宋体" w:hAnsi="宋体" w:eastAsia="宋体" w:cs="Tahoma"/>
                <w:kern w:val="0"/>
                <w:sz w:val="22"/>
                <w:szCs w:val="28"/>
              </w:rPr>
            </w:pPr>
          </w:p>
        </w:tc>
        <w:tc>
          <w:tcPr>
            <w:tcW w:w="455" w:type="pct"/>
            <w:noWrap w:val="0"/>
            <w:vAlign w:val="center"/>
          </w:tcPr>
          <w:p w14:paraId="39E6E926">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汤1种</w:t>
            </w:r>
          </w:p>
        </w:tc>
        <w:tc>
          <w:tcPr>
            <w:tcW w:w="3815" w:type="pct"/>
            <w:noWrap w:val="0"/>
            <w:vAlign w:val="center"/>
          </w:tcPr>
          <w:p w14:paraId="020B10CF">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r w14:paraId="2DFB9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91" w:type="pct"/>
            <w:vMerge w:val="restart"/>
            <w:noWrap w:val="0"/>
            <w:vAlign w:val="center"/>
          </w:tcPr>
          <w:p w14:paraId="52527222">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晚餐</w:t>
            </w:r>
          </w:p>
        </w:tc>
        <w:tc>
          <w:tcPr>
            <w:tcW w:w="439" w:type="pct"/>
            <w:noWrap w:val="0"/>
            <w:vAlign w:val="center"/>
          </w:tcPr>
          <w:p w14:paraId="140473B1">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主荤</w:t>
            </w:r>
          </w:p>
          <w:p w14:paraId="0AA572B6">
            <w:pPr>
              <w:widowControl/>
              <w:snapToGrid w:val="0"/>
              <w:jc w:val="center"/>
              <w:rPr>
                <w:rFonts w:ascii="宋体" w:hAnsi="宋体" w:eastAsia="宋体" w:cs="Tahoma"/>
                <w:kern w:val="0"/>
                <w:sz w:val="22"/>
                <w:szCs w:val="28"/>
              </w:rPr>
            </w:pPr>
          </w:p>
        </w:tc>
        <w:tc>
          <w:tcPr>
            <w:tcW w:w="455" w:type="pct"/>
            <w:noWrap w:val="0"/>
            <w:vAlign w:val="center"/>
          </w:tcPr>
          <w:p w14:paraId="698911CB">
            <w:pPr>
              <w:widowControl/>
              <w:snapToGrid w:val="0"/>
              <w:jc w:val="center"/>
              <w:rPr>
                <w:rFonts w:ascii="宋体" w:hAnsi="宋体" w:eastAsia="宋体" w:cs="Tahoma"/>
                <w:kern w:val="0"/>
                <w:sz w:val="22"/>
                <w:szCs w:val="28"/>
              </w:rPr>
            </w:pPr>
          </w:p>
        </w:tc>
        <w:tc>
          <w:tcPr>
            <w:tcW w:w="3815" w:type="pct"/>
            <w:noWrap w:val="0"/>
            <w:vAlign w:val="center"/>
          </w:tcPr>
          <w:p w14:paraId="5B160582">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r w14:paraId="621DF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68FFE258">
            <w:pPr>
              <w:widowControl/>
              <w:snapToGrid w:val="0"/>
              <w:jc w:val="center"/>
              <w:rPr>
                <w:rFonts w:ascii="宋体" w:hAnsi="宋体" w:eastAsia="宋体" w:cs="Tahoma"/>
                <w:kern w:val="0"/>
                <w:sz w:val="22"/>
                <w:szCs w:val="28"/>
              </w:rPr>
            </w:pPr>
          </w:p>
        </w:tc>
        <w:tc>
          <w:tcPr>
            <w:tcW w:w="439" w:type="pct"/>
            <w:noWrap w:val="0"/>
            <w:vAlign w:val="center"/>
          </w:tcPr>
          <w:p w14:paraId="66D5FEF3">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荤菜</w:t>
            </w:r>
          </w:p>
          <w:p w14:paraId="5D3FAD79">
            <w:pPr>
              <w:widowControl/>
              <w:snapToGrid w:val="0"/>
              <w:jc w:val="center"/>
              <w:rPr>
                <w:rFonts w:ascii="宋体" w:hAnsi="宋体" w:eastAsia="宋体" w:cs="Tahoma"/>
                <w:kern w:val="0"/>
                <w:sz w:val="22"/>
                <w:szCs w:val="28"/>
              </w:rPr>
            </w:pPr>
          </w:p>
        </w:tc>
        <w:tc>
          <w:tcPr>
            <w:tcW w:w="455" w:type="pct"/>
            <w:noWrap w:val="0"/>
            <w:vAlign w:val="center"/>
          </w:tcPr>
          <w:p w14:paraId="59DD59A9">
            <w:pPr>
              <w:widowControl/>
              <w:snapToGrid w:val="0"/>
              <w:jc w:val="center"/>
              <w:rPr>
                <w:rFonts w:ascii="宋体" w:hAnsi="宋体" w:eastAsia="宋体" w:cs="Tahoma"/>
                <w:kern w:val="0"/>
                <w:sz w:val="22"/>
                <w:szCs w:val="28"/>
              </w:rPr>
            </w:pPr>
          </w:p>
        </w:tc>
        <w:tc>
          <w:tcPr>
            <w:tcW w:w="3815" w:type="pct"/>
            <w:noWrap w:val="0"/>
            <w:vAlign w:val="center"/>
          </w:tcPr>
          <w:p w14:paraId="3672047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r w14:paraId="27594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2C5F5474">
            <w:pPr>
              <w:widowControl/>
              <w:snapToGrid w:val="0"/>
              <w:jc w:val="center"/>
              <w:rPr>
                <w:rFonts w:ascii="宋体" w:hAnsi="宋体" w:eastAsia="宋体" w:cs="Tahoma"/>
                <w:kern w:val="0"/>
                <w:sz w:val="22"/>
                <w:szCs w:val="28"/>
              </w:rPr>
            </w:pPr>
          </w:p>
        </w:tc>
        <w:tc>
          <w:tcPr>
            <w:tcW w:w="439" w:type="pct"/>
            <w:noWrap w:val="0"/>
            <w:vAlign w:val="center"/>
          </w:tcPr>
          <w:p w14:paraId="0A67C87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素菜</w:t>
            </w:r>
          </w:p>
          <w:p w14:paraId="45E1D508">
            <w:pPr>
              <w:widowControl/>
              <w:snapToGrid w:val="0"/>
              <w:jc w:val="center"/>
              <w:rPr>
                <w:rFonts w:ascii="宋体" w:hAnsi="宋体" w:eastAsia="宋体" w:cs="Tahoma"/>
                <w:kern w:val="0"/>
                <w:sz w:val="22"/>
                <w:szCs w:val="28"/>
              </w:rPr>
            </w:pPr>
          </w:p>
        </w:tc>
        <w:tc>
          <w:tcPr>
            <w:tcW w:w="455" w:type="pct"/>
            <w:noWrap w:val="0"/>
            <w:vAlign w:val="center"/>
          </w:tcPr>
          <w:p w14:paraId="3DD2E0B6">
            <w:pPr>
              <w:widowControl/>
              <w:snapToGrid w:val="0"/>
              <w:jc w:val="center"/>
              <w:rPr>
                <w:rFonts w:ascii="宋体" w:hAnsi="宋体" w:eastAsia="宋体" w:cs="Tahoma"/>
                <w:kern w:val="0"/>
                <w:sz w:val="22"/>
                <w:szCs w:val="28"/>
              </w:rPr>
            </w:pPr>
          </w:p>
        </w:tc>
        <w:tc>
          <w:tcPr>
            <w:tcW w:w="3815" w:type="pct"/>
            <w:noWrap w:val="0"/>
            <w:vAlign w:val="center"/>
          </w:tcPr>
          <w:p w14:paraId="1406E6D9">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r w14:paraId="038C2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7A075D39">
            <w:pPr>
              <w:widowControl/>
              <w:snapToGrid w:val="0"/>
              <w:jc w:val="center"/>
              <w:rPr>
                <w:rFonts w:ascii="宋体" w:hAnsi="宋体" w:eastAsia="宋体" w:cs="Tahoma"/>
                <w:kern w:val="0"/>
                <w:sz w:val="22"/>
                <w:szCs w:val="28"/>
              </w:rPr>
            </w:pPr>
          </w:p>
        </w:tc>
        <w:tc>
          <w:tcPr>
            <w:tcW w:w="439" w:type="pct"/>
            <w:noWrap w:val="0"/>
            <w:vAlign w:val="center"/>
          </w:tcPr>
          <w:p w14:paraId="19A852C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主食</w:t>
            </w:r>
          </w:p>
          <w:p w14:paraId="295B4542">
            <w:pPr>
              <w:widowControl/>
              <w:snapToGrid w:val="0"/>
              <w:jc w:val="center"/>
              <w:rPr>
                <w:rFonts w:ascii="宋体" w:hAnsi="宋体" w:eastAsia="宋体" w:cs="Tahoma"/>
                <w:kern w:val="0"/>
                <w:sz w:val="22"/>
                <w:szCs w:val="28"/>
              </w:rPr>
            </w:pPr>
          </w:p>
        </w:tc>
        <w:tc>
          <w:tcPr>
            <w:tcW w:w="455" w:type="pct"/>
            <w:noWrap w:val="0"/>
            <w:vAlign w:val="center"/>
          </w:tcPr>
          <w:p w14:paraId="1940C681">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每日</w:t>
            </w:r>
          </w:p>
          <w:p w14:paraId="2F387C40">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必备</w:t>
            </w:r>
          </w:p>
        </w:tc>
        <w:tc>
          <w:tcPr>
            <w:tcW w:w="3815" w:type="pct"/>
            <w:noWrap w:val="0"/>
            <w:vAlign w:val="center"/>
          </w:tcPr>
          <w:p w14:paraId="77389374">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花卷、馒头、米饭、馅类</w:t>
            </w:r>
          </w:p>
        </w:tc>
      </w:tr>
      <w:tr w14:paraId="26AD1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91" w:type="pct"/>
            <w:vMerge w:val="continue"/>
            <w:noWrap w:val="0"/>
            <w:vAlign w:val="center"/>
          </w:tcPr>
          <w:p w14:paraId="7D91F786">
            <w:pPr>
              <w:widowControl/>
              <w:snapToGrid w:val="0"/>
              <w:jc w:val="center"/>
              <w:rPr>
                <w:rFonts w:ascii="宋体" w:hAnsi="宋体" w:eastAsia="宋体" w:cs="Tahoma"/>
                <w:kern w:val="0"/>
                <w:sz w:val="22"/>
                <w:szCs w:val="28"/>
              </w:rPr>
            </w:pPr>
          </w:p>
        </w:tc>
        <w:tc>
          <w:tcPr>
            <w:tcW w:w="439" w:type="pct"/>
            <w:noWrap w:val="0"/>
            <w:vAlign w:val="center"/>
          </w:tcPr>
          <w:p w14:paraId="6020FE77">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汤粥</w:t>
            </w:r>
          </w:p>
          <w:p w14:paraId="3FE6B4E0">
            <w:pPr>
              <w:widowControl/>
              <w:snapToGrid w:val="0"/>
              <w:jc w:val="center"/>
              <w:rPr>
                <w:rFonts w:ascii="宋体" w:hAnsi="宋体" w:eastAsia="宋体" w:cs="Tahoma"/>
                <w:kern w:val="0"/>
                <w:sz w:val="22"/>
                <w:szCs w:val="28"/>
              </w:rPr>
            </w:pPr>
          </w:p>
        </w:tc>
        <w:tc>
          <w:tcPr>
            <w:tcW w:w="455" w:type="pct"/>
            <w:noWrap w:val="0"/>
            <w:vAlign w:val="center"/>
          </w:tcPr>
          <w:p w14:paraId="0C4FF78B">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粥或汤1种</w:t>
            </w:r>
          </w:p>
        </w:tc>
        <w:tc>
          <w:tcPr>
            <w:tcW w:w="3815" w:type="pct"/>
            <w:noWrap w:val="0"/>
            <w:vAlign w:val="center"/>
          </w:tcPr>
          <w:p w14:paraId="4B80784B">
            <w:pPr>
              <w:widowControl/>
              <w:snapToGrid w:val="0"/>
              <w:jc w:val="center"/>
              <w:rPr>
                <w:rFonts w:ascii="宋体" w:hAnsi="宋体" w:eastAsia="宋体" w:cs="Tahoma"/>
                <w:kern w:val="0"/>
                <w:sz w:val="22"/>
                <w:szCs w:val="28"/>
              </w:rPr>
            </w:pPr>
            <w:r>
              <w:rPr>
                <w:rFonts w:hint="eastAsia" w:ascii="宋体" w:hAnsi="宋体" w:eastAsia="宋体" w:cs="Tahoma"/>
                <w:kern w:val="0"/>
                <w:sz w:val="22"/>
                <w:szCs w:val="28"/>
              </w:rPr>
              <w:t>同上任选1种</w:t>
            </w:r>
          </w:p>
        </w:tc>
      </w:tr>
    </w:tbl>
    <w:p w14:paraId="3D6CE4F7">
      <w:pPr>
        <w:spacing w:line="360" w:lineRule="auto"/>
        <w:rPr>
          <w:rFonts w:ascii="宋体" w:hAnsi="宋体" w:eastAsia="宋体" w:cs="Times New Roman"/>
          <w:sz w:val="24"/>
          <w:szCs w:val="24"/>
        </w:rPr>
      </w:pPr>
    </w:p>
    <w:p w14:paraId="4933C3D2">
      <w:pPr>
        <w:tabs>
          <w:tab w:val="left" w:pos="1260"/>
          <w:tab w:val="center" w:pos="4156"/>
        </w:tabs>
        <w:spacing w:line="360" w:lineRule="auto"/>
        <w:outlineLvl w:val="0"/>
        <w:rPr>
          <w:rFonts w:ascii="宋体" w:hAnsi="宋体"/>
          <w:color w:val="FF0000"/>
          <w:sz w:val="24"/>
        </w:rPr>
      </w:pP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1"/>
        <w:spacing w:line="360" w:lineRule="auto"/>
        <w:ind w:firstLine="480" w:firstLineChars="200"/>
        <w:jc w:val="both"/>
        <w:rPr>
          <w:rFonts w:ascii="Times New Roman" w:hAnsi="Times New Roman" w:eastAsia="宋体" w:cs="Times New Roman"/>
          <w:color w:val="auto"/>
        </w:rPr>
      </w:pPr>
    </w:p>
    <w:p w14:paraId="6D664176">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6"/>
        <w:numPr>
          <w:ilvl w:val="0"/>
          <w:numId w:val="9"/>
        </w:numPr>
        <w:spacing w:line="480" w:lineRule="exact"/>
        <w:ind w:firstLineChars="0"/>
        <w:rPr>
          <w:sz w:val="24"/>
          <w:szCs w:val="24"/>
        </w:rPr>
      </w:pPr>
      <w:r>
        <w:rPr>
          <w:rFonts w:hint="eastAsia"/>
          <w:sz w:val="24"/>
          <w:szCs w:val="24"/>
        </w:rPr>
        <w:t>本合同为中小企业预留合同</w:t>
      </w:r>
    </w:p>
    <w:p w14:paraId="0A163048">
      <w:pPr>
        <w:pStyle w:val="66"/>
        <w:numPr>
          <w:ilvl w:val="0"/>
          <w:numId w:val="9"/>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10" w:name="OLE_LINK14"/>
      <w:bookmarkStart w:id="11" w:name="OLE_LINK13"/>
      <w:r>
        <w:rPr>
          <w:rFonts w:hint="eastAsia"/>
          <w:b/>
          <w:bCs/>
          <w:sz w:val="24"/>
        </w:rPr>
        <w:t>附件9-2</w:t>
      </w:r>
    </w:p>
    <w:bookmarkEnd w:id="10"/>
    <w:bookmarkEnd w:id="11"/>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6"/>
        <w:tabs>
          <w:tab w:val="left" w:pos="360"/>
        </w:tabs>
        <w:spacing w:line="360" w:lineRule="auto"/>
        <w:ind w:firstLine="446"/>
        <w:rPr>
          <w:sz w:val="24"/>
        </w:rPr>
      </w:pPr>
    </w:p>
    <w:p w14:paraId="446EABF6">
      <w:pPr>
        <w:pStyle w:val="6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6"/>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6"/>
        <w:tabs>
          <w:tab w:val="left" w:pos="360"/>
        </w:tabs>
        <w:spacing w:line="360" w:lineRule="auto"/>
        <w:ind w:firstLine="0" w:firstLineChars="0"/>
        <w:rPr>
          <w:sz w:val="24"/>
          <w:u w:val="single"/>
        </w:rPr>
      </w:pPr>
      <w:r>
        <w:rPr>
          <w:rFonts w:hint="eastAsia"/>
          <w:sz w:val="24"/>
          <w:u w:val="single"/>
        </w:rPr>
        <w:t xml:space="preserve">                                                                     </w:t>
      </w:r>
    </w:p>
    <w:p w14:paraId="75DE7F69">
      <w:pPr>
        <w:pStyle w:val="66"/>
        <w:tabs>
          <w:tab w:val="left" w:pos="360"/>
        </w:tabs>
        <w:spacing w:line="360" w:lineRule="auto"/>
        <w:ind w:firstLine="446"/>
        <w:rPr>
          <w:sz w:val="24"/>
        </w:rPr>
      </w:pPr>
    </w:p>
    <w:p w14:paraId="51473993">
      <w:pPr>
        <w:pStyle w:val="66"/>
        <w:spacing w:line="360" w:lineRule="auto"/>
        <w:ind w:firstLine="0" w:firstLineChars="0"/>
        <w:jc w:val="center"/>
        <w:rPr>
          <w:b/>
          <w:sz w:val="24"/>
        </w:rPr>
      </w:pPr>
    </w:p>
    <w:p w14:paraId="73A1E01C">
      <w:pPr>
        <w:pStyle w:val="66"/>
        <w:spacing w:line="360" w:lineRule="auto"/>
        <w:ind w:firstLine="0" w:firstLineChars="0"/>
        <w:jc w:val="center"/>
        <w:rPr>
          <w:b/>
          <w:sz w:val="24"/>
        </w:rPr>
      </w:pPr>
    </w:p>
    <w:p w14:paraId="4F9F72CB">
      <w:pPr>
        <w:pStyle w:val="66"/>
        <w:spacing w:line="360" w:lineRule="auto"/>
        <w:ind w:firstLine="0" w:firstLineChars="0"/>
        <w:jc w:val="center"/>
        <w:rPr>
          <w:b/>
          <w:sz w:val="24"/>
        </w:rPr>
      </w:pPr>
      <w:r>
        <w:rPr>
          <w:rFonts w:hint="eastAsia"/>
          <w:b/>
          <w:sz w:val="24"/>
        </w:rPr>
        <w:t>证明材料</w:t>
      </w:r>
    </w:p>
    <w:p w14:paraId="4539E36B">
      <w:pPr>
        <w:pStyle w:val="66"/>
        <w:tabs>
          <w:tab w:val="left" w:pos="360"/>
        </w:tabs>
        <w:spacing w:line="360" w:lineRule="auto"/>
        <w:ind w:firstLine="446"/>
        <w:rPr>
          <w:sz w:val="24"/>
        </w:rPr>
      </w:pPr>
    </w:p>
    <w:p w14:paraId="4D1B14B0">
      <w:pPr>
        <w:pStyle w:val="6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6"/>
        <w:tabs>
          <w:tab w:val="left" w:pos="360"/>
        </w:tabs>
        <w:spacing w:line="360" w:lineRule="auto"/>
        <w:ind w:firstLine="446"/>
        <w:rPr>
          <w:sz w:val="24"/>
        </w:rPr>
      </w:pPr>
    </w:p>
    <w:p w14:paraId="75D25454">
      <w:pPr>
        <w:pStyle w:val="66"/>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7"/>
      <w:suff w:val="nothing"/>
      <w:lvlText w:val="第%1章 "/>
      <w:lvlJc w:val="left"/>
      <w:pPr>
        <w:ind w:left="0" w:firstLine="0"/>
      </w:pPr>
      <w:rPr>
        <w:rFonts w:ascii="Arial" w:hAnsi="Arial"/>
      </w:rPr>
    </w:lvl>
    <w:lvl w:ilvl="1" w:tentative="0">
      <w:start w:val="1"/>
      <w:numFmt w:val="decimal"/>
      <w:pStyle w:val="215"/>
      <w:suff w:val="nothing"/>
      <w:lvlText w:val="%1.%2."/>
      <w:lvlJc w:val="left"/>
      <w:pPr>
        <w:ind w:left="1260" w:firstLine="0"/>
      </w:pPr>
      <w:rPr>
        <w:rFonts w:ascii="Arial" w:hAnsi="Arial"/>
      </w:rPr>
    </w:lvl>
    <w:lvl w:ilvl="2" w:tentative="0">
      <w:start w:val="1"/>
      <w:numFmt w:val="decimal"/>
      <w:pStyle w:val="228"/>
      <w:suff w:val="nothing"/>
      <w:lvlText w:val="%1.%2.%3."/>
      <w:lvlJc w:val="left"/>
      <w:pPr>
        <w:ind w:left="360" w:firstLine="0"/>
      </w:pPr>
      <w:rPr>
        <w:rFonts w:ascii="Arial" w:hAnsi="Arial"/>
      </w:rPr>
    </w:lvl>
    <w:lvl w:ilvl="3" w:tentative="0">
      <w:start w:val="1"/>
      <w:numFmt w:val="decimal"/>
      <w:pStyle w:val="183"/>
      <w:suff w:val="nothing"/>
      <w:lvlText w:val="%1.%2.%3.%4."/>
      <w:lvlJc w:val="left"/>
      <w:pPr>
        <w:ind w:left="0" w:firstLine="0"/>
      </w:pPr>
      <w:rPr>
        <w:rFonts w:ascii="Arial" w:hAnsi="Arial"/>
      </w:rPr>
    </w:lvl>
    <w:lvl w:ilvl="4" w:tentative="0">
      <w:start w:val="1"/>
      <w:numFmt w:val="decimal"/>
      <w:pStyle w:val="248"/>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1"/>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25480269"/>
    <w:multiLevelType w:val="multilevel"/>
    <w:tmpl w:val="25480269"/>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330A523E"/>
    <w:multiLevelType w:val="multilevel"/>
    <w:tmpl w:val="330A523E"/>
    <w:lvl w:ilvl="0" w:tentative="0">
      <w:start w:val="1"/>
      <w:numFmt w:val="bullet"/>
      <w:pStyle w:val="335"/>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5">
    <w:nsid w:val="3C5D9152"/>
    <w:multiLevelType w:val="singleLevel"/>
    <w:tmpl w:val="3C5D9152"/>
    <w:lvl w:ilvl="0" w:tentative="0">
      <w:start w:val="5"/>
      <w:numFmt w:val="decimal"/>
      <w:suff w:val="nothing"/>
      <w:lvlText w:val="（%1）"/>
      <w:lvlJc w:val="left"/>
    </w:lvl>
  </w:abstractNum>
  <w:abstractNum w:abstractNumId="6">
    <w:nsid w:val="48691EC1"/>
    <w:multiLevelType w:val="multilevel"/>
    <w:tmpl w:val="48691EC1"/>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5EB21581"/>
    <w:multiLevelType w:val="multilevel"/>
    <w:tmpl w:val="5EB21581"/>
    <w:lvl w:ilvl="0" w:tentative="0">
      <w:start w:val="1"/>
      <w:numFmt w:val="decimal"/>
      <w:pStyle w:val="170"/>
      <w:lvlText w:val="%1."/>
      <w:lvlJc w:val="left"/>
      <w:pPr>
        <w:ind w:left="0" w:firstLine="0"/>
      </w:pPr>
    </w:lvl>
    <w:lvl w:ilvl="1" w:tentative="0">
      <w:start w:val="1"/>
      <w:numFmt w:val="decimal"/>
      <w:pStyle w:val="277"/>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8">
    <w:nsid w:val="629D68F8"/>
    <w:multiLevelType w:val="multilevel"/>
    <w:tmpl w:val="629D68F8"/>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7"/>
  </w:num>
  <w:num w:numId="3">
    <w:abstractNumId w:val="0"/>
  </w:num>
  <w:num w:numId="4">
    <w:abstractNumId w:val="3"/>
  </w:num>
  <w:num w:numId="5">
    <w:abstractNumId w:val="5"/>
  </w:num>
  <w:num w:numId="6">
    <w:abstractNumId w:val="6"/>
  </w:num>
  <w:num w:numId="7">
    <w:abstractNumId w:val="8"/>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66278A1"/>
    <w:rsid w:val="074D44A4"/>
    <w:rsid w:val="0A451538"/>
    <w:rsid w:val="0C740C6C"/>
    <w:rsid w:val="119840F0"/>
    <w:rsid w:val="1B8D0CAC"/>
    <w:rsid w:val="1D7D286E"/>
    <w:rsid w:val="1FB5190D"/>
    <w:rsid w:val="255D5901"/>
    <w:rsid w:val="280630CD"/>
    <w:rsid w:val="2ABA220C"/>
    <w:rsid w:val="2E3F1137"/>
    <w:rsid w:val="353124BB"/>
    <w:rsid w:val="371E4021"/>
    <w:rsid w:val="3BE651CF"/>
    <w:rsid w:val="3CFB44C3"/>
    <w:rsid w:val="3FA2402D"/>
    <w:rsid w:val="42862F4A"/>
    <w:rsid w:val="458742AA"/>
    <w:rsid w:val="4C9C3EED"/>
    <w:rsid w:val="4EF136CB"/>
    <w:rsid w:val="4FF21546"/>
    <w:rsid w:val="508050AF"/>
    <w:rsid w:val="56BC17E5"/>
    <w:rsid w:val="5AD07020"/>
    <w:rsid w:val="659E0855"/>
    <w:rsid w:val="6ABD4D81"/>
    <w:rsid w:val="6BF40DEE"/>
    <w:rsid w:val="6C6722E9"/>
    <w:rsid w:val="6D7F7620"/>
    <w:rsid w:val="735C269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6"/>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7"/>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68"/>
    <w:qFormat/>
    <w:uiPriority w:val="0"/>
    <w:pPr>
      <w:keepNext/>
      <w:keepLines/>
      <w:spacing w:before="260" w:after="260" w:line="416" w:lineRule="auto"/>
      <w:outlineLvl w:val="2"/>
    </w:pPr>
    <w:rPr>
      <w:b/>
      <w:bCs/>
      <w:sz w:val="32"/>
      <w:szCs w:val="32"/>
    </w:rPr>
  </w:style>
  <w:style w:type="paragraph" w:styleId="5">
    <w:name w:val="heading 4"/>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4"/>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5"/>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0"/>
    <w:unhideWhenUsed/>
    <w:qFormat/>
    <w:uiPriority w:val="99"/>
    <w:pPr>
      <w:jc w:val="left"/>
    </w:pPr>
  </w:style>
  <w:style w:type="paragraph" w:styleId="18">
    <w:name w:val="Body Text 3"/>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2"/>
    <w:unhideWhenUsed/>
    <w:qFormat/>
    <w:uiPriority w:val="0"/>
    <w:pPr>
      <w:spacing w:after="120"/>
    </w:pPr>
  </w:style>
  <w:style w:type="paragraph" w:styleId="20">
    <w:name w:val="Body Text Indent"/>
    <w:basedOn w:val="1"/>
    <w:link w:val="60"/>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2"/>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5"/>
    <w:qFormat/>
    <w:uiPriority w:val="0"/>
    <w:pPr>
      <w:adjustRightInd w:val="0"/>
      <w:spacing w:line="360" w:lineRule="atLeast"/>
      <w:textAlignment w:val="baseline"/>
    </w:pPr>
    <w:rPr>
      <w:sz w:val="32"/>
    </w:rPr>
  </w:style>
  <w:style w:type="paragraph" w:styleId="29">
    <w:name w:val="Body Text Indent 2"/>
    <w:basedOn w:val="1"/>
    <w:link w:val="67"/>
    <w:unhideWhenUsed/>
    <w:qFormat/>
    <w:uiPriority w:val="0"/>
    <w:pPr>
      <w:spacing w:after="120" w:line="480" w:lineRule="auto"/>
      <w:ind w:left="420" w:leftChars="200"/>
    </w:pPr>
  </w:style>
  <w:style w:type="paragraph" w:styleId="30">
    <w:name w:val="Balloon Text"/>
    <w:basedOn w:val="1"/>
    <w:link w:val="81"/>
    <w:unhideWhenUsed/>
    <w:qFormat/>
    <w:uiPriority w:val="0"/>
    <w:rPr>
      <w:sz w:val="18"/>
      <w:szCs w:val="18"/>
    </w:rPr>
  </w:style>
  <w:style w:type="paragraph" w:styleId="31">
    <w:name w:val="footer"/>
    <w:basedOn w:val="1"/>
    <w:link w:val="64"/>
    <w:unhideWhenUsed/>
    <w:qFormat/>
    <w:uiPriority w:val="99"/>
    <w:pPr>
      <w:tabs>
        <w:tab w:val="center" w:pos="4153"/>
        <w:tab w:val="right" w:pos="8306"/>
      </w:tabs>
      <w:snapToGrid w:val="0"/>
      <w:jc w:val="left"/>
    </w:pPr>
    <w:rPr>
      <w:sz w:val="18"/>
      <w:szCs w:val="18"/>
    </w:rPr>
  </w:style>
  <w:style w:type="paragraph" w:styleId="32">
    <w:name w:val="header"/>
    <w:basedOn w:val="1"/>
    <w:link w:val="63"/>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2"/>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3"/>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69"/>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4"/>
    <w:unhideWhenUsed/>
    <w:qFormat/>
    <w:uiPriority w:val="99"/>
    <w:rPr>
      <w:b/>
      <w:bCs/>
    </w:rPr>
  </w:style>
  <w:style w:type="paragraph" w:styleId="46">
    <w:name w:val="Body Text First Indent"/>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99"/>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rFonts w:ascii="Calibri" w:hAnsi="Calibri" w:eastAsia="Calibri"/>
      <w:color w:val="CC0033"/>
      <w:kern w:val="0"/>
      <w:sz w:val="20"/>
    </w:rPr>
  </w:style>
  <w:style w:type="character" w:styleId="54">
    <w:name w:val="HTML Definition"/>
    <w:unhideWhenUsed/>
    <w:qFormat/>
    <w:uiPriority w:val="99"/>
    <w:rPr>
      <w:i/>
    </w:rPr>
  </w:style>
  <w:style w:type="character" w:styleId="55">
    <w:name w:val="Hyperlink"/>
    <w:basedOn w:val="50"/>
    <w:unhideWhenUsed/>
    <w:qFormat/>
    <w:uiPriority w:val="99"/>
    <w:rPr>
      <w:color w:val="0000FF" w:themeColor="hyperlink"/>
      <w:u w:val="single"/>
      <w14:textFill>
        <w14:solidFill>
          <w14:schemeClr w14:val="hlink"/>
        </w14:solidFill>
      </w14:textFill>
    </w:rPr>
  </w:style>
  <w:style w:type="character" w:styleId="56">
    <w:name w:val="HTML Code"/>
    <w:unhideWhenUsed/>
    <w:qFormat/>
    <w:uiPriority w:val="99"/>
    <w:rPr>
      <w:rFonts w:hint="default" w:ascii="serif" w:hAnsi="serif" w:eastAsia="serif" w:cs="serif"/>
      <w:sz w:val="21"/>
      <w:szCs w:val="21"/>
    </w:rPr>
  </w:style>
  <w:style w:type="character" w:styleId="57">
    <w:name w:val="annotation reference"/>
    <w:basedOn w:val="50"/>
    <w:unhideWhenUsed/>
    <w:qFormat/>
    <w:uiPriority w:val="99"/>
    <w:rPr>
      <w:sz w:val="21"/>
      <w:szCs w:val="21"/>
    </w:rPr>
  </w:style>
  <w:style w:type="character" w:styleId="58">
    <w:name w:val="HTML Keyboard"/>
    <w:unhideWhenUsed/>
    <w:qFormat/>
    <w:uiPriority w:val="99"/>
    <w:rPr>
      <w:rFonts w:ascii="serif" w:hAnsi="serif" w:eastAsia="serif" w:cs="serif"/>
      <w:sz w:val="21"/>
      <w:szCs w:val="21"/>
    </w:rPr>
  </w:style>
  <w:style w:type="character" w:styleId="59">
    <w:name w:val="HTML Sample"/>
    <w:unhideWhenUsed/>
    <w:qFormat/>
    <w:uiPriority w:val="99"/>
    <w:rPr>
      <w:rFonts w:hint="default" w:ascii="serif" w:hAnsi="serif" w:eastAsia="serif" w:cs="serif"/>
      <w:sz w:val="21"/>
      <w:szCs w:val="21"/>
    </w:rPr>
  </w:style>
  <w:style w:type="character" w:customStyle="1" w:styleId="60">
    <w:name w:val="正文文本缩进 字符"/>
    <w:basedOn w:val="50"/>
    <w:link w:val="20"/>
    <w:qFormat/>
    <w:uiPriority w:val="0"/>
    <w:rPr>
      <w:rFonts w:ascii="宋体" w:hAnsi="宋体" w:eastAsia="宋体" w:cs="Times New Roman"/>
      <w:sz w:val="24"/>
      <w:szCs w:val="20"/>
    </w:rPr>
  </w:style>
  <w:style w:type="paragraph" w:customStyle="1" w:styleId="61">
    <w:name w:val="Default"/>
    <w:link w:val="8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2">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3">
    <w:name w:val="页眉 字符"/>
    <w:basedOn w:val="50"/>
    <w:link w:val="32"/>
    <w:qFormat/>
    <w:uiPriority w:val="99"/>
    <w:rPr>
      <w:rFonts w:ascii="Times New Roman" w:hAnsi="Times New Roman" w:eastAsia="宋体" w:cs="Times New Roman"/>
      <w:sz w:val="18"/>
      <w:szCs w:val="18"/>
    </w:rPr>
  </w:style>
  <w:style w:type="character" w:customStyle="1" w:styleId="64">
    <w:name w:val="页脚 字符"/>
    <w:basedOn w:val="50"/>
    <w:link w:val="31"/>
    <w:qFormat/>
    <w:uiPriority w:val="99"/>
    <w:rPr>
      <w:rFonts w:ascii="Times New Roman" w:hAnsi="Times New Roman" w:eastAsia="宋体" w:cs="Times New Roman"/>
      <w:sz w:val="18"/>
      <w:szCs w:val="18"/>
    </w:rPr>
  </w:style>
  <w:style w:type="character" w:customStyle="1" w:styleId="65">
    <w:name w:val="日期 字符"/>
    <w:basedOn w:val="50"/>
    <w:link w:val="28"/>
    <w:qFormat/>
    <w:uiPriority w:val="0"/>
    <w:rPr>
      <w:rFonts w:ascii="Times New Roman" w:hAnsi="Times New Roman" w:eastAsia="宋体" w:cs="Times New Roman"/>
      <w:sz w:val="32"/>
      <w:szCs w:val="20"/>
    </w:rPr>
  </w:style>
  <w:style w:type="paragraph" w:styleId="66">
    <w:name w:val="List Paragraph"/>
    <w:basedOn w:val="1"/>
    <w:link w:val="85"/>
    <w:qFormat/>
    <w:uiPriority w:val="34"/>
    <w:pPr>
      <w:ind w:firstLine="420" w:firstLineChars="200"/>
    </w:pPr>
  </w:style>
  <w:style w:type="character" w:customStyle="1" w:styleId="67">
    <w:name w:val="正文文本缩进 2 字符"/>
    <w:basedOn w:val="50"/>
    <w:link w:val="29"/>
    <w:qFormat/>
    <w:uiPriority w:val="0"/>
    <w:rPr>
      <w:rFonts w:ascii="Times New Roman" w:hAnsi="Times New Roman" w:eastAsia="宋体" w:cs="Times New Roman"/>
      <w:szCs w:val="20"/>
    </w:rPr>
  </w:style>
  <w:style w:type="character" w:customStyle="1" w:styleId="68">
    <w:name w:val="标题 3 字符1"/>
    <w:basedOn w:val="50"/>
    <w:link w:val="4"/>
    <w:qFormat/>
    <w:uiPriority w:val="0"/>
    <w:rPr>
      <w:rFonts w:ascii="Times New Roman" w:hAnsi="Times New Roman" w:eastAsia="宋体" w:cs="Times New Roman"/>
      <w:b/>
      <w:bCs/>
      <w:sz w:val="32"/>
      <w:szCs w:val="32"/>
    </w:rPr>
  </w:style>
  <w:style w:type="character" w:customStyle="1" w:styleId="69">
    <w:name w:val="正文文本 2 字符"/>
    <w:basedOn w:val="50"/>
    <w:link w:val="41"/>
    <w:qFormat/>
    <w:uiPriority w:val="0"/>
    <w:rPr>
      <w:rFonts w:ascii="Times New Roman" w:hAnsi="Times New Roman" w:eastAsia="宋体" w:cs="Times New Roman"/>
      <w:szCs w:val="20"/>
    </w:rPr>
  </w:style>
  <w:style w:type="paragraph" w:customStyle="1" w:styleId="70">
    <w:name w:val="Char"/>
    <w:basedOn w:val="1"/>
    <w:autoRedefine/>
    <w:qFormat/>
    <w:uiPriority w:val="0"/>
    <w:pPr>
      <w:tabs>
        <w:tab w:val="left" w:pos="360"/>
      </w:tabs>
    </w:pPr>
    <w:rPr>
      <w:sz w:val="24"/>
      <w:szCs w:val="24"/>
    </w:rPr>
  </w:style>
  <w:style w:type="character" w:customStyle="1" w:styleId="71">
    <w:name w:val="纯文本 Char"/>
    <w:basedOn w:val="50"/>
    <w:qFormat/>
    <w:uiPriority w:val="0"/>
    <w:rPr>
      <w:rFonts w:ascii="宋体" w:hAnsi="Courier New" w:eastAsia="宋体" w:cs="Courier New"/>
      <w:szCs w:val="21"/>
    </w:rPr>
  </w:style>
  <w:style w:type="character" w:customStyle="1" w:styleId="72">
    <w:name w:val="纯文本 字符"/>
    <w:link w:val="25"/>
    <w:qFormat/>
    <w:locked/>
    <w:uiPriority w:val="0"/>
    <w:rPr>
      <w:rFonts w:ascii="宋体" w:hAnsi="Courier New" w:eastAsia="宋体" w:cs="Times New Roman"/>
      <w:szCs w:val="20"/>
      <w:lang w:val="zh-CN" w:eastAsia="zh-CN"/>
    </w:rPr>
  </w:style>
  <w:style w:type="character" w:customStyle="1" w:styleId="73">
    <w:name w:val="正文文本缩进 3 字符"/>
    <w:basedOn w:val="50"/>
    <w:link w:val="38"/>
    <w:qFormat/>
    <w:uiPriority w:val="0"/>
    <w:rPr>
      <w:rFonts w:ascii="Times New Roman" w:hAnsi="Times New Roman" w:eastAsia="宋体" w:cs="Times New Roman"/>
      <w:sz w:val="16"/>
      <w:szCs w:val="16"/>
    </w:rPr>
  </w:style>
  <w:style w:type="paragraph" w:customStyle="1" w:styleId="7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Char1"/>
    <w:basedOn w:val="1"/>
    <w:autoRedefine/>
    <w:qFormat/>
    <w:uiPriority w:val="0"/>
    <w:pPr>
      <w:tabs>
        <w:tab w:val="left" w:pos="360"/>
      </w:tabs>
    </w:pPr>
    <w:rPr>
      <w:sz w:val="24"/>
      <w:szCs w:val="24"/>
    </w:rPr>
  </w:style>
  <w:style w:type="paragraph" w:customStyle="1" w:styleId="79">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0">
    <w:name w:val="批注文字 字符1"/>
    <w:basedOn w:val="50"/>
    <w:link w:val="17"/>
    <w:qFormat/>
    <w:uiPriority w:val="99"/>
    <w:rPr>
      <w:rFonts w:ascii="Times New Roman" w:hAnsi="Times New Roman" w:eastAsia="宋体" w:cs="Times New Roman"/>
      <w:szCs w:val="20"/>
    </w:rPr>
  </w:style>
  <w:style w:type="character" w:customStyle="1" w:styleId="81">
    <w:name w:val="批注框文本 字符"/>
    <w:basedOn w:val="50"/>
    <w:link w:val="30"/>
    <w:qFormat/>
    <w:uiPriority w:val="0"/>
    <w:rPr>
      <w:rFonts w:ascii="Times New Roman" w:hAnsi="Times New Roman" w:eastAsia="宋体" w:cs="Times New Roman"/>
      <w:sz w:val="18"/>
      <w:szCs w:val="18"/>
    </w:rPr>
  </w:style>
  <w:style w:type="character" w:customStyle="1" w:styleId="82">
    <w:name w:val="正文文本 字符1"/>
    <w:basedOn w:val="50"/>
    <w:link w:val="19"/>
    <w:qFormat/>
    <w:uiPriority w:val="0"/>
    <w:rPr>
      <w:rFonts w:ascii="Times New Roman" w:hAnsi="Times New Roman" w:eastAsia="宋体" w:cs="Times New Roman"/>
      <w:szCs w:val="20"/>
    </w:rPr>
  </w:style>
  <w:style w:type="character" w:customStyle="1" w:styleId="83">
    <w:name w:val="Default Char"/>
    <w:link w:val="61"/>
    <w:qFormat/>
    <w:locked/>
    <w:uiPriority w:val="0"/>
    <w:rPr>
      <w:rFonts w:ascii="......." w:hAnsi="Calibri" w:eastAsia="......." w:cs="......."/>
      <w:color w:val="000000"/>
      <w:kern w:val="0"/>
      <w:sz w:val="24"/>
      <w:szCs w:val="24"/>
    </w:rPr>
  </w:style>
  <w:style w:type="character" w:customStyle="1" w:styleId="84">
    <w:name w:val="批注主题 字符1"/>
    <w:basedOn w:val="80"/>
    <w:link w:val="45"/>
    <w:qFormat/>
    <w:uiPriority w:val="0"/>
    <w:rPr>
      <w:rFonts w:ascii="Times New Roman" w:hAnsi="Times New Roman" w:eastAsia="宋体" w:cs="Times New Roman"/>
      <w:b/>
      <w:bCs/>
      <w:szCs w:val="20"/>
    </w:rPr>
  </w:style>
  <w:style w:type="character" w:customStyle="1" w:styleId="85">
    <w:name w:val="列出段落 字符"/>
    <w:link w:val="66"/>
    <w:qFormat/>
    <w:uiPriority w:val="34"/>
    <w:rPr>
      <w:rFonts w:ascii="Times New Roman" w:hAnsi="Times New Roman" w:eastAsia="宋体" w:cs="Times New Roman"/>
      <w:szCs w:val="20"/>
    </w:rPr>
  </w:style>
  <w:style w:type="character" w:customStyle="1" w:styleId="86">
    <w:name w:val="标题 1 字符"/>
    <w:basedOn w:val="50"/>
    <w:link w:val="2"/>
    <w:qFormat/>
    <w:uiPriority w:val="0"/>
    <w:rPr>
      <w:rFonts w:ascii="Times New Roman" w:hAnsi="Times New Roman" w:eastAsia="宋体" w:cs="Times New Roman"/>
      <w:b/>
      <w:bCs/>
      <w:kern w:val="1"/>
      <w:sz w:val="44"/>
      <w:szCs w:val="44"/>
    </w:rPr>
  </w:style>
  <w:style w:type="character" w:customStyle="1" w:styleId="87">
    <w:name w:val="标题 2 字符"/>
    <w:basedOn w:val="50"/>
    <w:link w:val="3"/>
    <w:qFormat/>
    <w:uiPriority w:val="0"/>
    <w:rPr>
      <w:rFonts w:ascii="Arial" w:hAnsi="Arial" w:eastAsia="黑体" w:cs="Times New Roman"/>
      <w:b/>
      <w:bCs/>
      <w:kern w:val="1"/>
      <w:sz w:val="32"/>
      <w:szCs w:val="32"/>
    </w:rPr>
  </w:style>
  <w:style w:type="character" w:customStyle="1" w:styleId="88">
    <w:name w:val="标题 4 字符1"/>
    <w:basedOn w:val="50"/>
    <w:link w:val="5"/>
    <w:qFormat/>
    <w:uiPriority w:val="0"/>
    <w:rPr>
      <w:rFonts w:ascii="Cambria" w:hAnsi="Cambria" w:eastAsia="宋体" w:cs="Times New Roman"/>
      <w:b/>
      <w:bCs/>
      <w:kern w:val="0"/>
      <w:sz w:val="28"/>
      <w:szCs w:val="28"/>
    </w:rPr>
  </w:style>
  <w:style w:type="character" w:customStyle="1" w:styleId="89">
    <w:name w:val="标题 5 字符"/>
    <w:basedOn w:val="50"/>
    <w:link w:val="6"/>
    <w:qFormat/>
    <w:uiPriority w:val="0"/>
    <w:rPr>
      <w:rFonts w:ascii="Times New Roman" w:hAnsi="Times New Roman" w:eastAsia="宋体" w:cs="Times New Roman"/>
      <w:b/>
      <w:bCs/>
      <w:kern w:val="1"/>
      <w:sz w:val="28"/>
      <w:szCs w:val="28"/>
    </w:rPr>
  </w:style>
  <w:style w:type="character" w:customStyle="1" w:styleId="90">
    <w:name w:val="标题 6 字符"/>
    <w:basedOn w:val="50"/>
    <w:link w:val="7"/>
    <w:qFormat/>
    <w:uiPriority w:val="0"/>
    <w:rPr>
      <w:rFonts w:ascii="Arial" w:hAnsi="Arial" w:eastAsia="黑体" w:cs="Times New Roman"/>
      <w:b/>
      <w:bCs/>
      <w:kern w:val="1"/>
      <w:sz w:val="24"/>
      <w:szCs w:val="24"/>
    </w:rPr>
  </w:style>
  <w:style w:type="character" w:customStyle="1" w:styleId="91">
    <w:name w:val="标题 7 字符"/>
    <w:basedOn w:val="50"/>
    <w:link w:val="8"/>
    <w:qFormat/>
    <w:uiPriority w:val="0"/>
    <w:rPr>
      <w:rFonts w:ascii="Times New Roman" w:hAnsi="Times New Roman" w:eastAsia="宋体" w:cs="Times New Roman"/>
      <w:b/>
      <w:bCs/>
      <w:kern w:val="1"/>
      <w:sz w:val="24"/>
      <w:szCs w:val="24"/>
    </w:rPr>
  </w:style>
  <w:style w:type="character" w:customStyle="1" w:styleId="92">
    <w:name w:val="标题 8 字符"/>
    <w:basedOn w:val="50"/>
    <w:link w:val="9"/>
    <w:qFormat/>
    <w:uiPriority w:val="0"/>
    <w:rPr>
      <w:rFonts w:ascii="Arial" w:hAnsi="Arial" w:eastAsia="宋体" w:cs="Times New Roman"/>
      <w:b/>
      <w:kern w:val="1"/>
      <w:sz w:val="24"/>
      <w:szCs w:val="24"/>
    </w:rPr>
  </w:style>
  <w:style w:type="character" w:customStyle="1" w:styleId="93">
    <w:name w:val="标题 9 字符"/>
    <w:basedOn w:val="50"/>
    <w:link w:val="10"/>
    <w:qFormat/>
    <w:uiPriority w:val="0"/>
    <w:rPr>
      <w:rFonts w:ascii="Arial" w:hAnsi="Arial" w:eastAsia="宋体" w:cs="Times New Roman"/>
      <w:b/>
      <w:kern w:val="1"/>
      <w:sz w:val="24"/>
      <w:szCs w:val="24"/>
    </w:rPr>
  </w:style>
  <w:style w:type="character" w:customStyle="1" w:styleId="94">
    <w:name w:val="注释标题 字符"/>
    <w:basedOn w:val="50"/>
    <w:link w:val="13"/>
    <w:qFormat/>
    <w:uiPriority w:val="0"/>
    <w:rPr>
      <w:rFonts w:ascii="Times New Roman" w:hAnsi="Times New Roman" w:eastAsia="宋体" w:cs="Times New Roman"/>
      <w:kern w:val="1"/>
      <w:szCs w:val="20"/>
    </w:rPr>
  </w:style>
  <w:style w:type="character" w:customStyle="1" w:styleId="95">
    <w:name w:val="文档结构图 字符"/>
    <w:basedOn w:val="50"/>
    <w:link w:val="16"/>
    <w:qFormat/>
    <w:uiPriority w:val="0"/>
    <w:rPr>
      <w:rFonts w:ascii="宋体" w:hAnsi="宋体" w:eastAsia="宋体" w:cs="Times New Roman"/>
      <w:kern w:val="1"/>
      <w:sz w:val="18"/>
      <w:szCs w:val="18"/>
    </w:rPr>
  </w:style>
  <w:style w:type="character" w:customStyle="1" w:styleId="96">
    <w:name w:val="正文文本 3 字符"/>
    <w:basedOn w:val="50"/>
    <w:link w:val="18"/>
    <w:qFormat/>
    <w:uiPriority w:val="0"/>
    <w:rPr>
      <w:rFonts w:ascii="Times New Roman" w:hAnsi="Times New Roman" w:eastAsia="宋体" w:cs="Times New Roman"/>
      <w:kern w:val="1"/>
      <w:sz w:val="16"/>
      <w:szCs w:val="16"/>
    </w:rPr>
  </w:style>
  <w:style w:type="character" w:customStyle="1" w:styleId="97">
    <w:name w:val="标题 字符"/>
    <w:basedOn w:val="50"/>
    <w:link w:val="44"/>
    <w:qFormat/>
    <w:uiPriority w:val="0"/>
    <w:rPr>
      <w:rFonts w:ascii="Cambria" w:hAnsi="Cambria" w:eastAsia="宋体" w:cs="Times New Roman"/>
      <w:b/>
      <w:bCs/>
      <w:kern w:val="1"/>
      <w:sz w:val="32"/>
      <w:szCs w:val="32"/>
    </w:rPr>
  </w:style>
  <w:style w:type="character" w:customStyle="1" w:styleId="98">
    <w:name w:val="正文首行缩进 字符"/>
    <w:basedOn w:val="82"/>
    <w:link w:val="46"/>
    <w:qFormat/>
    <w:uiPriority w:val="0"/>
    <w:rPr>
      <w:rFonts w:ascii="Times New Roman" w:hAnsi="Times New Roman" w:eastAsia="宋体" w:cs="Times New Roman"/>
      <w:kern w:val="1"/>
      <w:szCs w:val="24"/>
    </w:rPr>
  </w:style>
  <w:style w:type="character" w:customStyle="1" w:styleId="99">
    <w:name w:val="正文首行缩进 2 字符"/>
    <w:basedOn w:val="60"/>
    <w:link w:val="47"/>
    <w:qFormat/>
    <w:uiPriority w:val="0"/>
    <w:rPr>
      <w:rFonts w:ascii="宋体" w:hAnsi="宋体" w:eastAsia="宋体" w:cs="Times New Roman"/>
      <w:kern w:val="1"/>
      <w:sz w:val="24"/>
      <w:szCs w:val="20"/>
    </w:rPr>
  </w:style>
  <w:style w:type="character" w:customStyle="1" w:styleId="100">
    <w:name w:val="批注文字 Char3"/>
    <w:qFormat/>
    <w:uiPriority w:val="99"/>
    <w:rPr>
      <w:rFonts w:ascii="Times New Roman" w:hAnsi="Times New Roman" w:eastAsia="宋体" w:cs="Times New Roman"/>
      <w:kern w:val="1"/>
      <w:szCs w:val="20"/>
    </w:rPr>
  </w:style>
  <w:style w:type="character" w:customStyle="1" w:styleId="101">
    <w:name w:val="正文文本 Char1"/>
    <w:qFormat/>
    <w:uiPriority w:val="0"/>
    <w:rPr>
      <w:rFonts w:ascii="Times New Roman" w:hAnsi="Times New Roman" w:eastAsia="宋体" w:cs="Times New Roman"/>
      <w:kern w:val="1"/>
      <w:szCs w:val="20"/>
    </w:rPr>
  </w:style>
  <w:style w:type="character" w:customStyle="1" w:styleId="102">
    <w:name w:val="批注主题 Char2"/>
    <w:qFormat/>
    <w:uiPriority w:val="99"/>
    <w:rPr>
      <w:rFonts w:ascii="Times New Roman" w:hAnsi="Times New Roman" w:eastAsia="宋体" w:cs="Times New Roman"/>
      <w:b/>
      <w:bCs/>
      <w:kern w:val="0"/>
      <w:sz w:val="20"/>
      <w:szCs w:val="20"/>
    </w:rPr>
  </w:style>
  <w:style w:type="character" w:customStyle="1" w:styleId="103">
    <w:name w:val="访问过的超链接1"/>
    <w:qFormat/>
    <w:uiPriority w:val="99"/>
    <w:rPr>
      <w:rFonts w:ascii="Calibri" w:hAnsi="Calibri" w:eastAsia="Calibri"/>
      <w:color w:val="800080"/>
      <w:kern w:val="0"/>
      <w:sz w:val="20"/>
      <w:u w:val="single"/>
    </w:rPr>
  </w:style>
  <w:style w:type="paragraph" w:customStyle="1" w:styleId="104">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5">
    <w:name w:val="font51"/>
    <w:qFormat/>
    <w:uiPriority w:val="0"/>
    <w:rPr>
      <w:rFonts w:ascii="Tahoma" w:hAnsi="Tahoma" w:eastAsia="Tahoma" w:cs="Tahoma"/>
      <w:sz w:val="20"/>
    </w:rPr>
  </w:style>
  <w:style w:type="character" w:customStyle="1" w:styleId="106">
    <w:name w:val="font171"/>
    <w:qFormat/>
    <w:uiPriority w:val="0"/>
    <w:rPr>
      <w:b/>
      <w:sz w:val="20"/>
    </w:rPr>
  </w:style>
  <w:style w:type="character" w:customStyle="1" w:styleId="107">
    <w:name w:val="页眉 Char1"/>
    <w:qFormat/>
    <w:uiPriority w:val="0"/>
    <w:rPr>
      <w:sz w:val="18"/>
      <w:szCs w:val="18"/>
    </w:rPr>
  </w:style>
  <w:style w:type="character" w:customStyle="1" w:styleId="108">
    <w:name w:val="方案正文 Char"/>
    <w:qFormat/>
    <w:uiPriority w:val="0"/>
    <w:rPr>
      <w:rFonts w:ascii="Arial" w:hAnsi="Arial"/>
      <w:kern w:val="0"/>
      <w:sz w:val="24"/>
      <w:szCs w:val="21"/>
    </w:rPr>
  </w:style>
  <w:style w:type="character" w:customStyle="1" w:styleId="109">
    <w:name w:val="label1"/>
    <w:qFormat/>
    <w:uiPriority w:val="0"/>
    <w:rPr>
      <w:sz w:val="26"/>
      <w:szCs w:val="26"/>
    </w:rPr>
  </w:style>
  <w:style w:type="character" w:customStyle="1" w:styleId="110">
    <w:name w:val="标书正文:  0.74 厘米 Char1"/>
    <w:qFormat/>
    <w:uiPriority w:val="0"/>
    <w:rPr>
      <w:rFonts w:ascii="Calibri" w:hAnsi="Calibri" w:cs="宋体"/>
      <w:sz w:val="24"/>
    </w:rPr>
  </w:style>
  <w:style w:type="character" w:customStyle="1" w:styleId="111">
    <w:name w:val="_正文段落 Char"/>
    <w:qFormat/>
    <w:uiPriority w:val="0"/>
    <w:rPr>
      <w:kern w:val="0"/>
      <w:sz w:val="24"/>
      <w:szCs w:val="24"/>
    </w:rPr>
  </w:style>
  <w:style w:type="character" w:customStyle="1" w:styleId="112">
    <w:name w:val="Char Char12"/>
    <w:qFormat/>
    <w:uiPriority w:val="0"/>
    <w:rPr>
      <w:sz w:val="18"/>
    </w:rPr>
  </w:style>
  <w:style w:type="character" w:customStyle="1" w:styleId="113">
    <w:name w:val="Char Char10"/>
    <w:qFormat/>
    <w:uiPriority w:val="0"/>
    <w:rPr>
      <w:rFonts w:ascii="宋体" w:hAnsi="宋体" w:cs="宋体"/>
      <w:b/>
      <w:bCs/>
      <w:sz w:val="36"/>
      <w:szCs w:val="36"/>
    </w:rPr>
  </w:style>
  <w:style w:type="character" w:customStyle="1" w:styleId="114">
    <w:name w:val="蓝色"/>
    <w:qFormat/>
    <w:uiPriority w:val="0"/>
    <w:rPr>
      <w:rFonts w:ascii="Calibri" w:hAnsi="Calibri" w:eastAsia="Calibri"/>
      <w:color w:val="0000FF"/>
      <w:kern w:val="0"/>
      <w:sz w:val="20"/>
    </w:rPr>
  </w:style>
  <w:style w:type="character" w:customStyle="1" w:styleId="115">
    <w:name w:val="标题 2 Char1"/>
    <w:qFormat/>
    <w:uiPriority w:val="0"/>
    <w:rPr>
      <w:rFonts w:ascii="Arial" w:hAnsi="Arial" w:eastAsia="黑体"/>
      <w:b/>
      <w:bCs/>
      <w:sz w:val="32"/>
      <w:szCs w:val="32"/>
    </w:rPr>
  </w:style>
  <w:style w:type="character" w:customStyle="1" w:styleId="116">
    <w:name w:val="Heading 3. Char"/>
    <w:qFormat/>
    <w:uiPriority w:val="0"/>
    <w:rPr>
      <w:b/>
      <w:bCs/>
      <w:sz w:val="32"/>
      <w:szCs w:val="32"/>
    </w:rPr>
  </w:style>
  <w:style w:type="character" w:customStyle="1" w:styleId="117">
    <w:name w:val="标书正文:  0.74 厘米 Char"/>
    <w:qFormat/>
    <w:uiPriority w:val="0"/>
    <w:rPr>
      <w:kern w:val="0"/>
      <w:sz w:val="24"/>
    </w:rPr>
  </w:style>
  <w:style w:type="character" w:customStyle="1" w:styleId="118">
    <w:name w:val="font121"/>
    <w:qFormat/>
    <w:uiPriority w:val="0"/>
    <w:rPr>
      <w:sz w:val="20"/>
    </w:rPr>
  </w:style>
  <w:style w:type="character" w:customStyle="1" w:styleId="119">
    <w:name w:val="正文文字缩进 Char"/>
    <w:qFormat/>
    <w:uiPriority w:val="0"/>
    <w:rPr>
      <w:rFonts w:ascii="Calibri" w:hAnsi="Calibri"/>
      <w:szCs w:val="24"/>
    </w:rPr>
  </w:style>
  <w:style w:type="character" w:customStyle="1" w:styleId="120">
    <w:name w:val="font31"/>
    <w:qFormat/>
    <w:uiPriority w:val="0"/>
    <w:rPr>
      <w:rFonts w:hint="eastAsia" w:ascii="宋体" w:hAnsi="宋体" w:cs="宋体"/>
      <w:sz w:val="20"/>
    </w:rPr>
  </w:style>
  <w:style w:type="character" w:customStyle="1" w:styleId="121">
    <w:name w:val="font01"/>
    <w:qFormat/>
    <w:uiPriority w:val="0"/>
    <w:rPr>
      <w:rFonts w:ascii="Tahoma" w:hAnsi="Tahoma" w:eastAsia="Tahoma" w:cs="Tahoma"/>
      <w:sz w:val="20"/>
    </w:rPr>
  </w:style>
  <w:style w:type="character" w:customStyle="1" w:styleId="122">
    <w:name w:val="infodetail"/>
    <w:qFormat/>
    <w:uiPriority w:val="0"/>
  </w:style>
  <w:style w:type="character" w:customStyle="1" w:styleId="123">
    <w:name w:val="font11"/>
    <w:qFormat/>
    <w:uiPriority w:val="0"/>
    <w:rPr>
      <w:rFonts w:ascii="Tahoma" w:hAnsi="Tahoma" w:eastAsia="Tahoma" w:cs="Tahoma"/>
      <w:sz w:val="20"/>
    </w:rPr>
  </w:style>
  <w:style w:type="character" w:customStyle="1" w:styleId="124">
    <w:name w:val="批注文字 Char2"/>
    <w:qFormat/>
    <w:uiPriority w:val="0"/>
  </w:style>
  <w:style w:type="character" w:customStyle="1" w:styleId="125">
    <w:name w:val="标书图表注 Char"/>
    <w:qFormat/>
    <w:uiPriority w:val="0"/>
    <w:rPr>
      <w:kern w:val="0"/>
      <w:sz w:val="20"/>
    </w:rPr>
  </w:style>
  <w:style w:type="character" w:customStyle="1" w:styleId="126">
    <w:name w:val="Char Char8"/>
    <w:qFormat/>
    <w:uiPriority w:val="0"/>
    <w:rPr>
      <w:rFonts w:ascii="黑体" w:hAnsi="黑体" w:eastAsia="黑体"/>
      <w:bCs/>
      <w:kern w:val="0"/>
      <w:sz w:val="24"/>
    </w:rPr>
  </w:style>
  <w:style w:type="character" w:customStyle="1" w:styleId="127">
    <w:name w:val="题注 Char"/>
    <w:qFormat/>
    <w:uiPriority w:val="0"/>
    <w:rPr>
      <w:rFonts w:ascii="Arial" w:hAnsi="Arial" w:eastAsia="黑体"/>
      <w:kern w:val="0"/>
      <w:sz w:val="20"/>
    </w:rPr>
  </w:style>
  <w:style w:type="character" w:customStyle="1" w:styleId="128">
    <w:name w:val="页脚 Char1"/>
    <w:qFormat/>
    <w:uiPriority w:val="0"/>
    <w:rPr>
      <w:sz w:val="18"/>
      <w:szCs w:val="18"/>
    </w:rPr>
  </w:style>
  <w:style w:type="character" w:customStyle="1" w:styleId="129">
    <w:name w:val="grame"/>
    <w:qFormat/>
    <w:uiPriority w:val="0"/>
  </w:style>
  <w:style w:type="character" w:customStyle="1" w:styleId="130">
    <w:name w:val="编号 Char Char"/>
    <w:qFormat/>
    <w:uiPriority w:val="0"/>
    <w:rPr>
      <w:rFonts w:ascii="Calibri" w:hAnsi="Calibri" w:eastAsia="Calibri"/>
      <w:sz w:val="24"/>
      <w:szCs w:val="24"/>
    </w:rPr>
  </w:style>
  <w:style w:type="character" w:customStyle="1" w:styleId="131">
    <w:name w:val="font71"/>
    <w:qFormat/>
    <w:uiPriority w:val="0"/>
    <w:rPr>
      <w:rFonts w:hint="eastAsia" w:ascii="宋体" w:hAnsi="宋体" w:cs="宋体"/>
      <w:sz w:val="20"/>
    </w:rPr>
  </w:style>
  <w:style w:type="character" w:customStyle="1" w:styleId="132">
    <w:name w:val="设计正文 Char"/>
    <w:qFormat/>
    <w:uiPriority w:val="0"/>
    <w:rPr>
      <w:rFonts w:eastAsia="仿宋_GB2312"/>
      <w:kern w:val="0"/>
      <w:sz w:val="28"/>
      <w:szCs w:val="28"/>
    </w:rPr>
  </w:style>
  <w:style w:type="character" w:customStyle="1" w:styleId="133">
    <w:name w:val="批注引用3"/>
    <w:qFormat/>
    <w:uiPriority w:val="0"/>
    <w:rPr>
      <w:sz w:val="21"/>
      <w:szCs w:val="21"/>
    </w:rPr>
  </w:style>
  <w:style w:type="character" w:customStyle="1" w:styleId="134">
    <w:name w:val="图表标题 Char Char"/>
    <w:qFormat/>
    <w:uiPriority w:val="0"/>
    <w:rPr>
      <w:rFonts w:ascii="Calibri" w:hAnsi="Calibri" w:eastAsia="仿宋_GB2312" w:cs="宋体"/>
      <w:kern w:val="0"/>
      <w:sz w:val="20"/>
      <w:szCs w:val="21"/>
    </w:rPr>
  </w:style>
  <w:style w:type="character" w:customStyle="1" w:styleId="135">
    <w:name w:val="表内文字 Char"/>
    <w:qFormat/>
    <w:uiPriority w:val="0"/>
    <w:rPr>
      <w:rFonts w:ascii="宋体" w:hAnsi="宋体" w:eastAsia="楷体_GB2312"/>
      <w:kern w:val="0"/>
      <w:sz w:val="20"/>
    </w:rPr>
  </w:style>
  <w:style w:type="character" w:customStyle="1" w:styleId="136">
    <w:name w:val="批注引用2"/>
    <w:qFormat/>
    <w:uiPriority w:val="0"/>
    <w:rPr>
      <w:szCs w:val="21"/>
    </w:rPr>
  </w:style>
  <w:style w:type="character" w:customStyle="1" w:styleId="137">
    <w:name w:val="标书正文 Char"/>
    <w:qFormat/>
    <w:uiPriority w:val="0"/>
    <w:rPr>
      <w:rFonts w:ascii="Calibri" w:hAnsi="Calibri" w:eastAsia="Calibri"/>
      <w:kern w:val="0"/>
      <w:sz w:val="24"/>
    </w:rPr>
  </w:style>
  <w:style w:type="character" w:customStyle="1" w:styleId="138">
    <w:name w:val="样式 (西文) 仿宋_GB23121"/>
    <w:qFormat/>
    <w:uiPriority w:val="0"/>
    <w:rPr>
      <w:rFonts w:ascii="Arial" w:hAnsi="Arial"/>
      <w:kern w:val="0"/>
      <w:sz w:val="28"/>
      <w:szCs w:val="28"/>
    </w:rPr>
  </w:style>
  <w:style w:type="character" w:customStyle="1" w:styleId="139">
    <w:name w:val="Char Char13"/>
    <w:qFormat/>
    <w:uiPriority w:val="0"/>
    <w:rPr>
      <w:sz w:val="18"/>
    </w:rPr>
  </w:style>
  <w:style w:type="character" w:customStyle="1" w:styleId="140">
    <w:name w:val="font21"/>
    <w:qFormat/>
    <w:uiPriority w:val="0"/>
    <w:rPr>
      <w:rFonts w:hint="eastAsia" w:ascii="宋体" w:hAnsi="宋体" w:cs="宋体"/>
      <w:sz w:val="20"/>
    </w:rPr>
  </w:style>
  <w:style w:type="character" w:customStyle="1" w:styleId="141">
    <w:name w:val="标题 3 Char1"/>
    <w:qFormat/>
    <w:uiPriority w:val="0"/>
    <w:rPr>
      <w:b/>
      <w:bCs/>
      <w:sz w:val="32"/>
      <w:szCs w:val="32"/>
    </w:rPr>
  </w:style>
  <w:style w:type="character" w:customStyle="1" w:styleId="142">
    <w:name w:val="font61"/>
    <w:qFormat/>
    <w:uiPriority w:val="0"/>
    <w:rPr>
      <w:rFonts w:hint="eastAsia" w:ascii="华文楷体" w:hAnsi="华文楷体" w:eastAsia="华文楷体" w:cs="华文楷体"/>
      <w:sz w:val="22"/>
      <w:szCs w:val="22"/>
    </w:rPr>
  </w:style>
  <w:style w:type="character" w:customStyle="1" w:styleId="143">
    <w:name w:val="A正文 Char Char"/>
    <w:qFormat/>
    <w:uiPriority w:val="0"/>
    <w:rPr>
      <w:kern w:val="0"/>
      <w:sz w:val="24"/>
      <w:szCs w:val="24"/>
    </w:rPr>
  </w:style>
  <w:style w:type="character" w:customStyle="1" w:styleId="144">
    <w:name w:val="批注文字 Char1"/>
    <w:qFormat/>
    <w:uiPriority w:val="0"/>
  </w:style>
  <w:style w:type="character" w:customStyle="1" w:styleId="145">
    <w:name w:val="font141"/>
    <w:qFormat/>
    <w:uiPriority w:val="0"/>
    <w:rPr>
      <w:rFonts w:hint="eastAsia" w:ascii="宋体" w:hAnsi="宋体" w:cs="宋体"/>
      <w:sz w:val="20"/>
    </w:rPr>
  </w:style>
  <w:style w:type="character" w:customStyle="1" w:styleId="146">
    <w:name w:val="批注引用1"/>
    <w:qFormat/>
    <w:uiPriority w:val="0"/>
    <w:rPr>
      <w:rFonts w:ascii="Calibri" w:hAnsi="Calibri" w:eastAsia="Calibri"/>
      <w:kern w:val="0"/>
      <w:szCs w:val="21"/>
    </w:rPr>
  </w:style>
  <w:style w:type="character" w:customStyle="1" w:styleId="147">
    <w:name w:val="font81"/>
    <w:qFormat/>
    <w:uiPriority w:val="0"/>
    <w:rPr>
      <w:rFonts w:ascii="Tahoma" w:hAnsi="Tahoma" w:eastAsia="Tahoma" w:cs="Tahoma"/>
      <w:sz w:val="20"/>
    </w:rPr>
  </w:style>
  <w:style w:type="character" w:customStyle="1" w:styleId="148">
    <w:name w:val="px141"/>
    <w:qFormat/>
    <w:uiPriority w:val="0"/>
    <w:rPr>
      <w:rFonts w:ascii="Calibri" w:hAnsi="Calibri" w:eastAsia="Calibri"/>
      <w:kern w:val="0"/>
      <w:sz w:val="18"/>
      <w:szCs w:val="18"/>
    </w:rPr>
  </w:style>
  <w:style w:type="character" w:customStyle="1" w:styleId="149">
    <w:name w:val="批注主题 Char1"/>
    <w:qFormat/>
    <w:uiPriority w:val="0"/>
    <w:rPr>
      <w:b/>
      <w:bCs/>
    </w:rPr>
  </w:style>
  <w:style w:type="character" w:customStyle="1" w:styleId="150">
    <w:name w:val="页码1"/>
    <w:qFormat/>
    <w:uiPriority w:val="0"/>
  </w:style>
  <w:style w:type="character" w:customStyle="1" w:styleId="151">
    <w:name w:val="正文缩进 Char"/>
    <w:qFormat/>
    <w:uiPriority w:val="0"/>
  </w:style>
  <w:style w:type="character" w:customStyle="1" w:styleId="152">
    <w:name w:val="Table Text Char1"/>
    <w:qFormat/>
    <w:uiPriority w:val="0"/>
    <w:rPr>
      <w:rFonts w:ascii="Arial" w:hAnsi="Arial"/>
      <w:kern w:val="0"/>
      <w:sz w:val="20"/>
      <w:szCs w:val="24"/>
    </w:rPr>
  </w:style>
  <w:style w:type="character" w:customStyle="1" w:styleId="153">
    <w:name w:val="表标题行 Char"/>
    <w:qFormat/>
    <w:uiPriority w:val="0"/>
    <w:rPr>
      <w:rFonts w:ascii="宋体" w:hAnsi="宋体" w:eastAsia="黑体"/>
      <w:kern w:val="0"/>
      <w:sz w:val="20"/>
    </w:rPr>
  </w:style>
  <w:style w:type="character" w:customStyle="1" w:styleId="154">
    <w:name w:val="apple-converted-space"/>
    <w:qFormat/>
    <w:uiPriority w:val="0"/>
  </w:style>
  <w:style w:type="character" w:customStyle="1" w:styleId="155">
    <w:name w:val="font41"/>
    <w:qFormat/>
    <w:uiPriority w:val="0"/>
    <w:rPr>
      <w:rFonts w:hint="eastAsia" w:ascii="宋体" w:hAnsi="宋体" w:cs="宋体"/>
      <w:sz w:val="20"/>
    </w:rPr>
  </w:style>
  <w:style w:type="character" w:customStyle="1" w:styleId="156">
    <w:name w:val="正文 首行缩进2 字符 Char"/>
    <w:qFormat/>
    <w:uiPriority w:val="0"/>
    <w:rPr>
      <w:rFonts w:ascii="Arial" w:hAnsi="Arial" w:eastAsia="Calibri"/>
      <w:kern w:val="0"/>
      <w:sz w:val="24"/>
      <w:szCs w:val="28"/>
    </w:rPr>
  </w:style>
  <w:style w:type="character" w:customStyle="1" w:styleId="157">
    <w:name w:val="无间隔 Char"/>
    <w:qFormat/>
    <w:uiPriority w:val="0"/>
    <w:rPr>
      <w:rFonts w:ascii="Calibri" w:hAnsi="Calibri"/>
      <w:kern w:val="0"/>
      <w:sz w:val="22"/>
    </w:rPr>
  </w:style>
  <w:style w:type="character" w:customStyle="1" w:styleId="158">
    <w:name w:val="info4"/>
    <w:qFormat/>
    <w:uiPriority w:val="0"/>
  </w:style>
  <w:style w:type="character" w:customStyle="1" w:styleId="159">
    <w:name w:val="_标题4 Char"/>
    <w:qFormat/>
    <w:uiPriority w:val="0"/>
    <w:rPr>
      <w:rFonts w:ascii="Arial" w:hAnsi="Arial" w:eastAsia="黑体"/>
      <w:bCs/>
      <w:kern w:val="0"/>
      <w:sz w:val="28"/>
      <w:szCs w:val="28"/>
    </w:rPr>
  </w:style>
  <w:style w:type="character" w:customStyle="1" w:styleId="160">
    <w:name w:val="正文-全文 Char"/>
    <w:qFormat/>
    <w:uiPriority w:val="0"/>
    <w:rPr>
      <w:kern w:val="0"/>
      <w:sz w:val="24"/>
    </w:rPr>
  </w:style>
  <w:style w:type="character" w:customStyle="1" w:styleId="161">
    <w:name w:val="Char Char9"/>
    <w:qFormat/>
    <w:uiPriority w:val="0"/>
    <w:rPr>
      <w:szCs w:val="24"/>
    </w:rPr>
  </w:style>
  <w:style w:type="paragraph" w:customStyle="1" w:styleId="162">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3">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4">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5">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6">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7">
    <w:name w:val="TOC 标题1"/>
    <w:basedOn w:val="168"/>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68">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69">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0">
    <w:name w:val="样式 标题 1 + Times New Roman 黑色 行距: 最小值 18 磅"/>
    <w:basedOn w:val="171"/>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1">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2">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3">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4">
    <w:name w:val="Char Char Char Char Char Char Char Char Char1 Char Char Char Char Char Char Char Char Char Char Char Char Char"/>
    <w:basedOn w:val="175"/>
    <w:qFormat/>
    <w:uiPriority w:val="0"/>
    <w:pPr>
      <w:spacing w:before="240" w:after="240" w:line="348" w:lineRule="auto"/>
    </w:pPr>
    <w:rPr>
      <w:rFonts w:ascii="Tahoma" w:hAnsi="Tahoma"/>
      <w:szCs w:val="20"/>
    </w:rPr>
  </w:style>
  <w:style w:type="paragraph" w:customStyle="1" w:styleId="175">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6">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7">
    <w:name w:val="_标题1"/>
    <w:basedOn w:val="178"/>
    <w:next w:val="179"/>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78">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79">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0">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1">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2">
    <w:name w:val="表题注"/>
    <w:basedOn w:val="40"/>
    <w:qFormat/>
    <w:uiPriority w:val="0"/>
    <w:pPr>
      <w:tabs>
        <w:tab w:val="left" w:pos="420"/>
        <w:tab w:val="left" w:pos="945"/>
      </w:tabs>
      <w:spacing w:line="400" w:lineRule="atLeast"/>
      <w:ind w:left="420"/>
    </w:pPr>
    <w:rPr>
      <w:szCs w:val="20"/>
    </w:rPr>
  </w:style>
  <w:style w:type="paragraph" w:customStyle="1" w:styleId="183">
    <w:name w:val="_标题4"/>
    <w:basedOn w:val="34"/>
    <w:next w:val="179"/>
    <w:qFormat/>
    <w:uiPriority w:val="0"/>
    <w:pPr>
      <w:numPr>
        <w:ilvl w:val="3"/>
        <w:numId w:val="3"/>
      </w:numPr>
      <w:ind w:left="3402" w:hanging="3402"/>
    </w:pPr>
    <w:rPr>
      <w:rFonts w:ascii="Arial" w:hAnsi="Arial" w:eastAsia="黑体"/>
    </w:rPr>
  </w:style>
  <w:style w:type="paragraph" w:customStyle="1" w:styleId="184">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5">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6">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7">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88">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89">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0">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1">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2">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3">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4">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5">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6">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7">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198">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199">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0">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1">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2">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3">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4">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5">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6">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7">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08">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9">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0">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1">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2">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3">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4">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5">
    <w:name w:val="_标题2"/>
    <w:basedOn w:val="216"/>
    <w:next w:val="179"/>
    <w:qFormat/>
    <w:uiPriority w:val="0"/>
    <w:pPr>
      <w:numPr>
        <w:ilvl w:val="1"/>
        <w:numId w:val="3"/>
      </w:numPr>
      <w:tabs>
        <w:tab w:val="left" w:pos="840"/>
        <w:tab w:val="left" w:pos="1400"/>
      </w:tabs>
      <w:ind w:left="840" w:hanging="420"/>
    </w:pPr>
  </w:style>
  <w:style w:type="paragraph" w:customStyle="1" w:styleId="216">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7">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8">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19">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0">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1">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2">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3">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4">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5">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6">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7">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8">
    <w:name w:val="_标题3"/>
    <w:basedOn w:val="38"/>
    <w:next w:val="179"/>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29">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0">
    <w:name w:val="样式 标题 1 + 小二 居中"/>
    <w:basedOn w:val="171"/>
    <w:qFormat/>
    <w:uiPriority w:val="0"/>
    <w:pPr>
      <w:tabs>
        <w:tab w:val="left" w:pos="360"/>
      </w:tabs>
      <w:ind w:left="360" w:hanging="360"/>
    </w:pPr>
    <w:rPr>
      <w:sz w:val="36"/>
      <w:szCs w:val="36"/>
    </w:rPr>
  </w:style>
  <w:style w:type="paragraph" w:customStyle="1" w:styleId="231">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2">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3">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4">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5">
    <w:name w:val="TOC 标题2"/>
    <w:basedOn w:val="162"/>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6">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7">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8">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9">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0">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1">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2">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3">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4">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5">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6">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7">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48">
    <w:name w:val="_标题5"/>
    <w:basedOn w:val="23"/>
    <w:next w:val="179"/>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49">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0">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1">
    <w:name w:val="_标题6"/>
    <w:basedOn w:val="37"/>
    <w:next w:val="179"/>
    <w:qFormat/>
    <w:uiPriority w:val="0"/>
    <w:pPr>
      <w:numPr>
        <w:ilvl w:val="5"/>
        <w:numId w:val="3"/>
      </w:numPr>
      <w:tabs>
        <w:tab w:val="left" w:pos="2520"/>
        <w:tab w:val="left" w:pos="3080"/>
      </w:tabs>
      <w:ind w:left="2520" w:hanging="420"/>
    </w:pPr>
  </w:style>
  <w:style w:type="paragraph" w:customStyle="1" w:styleId="252">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3">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4">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6">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7">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58">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59">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0">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1">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2">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3">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4">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5">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6">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7">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68">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69">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0">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1">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2">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3">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4">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5">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6">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7">
    <w:name w:val="样式 标题 2H2Underrubrik1prop2h2Level 2 Topic Heading2nd level..."/>
    <w:basedOn w:val="214"/>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78">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79">
    <w:name w:val="批注主题1"/>
    <w:basedOn w:val="269"/>
    <w:next w:val="269"/>
    <w:qFormat/>
    <w:uiPriority w:val="0"/>
  </w:style>
  <w:style w:type="paragraph" w:customStyle="1" w:styleId="280">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1">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2">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3">
    <w:name w:val="批注主题2"/>
    <w:basedOn w:val="284"/>
    <w:next w:val="284"/>
    <w:qFormat/>
    <w:uiPriority w:val="0"/>
    <w:rPr>
      <w:b/>
      <w:bCs/>
    </w:rPr>
  </w:style>
  <w:style w:type="paragraph" w:customStyle="1" w:styleId="284">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5">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6">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7">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88">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89">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0">
    <w:name w:val="flName"/>
    <w:basedOn w:val="253"/>
    <w:qFormat/>
    <w:uiPriority w:val="0"/>
    <w:rPr>
      <w:sz w:val="32"/>
    </w:rPr>
  </w:style>
  <w:style w:type="table" w:customStyle="1" w:styleId="291">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2">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3">
    <w:name w:val="修订2"/>
    <w:unhideWhenUsed/>
    <w:qFormat/>
    <w:uiPriority w:val="99"/>
    <w:rPr>
      <w:rFonts w:ascii="Times New Roman" w:hAnsi="Times New Roman" w:eastAsia="宋体" w:cs="Times New Roman"/>
      <w:kern w:val="1"/>
      <w:sz w:val="21"/>
      <w:lang w:val="en-US" w:eastAsia="zh-CN" w:bidi="ar-SA"/>
    </w:rPr>
  </w:style>
  <w:style w:type="paragraph" w:customStyle="1" w:styleId="294">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5">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6">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7">
    <w:name w:val="underline"/>
    <w:qFormat/>
    <w:uiPriority w:val="0"/>
    <w:rPr>
      <w:u w:val="single"/>
    </w:rPr>
  </w:style>
  <w:style w:type="character" w:customStyle="1" w:styleId="298">
    <w:name w:val="active"/>
    <w:qFormat/>
    <w:uiPriority w:val="0"/>
    <w:rPr>
      <w:color w:val="FFFFFF"/>
    </w:rPr>
  </w:style>
  <w:style w:type="character" w:customStyle="1" w:styleId="299">
    <w:name w:val="fielderror"/>
    <w:qFormat/>
    <w:uiPriority w:val="0"/>
    <w:rPr>
      <w:color w:val="800000"/>
    </w:rPr>
  </w:style>
  <w:style w:type="character" w:customStyle="1" w:styleId="300">
    <w:name w:val="required"/>
    <w:qFormat/>
    <w:uiPriority w:val="0"/>
    <w:rPr>
      <w:color w:val="FF0000"/>
    </w:rPr>
  </w:style>
  <w:style w:type="character" w:customStyle="1" w:styleId="301">
    <w:name w:val="tab1"/>
    <w:qFormat/>
    <w:uiPriority w:val="0"/>
  </w:style>
  <w:style w:type="character" w:customStyle="1" w:styleId="302">
    <w:name w:val="tab2"/>
    <w:qFormat/>
    <w:uiPriority w:val="0"/>
    <w:rPr>
      <w:color w:val="333366"/>
    </w:rPr>
  </w:style>
  <w:style w:type="character" w:customStyle="1" w:styleId="303">
    <w:name w:val="hilite6"/>
    <w:qFormat/>
    <w:uiPriority w:val="0"/>
    <w:rPr>
      <w:color w:val="000000"/>
    </w:rPr>
  </w:style>
  <w:style w:type="character" w:customStyle="1" w:styleId="304">
    <w:name w:val="active6"/>
    <w:qFormat/>
    <w:uiPriority w:val="0"/>
    <w:rPr>
      <w:color w:val="FFFFFF"/>
    </w:rPr>
  </w:style>
  <w:style w:type="character" w:customStyle="1" w:styleId="305">
    <w:name w:val="hilite5"/>
    <w:qFormat/>
    <w:uiPriority w:val="0"/>
    <w:rPr>
      <w:color w:val="000000"/>
    </w:rPr>
  </w:style>
  <w:style w:type="character" w:customStyle="1" w:styleId="306">
    <w:name w:val="first-child"/>
    <w:qFormat/>
    <w:uiPriority w:val="0"/>
  </w:style>
  <w:style w:type="character" w:customStyle="1" w:styleId="307">
    <w:name w:val="first-child1"/>
    <w:qFormat/>
    <w:uiPriority w:val="0"/>
  </w:style>
  <w:style w:type="paragraph" w:customStyle="1" w:styleId="308">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09">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0">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1">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2">
    <w:name w:val="样式 10 磅"/>
    <w:next w:val="32"/>
    <w:qFormat/>
    <w:uiPriority w:val="0"/>
    <w:pPr>
      <w:jc w:val="both"/>
    </w:pPr>
    <w:rPr>
      <w:rFonts w:ascii="Calibri" w:hAnsi="Calibri" w:eastAsia="宋体" w:cs="宋体"/>
      <w:sz w:val="21"/>
      <w:szCs w:val="21"/>
      <w:lang w:val="en-US" w:eastAsia="zh-CN" w:bidi="ar-SA"/>
    </w:rPr>
  </w:style>
  <w:style w:type="paragraph" w:customStyle="1" w:styleId="313">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4">
    <w:name w:val="0正文"/>
    <w:basedOn w:val="1"/>
    <w:link w:val="315"/>
    <w:qFormat/>
    <w:uiPriority w:val="0"/>
    <w:pPr>
      <w:spacing w:line="360" w:lineRule="auto"/>
      <w:ind w:firstLine="560" w:firstLineChars="200"/>
    </w:pPr>
    <w:rPr>
      <w:rFonts w:ascii="仿宋_GB2312" w:hAnsi="Calibri" w:eastAsia="仿宋_GB2312"/>
      <w:kern w:val="0"/>
      <w:sz w:val="28"/>
      <w:szCs w:val="28"/>
    </w:rPr>
  </w:style>
  <w:style w:type="character" w:customStyle="1" w:styleId="315">
    <w:name w:val="0正文 Char"/>
    <w:link w:val="314"/>
    <w:qFormat/>
    <w:uiPriority w:val="0"/>
    <w:rPr>
      <w:rFonts w:ascii="仿宋_GB2312" w:hAnsi="Calibri" w:eastAsia="仿宋_GB2312" w:cs="Times New Roman"/>
      <w:kern w:val="0"/>
      <w:sz w:val="28"/>
      <w:szCs w:val="28"/>
    </w:rPr>
  </w:style>
  <w:style w:type="paragraph" w:customStyle="1" w:styleId="316">
    <w:name w:val="BodyText1I2"/>
    <w:basedOn w:val="317"/>
    <w:next w:val="318"/>
    <w:qFormat/>
    <w:uiPriority w:val="0"/>
    <w:pPr>
      <w:ind w:firstLine="420" w:firstLineChars="200"/>
    </w:pPr>
  </w:style>
  <w:style w:type="paragraph" w:customStyle="1" w:styleId="317">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18">
    <w:name w:val="BodyText"/>
    <w:basedOn w:val="1"/>
    <w:next w:val="319"/>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19">
    <w:name w:val="BodyText1I"/>
    <w:basedOn w:val="318"/>
    <w:next w:val="1"/>
    <w:qFormat/>
    <w:uiPriority w:val="0"/>
    <w:pPr>
      <w:spacing w:line="259" w:lineRule="auto"/>
      <w:ind w:firstLine="420" w:firstLineChars="100"/>
    </w:pPr>
    <w:rPr>
      <w:rFonts w:ascii="Calibri"/>
      <w:sz w:val="24"/>
    </w:rPr>
  </w:style>
  <w:style w:type="character" w:customStyle="1" w:styleId="320">
    <w:name w:val="标题 3 字符"/>
    <w:qFormat/>
    <w:uiPriority w:val="0"/>
    <w:rPr>
      <w:b/>
      <w:bCs/>
      <w:sz w:val="32"/>
      <w:szCs w:val="32"/>
    </w:rPr>
  </w:style>
  <w:style w:type="character" w:customStyle="1" w:styleId="321">
    <w:name w:val="标题 4 字符"/>
    <w:qFormat/>
    <w:uiPriority w:val="0"/>
    <w:rPr>
      <w:rFonts w:ascii="Cambria" w:hAnsi="Cambria"/>
      <w:b/>
      <w:bCs/>
      <w:sz w:val="28"/>
      <w:szCs w:val="28"/>
    </w:rPr>
  </w:style>
  <w:style w:type="paragraph" w:customStyle="1" w:styleId="322">
    <w:name w:val="_Style 317"/>
    <w:basedOn w:val="1"/>
    <w:next w:val="66"/>
    <w:link w:val="323"/>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3">
    <w:name w:val="列表段落 字符"/>
    <w:link w:val="322"/>
    <w:qFormat/>
    <w:uiPriority w:val="34"/>
    <w:rPr>
      <w:rFonts w:ascii="宋体" w:hAnsi="宋体" w:eastAsia="宋体" w:cs="宋体"/>
      <w:kern w:val="1"/>
      <w:szCs w:val="20"/>
      <w:lang w:eastAsia="en-US" w:bidi="en-US"/>
    </w:rPr>
  </w:style>
  <w:style w:type="character" w:customStyle="1" w:styleId="324">
    <w:name w:val="批注文字 字符"/>
    <w:semiHidden/>
    <w:qFormat/>
    <w:uiPriority w:val="99"/>
  </w:style>
  <w:style w:type="character" w:customStyle="1" w:styleId="325">
    <w:name w:val="正文文本 字符"/>
    <w:qFormat/>
    <w:uiPriority w:val="0"/>
    <w:rPr>
      <w:rFonts w:hint="default" w:ascii="Times New Roman" w:hAnsi="Times New Roman" w:eastAsia="宋体" w:cs="Times New Roman"/>
      <w:kern w:val="1"/>
      <w:sz w:val="21"/>
    </w:rPr>
  </w:style>
  <w:style w:type="character" w:customStyle="1" w:styleId="326">
    <w:name w:val="批注主题 字符"/>
    <w:semiHidden/>
    <w:qFormat/>
    <w:uiPriority w:val="99"/>
    <w:rPr>
      <w:b/>
      <w:bCs/>
    </w:rPr>
  </w:style>
  <w:style w:type="paragraph" w:customStyle="1" w:styleId="327">
    <w:name w:val="修订3"/>
    <w:unhideWhenUsed/>
    <w:qFormat/>
    <w:uiPriority w:val="99"/>
    <w:rPr>
      <w:rFonts w:ascii="Times New Roman" w:hAnsi="Times New Roman" w:eastAsia="宋体" w:cs="Times New Roman"/>
      <w:kern w:val="1"/>
      <w:sz w:val="21"/>
      <w:lang w:val="en-US" w:eastAsia="zh-CN" w:bidi="ar-SA"/>
    </w:rPr>
  </w:style>
  <w:style w:type="paragraph" w:customStyle="1" w:styleId="3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9">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0">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3">
    <w:name w:val="00报告表格头"/>
    <w:basedOn w:val="1"/>
    <w:qFormat/>
    <w:uiPriority w:val="0"/>
    <w:pPr>
      <w:spacing w:line="300" w:lineRule="auto"/>
      <w:jc w:val="center"/>
    </w:pPr>
    <w:rPr>
      <w:rFonts w:ascii="宋体" w:hAnsi="宋体"/>
      <w:b/>
      <w:sz w:val="18"/>
      <w:szCs w:val="18"/>
    </w:rPr>
  </w:style>
  <w:style w:type="paragraph" w:customStyle="1" w:styleId="334">
    <w:name w:val="00报告表格"/>
    <w:basedOn w:val="1"/>
    <w:qFormat/>
    <w:uiPriority w:val="0"/>
    <w:pPr>
      <w:spacing w:line="300" w:lineRule="auto"/>
      <w:jc w:val="center"/>
    </w:pPr>
    <w:rPr>
      <w:rFonts w:ascii="宋体" w:hAnsi="宋体"/>
      <w:sz w:val="18"/>
      <w:szCs w:val="18"/>
    </w:rPr>
  </w:style>
  <w:style w:type="paragraph" w:customStyle="1" w:styleId="335">
    <w:name w:val="编号3"/>
    <w:basedOn w:val="1"/>
    <w:link w:val="336"/>
    <w:qFormat/>
    <w:uiPriority w:val="0"/>
    <w:pPr>
      <w:numPr>
        <w:ilvl w:val="0"/>
        <w:numId w:val="4"/>
      </w:numPr>
      <w:adjustRightInd w:val="0"/>
      <w:spacing w:line="360" w:lineRule="auto"/>
      <w:jc w:val="left"/>
    </w:pPr>
    <w:rPr>
      <w:rFonts w:ascii="Calibri" w:hAnsi="Calibri"/>
      <w:sz w:val="24"/>
      <w:szCs w:val="24"/>
    </w:rPr>
  </w:style>
  <w:style w:type="character" w:customStyle="1" w:styleId="336">
    <w:name w:val="编号3 Char"/>
    <w:link w:val="335"/>
    <w:qFormat/>
    <w:uiPriority w:val="0"/>
    <w:rPr>
      <w:rFonts w:ascii="Calibri" w:hAnsi="Calibri" w:eastAsia="宋体" w:cs="Times New Roman"/>
      <w:sz w:val="24"/>
      <w:szCs w:val="24"/>
    </w:rPr>
  </w:style>
  <w:style w:type="paragraph" w:customStyle="1" w:styleId="337">
    <w:name w:val="_Style 6"/>
    <w:basedOn w:val="1"/>
    <w:qFormat/>
    <w:uiPriority w:val="0"/>
    <w:pPr>
      <w:tabs>
        <w:tab w:val="left" w:pos="360"/>
      </w:tabs>
    </w:pPr>
    <w:rPr>
      <w:rFonts w:ascii="Calibri" w:hAnsi="Calibri"/>
      <w:szCs w:val="24"/>
    </w:rPr>
  </w:style>
  <w:style w:type="paragraph" w:customStyle="1" w:styleId="338">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65</Pages>
  <Words>7715</Words>
  <Characters>8463</Characters>
  <Lines>187</Lines>
  <Paragraphs>52</Paragraphs>
  <TotalTime>34</TotalTime>
  <ScaleCrop>false</ScaleCrop>
  <LinksUpToDate>false</LinksUpToDate>
  <CharactersWithSpaces>8526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沈川</cp:lastModifiedBy>
  <dcterms:modified xsi:type="dcterms:W3CDTF">2025-12-02T05:56:51Z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eyJoZGlkIjoiNjFmZWE5YmVlNWNkYzViZjMxNzk2ZWQxZGY2YjM2MTkiLCJ1c2VySWQiOiI3MzQ3MDgzNjEifQ==</vt:lpwstr>
  </property>
  <property fmtid="{D5CDD505-2E9C-101B-9397-08002B2CF9AE}" pid="3" name="KSOProductBuildVer">
    <vt:lpwstr>2052-12.1.0.23542</vt:lpwstr>
  </property>
  <property fmtid="{D5CDD505-2E9C-101B-9397-08002B2CF9AE}" pid="4" name="ICV">
    <vt:lpwstr>AB88ED0EDE2148D09D1C2D0B43AEB411_13</vt:lpwstr>
  </property>
</Properties>
</file>