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C7EDCF"/>
  <w:body>
    <w:p w14:paraId="6AEE2C17">
      <w:pPr>
        <w:rPr>
          <w:sz w:val="84"/>
        </w:rPr>
      </w:pPr>
    </w:p>
    <w:p w14:paraId="5665DCFF">
      <w:pPr>
        <w:ind w:right="105"/>
        <w:jc w:val="right"/>
        <w:rPr>
          <w:rFonts w:hint="eastAsia" w:ascii="黑体" w:hAnsi="黑体" w:eastAsia="黑体"/>
          <w:b/>
          <w:spacing w:val="40"/>
          <w:w w:val="66"/>
          <w:sz w:val="60"/>
          <w:szCs w:val="60"/>
        </w:rPr>
      </w:pPr>
      <w:r>
        <w:rPr>
          <w:rFonts w:ascii="黑体" w:hAnsi="黑体" w:eastAsia="黑体"/>
          <w:b/>
          <w:spacing w:val="40"/>
          <w:w w:val="66"/>
          <w:sz w:val="60"/>
          <w:szCs w:val="60"/>
        </w:rPr>
        <mc:AlternateContent>
          <mc:Choice Requires="wps">
            <w:drawing>
              <wp:anchor distT="0" distB="0" distL="114300" distR="114300" simplePos="0" relativeHeight="251659264" behindDoc="0" locked="0" layoutInCell="1" allowOverlap="1">
                <wp:simplePos x="0" y="0"/>
                <wp:positionH relativeFrom="column">
                  <wp:posOffset>-27305</wp:posOffset>
                </wp:positionH>
                <wp:positionV relativeFrom="paragraph">
                  <wp:posOffset>231775</wp:posOffset>
                </wp:positionV>
                <wp:extent cx="215900" cy="0"/>
                <wp:effectExtent l="0" t="95250" r="12700" b="95250"/>
                <wp:wrapNone/>
                <wp:docPr id="3"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720000" cy="0"/>
                        </a:xfrm>
                        <a:prstGeom prst="line">
                          <a:avLst/>
                        </a:prstGeom>
                        <a:noFill/>
                        <a:ln w="190500">
                          <a:solidFill>
                            <a:srgbClr val="4B69B5"/>
                          </a:solidFill>
                          <a:round/>
                        </a:ln>
                        <a:effectLst/>
                      </wps:spPr>
                      <wps:bodyPr/>
                    </wps:wsp>
                  </a:graphicData>
                </a:graphic>
              </wp:anchor>
            </w:drawing>
          </mc:Choice>
          <mc:Fallback>
            <w:pict>
              <v:line id="_x0000_s1026" o:spid="_x0000_s1026" o:spt="20" style="position:absolute;left:0pt;margin-left:-2.15pt;margin-top:18.25pt;height:0pt;width:17pt;z-index:251659264;mso-width-relative:page;mso-height-relative:page;" filled="f" stroked="t" coordsize="21600,21600" o:gfxdata="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co+iK&#10;1QAAAAcBAAAPAAAAAAAAAAEAIAAAACIAAABkcnMvZG93bnJldi54bWxQSwECFAAUAAAACACHTuJA&#10;SG85jOsBAAC5AwAADgAAAAAAAAABACAAAAAkAQAAZHJzL2Uyb0RvYy54bWxQSwUGAAAAAAYABgBZ&#10;AQAAgQUAAAAA&#10;">
                <v:fill on="f" focussize="0,0"/>
                <v:stroke weight="15pt" color="#4B69B5" joinstyle="round"/>
                <v:imagedata o:title=""/>
                <o:lock v:ext="edit" aspectratio="f"/>
              </v:line>
            </w:pict>
          </mc:Fallback>
        </mc:AlternateContent>
      </w:r>
      <w:r>
        <w:rPr>
          <w:rFonts w:hint="eastAsia" w:ascii="黑体" w:hAnsi="黑体" w:eastAsia="黑体"/>
          <w:b/>
          <w:spacing w:val="40"/>
          <w:w w:val="66"/>
          <w:sz w:val="60"/>
          <w:szCs w:val="60"/>
        </w:rPr>
        <w:t>中共天津经济技术开发区委员会办公室（天津经济技术开发区管理委员会办公室）采购2026年宝信大厦网络及桌面</w:t>
      </w:r>
    </w:p>
    <w:p w14:paraId="1A4ED138">
      <w:pPr>
        <w:ind w:right="105"/>
        <w:jc w:val="right"/>
        <w:rPr>
          <w:rFonts w:ascii="黑体" w:hAnsi="黑体" w:eastAsia="黑体"/>
          <w:b/>
          <w:spacing w:val="40"/>
          <w:w w:val="66"/>
          <w:sz w:val="60"/>
          <w:szCs w:val="60"/>
        </w:rPr>
      </w:pPr>
      <w:r>
        <w:rPr>
          <w:rFonts w:ascii="黑体" w:hAnsi="黑体" w:eastAsia="黑体"/>
          <w:b/>
          <w:spacing w:val="40"/>
          <w:sz w:val="60"/>
          <w:szCs w:val="60"/>
        </w:rPr>
        <mc:AlternateContent>
          <mc:Choice Requires="wps">
            <w:drawing>
              <wp:anchor distT="0" distB="0" distL="114300" distR="114300" simplePos="0" relativeHeight="251660288" behindDoc="0" locked="0" layoutInCell="1" allowOverlap="1">
                <wp:simplePos x="0" y="0"/>
                <wp:positionH relativeFrom="column">
                  <wp:posOffset>-17780</wp:posOffset>
                </wp:positionH>
                <wp:positionV relativeFrom="paragraph">
                  <wp:posOffset>240030</wp:posOffset>
                </wp:positionV>
                <wp:extent cx="2797810" cy="18415"/>
                <wp:effectExtent l="635" t="95250" r="1905" b="95885"/>
                <wp:wrapNone/>
                <wp:docPr id="2"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2797810" cy="18415"/>
                        </a:xfrm>
                        <a:prstGeom prst="line">
                          <a:avLst/>
                        </a:prstGeom>
                        <a:noFill/>
                        <a:ln w="190500">
                          <a:solidFill>
                            <a:srgbClr val="4B69B5"/>
                          </a:solidFill>
                          <a:round/>
                        </a:ln>
                        <a:effectLst/>
                      </wps:spPr>
                      <wps:bodyPr/>
                    </wps:wsp>
                  </a:graphicData>
                </a:graphic>
              </wp:anchor>
            </w:drawing>
          </mc:Choice>
          <mc:Fallback>
            <w:pict>
              <v:line id="_x0000_s1026" o:spid="_x0000_s1026" o:spt="20" style="position:absolute;left:0pt;margin-left:-1.4pt;margin-top:18.9pt;height:1.45pt;width:220.3pt;z-index:251660288;mso-width-relative:page;mso-height-relative:page;" filled="f" stroked="t" coordsize="21600,21600" o:gfxdata="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FH5HynWAAAACAEAAA8AAAAAAAAAAQAgAAAAIgAAAGRycy9kb3ducmV2LnhtbFBLAQIUABQA&#10;AAAIAIdO4kBKwaI48gEAAL4DAAAOAAAAAAAAAAEAIAAAACUBAABkcnMvZTJvRG9jLnhtbFBLBQYA&#10;AAAABgAGAFkBAACJBQAAAAA=&#10;">
                <v:fill on="f" focussize="0,0"/>
                <v:stroke weight="15pt" color="#4B69B5" joinstyle="round"/>
                <v:imagedata o:title=""/>
                <o:lock v:ext="edit" aspectratio="f"/>
              </v:line>
            </w:pict>
          </mc:Fallback>
        </mc:AlternateContent>
      </w:r>
      <w:r>
        <w:rPr>
          <w:rFonts w:hint="eastAsia" w:ascii="黑体" w:hAnsi="黑体" w:eastAsia="黑体"/>
          <w:b/>
          <w:spacing w:val="40"/>
          <w:w w:val="66"/>
          <w:sz w:val="60"/>
          <w:szCs w:val="60"/>
        </w:rPr>
        <w:t>运维项目</w:t>
      </w:r>
      <w:r>
        <w:rPr>
          <w:rFonts w:ascii="黑体" w:hAnsi="黑体" w:eastAsia="黑体"/>
          <w:b/>
          <w:spacing w:val="40"/>
          <w:w w:val="66"/>
          <w:sz w:val="60"/>
          <w:szCs w:val="60"/>
        </w:rPr>
        <w:t>招标文件</w:t>
      </w:r>
    </w:p>
    <w:p w14:paraId="27DF8926">
      <w:pPr>
        <w:ind w:right="1025"/>
        <w:jc w:val="center"/>
        <w:rPr>
          <w:rFonts w:ascii="黑体" w:hAnsi="黑体" w:eastAsia="黑体"/>
          <w:b/>
          <w:spacing w:val="40"/>
          <w:w w:val="66"/>
          <w:sz w:val="60"/>
          <w:szCs w:val="60"/>
        </w:rPr>
      </w:pPr>
    </w:p>
    <w:p w14:paraId="5B0FAA12">
      <w:pPr>
        <w:jc w:val="center"/>
        <w:rPr>
          <w:rFonts w:ascii="黑体" w:hAnsi="黑体" w:eastAsia="黑体"/>
          <w:b/>
          <w:spacing w:val="40"/>
          <w:w w:val="66"/>
          <w:sz w:val="15"/>
          <w:szCs w:val="15"/>
        </w:rPr>
      </w:pPr>
    </w:p>
    <w:p w14:paraId="0CE63E15">
      <w:pPr>
        <w:jc w:val="center"/>
        <w:rPr>
          <w:rFonts w:ascii="黑体" w:hAnsi="黑体" w:eastAsia="黑体"/>
          <w:b/>
          <w:color w:val="FF0000"/>
          <w:spacing w:val="40"/>
          <w:w w:val="66"/>
          <w:sz w:val="32"/>
          <w:szCs w:val="32"/>
        </w:rPr>
      </w:pPr>
      <w:r>
        <w:rPr>
          <w:rFonts w:ascii="黑体" w:hAnsi="黑体" w:eastAsia="黑体"/>
          <w:b/>
          <w:spacing w:val="40"/>
          <w:w w:val="66"/>
          <w:sz w:val="32"/>
          <w:szCs w:val="32"/>
        </w:rPr>
        <w:t>（项目编号：</w:t>
      </w:r>
      <w:r>
        <w:rPr>
          <w:rFonts w:hint="eastAsia" w:ascii="黑体" w:hAnsi="黑体" w:eastAsia="黑体"/>
          <w:b/>
          <w:spacing w:val="40"/>
          <w:w w:val="66"/>
          <w:sz w:val="32"/>
          <w:szCs w:val="32"/>
        </w:rPr>
        <w:t>TJBH-2026-D-0110</w:t>
      </w:r>
      <w:r>
        <w:rPr>
          <w:rFonts w:ascii="黑体" w:hAnsi="黑体" w:eastAsia="黑体"/>
          <w:b/>
          <w:spacing w:val="40"/>
          <w:w w:val="66"/>
          <w:sz w:val="32"/>
          <w:szCs w:val="32"/>
        </w:rPr>
        <w:t>）</w:t>
      </w:r>
    </w:p>
    <w:p w14:paraId="446D6D3B">
      <w:pPr>
        <w:rPr>
          <w:rFonts w:ascii="黑体" w:hAnsi="黑体" w:eastAsia="黑体"/>
          <w:b/>
          <w:sz w:val="40"/>
        </w:rPr>
      </w:pPr>
    </w:p>
    <w:p w14:paraId="2C5C7CC6">
      <w:pPr>
        <w:rPr>
          <w:rFonts w:ascii="黑体" w:hAnsi="黑体" w:eastAsia="黑体"/>
          <w:b/>
          <w:sz w:val="36"/>
        </w:rPr>
      </w:pPr>
    </w:p>
    <w:p w14:paraId="15942B9A">
      <w:pPr>
        <w:rPr>
          <w:rFonts w:ascii="黑体" w:hAnsi="黑体" w:eastAsia="黑体"/>
          <w:b/>
          <w:sz w:val="36"/>
        </w:rPr>
      </w:pPr>
    </w:p>
    <w:p w14:paraId="51F43311">
      <w:pPr>
        <w:rPr>
          <w:rFonts w:ascii="黑体" w:hAnsi="黑体" w:eastAsia="黑体"/>
          <w:b/>
          <w:sz w:val="36"/>
        </w:rPr>
      </w:pPr>
    </w:p>
    <w:p w14:paraId="232770E0">
      <w:pPr>
        <w:rPr>
          <w:rFonts w:ascii="黑体" w:hAnsi="黑体" w:eastAsia="黑体"/>
          <w:b/>
          <w:sz w:val="36"/>
        </w:rPr>
      </w:pPr>
    </w:p>
    <w:p w14:paraId="646D3B27">
      <w:pPr>
        <w:rPr>
          <w:rFonts w:ascii="黑体" w:hAnsi="黑体" w:eastAsia="黑体"/>
          <w:b/>
          <w:sz w:val="36"/>
        </w:rPr>
      </w:pPr>
    </w:p>
    <w:p w14:paraId="3AB2B560">
      <w:pPr>
        <w:rPr>
          <w:rFonts w:ascii="黑体" w:hAnsi="黑体" w:eastAsia="黑体"/>
          <w:b/>
          <w:sz w:val="36"/>
        </w:rPr>
      </w:pPr>
    </w:p>
    <w:p w14:paraId="724D87A0">
      <w:pPr>
        <w:rPr>
          <w:rFonts w:ascii="黑体" w:hAnsi="黑体" w:eastAsia="黑体"/>
          <w:b/>
          <w:sz w:val="36"/>
        </w:rPr>
      </w:pPr>
    </w:p>
    <w:p w14:paraId="2F4F0D22">
      <w:pPr>
        <w:rPr>
          <w:rFonts w:ascii="黑体" w:hAnsi="黑体" w:eastAsia="黑体"/>
          <w:b/>
          <w:sz w:val="36"/>
        </w:rPr>
      </w:pPr>
    </w:p>
    <w:p w14:paraId="62A1BD9F">
      <w:pPr>
        <w:jc w:val="center"/>
        <w:rPr>
          <w:rFonts w:ascii="黑体" w:hAnsi="黑体" w:eastAsia="黑体"/>
          <w:b/>
          <w:spacing w:val="20"/>
          <w:w w:val="66"/>
          <w:sz w:val="44"/>
          <w:szCs w:val="44"/>
        </w:rPr>
      </w:pPr>
      <w:r>
        <w:rPr>
          <w:rFonts w:ascii="黑体" w:hAnsi="黑体" w:eastAsia="黑体"/>
          <w:b/>
          <w:spacing w:val="20"/>
          <w:w w:val="66"/>
          <w:sz w:val="44"/>
          <w:szCs w:val="44"/>
        </w:rPr>
        <w:t>天津市滨海新区政府采购中心</w:t>
      </w:r>
    </w:p>
    <w:p w14:paraId="71BC8944">
      <w:pPr>
        <w:tabs>
          <w:tab w:val="left" w:pos="3281"/>
          <w:tab w:val="center" w:pos="4711"/>
        </w:tabs>
        <w:jc w:val="center"/>
        <w:rPr>
          <w:rFonts w:hint="eastAsia" w:ascii="黑体" w:hAnsi="黑体" w:eastAsia="黑体"/>
          <w:b/>
          <w:bCs/>
          <w:kern w:val="0"/>
          <w:sz w:val="44"/>
          <w:szCs w:val="44"/>
          <w:lang w:val="en-US" w:eastAsia="zh-CN"/>
        </w:rPr>
      </w:pPr>
      <w:r>
        <w:rPr>
          <w:rFonts w:ascii="黑体" w:hAnsi="黑体" w:eastAsia="黑体"/>
          <w:b/>
          <w:bCs/>
          <w:kern w:val="0"/>
          <w:sz w:val="44"/>
          <w:szCs w:val="44"/>
        </w:rPr>
        <w:t>2026.</w:t>
      </w:r>
      <w:r>
        <w:rPr>
          <w:rFonts w:hint="eastAsia" w:ascii="黑体" w:hAnsi="黑体" w:eastAsia="黑体"/>
          <w:b/>
          <w:bCs/>
          <w:kern w:val="0"/>
          <w:sz w:val="44"/>
          <w:szCs w:val="44"/>
          <w:lang w:val="en-US" w:eastAsia="zh-CN"/>
        </w:rPr>
        <w:t>7</w:t>
      </w:r>
    </w:p>
    <w:p w14:paraId="6C6616BC">
      <w:pPr>
        <w:widowControl/>
        <w:jc w:val="left"/>
        <w:rPr>
          <w:rFonts w:ascii="黑体" w:hAnsi="黑体" w:eastAsia="黑体"/>
          <w:b/>
          <w:bCs/>
          <w:kern w:val="0"/>
          <w:sz w:val="44"/>
          <w:szCs w:val="44"/>
        </w:rPr>
      </w:pPr>
    </w:p>
    <w:p w14:paraId="02A5F361">
      <w:pPr>
        <w:ind w:firstLine="408" w:firstLineChars="100"/>
        <w:jc w:val="center"/>
        <w:rPr>
          <w:b/>
          <w:spacing w:val="20"/>
          <w:w w:val="80"/>
          <w:sz w:val="48"/>
          <w:szCs w:val="48"/>
        </w:rPr>
        <w:sectPr>
          <w:pgSz w:w="11906" w:h="16838"/>
          <w:pgMar w:top="1440" w:right="1797" w:bottom="1440" w:left="1797" w:header="851" w:footer="992" w:gutter="0"/>
          <w:pgNumType w:start="1"/>
          <w:cols w:space="425" w:num="1"/>
          <w:docGrid w:type="linesAndChars" w:linePitch="285" w:charSpace="-3449"/>
        </w:sectPr>
      </w:pPr>
    </w:p>
    <w:p w14:paraId="0A318D36">
      <w:pPr>
        <w:ind w:firstLine="408" w:firstLineChars="100"/>
        <w:jc w:val="center"/>
        <w:rPr>
          <w:b/>
          <w:spacing w:val="20"/>
          <w:w w:val="80"/>
          <w:sz w:val="48"/>
          <w:szCs w:val="48"/>
        </w:rPr>
      </w:pPr>
      <w:r>
        <w:rPr>
          <w:rFonts w:hAnsiTheme="minorEastAsia"/>
          <w:b/>
          <w:spacing w:val="20"/>
          <w:w w:val="80"/>
          <w:sz w:val="48"/>
          <w:szCs w:val="48"/>
        </w:rPr>
        <w:t>目录</w:t>
      </w:r>
    </w:p>
    <w:p w14:paraId="2A96ED35">
      <w:pPr>
        <w:spacing w:line="560" w:lineRule="exact"/>
        <w:ind w:right="-141" w:rightChars="-73"/>
        <w:rPr>
          <w:b/>
          <w:sz w:val="24"/>
        </w:rPr>
      </w:pPr>
      <w:r>
        <w:rPr>
          <w:rFonts w:hAnsiTheme="minorEastAsia"/>
          <w:b/>
          <w:sz w:val="24"/>
        </w:rPr>
        <w:t>第一部分投标邀请函</w:t>
      </w:r>
    </w:p>
    <w:p w14:paraId="229D3ABE">
      <w:pPr>
        <w:spacing w:line="560" w:lineRule="exact"/>
        <w:ind w:right="-141" w:rightChars="-73"/>
        <w:rPr>
          <w:b/>
          <w:sz w:val="24"/>
        </w:rPr>
      </w:pPr>
    </w:p>
    <w:p w14:paraId="2F23E558">
      <w:pPr>
        <w:spacing w:line="560" w:lineRule="exact"/>
        <w:ind w:right="-141" w:rightChars="-73"/>
        <w:rPr>
          <w:b/>
          <w:sz w:val="24"/>
        </w:rPr>
      </w:pPr>
      <w:r>
        <w:rPr>
          <w:rFonts w:hAnsiTheme="minorEastAsia"/>
          <w:b/>
          <w:sz w:val="24"/>
        </w:rPr>
        <w:t>第二部分招标项目要求</w:t>
      </w:r>
    </w:p>
    <w:p w14:paraId="11B42D8C">
      <w:pPr>
        <w:spacing w:line="560" w:lineRule="exact"/>
        <w:ind w:right="-141" w:rightChars="-73"/>
        <w:rPr>
          <w:b/>
          <w:sz w:val="24"/>
        </w:rPr>
      </w:pPr>
    </w:p>
    <w:p w14:paraId="07287B57">
      <w:pPr>
        <w:spacing w:line="560" w:lineRule="exact"/>
        <w:ind w:right="-141" w:rightChars="-73"/>
        <w:rPr>
          <w:b/>
          <w:sz w:val="24"/>
        </w:rPr>
      </w:pPr>
      <w:r>
        <w:rPr>
          <w:rFonts w:hAnsiTheme="minorEastAsia"/>
          <w:b/>
          <w:sz w:val="24"/>
        </w:rPr>
        <w:t>第三部分投标须知</w:t>
      </w:r>
    </w:p>
    <w:p w14:paraId="3541A7D3">
      <w:pPr>
        <w:spacing w:line="560" w:lineRule="exact"/>
        <w:ind w:right="-141" w:rightChars="-73"/>
        <w:rPr>
          <w:sz w:val="24"/>
        </w:rPr>
      </w:pPr>
    </w:p>
    <w:p w14:paraId="670C872F">
      <w:pPr>
        <w:spacing w:line="560" w:lineRule="exact"/>
        <w:rPr>
          <w:b/>
          <w:sz w:val="24"/>
        </w:rPr>
      </w:pPr>
      <w:r>
        <w:rPr>
          <w:rFonts w:hAnsiTheme="minorEastAsia"/>
          <w:b/>
          <w:sz w:val="24"/>
        </w:rPr>
        <w:t>第四部分合同条款</w:t>
      </w:r>
    </w:p>
    <w:p w14:paraId="5DCA6682">
      <w:pPr>
        <w:spacing w:line="560" w:lineRule="exact"/>
        <w:rPr>
          <w:sz w:val="24"/>
        </w:rPr>
      </w:pPr>
    </w:p>
    <w:p w14:paraId="3E8C035A">
      <w:pPr>
        <w:spacing w:line="560" w:lineRule="exact"/>
        <w:rPr>
          <w:sz w:val="24"/>
        </w:rPr>
      </w:pPr>
      <w:r>
        <w:rPr>
          <w:rFonts w:hAnsiTheme="minorEastAsia"/>
          <w:b/>
          <w:sz w:val="24"/>
        </w:rPr>
        <w:t>第五部分投标文件格式</w:t>
      </w:r>
    </w:p>
    <w:p w14:paraId="7CD6DCFA">
      <w:pPr>
        <w:rPr>
          <w:sz w:val="24"/>
        </w:rPr>
      </w:pPr>
    </w:p>
    <w:p w14:paraId="4260B3EC">
      <w:pPr>
        <w:rPr>
          <w:sz w:val="24"/>
        </w:rPr>
      </w:pPr>
    </w:p>
    <w:p w14:paraId="76873C46">
      <w:pPr>
        <w:rPr>
          <w:sz w:val="24"/>
        </w:rPr>
      </w:pPr>
    </w:p>
    <w:p w14:paraId="62682F06">
      <w:pPr>
        <w:rPr>
          <w:sz w:val="24"/>
        </w:rPr>
      </w:pPr>
    </w:p>
    <w:p w14:paraId="28553D53">
      <w:pPr>
        <w:rPr>
          <w:sz w:val="24"/>
        </w:rPr>
      </w:pPr>
    </w:p>
    <w:p w14:paraId="3D5EB9B0">
      <w:pPr>
        <w:rPr>
          <w:sz w:val="24"/>
        </w:rPr>
      </w:pPr>
    </w:p>
    <w:p w14:paraId="1E0A7A9E">
      <w:pPr>
        <w:rPr>
          <w:b/>
        </w:rPr>
      </w:pPr>
    </w:p>
    <w:p w14:paraId="5B4BA0F7">
      <w:pPr>
        <w:pStyle w:val="15"/>
        <w:rPr>
          <w:rFonts w:ascii="Times New Roman" w:hAnsi="Times New Roman"/>
        </w:rPr>
        <w:sectPr>
          <w:pgSz w:w="11906" w:h="16838"/>
          <w:pgMar w:top="1440" w:right="1797" w:bottom="1440" w:left="1797" w:header="851" w:footer="992" w:gutter="0"/>
          <w:pgNumType w:start="1"/>
          <w:cols w:space="425" w:num="1"/>
          <w:docGrid w:type="linesAndChars" w:linePitch="285" w:charSpace="-3449"/>
        </w:sectPr>
      </w:pPr>
      <w:bookmarkStart w:id="0" w:name="_Toc412903614"/>
    </w:p>
    <w:p w14:paraId="515FB417">
      <w:pPr>
        <w:pStyle w:val="15"/>
        <w:rPr>
          <w:rFonts w:ascii="Times New Roman" w:hAnsi="Times New Roman"/>
        </w:rPr>
      </w:pPr>
      <w:r>
        <w:rPr>
          <w:rFonts w:ascii="Times New Roman" w:hAnsiTheme="minorEastAsia"/>
        </w:rPr>
        <w:t>第一部分投标邀请函</w:t>
      </w:r>
      <w:bookmarkEnd w:id="0"/>
    </w:p>
    <w:p w14:paraId="4C3FE413">
      <w:pPr>
        <w:pStyle w:val="31"/>
        <w:spacing w:line="360" w:lineRule="auto"/>
        <w:ind w:firstLine="480" w:firstLineChars="200"/>
        <w:jc w:val="both"/>
        <w:rPr>
          <w:rFonts w:ascii="Times New Roman" w:hAnsi="Times New Roman" w:eastAsia="宋体" w:cs="Times New Roman"/>
          <w:color w:val="auto"/>
          <w:szCs w:val="32"/>
        </w:rPr>
      </w:pPr>
      <w:r>
        <w:rPr>
          <w:rFonts w:ascii="Times New Roman" w:eastAsia="宋体" w:cs="Times New Roman" w:hAnsiTheme="minorEastAsia"/>
          <w:color w:val="auto"/>
          <w:szCs w:val="32"/>
        </w:rPr>
        <w:t>受</w:t>
      </w:r>
      <w:r>
        <w:rPr>
          <w:rFonts w:hint="eastAsia" w:ascii="Times New Roman" w:eastAsia="宋体" w:cs="Times New Roman" w:hAnsiTheme="minorEastAsia"/>
          <w:color w:val="auto"/>
          <w:szCs w:val="32"/>
        </w:rPr>
        <w:t>中共天津经济技术开发区委员会办公室（天津经济技术开发区管理委员会办公室）</w:t>
      </w:r>
      <w:r>
        <w:rPr>
          <w:rFonts w:ascii="Times New Roman" w:eastAsia="宋体" w:cs="Times New Roman" w:hAnsiTheme="minorEastAsia"/>
          <w:color w:val="auto"/>
          <w:szCs w:val="32"/>
        </w:rPr>
        <w:t>委托，天津市滨海新区政府采购中心将以公开招标方式，对</w:t>
      </w:r>
      <w:r>
        <w:rPr>
          <w:rFonts w:hint="eastAsia" w:ascii="Times New Roman" w:eastAsia="宋体" w:cs="Times New Roman" w:hAnsiTheme="minorEastAsia"/>
          <w:color w:val="auto"/>
          <w:szCs w:val="32"/>
        </w:rPr>
        <w:t>中共天津经济技术开发区委员会办公室（天津经济技术开发区管理委员会办公室）采购2026年宝信大厦网络及桌面运维项目</w:t>
      </w:r>
      <w:r>
        <w:rPr>
          <w:rFonts w:ascii="Times New Roman" w:eastAsia="宋体" w:cs="Times New Roman" w:hAnsiTheme="minorEastAsia"/>
          <w:color w:val="auto"/>
          <w:szCs w:val="32"/>
        </w:rPr>
        <w:t>实施政府采购。现欢迎合格的供应商参加投标。</w:t>
      </w:r>
    </w:p>
    <w:p w14:paraId="1EF2852E">
      <w:pPr>
        <w:pStyle w:val="31"/>
        <w:spacing w:line="360" w:lineRule="auto"/>
        <w:ind w:firstLine="480" w:firstLineChars="200"/>
        <w:jc w:val="both"/>
        <w:rPr>
          <w:rFonts w:ascii="Times New Roman" w:hAnsi="Times New Roman" w:eastAsia="宋体" w:cs="Times New Roman"/>
          <w:color w:val="auto"/>
          <w:szCs w:val="32"/>
        </w:rPr>
      </w:pPr>
      <w:r>
        <w:rPr>
          <w:rFonts w:hint="eastAsia" w:ascii="Times New Roman" w:eastAsia="宋体" w:cs="Times New Roman" w:hAnsiTheme="minorEastAsia"/>
          <w:color w:val="auto"/>
          <w:szCs w:val="32"/>
        </w:rPr>
        <w:t>本项目为远程招投标，一律不接受纸质投标文件，只接受加盖投标人电子签章的电子投标文件（以通过天津公共资源电子签章客户端正确读取签章信息为准）。供应商参加投标前须办理</w:t>
      </w:r>
      <w:r>
        <w:rPr>
          <w:rFonts w:hint="eastAsia" w:ascii="Times New Roman" w:hAnsi="Times New Roman" w:eastAsia="宋体" w:cs="Times New Roman"/>
          <w:color w:val="auto"/>
          <w:szCs w:val="32"/>
        </w:rPr>
        <w:t>CA</w:t>
      </w:r>
      <w:r>
        <w:rPr>
          <w:rFonts w:hint="eastAsia" w:ascii="Times New Roman" w:eastAsia="宋体" w:cs="Times New Roman" w:hAnsiTheme="minorEastAsia"/>
          <w:color w:val="auto"/>
          <w:szCs w:val="32"/>
        </w:rPr>
        <w:t>数字证书（</w:t>
      </w:r>
      <w:r>
        <w:rPr>
          <w:rFonts w:hint="eastAsia" w:ascii="Times New Roman" w:hAnsi="Times New Roman" w:eastAsia="宋体" w:cs="Times New Roman"/>
          <w:color w:val="auto"/>
          <w:szCs w:val="32"/>
        </w:rPr>
        <w:t>USBKey</w:t>
      </w:r>
      <w:r>
        <w:rPr>
          <w:rFonts w:hint="eastAsia" w:ascii="Times New Roman" w:eastAsia="宋体" w:cs="Times New Roman" w:hAnsiTheme="minorEastAsia"/>
          <w:color w:val="auto"/>
          <w:szCs w:val="32"/>
        </w:rPr>
        <w:t>）和电子签章。投标人须按招标文件的规定在天津市政府采购中心招投标系统中提交网上应答并上传加盖投标人电子签章的电子投标文件（以通过天津公共资源电子签章客户端正确读取签章信息为准）。</w:t>
      </w:r>
    </w:p>
    <w:p w14:paraId="47CAA7C0">
      <w:pPr>
        <w:pStyle w:val="31"/>
        <w:spacing w:line="360" w:lineRule="auto"/>
        <w:ind w:firstLine="480" w:firstLineChars="200"/>
        <w:jc w:val="both"/>
        <w:rPr>
          <w:rFonts w:ascii="Times New Roman" w:hAnsi="Times New Roman" w:eastAsia="宋体" w:cs="Times New Roman"/>
          <w:color w:val="auto"/>
        </w:rPr>
      </w:pPr>
      <w:r>
        <w:rPr>
          <w:rFonts w:ascii="Times New Roman" w:eastAsia="宋体" w:cs="Times New Roman" w:hAnsiTheme="minorEastAsia"/>
          <w:color w:val="auto"/>
        </w:rPr>
        <w:t>一、项目名称和编号</w:t>
      </w:r>
    </w:p>
    <w:p w14:paraId="4C990C71">
      <w:pPr>
        <w:pStyle w:val="31"/>
        <w:spacing w:line="360" w:lineRule="auto"/>
        <w:ind w:firstLine="480" w:firstLineChars="200"/>
        <w:jc w:val="both"/>
        <w:rPr>
          <w:rFonts w:ascii="Times New Roman" w:hAnsi="Times New Roman" w:eastAsia="宋体" w:cs="Times New Roman"/>
          <w:color w:val="auto"/>
        </w:rPr>
      </w:pPr>
      <w:r>
        <w:rPr>
          <w:rFonts w:ascii="Times New Roman" w:eastAsia="宋体" w:cs="Times New Roman" w:hAnsiTheme="minorEastAsia"/>
          <w:color w:val="auto"/>
        </w:rPr>
        <w:t>（一）项目名称：</w:t>
      </w:r>
      <w:r>
        <w:rPr>
          <w:rFonts w:hint="eastAsia" w:ascii="Times New Roman" w:hAnsi="Times New Roman" w:eastAsia="宋体" w:cs="Times New Roman"/>
          <w:color w:val="auto"/>
        </w:rPr>
        <w:t>中共天津经济技术开发区委员会办公室（天津经济技术开发区管理委员会办公室）采购2026年宝信大厦网络及桌面运维项目</w:t>
      </w:r>
    </w:p>
    <w:p w14:paraId="445321E3">
      <w:pPr>
        <w:pStyle w:val="31"/>
        <w:spacing w:line="360" w:lineRule="auto"/>
        <w:ind w:firstLine="480" w:firstLineChars="200"/>
        <w:jc w:val="both"/>
        <w:rPr>
          <w:rFonts w:ascii="Times New Roman" w:hAnsi="Times New Roman" w:eastAsia="宋体" w:cs="Times New Roman"/>
          <w:color w:val="auto"/>
        </w:rPr>
      </w:pPr>
      <w:r>
        <w:rPr>
          <w:rFonts w:ascii="Times New Roman" w:eastAsia="宋体" w:cs="Times New Roman" w:hAnsiTheme="minorEastAsia"/>
          <w:color w:val="auto"/>
        </w:rPr>
        <w:t>（二）项目编号：</w:t>
      </w:r>
      <w:r>
        <w:rPr>
          <w:rFonts w:hint="eastAsia" w:ascii="Times New Roman" w:eastAsia="宋体" w:cs="Times New Roman" w:hAnsiTheme="minorEastAsia"/>
          <w:color w:val="auto"/>
        </w:rPr>
        <w:t>TJBH-2026-D-0110</w:t>
      </w:r>
    </w:p>
    <w:p w14:paraId="23728DCB">
      <w:pPr>
        <w:pStyle w:val="31"/>
        <w:spacing w:line="360" w:lineRule="auto"/>
        <w:ind w:firstLine="480" w:firstLineChars="200"/>
        <w:jc w:val="both"/>
        <w:rPr>
          <w:rFonts w:ascii="Times New Roman" w:hAnsi="Times New Roman" w:eastAsia="宋体" w:cs="Times New Roman"/>
          <w:color w:val="auto"/>
        </w:rPr>
      </w:pPr>
      <w:r>
        <w:rPr>
          <w:rFonts w:ascii="Times New Roman" w:eastAsia="宋体" w:cs="Times New Roman" w:hAnsiTheme="minorEastAsia"/>
          <w:color w:val="auto"/>
        </w:rPr>
        <w:t>二、项目内容</w:t>
      </w:r>
    </w:p>
    <w:p w14:paraId="3CCB0429">
      <w:pPr>
        <w:pStyle w:val="31"/>
        <w:ind w:firstLine="470" w:firstLineChars="196"/>
        <w:rPr>
          <w:rFonts w:ascii="Times New Roman" w:hAnsi="Times New Roman" w:eastAsia="宋体"/>
          <w:color w:val="auto"/>
        </w:rPr>
      </w:pPr>
      <w:r>
        <w:rPr>
          <w:rFonts w:hint="eastAsia" w:ascii="Times New Roman" w:eastAsia="宋体" w:hAnsiTheme="minorEastAsia"/>
          <w:color w:val="auto"/>
        </w:rPr>
        <w:t>第一包：网络及桌面运维</w:t>
      </w:r>
      <w:r>
        <w:rPr>
          <w:rFonts w:hint="eastAsia" w:ascii="Times New Roman" w:eastAsia="宋体" w:hAnsiTheme="minorEastAsia"/>
          <w:color w:val="auto"/>
          <w:lang w:eastAsia="zh-CN"/>
        </w:rPr>
        <w:t>服务，</w:t>
      </w:r>
      <w:r>
        <w:rPr>
          <w:rFonts w:hint="eastAsia" w:ascii="Times New Roman" w:eastAsia="宋体" w:hAnsiTheme="minorEastAsia"/>
          <w:color w:val="auto"/>
        </w:rPr>
        <w:t>合同履行期限自2026年9月17日至2027年9月16日止。</w:t>
      </w:r>
    </w:p>
    <w:p w14:paraId="530AAEB7">
      <w:pPr>
        <w:pStyle w:val="31"/>
        <w:spacing w:line="360" w:lineRule="auto"/>
        <w:ind w:firstLine="480" w:firstLineChars="200"/>
        <w:jc w:val="both"/>
        <w:rPr>
          <w:rFonts w:ascii="Times New Roman" w:hAnsi="Times New Roman" w:eastAsia="宋体" w:cs="Times New Roman"/>
          <w:color w:val="auto"/>
        </w:rPr>
      </w:pPr>
      <w:r>
        <w:rPr>
          <w:rFonts w:ascii="Times New Roman" w:eastAsia="宋体" w:cs="Times New Roman" w:hAnsiTheme="minorEastAsia"/>
          <w:color w:val="auto"/>
        </w:rPr>
        <w:t>三、项目预算</w:t>
      </w:r>
    </w:p>
    <w:p w14:paraId="2E89D5E4">
      <w:pPr>
        <w:pStyle w:val="31"/>
        <w:spacing w:line="360" w:lineRule="auto"/>
        <w:ind w:firstLine="480" w:firstLineChars="200"/>
        <w:jc w:val="both"/>
        <w:rPr>
          <w:rFonts w:hint="eastAsia" w:ascii="Times New Roman" w:hAnsi="Times New Roman" w:eastAsia="宋体" w:cs="Times New Roman"/>
          <w:color w:val="auto"/>
          <w:lang w:eastAsia="zh-CN"/>
        </w:rPr>
      </w:pPr>
      <w:r>
        <w:rPr>
          <w:rFonts w:hint="eastAsia" w:ascii="Times New Roman" w:eastAsia="宋体" w:cs="Times New Roman" w:hAnsiTheme="minorEastAsia"/>
          <w:color w:val="auto"/>
        </w:rPr>
        <w:t>第一包：2030000元</w:t>
      </w:r>
      <w:r>
        <w:rPr>
          <w:rFonts w:hint="eastAsia" w:ascii="Times New Roman" w:eastAsia="宋体" w:cs="Times New Roman" w:hAnsiTheme="minorEastAsia"/>
          <w:color w:val="auto"/>
          <w:lang w:eastAsia="zh-CN"/>
        </w:rPr>
        <w:t>。</w:t>
      </w:r>
    </w:p>
    <w:p w14:paraId="29A8FA5F">
      <w:pPr>
        <w:pStyle w:val="31"/>
        <w:spacing w:line="360" w:lineRule="auto"/>
        <w:ind w:firstLine="480" w:firstLineChars="200"/>
        <w:jc w:val="both"/>
        <w:rPr>
          <w:rFonts w:ascii="Times New Roman" w:hAnsi="Times New Roman" w:eastAsia="宋体" w:cs="Times New Roman"/>
          <w:color w:val="auto"/>
        </w:rPr>
      </w:pPr>
      <w:r>
        <w:rPr>
          <w:rFonts w:hint="eastAsia" w:ascii="Times New Roman" w:eastAsia="宋体" w:cs="Times New Roman" w:hAnsiTheme="minorEastAsia"/>
          <w:color w:val="auto"/>
        </w:rPr>
        <w:t>四</w:t>
      </w:r>
      <w:r>
        <w:rPr>
          <w:rFonts w:ascii="Times New Roman" w:eastAsia="宋体" w:cs="Times New Roman" w:hAnsiTheme="minorEastAsia"/>
          <w:color w:val="auto"/>
        </w:rPr>
        <w:t>、供应商资格要求（实质性要求）</w:t>
      </w:r>
    </w:p>
    <w:p w14:paraId="43AA72C2">
      <w:pPr>
        <w:pStyle w:val="31"/>
        <w:spacing w:line="360" w:lineRule="auto"/>
        <w:ind w:firstLine="480" w:firstLineChars="200"/>
        <w:rPr>
          <w:rFonts w:ascii="Times New Roman" w:hAnsi="Times New Roman"/>
        </w:rPr>
      </w:pPr>
      <w:r>
        <w:rPr>
          <w:rFonts w:ascii="Times New Roman" w:eastAsia="宋体" w:cs="Times New Roman" w:hAnsiTheme="minorEastAsia"/>
          <w:color w:val="auto"/>
        </w:rPr>
        <w:t>（一）</w:t>
      </w:r>
      <w:bookmarkStart w:id="1" w:name="OLE_LINK23"/>
      <w:bookmarkStart w:id="2" w:name="OLE_LINK32"/>
      <w:bookmarkStart w:id="3" w:name="OLE_LINK27"/>
      <w:bookmarkStart w:id="4" w:name="OLE_LINK28"/>
      <w:bookmarkStart w:id="5" w:name="OLE_LINK24"/>
      <w:bookmarkStart w:id="6" w:name="OLE_LINK26"/>
      <w:r>
        <w:rPr>
          <w:rFonts w:hint="eastAsia" w:ascii="Times New Roman" w:hAnsi="Times New Roman"/>
        </w:rPr>
        <w:t>供应商应具备《中华人民共和国政府采购法》第二十二条第一款和《政府采购法实施条例》第十八条规定的条件，提供以下材料：</w:t>
      </w:r>
    </w:p>
    <w:p w14:paraId="05EDD463">
      <w:pPr>
        <w:autoSpaceDE w:val="0"/>
        <w:autoSpaceDN w:val="0"/>
        <w:adjustRightInd w:val="0"/>
        <w:spacing w:line="360" w:lineRule="auto"/>
        <w:ind w:firstLine="480" w:firstLineChars="200"/>
        <w:jc w:val="left"/>
        <w:rPr>
          <w:kern w:val="0"/>
          <w:sz w:val="24"/>
          <w:szCs w:val="24"/>
        </w:rPr>
      </w:pPr>
      <w:r>
        <w:rPr>
          <w:kern w:val="0"/>
          <w:sz w:val="24"/>
          <w:szCs w:val="24"/>
        </w:rPr>
        <w:t xml:space="preserve">1. </w:t>
      </w:r>
      <w:r>
        <w:rPr>
          <w:rFonts w:hint="eastAsia"/>
          <w:kern w:val="0"/>
          <w:sz w:val="24"/>
          <w:szCs w:val="24"/>
        </w:rPr>
        <w:t>营业执照副本或事业单位法人证书或民办非企业单位登记证书或社会团体法人登记证书或基金会法人登记证书电子件或自然人的身份证明电子件。</w:t>
      </w:r>
    </w:p>
    <w:p w14:paraId="537DAD8C">
      <w:pPr>
        <w:autoSpaceDE w:val="0"/>
        <w:autoSpaceDN w:val="0"/>
        <w:adjustRightInd w:val="0"/>
        <w:spacing w:line="360" w:lineRule="auto"/>
        <w:ind w:firstLine="480" w:firstLineChars="200"/>
        <w:jc w:val="left"/>
        <w:rPr>
          <w:kern w:val="0"/>
          <w:sz w:val="24"/>
          <w:szCs w:val="24"/>
        </w:rPr>
      </w:pPr>
      <w:r>
        <w:rPr>
          <w:kern w:val="0"/>
          <w:sz w:val="24"/>
          <w:szCs w:val="24"/>
        </w:rPr>
        <w:t xml:space="preserve">2. </w:t>
      </w:r>
      <w:r>
        <w:rPr>
          <w:rFonts w:hint="eastAsia"/>
          <w:kern w:val="0"/>
          <w:sz w:val="24"/>
          <w:szCs w:val="24"/>
        </w:rPr>
        <w:t>提供《供应商资格声明函》（格式见附件</w:t>
      </w:r>
      <w:r>
        <w:rPr>
          <w:kern w:val="0"/>
          <w:sz w:val="24"/>
          <w:szCs w:val="24"/>
        </w:rPr>
        <w:t>2</w:t>
      </w:r>
      <w:r>
        <w:rPr>
          <w:rFonts w:hint="eastAsia"/>
          <w:kern w:val="0"/>
          <w:sz w:val="24"/>
          <w:szCs w:val="24"/>
        </w:rPr>
        <w:t>）。</w:t>
      </w:r>
    </w:p>
    <w:bookmarkEnd w:id="1"/>
    <w:bookmarkEnd w:id="2"/>
    <w:bookmarkEnd w:id="3"/>
    <w:bookmarkEnd w:id="4"/>
    <w:bookmarkEnd w:id="5"/>
    <w:bookmarkEnd w:id="6"/>
    <w:p w14:paraId="2F8BC3CD">
      <w:pPr>
        <w:pStyle w:val="31"/>
        <w:spacing w:line="360" w:lineRule="auto"/>
        <w:ind w:firstLine="480" w:firstLineChars="200"/>
        <w:rPr>
          <w:rFonts w:ascii="Times New Roman" w:eastAsia="宋体" w:cs="Times New Roman" w:hAnsiTheme="minorEastAsia"/>
          <w:color w:val="auto"/>
        </w:rPr>
      </w:pPr>
      <w:r>
        <w:rPr>
          <w:rFonts w:hint="eastAsia" w:ascii="Times New Roman" w:eastAsia="宋体" w:cs="Times New Roman" w:hAnsiTheme="minorEastAsia"/>
          <w:color w:val="auto"/>
        </w:rPr>
        <w:t>（二）本项目不接受联合体投标。</w:t>
      </w:r>
    </w:p>
    <w:p w14:paraId="0F31E089">
      <w:pPr>
        <w:pStyle w:val="31"/>
        <w:spacing w:line="360" w:lineRule="auto"/>
        <w:ind w:firstLine="480" w:firstLineChars="200"/>
        <w:rPr>
          <w:rFonts w:ascii="Times New Roman" w:hAnsi="Times New Roman" w:eastAsia="宋体" w:cs="Times New Roman"/>
          <w:color w:val="auto"/>
        </w:rPr>
      </w:pPr>
      <w:r>
        <w:rPr>
          <w:rFonts w:hint="eastAsia" w:ascii="Times New Roman" w:eastAsia="宋体" w:cs="Times New Roman" w:hAnsiTheme="minorEastAsia"/>
          <w:color w:val="auto"/>
        </w:rPr>
        <w:t>（三）本项目专门面向中小企业采购，提供《中小企业声明函》。</w:t>
      </w:r>
    </w:p>
    <w:p w14:paraId="65088C0A">
      <w:pPr>
        <w:pStyle w:val="31"/>
        <w:spacing w:line="360" w:lineRule="auto"/>
        <w:ind w:firstLine="480" w:firstLineChars="200"/>
        <w:jc w:val="both"/>
        <w:rPr>
          <w:rFonts w:ascii="Times New Roman" w:hAnsi="Times New Roman" w:eastAsia="宋体" w:cs="Times New Roman"/>
          <w:color w:val="auto"/>
        </w:rPr>
      </w:pPr>
      <w:r>
        <w:rPr>
          <w:rFonts w:hint="eastAsia" w:ascii="Times New Roman" w:eastAsia="宋体" w:cs="Times New Roman" w:hAnsiTheme="minorEastAsia"/>
          <w:color w:val="auto"/>
        </w:rPr>
        <w:t>五</w:t>
      </w:r>
      <w:r>
        <w:rPr>
          <w:rFonts w:ascii="Times New Roman" w:eastAsia="宋体" w:cs="Times New Roman" w:hAnsiTheme="minorEastAsia"/>
          <w:color w:val="auto"/>
        </w:rPr>
        <w:t>、项目需要落实的政府采购政策</w:t>
      </w:r>
    </w:p>
    <w:p w14:paraId="16A43A27">
      <w:pPr>
        <w:pStyle w:val="31"/>
        <w:spacing w:line="360" w:lineRule="auto"/>
        <w:ind w:firstLine="480" w:firstLineChars="200"/>
        <w:rPr>
          <w:rFonts w:ascii="Times New Roman" w:hAnsi="Times New Roman" w:eastAsia="宋体" w:cs="Times New Roman"/>
          <w:color w:val="auto"/>
        </w:rPr>
      </w:pPr>
      <w:bookmarkStart w:id="7" w:name="OLE_LINK3"/>
      <w:bookmarkStart w:id="8" w:name="OLE_LINK4"/>
      <w:r>
        <w:rPr>
          <w:rFonts w:ascii="Times New Roman" w:eastAsia="宋体" w:cs="Times New Roman" w:hAnsiTheme="minorEastAsia"/>
          <w:color w:val="auto"/>
        </w:rPr>
        <w:t>（一）</w:t>
      </w:r>
      <w:r>
        <w:rPr>
          <w:rFonts w:hint="eastAsia" w:ascii="Times New Roman" w:eastAsia="宋体" w:cs="Times New Roman" w:hAnsiTheme="minorEastAsia"/>
          <w:color w:val="auto"/>
        </w:rPr>
        <w:t>本项目专门面向中小企业采购</w:t>
      </w:r>
      <w:r>
        <w:rPr>
          <w:rFonts w:ascii="Times New Roman" w:eastAsia="宋体" w:cs="Times New Roman" w:hAnsiTheme="minorEastAsia"/>
          <w:color w:val="auto"/>
        </w:rPr>
        <w:t>。</w:t>
      </w:r>
    </w:p>
    <w:p w14:paraId="74629817">
      <w:pPr>
        <w:pStyle w:val="31"/>
        <w:spacing w:line="360" w:lineRule="auto"/>
        <w:ind w:firstLine="480" w:firstLineChars="200"/>
        <w:rPr>
          <w:rFonts w:ascii="Times New Roman" w:hAnsi="Times New Roman" w:eastAsia="宋体" w:cs="Times New Roman"/>
          <w:color w:val="auto"/>
        </w:rPr>
      </w:pPr>
      <w:r>
        <w:rPr>
          <w:rFonts w:ascii="Times New Roman" w:eastAsia="宋体" w:cs="Times New Roman" w:hAnsiTheme="minorEastAsia"/>
          <w:color w:val="auto"/>
        </w:rPr>
        <w:t>（二）根据财政部发布的《关于政府采购支持监狱企业发展有关问题的通知》规定，监狱企业视同小微企业。</w:t>
      </w:r>
    </w:p>
    <w:bookmarkEnd w:id="7"/>
    <w:bookmarkEnd w:id="8"/>
    <w:p w14:paraId="206F5214">
      <w:pPr>
        <w:pStyle w:val="31"/>
        <w:spacing w:line="360" w:lineRule="auto"/>
        <w:ind w:firstLine="480" w:firstLineChars="200"/>
        <w:rPr>
          <w:rFonts w:ascii="Times New Roman" w:hAnsi="Times New Roman" w:eastAsia="宋体" w:cs="Times New Roman"/>
          <w:color w:val="auto"/>
        </w:rPr>
      </w:pPr>
      <w:r>
        <w:rPr>
          <w:rFonts w:hint="eastAsia" w:ascii="Times New Roman" w:eastAsia="宋体" w:cs="Times New Roman" w:hAnsiTheme="minorEastAsia"/>
          <w:color w:val="auto"/>
        </w:rPr>
        <w:t>（三）</w:t>
      </w:r>
      <w:r>
        <w:rPr>
          <w:rFonts w:ascii="Times New Roman" w:eastAsia="宋体" w:cs="Times New Roman" w:hAnsiTheme="minorEastAsia"/>
          <w:color w:val="auto"/>
        </w:rPr>
        <w:t>根据财政部、民政部、中国残疾人联合会发布的《关于促进残疾人就业政府采购政策的通知》规定，残疾人福利性单位视同小微企业。</w:t>
      </w:r>
    </w:p>
    <w:p w14:paraId="2A71232A">
      <w:pPr>
        <w:pStyle w:val="31"/>
        <w:spacing w:line="360" w:lineRule="auto"/>
        <w:ind w:firstLine="480" w:firstLineChars="200"/>
        <w:jc w:val="both"/>
        <w:rPr>
          <w:rFonts w:ascii="Times New Roman" w:hAnsi="Times New Roman" w:eastAsia="宋体"/>
          <w:color w:val="auto"/>
        </w:rPr>
      </w:pPr>
      <w:r>
        <w:rPr>
          <w:rFonts w:hint="eastAsia" w:ascii="Times New Roman" w:eastAsia="宋体" w:hAnsiTheme="minorEastAsia"/>
          <w:color w:val="auto"/>
        </w:rPr>
        <w:t>注：中小微企业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14:paraId="31BB040C">
      <w:pPr>
        <w:pStyle w:val="31"/>
        <w:spacing w:line="360" w:lineRule="auto"/>
        <w:ind w:firstLine="480" w:firstLineChars="200"/>
        <w:jc w:val="both"/>
        <w:rPr>
          <w:rFonts w:ascii="Times New Roman" w:hAnsi="Times New Roman" w:eastAsia="宋体"/>
          <w:color w:val="auto"/>
        </w:rPr>
      </w:pPr>
      <w:r>
        <w:rPr>
          <w:rFonts w:hint="eastAsia" w:ascii="Times New Roman" w:eastAsia="宋体" w:hAnsiTheme="minorEastAsia"/>
          <w:color w:val="auto"/>
        </w:rPr>
        <w:t>（四）涉及商品包装或快递包装的，按照《财政部办公厅、生态环境部办公厅、国家邮政局办公室关于印发</w:t>
      </w:r>
      <w:r>
        <w:rPr>
          <w:rFonts w:hint="eastAsia" w:ascii="Times New Roman" w:hAnsi="Times New Roman" w:eastAsia="宋体"/>
          <w:color w:val="auto"/>
        </w:rPr>
        <w:t>&lt;</w:t>
      </w:r>
      <w:r>
        <w:rPr>
          <w:rFonts w:hint="eastAsia" w:ascii="Times New Roman" w:eastAsia="宋体" w:hAnsiTheme="minorEastAsia"/>
          <w:color w:val="auto"/>
        </w:rPr>
        <w:t>商品包装政府采购需求标准（试行）</w:t>
      </w:r>
      <w:r>
        <w:rPr>
          <w:rFonts w:hint="eastAsia" w:ascii="Times New Roman" w:hAnsi="Times New Roman" w:eastAsia="宋体"/>
          <w:color w:val="auto"/>
        </w:rPr>
        <w:t>&gt;</w:t>
      </w:r>
      <w:r>
        <w:rPr>
          <w:rFonts w:hint="eastAsia" w:ascii="Times New Roman" w:eastAsia="宋体" w:hAnsiTheme="minorEastAsia"/>
          <w:color w:val="auto"/>
        </w:rPr>
        <w:t>、</w:t>
      </w:r>
      <w:r>
        <w:rPr>
          <w:rFonts w:hint="eastAsia" w:ascii="Times New Roman" w:hAnsi="Times New Roman" w:eastAsia="宋体"/>
          <w:color w:val="auto"/>
        </w:rPr>
        <w:t>&lt;</w:t>
      </w:r>
      <w:r>
        <w:rPr>
          <w:rFonts w:hint="eastAsia" w:ascii="Times New Roman" w:eastAsia="宋体" w:hAnsiTheme="minorEastAsia"/>
          <w:color w:val="auto"/>
        </w:rPr>
        <w:t>快递包装政府采购需求标准（试行）</w:t>
      </w:r>
      <w:r>
        <w:rPr>
          <w:rFonts w:hint="eastAsia" w:ascii="Times New Roman" w:hAnsi="Times New Roman" w:eastAsia="宋体"/>
          <w:color w:val="auto"/>
        </w:rPr>
        <w:t>&gt;</w:t>
      </w:r>
      <w:r>
        <w:rPr>
          <w:rFonts w:hint="eastAsia" w:ascii="Times New Roman" w:eastAsia="宋体" w:hAnsiTheme="minorEastAsia"/>
          <w:color w:val="auto"/>
        </w:rPr>
        <w:t>的通知》（财办库〔</w:t>
      </w:r>
      <w:r>
        <w:rPr>
          <w:rFonts w:hint="eastAsia" w:ascii="Times New Roman" w:hAnsi="Times New Roman" w:eastAsia="宋体"/>
          <w:color w:val="auto"/>
        </w:rPr>
        <w:t>2020</w:t>
      </w:r>
      <w:r>
        <w:rPr>
          <w:rFonts w:hint="eastAsia" w:ascii="Times New Roman" w:eastAsia="宋体" w:hAnsiTheme="minorEastAsia"/>
          <w:color w:val="auto"/>
        </w:rPr>
        <w:t>〕</w:t>
      </w:r>
      <w:r>
        <w:rPr>
          <w:rFonts w:hint="eastAsia" w:ascii="Times New Roman" w:hAnsi="Times New Roman" w:eastAsia="宋体"/>
          <w:color w:val="auto"/>
        </w:rPr>
        <w:t>123</w:t>
      </w:r>
      <w:r>
        <w:rPr>
          <w:rFonts w:hint="eastAsia" w:ascii="Times New Roman" w:eastAsia="宋体" w:hAnsiTheme="minorEastAsia"/>
          <w:color w:val="auto"/>
        </w:rPr>
        <w:t>号）要求执行。</w:t>
      </w:r>
    </w:p>
    <w:p w14:paraId="13618B2C">
      <w:pPr>
        <w:pStyle w:val="31"/>
        <w:spacing w:line="360" w:lineRule="auto"/>
        <w:ind w:firstLine="480" w:firstLineChars="200"/>
        <w:rPr>
          <w:rFonts w:ascii="Times New Roman" w:eastAsia="宋体" w:cs="Times New Roman" w:hAnsiTheme="minorEastAsia"/>
          <w:color w:val="auto"/>
        </w:rPr>
      </w:pPr>
      <w:r>
        <w:rPr>
          <w:rFonts w:hint="eastAsia" w:ascii="Times New Roman" w:eastAsia="宋体" w:cs="Times New Roman" w:hAnsiTheme="minorEastAsia"/>
          <w:color w:val="auto"/>
        </w:rPr>
        <w:t>（五）按照《财政部关于在政府采购活动中查询及使用信用记录有关问题的通知》（财库〔</w:t>
      </w:r>
      <w:r>
        <w:rPr>
          <w:rFonts w:hint="eastAsia" w:ascii="Times New Roman" w:hAnsi="Times New Roman" w:eastAsia="宋体" w:cs="Times New Roman"/>
          <w:color w:val="auto"/>
        </w:rPr>
        <w:t>2016</w:t>
      </w:r>
      <w:r>
        <w:rPr>
          <w:rFonts w:hint="eastAsia" w:ascii="Times New Roman" w:eastAsia="宋体" w:cs="Times New Roman" w:hAnsiTheme="minorEastAsia"/>
          <w:color w:val="auto"/>
        </w:rPr>
        <w:t>〕</w:t>
      </w:r>
      <w:r>
        <w:rPr>
          <w:rFonts w:hint="eastAsia" w:ascii="Times New Roman" w:hAnsi="Times New Roman" w:eastAsia="宋体" w:cs="Times New Roman"/>
          <w:color w:val="auto"/>
        </w:rPr>
        <w:t>125</w:t>
      </w:r>
      <w:r>
        <w:rPr>
          <w:rFonts w:hint="eastAsia" w:ascii="Times New Roman" w:eastAsia="宋体" w:cs="Times New Roman" w:hAnsiTheme="minorEastAsia"/>
          <w:color w:val="auto"/>
        </w:rPr>
        <w:t>号）的要求，根据开标当日截止评审结束</w:t>
      </w:r>
      <w:r>
        <w:rPr>
          <w:rFonts w:hint="eastAsia" w:ascii="Times New Roman" w:hAnsi="Times New Roman" w:eastAsia="宋体" w:cs="Times New Roman"/>
          <w:color w:val="auto"/>
        </w:rPr>
        <w:t>“</w:t>
      </w:r>
      <w:r>
        <w:rPr>
          <w:rFonts w:hint="eastAsia" w:ascii="Times New Roman" w:eastAsia="宋体" w:cs="Times New Roman" w:hAnsiTheme="minorEastAsia"/>
          <w:color w:val="auto"/>
        </w:rPr>
        <w:t>信用中国</w:t>
      </w:r>
      <w:r>
        <w:rPr>
          <w:rFonts w:hint="eastAsia" w:ascii="Times New Roman" w:hAnsi="Times New Roman" w:eastAsia="宋体" w:cs="Times New Roman"/>
          <w:color w:val="auto"/>
        </w:rPr>
        <w:t>”</w:t>
      </w:r>
      <w:r>
        <w:rPr>
          <w:rFonts w:hint="eastAsia" w:ascii="Times New Roman" w:eastAsia="宋体" w:cs="Times New Roman" w:hAnsiTheme="minorEastAsia"/>
          <w:color w:val="auto"/>
        </w:rPr>
        <w:t>网站（</w:t>
      </w:r>
      <w:r>
        <w:fldChar w:fldCharType="begin"/>
      </w:r>
      <w:r>
        <w:instrText xml:space="preserve"> HYPERLINK "http://www.creditchina.gov.cn" </w:instrText>
      </w:r>
      <w:r>
        <w:fldChar w:fldCharType="separate"/>
      </w:r>
      <w:r>
        <w:rPr>
          <w:rStyle w:val="25"/>
          <w:rFonts w:hint="eastAsia" w:ascii="Times New Roman" w:hAnsi="Times New Roman" w:eastAsia="宋体"/>
        </w:rPr>
        <w:t>http://www.creditchina.gov.cn</w:t>
      </w:r>
      <w:r>
        <w:rPr>
          <w:rStyle w:val="25"/>
          <w:rFonts w:hint="eastAsia" w:ascii="Times New Roman" w:hAnsi="Times New Roman" w:eastAsia="宋体"/>
        </w:rPr>
        <w:fldChar w:fldCharType="end"/>
      </w:r>
      <w:r>
        <w:rPr>
          <w:rFonts w:hint="eastAsia" w:ascii="Times New Roman" w:eastAsia="宋体" w:cs="Times New Roman" w:hAnsiTheme="minorEastAsia"/>
          <w:color w:val="auto"/>
        </w:rPr>
        <w:t>）、中国政府采购网（</w:t>
      </w:r>
      <w:r>
        <w:fldChar w:fldCharType="begin"/>
      </w:r>
      <w:r>
        <w:instrText xml:space="preserve"> HYPERLINK "http://www.ccgp.gov.cn/" </w:instrText>
      </w:r>
      <w:r>
        <w:fldChar w:fldCharType="separate"/>
      </w:r>
      <w:r>
        <w:rPr>
          <w:rStyle w:val="25"/>
          <w:rFonts w:ascii="Times New Roman" w:hAnsi="Times New Roman" w:eastAsia="宋体" w:cs="Times New Roman"/>
        </w:rPr>
        <w:t>http://www.ccgp.gov.cn/</w:t>
      </w:r>
      <w:r>
        <w:rPr>
          <w:rStyle w:val="25"/>
          <w:rFonts w:ascii="Times New Roman" w:hAnsi="Times New Roman" w:eastAsia="宋体" w:cs="Times New Roman"/>
        </w:rPr>
        <w:fldChar w:fldCharType="end"/>
      </w:r>
      <w:r>
        <w:rPr>
          <w:rFonts w:hint="eastAsia" w:ascii="Times New Roman" w:eastAsia="宋体" w:cs="Times New Roman" w:hAnsiTheme="minorEastAsia"/>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14:paraId="762E623F">
      <w:pPr>
        <w:pStyle w:val="31"/>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六）参与政府采购活动的中小微企业，在获取政府采购中标（成交）通知书后，可向本市相关金融机构申请“政采贷”融资支持。有融资需求的企业，请于正式签订政府采购合同之前，向相关金融机构联系咨询。</w:t>
      </w:r>
    </w:p>
    <w:p w14:paraId="4ECFA13D">
      <w:pPr>
        <w:pStyle w:val="31"/>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注：金融机构相关信息请登录天津市政府采购网政采贷板块（网址：http://tjgp.cz.tj.gov.cn/zcd/zcdList.jsp）了解。</w:t>
      </w:r>
    </w:p>
    <w:p w14:paraId="35DAF481">
      <w:pPr>
        <w:pStyle w:val="31"/>
        <w:spacing w:line="360" w:lineRule="auto"/>
        <w:ind w:firstLine="480" w:firstLineChars="200"/>
        <w:rPr>
          <w:rFonts w:ascii="Times New Roman" w:hAnsi="Times New Roman" w:eastAsia="宋体" w:cs="Times New Roman"/>
          <w:color w:val="auto"/>
        </w:rPr>
      </w:pPr>
      <w:bookmarkStart w:id="9" w:name="_Toc412903615"/>
      <w:r>
        <w:rPr>
          <w:rFonts w:hint="eastAsia" w:ascii="Times New Roman" w:hAnsi="Times New Roman" w:eastAsia="宋体" w:cs="Times New Roman"/>
          <w:color w:val="auto"/>
        </w:rPr>
        <w:t>（七）本项目付款事项如属于机关、事业单位采购货物、工程、服务支付中小企业款项，则应按照《保障中小企业款项支付条例》的相关规定执行：</w:t>
      </w:r>
    </w:p>
    <w:p w14:paraId="12796154">
      <w:pPr>
        <w:pStyle w:val="31"/>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 xml:space="preserve"> 机关、事业单位从中小企业采购货物、工程、服务，应当自货物、工程、服务交付之日起30日内支付款项；合同另有约定的，从其约定，但付款期限最长不得超过60日。法律、行政法规或者国家有关规定对上述条款付款期限另有规定的，从其规定。合同约定采取履行进度结算、定期结算等结算方式的，付款期限应当自双方确认结算金额之日起算。</w:t>
      </w:r>
    </w:p>
    <w:p w14:paraId="0B2DD9E1">
      <w:pPr>
        <w:pStyle w:val="31"/>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机关、事业单位与中小企业约定以货物、工程、服务交付后经检验或者验收合格作为支付中小企业款项条件的，付款期限应当自检验或者验收合格之日起算。合同双方应当在合同中约定明确、合理的检验或者验收期限，并在该期限内完成检验或者验收，法律、行政法规或者国家有关规定对检验或者验收期限另有规定的，从其规定。机关、事业单位拖延检验或者验收的，付款期限自约定的检验或者验收期限届满之日起算。</w:t>
      </w:r>
    </w:p>
    <w:p w14:paraId="28111308">
      <w:pPr>
        <w:pStyle w:val="31"/>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（八）根据《关于推动解决政府采购异常低价问题的通知》（财库〔2026〕2号）的要求，当投标人报价出现以下情形之一时，评标委员会应当启动对该投标人的异常低价审查程序：</w:t>
      </w:r>
    </w:p>
    <w:p w14:paraId="3A7C042B">
      <w:pPr>
        <w:pStyle w:val="31"/>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1. 投标人报价&lt;全部通过符合性审查投标人报价平均值×50%；</w:t>
      </w:r>
    </w:p>
    <w:p w14:paraId="39448A75">
      <w:pPr>
        <w:pStyle w:val="31"/>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 投标人报价&lt;通过符合性审查的次低投标人报价×50%；</w:t>
      </w:r>
    </w:p>
    <w:p w14:paraId="4ACDE9AD">
      <w:pPr>
        <w:pStyle w:val="31"/>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3. 投标人报价&lt;最高限价×45%；</w:t>
      </w:r>
    </w:p>
    <w:p w14:paraId="3AD4A1EC">
      <w:pPr>
        <w:pStyle w:val="31"/>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 评标委员会基于专业判断，认为投标人报价过低，有可能影响产品质量或者不能诚信履约的其他情形。</w:t>
      </w:r>
    </w:p>
    <w:p w14:paraId="584EFD3C">
      <w:pPr>
        <w:pStyle w:val="3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六、获取招标文件时间、方式</w:t>
      </w:r>
    </w:p>
    <w:p w14:paraId="67AF8A0A">
      <w:pPr>
        <w:pStyle w:val="3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（一）获取招标文件时间：2026</w:t>
      </w:r>
      <w:r>
        <w:rPr>
          <w:rFonts w:hint="eastAsia" w:ascii="Times New Roman" w:hAnsi="Times New Roman" w:eastAsia="宋体" w:cs="Times New Roman"/>
          <w:color w:val="auto"/>
        </w:rPr>
        <w:t>年</w:t>
      </w:r>
      <w:r>
        <w:rPr>
          <w:rFonts w:hint="eastAsia" w:ascii="Times New Roman" w:hAnsi="Times New Roman" w:eastAsia="宋体" w:cs="Times New Roman"/>
          <w:color w:val="auto"/>
          <w:lang w:val="en-US" w:eastAsia="zh-CN"/>
        </w:rPr>
        <w:t>7</w:t>
      </w:r>
      <w:r>
        <w:rPr>
          <w:rFonts w:hint="eastAsia" w:ascii="Times New Roman" w:hAnsi="Times New Roman" w:eastAsia="宋体" w:cs="Times New Roman"/>
          <w:color w:val="auto"/>
        </w:rPr>
        <w:t>月</w:t>
      </w:r>
      <w:r>
        <w:rPr>
          <w:rFonts w:hint="eastAsia" w:ascii="Times New Roman" w:hAnsi="Times New Roman" w:eastAsia="宋体" w:cs="Times New Roman"/>
          <w:color w:val="auto"/>
          <w:lang w:val="en-US" w:eastAsia="zh-CN"/>
        </w:rPr>
        <w:t>15</w:t>
      </w:r>
      <w:r>
        <w:rPr>
          <w:rFonts w:hint="eastAsia" w:ascii="Times New Roman" w:hAnsi="Times New Roman" w:eastAsia="宋体" w:cs="Times New Roman"/>
          <w:color w:val="auto"/>
        </w:rPr>
        <w:t>日至</w:t>
      </w:r>
      <w:r>
        <w:rPr>
          <w:rFonts w:ascii="Times New Roman" w:hAnsi="Times New Roman" w:eastAsia="宋体" w:cs="Times New Roman"/>
          <w:color w:val="auto"/>
        </w:rPr>
        <w:t>2026</w:t>
      </w:r>
      <w:r>
        <w:rPr>
          <w:rFonts w:hint="eastAsia" w:ascii="Times New Roman" w:hAnsi="Times New Roman" w:eastAsia="宋体" w:cs="Times New Roman"/>
          <w:color w:val="auto"/>
        </w:rPr>
        <w:t>年</w:t>
      </w:r>
      <w:r>
        <w:rPr>
          <w:rFonts w:hint="eastAsia" w:ascii="Times New Roman" w:hAnsi="Times New Roman" w:eastAsia="宋体" w:cs="Times New Roman"/>
          <w:color w:val="auto"/>
          <w:lang w:val="en-US" w:eastAsia="zh-CN"/>
        </w:rPr>
        <w:t>7</w:t>
      </w:r>
      <w:r>
        <w:rPr>
          <w:rFonts w:hint="eastAsia" w:ascii="Times New Roman" w:hAnsi="Times New Roman" w:eastAsia="宋体" w:cs="Times New Roman"/>
          <w:color w:val="auto"/>
        </w:rPr>
        <w:t>月</w:t>
      </w:r>
      <w:r>
        <w:rPr>
          <w:rFonts w:hint="eastAsia" w:ascii="Times New Roman" w:hAnsi="Times New Roman" w:eastAsia="宋体" w:cs="Times New Roman"/>
          <w:color w:val="auto"/>
          <w:lang w:val="en-US" w:eastAsia="zh-CN"/>
        </w:rPr>
        <w:t>22</w:t>
      </w:r>
      <w:r>
        <w:rPr>
          <w:rFonts w:hint="eastAsia" w:ascii="Times New Roman" w:hAnsi="Times New Roman" w:eastAsia="宋体" w:cs="Times New Roman"/>
          <w:color w:val="auto"/>
        </w:rPr>
        <w:t>日，每日</w:t>
      </w:r>
      <w:r>
        <w:rPr>
          <w:rFonts w:ascii="Times New Roman" w:hAnsi="Times New Roman" w:eastAsia="宋体" w:cs="Times New Roman"/>
          <w:color w:val="auto"/>
        </w:rPr>
        <w:t>9:00</w:t>
      </w:r>
      <w:r>
        <w:rPr>
          <w:rFonts w:hint="eastAsia" w:ascii="Times New Roman" w:hAnsi="Times New Roman" w:eastAsia="宋体" w:cs="Times New Roman"/>
          <w:color w:val="auto"/>
        </w:rPr>
        <w:t>至</w:t>
      </w:r>
      <w:r>
        <w:rPr>
          <w:rFonts w:ascii="Times New Roman" w:hAnsi="Times New Roman" w:eastAsia="宋体"/>
          <w:color w:val="auto"/>
        </w:rPr>
        <w:t>17:00</w:t>
      </w:r>
      <w:r>
        <w:rPr>
          <w:rFonts w:hint="eastAsia" w:ascii="Times New Roman" w:hAnsi="Times New Roman" w:eastAsia="宋体"/>
          <w:color w:val="auto"/>
        </w:rPr>
        <w:t>（北京时间，法定节假日除外）。</w:t>
      </w:r>
    </w:p>
    <w:p w14:paraId="47B4B605">
      <w:pPr>
        <w:pStyle w:val="3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（二）获取招标文件的方式：</w:t>
      </w:r>
    </w:p>
    <w:p w14:paraId="1262B1E8">
      <w:pPr>
        <w:pStyle w:val="3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1.获取招标文件网址：使用天津数字认证有限公司发出的CA数字证书（原天津市电子认证中心发出尚在有效期内的CA数字证书仍可使用）登录天津市政府采购中心网（网址：</w:t>
      </w:r>
      <w:r>
        <w:fldChar w:fldCharType="begin"/>
      </w:r>
      <w:r>
        <w:instrText xml:space="preserve"> HYPERLINK "http://tjgpc.cz.tj.gov.cn/" </w:instrText>
      </w:r>
      <w:r>
        <w:fldChar w:fldCharType="separate"/>
      </w:r>
      <w:r>
        <w:rPr>
          <w:rStyle w:val="25"/>
          <w:rFonts w:ascii="Times New Roman" w:hAnsi="Times New Roman" w:eastAsia="宋体" w:cs="Times New Roman"/>
        </w:rPr>
        <w:t>http://tjgpc.zwfwb.tj.gov.cn/</w:t>
      </w:r>
      <w:r>
        <w:rPr>
          <w:rStyle w:val="25"/>
          <w:rFonts w:ascii="Times New Roman" w:hAnsi="Times New Roman" w:eastAsia="宋体" w:cs="Times New Roman"/>
        </w:rPr>
        <w:fldChar w:fldCharType="end"/>
      </w:r>
      <w:r>
        <w:rPr>
          <w:rFonts w:hint="eastAsia" w:ascii="Times New Roman" w:hAnsi="Times New Roman" w:eastAsia="宋体" w:cs="Times New Roman"/>
          <w:color w:val="auto"/>
        </w:rPr>
        <w:t>）-“网上招投标”-“供应商登录”-“区级集采机构入口”</w:t>
      </w:r>
      <w:r>
        <w:rPr>
          <w:rFonts w:ascii="Times New Roman" w:hAnsi="Times New Roman" w:eastAsia="宋体" w:cs="Times New Roman"/>
          <w:color w:val="auto"/>
        </w:rPr>
        <w:t>下载招标文件。</w:t>
      </w:r>
    </w:p>
    <w:p w14:paraId="5604AFF1">
      <w:pPr>
        <w:pStyle w:val="31"/>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 供应商注册、CA数字证书（USBKey）领取、电子签章办理办法：</w:t>
      </w:r>
    </w:p>
    <w:p w14:paraId="6D969412">
      <w:pPr>
        <w:pStyle w:val="31"/>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（1）天津市政府采购中心网注册：登录天津市政府采购中心网（</w:t>
      </w:r>
      <w:r>
        <w:fldChar w:fldCharType="begin"/>
      </w:r>
      <w:r>
        <w:instrText xml:space="preserve"> HYPERLINK "http://tjgpc.cz.tj.gov.cn/" </w:instrText>
      </w:r>
      <w:r>
        <w:fldChar w:fldCharType="separate"/>
      </w:r>
      <w:r>
        <w:rPr>
          <w:rStyle w:val="25"/>
          <w:rFonts w:ascii="Times New Roman" w:hAnsi="Times New Roman" w:eastAsia="宋体" w:cs="Times New Roman"/>
        </w:rPr>
        <w:t>http://tjgpc.zwfwb.tj.gov.cn/</w:t>
      </w:r>
      <w:r>
        <w:rPr>
          <w:rStyle w:val="25"/>
          <w:rFonts w:ascii="Times New Roman" w:hAnsi="Times New Roman" w:eastAsia="宋体" w:cs="Times New Roman"/>
        </w:rPr>
        <w:fldChar w:fldCharType="end"/>
      </w:r>
      <w:r>
        <w:rPr>
          <w:rFonts w:hint="eastAsia" w:ascii="Times New Roman" w:hAnsi="Times New Roman" w:eastAsia="宋体" w:cs="Times New Roman"/>
          <w:color w:val="auto"/>
        </w:rPr>
        <w:t>）首页点击“供应商注册”，填写相关内容。</w:t>
      </w:r>
    </w:p>
    <w:p w14:paraId="106D6F4A">
      <w:pPr>
        <w:pStyle w:val="31"/>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（2）CA数字证书（USBKey）领取及电子签章办理：参见天津市政府采购中心网（</w:t>
      </w:r>
      <w:r>
        <w:fldChar w:fldCharType="begin"/>
      </w:r>
      <w:r>
        <w:instrText xml:space="preserve"> HYPERLINK "http://tjgpc.cz.tj.gov.cn/" </w:instrText>
      </w:r>
      <w:r>
        <w:fldChar w:fldCharType="separate"/>
      </w:r>
      <w:r>
        <w:rPr>
          <w:rStyle w:val="25"/>
          <w:rFonts w:ascii="Times New Roman" w:hAnsi="Times New Roman" w:eastAsia="宋体" w:cs="Times New Roman"/>
        </w:rPr>
        <w:t>http://tjgpc.zwfwb.tj.gov.cn/</w:t>
      </w:r>
      <w:r>
        <w:rPr>
          <w:rStyle w:val="25"/>
          <w:rFonts w:ascii="Times New Roman" w:hAnsi="Times New Roman" w:eastAsia="宋体" w:cs="Times New Roman"/>
        </w:rPr>
        <w:fldChar w:fldCharType="end"/>
      </w:r>
      <w:r>
        <w:rPr>
          <w:rFonts w:hint="eastAsia" w:ascii="Times New Roman" w:hAnsi="Times New Roman" w:eastAsia="宋体" w:cs="Times New Roman"/>
          <w:color w:val="auto"/>
        </w:rPr>
        <w:t>）--服务指南--供应商注册、领取CA数字证书（USBKey）及电子签章制章的流程。</w:t>
      </w:r>
    </w:p>
    <w:p w14:paraId="1080BB7A">
      <w:pPr>
        <w:pStyle w:val="3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七、网上应答时间</w:t>
      </w:r>
    </w:p>
    <w:p w14:paraId="28A03E01">
      <w:pPr>
        <w:pStyle w:val="3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2026年</w:t>
      </w:r>
      <w:r>
        <w:rPr>
          <w:rFonts w:hint="eastAsia" w:ascii="Times New Roman" w:hAnsi="Times New Roman" w:eastAsia="宋体" w:cs="Times New Roman"/>
          <w:color w:val="auto"/>
          <w:lang w:val="en-US" w:eastAsia="zh-CN"/>
        </w:rPr>
        <w:t>7</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15</w:t>
      </w:r>
      <w:r>
        <w:rPr>
          <w:rFonts w:ascii="Times New Roman" w:hAnsi="Times New Roman" w:eastAsia="宋体" w:cs="Times New Roman"/>
          <w:color w:val="auto"/>
        </w:rPr>
        <w:t>日9:00至2026年</w:t>
      </w:r>
      <w:r>
        <w:rPr>
          <w:rFonts w:hint="eastAsia" w:ascii="Times New Roman" w:hAnsi="Times New Roman" w:eastAsia="宋体" w:cs="Times New Roman"/>
          <w:color w:val="auto"/>
          <w:lang w:val="en-US" w:eastAsia="zh-CN"/>
        </w:rPr>
        <w:t>9</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1</w:t>
      </w:r>
      <w:r>
        <w:rPr>
          <w:rFonts w:ascii="Times New Roman" w:hAnsi="Times New Roman" w:eastAsia="宋体" w:cs="Times New Roman"/>
          <w:color w:val="auto"/>
        </w:rPr>
        <w:t>日8:30，使用天津数字认证有限公司发出的CA数字证书（原天津市电子认证中心发出尚在有效期内的CA数字证书仍可使用）</w:t>
      </w:r>
      <w:r>
        <w:rPr>
          <w:rFonts w:hint="eastAsia" w:ascii="Times New Roman" w:hAnsi="Times New Roman" w:eastAsia="宋体" w:cs="Times New Roman"/>
          <w:color w:val="auto"/>
        </w:rPr>
        <w:t>登陆天津市政府采购中心网（网址：</w:t>
      </w:r>
      <w:r>
        <w:fldChar w:fldCharType="begin"/>
      </w:r>
      <w:r>
        <w:instrText xml:space="preserve"> HYPERLINK "http://tjgpc.cz.tj.gov.cn/" </w:instrText>
      </w:r>
      <w:r>
        <w:fldChar w:fldCharType="separate"/>
      </w:r>
      <w:r>
        <w:rPr>
          <w:rStyle w:val="25"/>
          <w:rFonts w:ascii="Times New Roman" w:hAnsi="Times New Roman" w:eastAsia="宋体" w:cs="Times New Roman"/>
        </w:rPr>
        <w:t>http://tjgpc.zwfwb.tj.gov.cn/</w:t>
      </w:r>
      <w:r>
        <w:rPr>
          <w:rStyle w:val="25"/>
          <w:rFonts w:ascii="Times New Roman" w:hAnsi="Times New Roman" w:eastAsia="宋体" w:cs="Times New Roman"/>
        </w:rPr>
        <w:fldChar w:fldCharType="end"/>
      </w:r>
      <w:r>
        <w:rPr>
          <w:rFonts w:hint="eastAsia" w:ascii="Times New Roman" w:hAnsi="Times New Roman" w:eastAsia="宋体" w:cs="Times New Roman"/>
          <w:color w:val="auto"/>
        </w:rPr>
        <w:t>）-“网上招投标”-“供应商登录”-“区级集采机构入口”</w:t>
      </w:r>
      <w:r>
        <w:rPr>
          <w:rFonts w:ascii="Times New Roman" w:hAnsi="Times New Roman" w:eastAsia="宋体" w:cs="Times New Roman"/>
          <w:color w:val="auto"/>
        </w:rPr>
        <w:t>进行应答</w:t>
      </w:r>
      <w:r>
        <w:rPr>
          <w:rFonts w:hint="eastAsia" w:ascii="Times New Roman" w:hAnsi="Times New Roman" w:eastAsia="宋体" w:cs="Times New Roman"/>
          <w:color w:val="auto"/>
        </w:rPr>
        <w:t>并提交</w:t>
      </w:r>
      <w:r>
        <w:rPr>
          <w:rFonts w:ascii="Times New Roman" w:hAnsi="Times New Roman" w:eastAsia="宋体" w:cs="Times New Roman"/>
          <w:color w:val="auto"/>
        </w:rPr>
        <w:t>。</w:t>
      </w:r>
    </w:p>
    <w:p w14:paraId="08AB7D91">
      <w:pPr>
        <w:pStyle w:val="31"/>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网上应答帮助链接：http://tjgpc.zwfwb.tj.gov.cn/webInfo/getWebInfoListForwebInfoClass.do?fkWebInfoclassId=W008</w:t>
      </w:r>
    </w:p>
    <w:p w14:paraId="4212A93A">
      <w:pPr>
        <w:pStyle w:val="3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八、投标</w:t>
      </w:r>
      <w:r>
        <w:rPr>
          <w:rFonts w:hint="eastAsia" w:ascii="Times New Roman" w:hAnsi="Times New Roman" w:eastAsia="宋体" w:cs="Times New Roman"/>
          <w:color w:val="auto"/>
        </w:rPr>
        <w:t>截止</w:t>
      </w:r>
      <w:r>
        <w:rPr>
          <w:rFonts w:ascii="Times New Roman" w:hAnsi="Times New Roman" w:eastAsia="宋体" w:cs="Times New Roman"/>
          <w:color w:val="auto"/>
        </w:rPr>
        <w:t>时间</w:t>
      </w:r>
      <w:r>
        <w:rPr>
          <w:rFonts w:hint="eastAsia" w:ascii="Times New Roman" w:hAnsi="Times New Roman" w:eastAsia="宋体" w:cs="Times New Roman"/>
          <w:color w:val="auto"/>
        </w:rPr>
        <w:t>及方式</w:t>
      </w:r>
    </w:p>
    <w:p w14:paraId="33BAFAC8">
      <w:pPr>
        <w:pStyle w:val="3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（一）投标</w:t>
      </w:r>
      <w:r>
        <w:rPr>
          <w:rFonts w:hint="eastAsia" w:ascii="Times New Roman" w:hAnsi="Times New Roman" w:eastAsia="宋体" w:cs="Times New Roman"/>
          <w:color w:val="auto"/>
        </w:rPr>
        <w:t>截止</w:t>
      </w:r>
      <w:r>
        <w:rPr>
          <w:rFonts w:ascii="Times New Roman" w:hAnsi="Times New Roman" w:eastAsia="宋体" w:cs="Times New Roman"/>
          <w:color w:val="auto"/>
        </w:rPr>
        <w:t>时间：2026年</w:t>
      </w:r>
      <w:r>
        <w:rPr>
          <w:rFonts w:hint="eastAsia" w:ascii="Times New Roman" w:hAnsi="Times New Roman" w:eastAsia="宋体" w:cs="Times New Roman"/>
          <w:color w:val="auto"/>
          <w:lang w:val="en-US" w:eastAsia="zh-CN"/>
        </w:rPr>
        <w:t>9</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1</w:t>
      </w:r>
      <w:r>
        <w:rPr>
          <w:rFonts w:ascii="Times New Roman" w:hAnsi="Times New Roman" w:eastAsia="宋体" w:cs="Times New Roman"/>
          <w:color w:val="auto"/>
        </w:rPr>
        <w:t>日8:30</w:t>
      </w:r>
      <w:r>
        <w:rPr>
          <w:rFonts w:hint="eastAsia" w:ascii="Times New Roman" w:hAnsi="Times New Roman" w:eastAsia="宋体" w:cs="Times New Roman"/>
          <w:color w:val="auto"/>
          <w:szCs w:val="21"/>
        </w:rPr>
        <w:t>。</w:t>
      </w:r>
      <w:r>
        <w:rPr>
          <w:rFonts w:ascii="Times New Roman" w:hAnsi="Times New Roman" w:eastAsia="宋体" w:cs="Times New Roman"/>
          <w:color w:val="auto"/>
        </w:rPr>
        <w:t>投标截止时间前</w:t>
      </w:r>
      <w:r>
        <w:rPr>
          <w:rFonts w:hint="eastAsia" w:ascii="Times New Roman" w:hAnsi="Times New Roman" w:eastAsia="宋体" w:cs="Times New Roman"/>
          <w:color w:val="auto"/>
        </w:rPr>
        <w:t>提交网上应答并上传加盖投标人电子签章的电子投标文件（以通过天津公共资源电子签章客户端正确读取签章信息为准）</w:t>
      </w:r>
      <w:r>
        <w:rPr>
          <w:rFonts w:ascii="Times New Roman" w:hAnsi="Times New Roman" w:eastAsia="宋体" w:cs="Times New Roman"/>
          <w:color w:val="auto"/>
        </w:rPr>
        <w:t>方为有效投标。</w:t>
      </w:r>
    </w:p>
    <w:p w14:paraId="2C5506CC">
      <w:pPr>
        <w:pStyle w:val="3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（二）投标</w:t>
      </w:r>
      <w:r>
        <w:rPr>
          <w:rFonts w:hint="eastAsia" w:ascii="Times New Roman" w:hAnsi="Times New Roman" w:eastAsia="宋体" w:cs="Times New Roman"/>
          <w:color w:val="auto"/>
        </w:rPr>
        <w:t>方式</w:t>
      </w:r>
      <w:r>
        <w:rPr>
          <w:rFonts w:ascii="Times New Roman" w:hAnsi="Times New Roman" w:eastAsia="宋体" w:cs="Times New Roman"/>
          <w:color w:val="auto"/>
        </w:rPr>
        <w:t>：本项目投标采用网上电子投标方式，投标人须于投标截止时间前使用天津数字认证有限公司发出的CA数字证书（原天津市电子认证中心发出尚在有效期内的CA数字证书仍可使用）登陆</w:t>
      </w:r>
      <w:r>
        <w:rPr>
          <w:rFonts w:hint="eastAsia" w:ascii="Times New Roman" w:hAnsi="Times New Roman" w:eastAsia="宋体" w:cs="Times New Roman"/>
          <w:color w:val="auto"/>
        </w:rPr>
        <w:t>天津市政府采购中心网（网址：</w:t>
      </w:r>
      <w:r>
        <w:fldChar w:fldCharType="begin"/>
      </w:r>
      <w:r>
        <w:instrText xml:space="preserve"> HYPERLINK "http://tjgpc.cz.tj.gov.cn/" </w:instrText>
      </w:r>
      <w:r>
        <w:fldChar w:fldCharType="separate"/>
      </w:r>
      <w:r>
        <w:rPr>
          <w:rStyle w:val="25"/>
          <w:rFonts w:ascii="Times New Roman" w:hAnsi="Times New Roman" w:eastAsia="宋体" w:cs="Times New Roman"/>
        </w:rPr>
        <w:t>http://tjgpc.zwfwb.tj.gov.cn/</w:t>
      </w:r>
      <w:r>
        <w:rPr>
          <w:rStyle w:val="25"/>
          <w:rFonts w:ascii="Times New Roman" w:hAnsi="Times New Roman" w:eastAsia="宋体" w:cs="Times New Roman"/>
        </w:rPr>
        <w:fldChar w:fldCharType="end"/>
      </w:r>
      <w:r>
        <w:rPr>
          <w:rFonts w:hint="eastAsia" w:ascii="Times New Roman" w:hAnsi="Times New Roman" w:eastAsia="宋体" w:cs="Times New Roman"/>
          <w:color w:val="auto"/>
        </w:rPr>
        <w:t>n）-“网上招投标”-“供应商登录”-“区级集采机构入口”提交网上应答并上传加盖投标人电子签章的电子投标文件（以通过天津公共资源电子签章客户端正确读取签章信息为准）。</w:t>
      </w:r>
    </w:p>
    <w:p w14:paraId="7CADAE8F">
      <w:pPr>
        <w:pStyle w:val="31"/>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九</w:t>
      </w:r>
      <w:r>
        <w:rPr>
          <w:rFonts w:ascii="Times New Roman" w:hAnsi="Times New Roman" w:eastAsia="宋体" w:cs="Times New Roman"/>
          <w:color w:val="auto"/>
        </w:rPr>
        <w:t>、开标时间及方式</w:t>
      </w:r>
    </w:p>
    <w:p w14:paraId="6998E23C">
      <w:pPr>
        <w:pStyle w:val="3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（一）开标解密时间：2026年</w:t>
      </w:r>
      <w:r>
        <w:rPr>
          <w:rFonts w:hint="eastAsia" w:ascii="Times New Roman" w:hAnsi="Times New Roman" w:eastAsia="宋体" w:cs="Times New Roman"/>
          <w:color w:val="auto"/>
          <w:lang w:val="en-US" w:eastAsia="zh-CN"/>
        </w:rPr>
        <w:t>9</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1</w:t>
      </w:r>
      <w:r>
        <w:rPr>
          <w:rFonts w:ascii="Times New Roman" w:hAnsi="Times New Roman" w:eastAsia="宋体" w:cs="Times New Roman"/>
          <w:color w:val="auto"/>
        </w:rPr>
        <w:t>日8:30至9:</w:t>
      </w:r>
      <w:r>
        <w:rPr>
          <w:rFonts w:hint="eastAsia" w:ascii="Times New Roman" w:hAnsi="Times New Roman" w:eastAsia="宋体" w:cs="Times New Roman"/>
          <w:color w:val="auto"/>
        </w:rPr>
        <w:t>30</w:t>
      </w:r>
      <w:r>
        <w:rPr>
          <w:rFonts w:ascii="Times New Roman" w:hAnsi="Times New Roman" w:eastAsia="宋体" w:cs="Times New Roman"/>
          <w:color w:val="auto"/>
        </w:rPr>
        <w:t>完成开标解密的投标为有效投标。</w:t>
      </w:r>
    </w:p>
    <w:p w14:paraId="2420C75C">
      <w:pPr>
        <w:pStyle w:val="3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（二）开标</w:t>
      </w:r>
      <w:r>
        <w:rPr>
          <w:rFonts w:hint="eastAsia" w:ascii="Times New Roman" w:hAnsi="Times New Roman" w:eastAsia="宋体" w:cs="Times New Roman"/>
          <w:color w:val="auto"/>
        </w:rPr>
        <w:t>解密方式</w:t>
      </w:r>
      <w:r>
        <w:rPr>
          <w:rFonts w:ascii="Times New Roman" w:hAnsi="Times New Roman" w:eastAsia="宋体" w:cs="Times New Roman"/>
          <w:color w:val="auto"/>
        </w:rPr>
        <w:t>：本项目采用网上开标方式，投标人须于</w:t>
      </w:r>
      <w:r>
        <w:rPr>
          <w:rFonts w:hint="eastAsia" w:ascii="Times New Roman" w:hAnsi="Times New Roman" w:eastAsia="宋体" w:cs="Times New Roman"/>
          <w:color w:val="auto"/>
        </w:rPr>
        <w:t>规定时间</w:t>
      </w:r>
      <w:r>
        <w:rPr>
          <w:rFonts w:ascii="Times New Roman" w:hAnsi="Times New Roman" w:eastAsia="宋体" w:cs="Times New Roman"/>
          <w:color w:val="auto"/>
        </w:rPr>
        <w:t>内使用天津数字认证有限公司发出的CA数字证书（原天津市电子认证中心发出尚在有效期内的CA数字证书仍可使用）</w:t>
      </w:r>
      <w:r>
        <w:rPr>
          <w:rFonts w:hint="eastAsia" w:ascii="Times New Roman" w:hAnsi="Times New Roman" w:eastAsia="宋体" w:cs="Times New Roman"/>
          <w:color w:val="auto"/>
        </w:rPr>
        <w:t>登陆天津市政府采购中心网（网址：</w:t>
      </w:r>
      <w:r>
        <w:fldChar w:fldCharType="begin"/>
      </w:r>
      <w:r>
        <w:instrText xml:space="preserve"> HYPERLINK "http://tjgpc.cz.tj.gov.cn/" </w:instrText>
      </w:r>
      <w:r>
        <w:fldChar w:fldCharType="separate"/>
      </w:r>
      <w:r>
        <w:rPr>
          <w:rStyle w:val="25"/>
          <w:rFonts w:ascii="Times New Roman" w:hAnsi="Times New Roman" w:eastAsia="宋体" w:cs="Times New Roman"/>
        </w:rPr>
        <w:t>http://tjgpc.zwfwb.tj.gov.cn/</w:t>
      </w:r>
      <w:r>
        <w:rPr>
          <w:rStyle w:val="25"/>
          <w:rFonts w:ascii="Times New Roman" w:hAnsi="Times New Roman" w:eastAsia="宋体" w:cs="Times New Roman"/>
        </w:rPr>
        <w:fldChar w:fldCharType="end"/>
      </w:r>
      <w:r>
        <w:rPr>
          <w:rFonts w:hint="eastAsia" w:ascii="Times New Roman" w:hAnsi="Times New Roman" w:eastAsia="宋体" w:cs="Times New Roman"/>
          <w:color w:val="auto"/>
        </w:rPr>
        <w:t>）-“网上招投标”-“供应商登录”-“区级集采机构入口”</w:t>
      </w:r>
      <w:r>
        <w:rPr>
          <w:rFonts w:ascii="Times New Roman" w:hAnsi="Times New Roman" w:eastAsia="宋体" w:cs="Times New Roman"/>
          <w:color w:val="auto"/>
        </w:rPr>
        <w:t>完成开标解密。</w:t>
      </w:r>
    </w:p>
    <w:p w14:paraId="5C9FD590">
      <w:pPr>
        <w:pStyle w:val="3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（三）网上开标公示时间：2026年月日9:</w:t>
      </w:r>
      <w:r>
        <w:rPr>
          <w:rFonts w:hint="eastAsia" w:ascii="Times New Roman" w:hAnsi="Times New Roman" w:eastAsia="宋体" w:cs="Times New Roman"/>
          <w:color w:val="auto"/>
        </w:rPr>
        <w:t>30</w:t>
      </w:r>
      <w:r>
        <w:rPr>
          <w:rFonts w:ascii="Times New Roman" w:hAnsi="Times New Roman" w:eastAsia="宋体" w:cs="Times New Roman"/>
          <w:color w:val="auto"/>
        </w:rPr>
        <w:t>至12:00。</w:t>
      </w:r>
      <w:r>
        <w:rPr>
          <w:rFonts w:hint="eastAsia" w:ascii="Times New Roman" w:hAnsi="Times New Roman" w:eastAsia="宋体" w:cs="Times New Roman"/>
          <w:color w:val="auto"/>
        </w:rPr>
        <w:t>投标人可在规定时间内使用天津数字认证有限公司发出的CA数字证书（原天津市电子认证中心发出尚在有效期内的CA数字证书仍可使用）登陆天津市政府采购中心网（网址：</w:t>
      </w:r>
      <w:r>
        <w:fldChar w:fldCharType="begin"/>
      </w:r>
      <w:r>
        <w:instrText xml:space="preserve"> HYPERLINK "http://tjgpc.cz.tj.gov.cn/" </w:instrText>
      </w:r>
      <w:r>
        <w:fldChar w:fldCharType="separate"/>
      </w:r>
      <w:r>
        <w:rPr>
          <w:rStyle w:val="25"/>
          <w:rFonts w:ascii="Times New Roman" w:hAnsi="Times New Roman" w:eastAsia="宋体" w:cs="Times New Roman"/>
        </w:rPr>
        <w:t>http://tjgpc.zwfwb.tj.gov.cn/</w:t>
      </w:r>
      <w:r>
        <w:rPr>
          <w:rStyle w:val="25"/>
          <w:rFonts w:ascii="Times New Roman" w:hAnsi="Times New Roman" w:eastAsia="宋体" w:cs="Times New Roman"/>
        </w:rPr>
        <w:fldChar w:fldCharType="end"/>
      </w:r>
      <w:r>
        <w:rPr>
          <w:rFonts w:hint="eastAsia" w:ascii="Times New Roman" w:hAnsi="Times New Roman" w:eastAsia="宋体" w:cs="Times New Roman"/>
          <w:color w:val="auto"/>
        </w:rPr>
        <w:t>）-“网上招投标”-“供应商登录”-“区级集采机构入口”自行查看开标信息。</w:t>
      </w:r>
    </w:p>
    <w:p w14:paraId="441ADAE1">
      <w:pPr>
        <w:pStyle w:val="31"/>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十</w:t>
      </w:r>
      <w:r>
        <w:rPr>
          <w:rFonts w:ascii="Times New Roman" w:hAnsi="Times New Roman" w:eastAsia="宋体" w:cs="Times New Roman"/>
          <w:color w:val="auto"/>
        </w:rPr>
        <w:t>、</w:t>
      </w:r>
      <w:r>
        <w:rPr>
          <w:rFonts w:hint="eastAsia" w:ascii="Times New Roman" w:hAnsi="Times New Roman" w:eastAsia="宋体" w:cs="Times New Roman"/>
          <w:color w:val="auto"/>
        </w:rPr>
        <w:t>采购代理机构名称、地址、联系人及联系方式</w:t>
      </w:r>
    </w:p>
    <w:p w14:paraId="039622C2">
      <w:pPr>
        <w:pStyle w:val="31"/>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（一）采购代理机构名称：天津市滨海新区政府采购中心</w:t>
      </w:r>
    </w:p>
    <w:p w14:paraId="26E1795C">
      <w:pPr>
        <w:pStyle w:val="31"/>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（二）采购代理机构地址：天津市滨海新区塘沽营口道468号</w:t>
      </w:r>
    </w:p>
    <w:p w14:paraId="04EE44EF">
      <w:pPr>
        <w:pStyle w:val="3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w:t>
      </w:r>
      <w:r>
        <w:rPr>
          <w:rFonts w:hint="eastAsia" w:ascii="Times New Roman" w:hAnsi="Times New Roman" w:eastAsia="宋体" w:cs="Times New Roman"/>
          <w:color w:val="auto"/>
        </w:rPr>
        <w:t>三</w:t>
      </w:r>
      <w:r>
        <w:rPr>
          <w:rFonts w:ascii="Times New Roman" w:hAnsi="Times New Roman" w:eastAsia="宋体" w:cs="Times New Roman"/>
          <w:color w:val="auto"/>
        </w:rPr>
        <w:t>）联系人：</w:t>
      </w:r>
      <w:r>
        <w:rPr>
          <w:rFonts w:hint="eastAsia" w:ascii="Times New Roman" w:hAnsi="Times New Roman" w:eastAsia="宋体" w:cs="Times New Roman"/>
          <w:color w:val="auto"/>
        </w:rPr>
        <w:t>夏冰</w:t>
      </w:r>
    </w:p>
    <w:p w14:paraId="51960D08">
      <w:pPr>
        <w:pStyle w:val="31"/>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（四）网址：</w:t>
      </w:r>
      <w:r>
        <w:fldChar w:fldCharType="begin"/>
      </w:r>
      <w:r>
        <w:instrText xml:space="preserve"> HYPERLINK "http://tjgpc.cz.tj.gov.cn/" </w:instrText>
      </w:r>
      <w:r>
        <w:fldChar w:fldCharType="separate"/>
      </w:r>
      <w:r>
        <w:rPr>
          <w:rStyle w:val="25"/>
          <w:rFonts w:ascii="Times New Roman" w:hAnsi="Times New Roman" w:eastAsia="宋体" w:cs="Times New Roman"/>
        </w:rPr>
        <w:t>http://tjgpc.zwfwb.tj.gov.cn/</w:t>
      </w:r>
      <w:r>
        <w:rPr>
          <w:rStyle w:val="25"/>
          <w:rFonts w:ascii="Times New Roman" w:hAnsi="Times New Roman" w:eastAsia="宋体" w:cs="Times New Roman"/>
        </w:rPr>
        <w:fldChar w:fldCharType="end"/>
      </w:r>
    </w:p>
    <w:p w14:paraId="24E9E26A">
      <w:pPr>
        <w:pStyle w:val="31"/>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（五）</w:t>
      </w:r>
      <w:r>
        <w:rPr>
          <w:rFonts w:ascii="Times New Roman" w:hAnsi="Times New Roman" w:eastAsia="宋体" w:cs="Times New Roman"/>
          <w:color w:val="auto"/>
        </w:rPr>
        <w:t>对外办公时间：</w:t>
      </w:r>
      <w:r>
        <w:rPr>
          <w:rFonts w:hint="eastAsia" w:ascii="Times New Roman" w:hAnsi="Times New Roman" w:eastAsia="宋体" w:cs="Times New Roman"/>
          <w:color w:val="auto"/>
        </w:rPr>
        <w:t>法定</w:t>
      </w:r>
      <w:r>
        <w:rPr>
          <w:rFonts w:ascii="Times New Roman" w:hAnsi="Times New Roman" w:eastAsia="宋体" w:cs="Times New Roman"/>
          <w:color w:val="auto"/>
        </w:rPr>
        <w:t>工作日9:00～12:00，14:00～1</w:t>
      </w:r>
      <w:r>
        <w:rPr>
          <w:rFonts w:hint="eastAsia" w:ascii="Times New Roman" w:hAnsi="Times New Roman" w:eastAsia="宋体" w:cs="Times New Roman"/>
          <w:color w:val="auto"/>
        </w:rPr>
        <w:t>7</w:t>
      </w:r>
      <w:r>
        <w:rPr>
          <w:rFonts w:ascii="Times New Roman" w:hAnsi="Times New Roman" w:eastAsia="宋体" w:cs="Times New Roman"/>
          <w:color w:val="auto"/>
        </w:rPr>
        <w:t>:00</w:t>
      </w:r>
    </w:p>
    <w:p w14:paraId="0BE2BCFC">
      <w:pPr>
        <w:pStyle w:val="31"/>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（六）咨询服务电话</w:t>
      </w:r>
      <w:r>
        <w:rPr>
          <w:rFonts w:ascii="Times New Roman" w:hAnsi="Times New Roman" w:eastAsia="宋体" w:cs="Times New Roman"/>
          <w:color w:val="auto"/>
        </w:rPr>
        <w:t>：</w:t>
      </w:r>
    </w:p>
    <w:p w14:paraId="5C9EFF97">
      <w:pPr>
        <w:pStyle w:val="31"/>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1. 供应商注册咨询：022-24538167</w:t>
      </w:r>
    </w:p>
    <w:p w14:paraId="696FA071">
      <w:pPr>
        <w:pStyle w:val="31"/>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 CA数字证书及电子签章办理咨询：022-24538059、400-0566-110</w:t>
      </w:r>
    </w:p>
    <w:p w14:paraId="1256F95C">
      <w:pPr>
        <w:pStyle w:val="31"/>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3. 采购文件咨询：022-25866107</w:t>
      </w:r>
    </w:p>
    <w:p w14:paraId="1050D01E">
      <w:pPr>
        <w:pStyle w:val="31"/>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 网上应答及解密操作咨询：022-24538309</w:t>
      </w:r>
    </w:p>
    <w:p w14:paraId="40AFE058">
      <w:pPr>
        <w:pStyle w:val="31"/>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（七）邮箱：bhzfzcb@tj.gov.cn</w:t>
      </w:r>
    </w:p>
    <w:p w14:paraId="42957EAA">
      <w:pPr>
        <w:pStyle w:val="3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十</w:t>
      </w:r>
      <w:r>
        <w:rPr>
          <w:rFonts w:hint="eastAsia" w:ascii="Times New Roman" w:hAnsi="Times New Roman" w:eastAsia="宋体" w:cs="Times New Roman"/>
          <w:color w:val="auto"/>
        </w:rPr>
        <w:t>一</w:t>
      </w:r>
      <w:r>
        <w:rPr>
          <w:rFonts w:ascii="Times New Roman" w:hAnsi="Times New Roman" w:eastAsia="宋体" w:cs="Times New Roman"/>
          <w:color w:val="auto"/>
        </w:rPr>
        <w:t>、采购人的名称、地址和联系方式</w:t>
      </w:r>
    </w:p>
    <w:p w14:paraId="4F551D88">
      <w:pPr>
        <w:pStyle w:val="31"/>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（一）采购人名称：</w:t>
      </w:r>
      <w:r>
        <w:rPr>
          <w:rFonts w:hint="eastAsia" w:ascii="Times New Roman" w:hAnsi="Times New Roman" w:eastAsia="宋体" w:cs="Times New Roman"/>
          <w:color w:val="auto"/>
        </w:rPr>
        <w:t>中共天津经济技术开发区委员会办公室（天津经济技术开发区管理委员会办公室）</w:t>
      </w:r>
    </w:p>
    <w:p w14:paraId="353BE382">
      <w:pPr>
        <w:pStyle w:val="31"/>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（二）采购人地址：</w:t>
      </w:r>
      <w:r>
        <w:rPr>
          <w:rFonts w:hint="eastAsia" w:ascii="Times New Roman" w:hAnsi="Times New Roman" w:eastAsia="宋体" w:cs="Times New Roman"/>
          <w:color w:val="auto"/>
        </w:rPr>
        <w:t xml:space="preserve">天津市滨海新区于家堡融义路1352号宝信大厦 </w:t>
      </w:r>
    </w:p>
    <w:p w14:paraId="02D0AE79">
      <w:pPr>
        <w:pStyle w:val="31"/>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（三）采购人联系人：</w:t>
      </w:r>
      <w:r>
        <w:rPr>
          <w:rFonts w:hint="eastAsia" w:ascii="Times New Roman" w:hAnsi="Times New Roman" w:eastAsia="宋体" w:cs="Times New Roman"/>
          <w:color w:val="auto"/>
        </w:rPr>
        <w:t>李红业</w:t>
      </w:r>
    </w:p>
    <w:p w14:paraId="07700E64">
      <w:pPr>
        <w:pStyle w:val="3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（四）采购人联系电话：022-25201617</w:t>
      </w:r>
    </w:p>
    <w:p w14:paraId="123B0650">
      <w:pPr>
        <w:pStyle w:val="3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十</w:t>
      </w:r>
      <w:r>
        <w:rPr>
          <w:rFonts w:hint="eastAsia" w:ascii="Times New Roman" w:hAnsi="Times New Roman" w:eastAsia="宋体" w:cs="Times New Roman"/>
          <w:color w:val="auto"/>
        </w:rPr>
        <w:t>二</w:t>
      </w:r>
      <w:r>
        <w:rPr>
          <w:rFonts w:ascii="Times New Roman" w:hAnsi="Times New Roman" w:eastAsia="宋体" w:cs="Times New Roman"/>
          <w:color w:val="auto"/>
        </w:rPr>
        <w:t>、质疑方式</w:t>
      </w:r>
    </w:p>
    <w:p w14:paraId="2931B53B">
      <w:pPr>
        <w:pStyle w:val="31"/>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（一）供应商认为采购文件、采购过程和采购结果使自己的权益受到损害的，可以在知道或者应知其权益受到损害之日起七个工作日内，按照本项目采购文件第三部分《磋商须知》“8. 询问与质疑”的相关规定，以书面原件形式针对同一采购程序环节一次性提出质疑，否则不予受理。</w:t>
      </w:r>
    </w:p>
    <w:p w14:paraId="4E038BBF">
      <w:pPr>
        <w:pStyle w:val="31"/>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采购人针对采购文件质疑受理：</w:t>
      </w:r>
    </w:p>
    <w:p w14:paraId="438AC2F6">
      <w:pPr>
        <w:pStyle w:val="31"/>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1.联系部门：中共天津经济技术开发区委员会办公室（天津经济技术开发区管理委员会办公室）电子政务科</w:t>
      </w:r>
    </w:p>
    <w:p w14:paraId="5D3D61AC">
      <w:pPr>
        <w:pStyle w:val="31"/>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2.联系人：李红业</w:t>
      </w:r>
    </w:p>
    <w:p w14:paraId="59BEEF7B">
      <w:pPr>
        <w:pStyle w:val="31"/>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3.联系方式：</w:t>
      </w:r>
      <w:r>
        <w:rPr>
          <w:rFonts w:ascii="Times New Roman" w:hAnsi="Times New Roman" w:eastAsia="宋体" w:cs="Times New Roman"/>
          <w:color w:val="auto"/>
        </w:rPr>
        <w:t>15122049666</w:t>
      </w:r>
    </w:p>
    <w:p w14:paraId="15ACA3CC">
      <w:pPr>
        <w:pStyle w:val="31"/>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 xml:space="preserve">4.联系地址：天津市滨海新区于家堡融义路1352号宝信大厦 </w:t>
      </w:r>
    </w:p>
    <w:p w14:paraId="0C411411">
      <w:pPr>
        <w:pStyle w:val="31"/>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二）供应商对质疑答复不满意的，或者采购人、天津市滨海新区政府采购中心未在规定期限内作出答复的，供应商可以在质疑答复期满后15个工作日内，向天津经济技术开发区财政局政府采购科提出投诉，逾期不予受理。</w:t>
      </w:r>
    </w:p>
    <w:p w14:paraId="3067794B">
      <w:pPr>
        <w:pStyle w:val="3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十</w:t>
      </w:r>
      <w:r>
        <w:rPr>
          <w:rFonts w:hint="eastAsia" w:ascii="Times New Roman" w:hAnsi="Times New Roman" w:eastAsia="宋体" w:cs="Times New Roman"/>
          <w:color w:val="auto"/>
        </w:rPr>
        <w:t>三</w:t>
      </w:r>
      <w:r>
        <w:rPr>
          <w:rFonts w:ascii="Times New Roman" w:hAnsi="Times New Roman" w:eastAsia="宋体" w:cs="Times New Roman"/>
          <w:color w:val="auto"/>
        </w:rPr>
        <w:t>、公告期限</w:t>
      </w:r>
    </w:p>
    <w:p w14:paraId="7D4AE84A">
      <w:pPr>
        <w:pStyle w:val="31"/>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招标公告的公告期限为5个工作日。</w:t>
      </w:r>
    </w:p>
    <w:p w14:paraId="2F8AA1DD">
      <w:pPr>
        <w:pStyle w:val="31"/>
        <w:spacing w:line="360" w:lineRule="auto"/>
        <w:jc w:val="both"/>
        <w:rPr>
          <w:rFonts w:ascii="Times New Roman" w:hAnsi="Times New Roman" w:eastAsia="宋体" w:cs="Times New Roman"/>
          <w:color w:val="auto"/>
        </w:rPr>
      </w:pPr>
    </w:p>
    <w:p w14:paraId="54584347">
      <w:pPr>
        <w:pStyle w:val="31"/>
        <w:spacing w:line="360" w:lineRule="auto"/>
        <w:ind w:firstLine="6480" w:firstLineChars="2700"/>
        <w:jc w:val="both"/>
        <w:rPr>
          <w:rFonts w:ascii="Times New Roman" w:hAnsi="Times New Roman" w:eastAsia="宋体"/>
          <w:b/>
          <w:bCs/>
          <w:color w:val="FF0000"/>
          <w:kern w:val="28"/>
          <w:sz w:val="32"/>
          <w:szCs w:val="32"/>
        </w:rPr>
      </w:pPr>
      <w:r>
        <w:rPr>
          <w:rFonts w:ascii="Times New Roman" w:hAnsi="Times New Roman" w:eastAsia="宋体" w:cs="Times New Roman"/>
          <w:color w:val="auto"/>
        </w:rPr>
        <w:t>2026年</w:t>
      </w:r>
      <w:r>
        <w:rPr>
          <w:rFonts w:hint="eastAsia" w:ascii="Times New Roman" w:hAnsi="Times New Roman" w:eastAsia="宋体" w:cs="Times New Roman"/>
          <w:color w:val="auto"/>
          <w:lang w:val="en-US" w:eastAsia="zh-CN"/>
        </w:rPr>
        <w:t>7</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15</w:t>
      </w:r>
      <w:r>
        <w:rPr>
          <w:rFonts w:ascii="Times New Roman" w:hAnsi="Times New Roman" w:eastAsia="宋体" w:cs="Times New Roman"/>
          <w:color w:val="auto"/>
        </w:rPr>
        <w:t>日</w:t>
      </w:r>
      <w:r>
        <w:rPr>
          <w:rFonts w:ascii="Times New Roman" w:hAnsi="Times New Roman" w:eastAsia="宋体"/>
          <w:color w:val="FF0000"/>
        </w:rPr>
        <w:br w:type="page"/>
      </w:r>
    </w:p>
    <w:p w14:paraId="0345BE1D">
      <w:pPr>
        <w:pStyle w:val="15"/>
        <w:rPr>
          <w:rFonts w:ascii="Times New Roman" w:hAnsi="Times New Roman"/>
        </w:rPr>
      </w:pPr>
      <w:r>
        <w:rPr>
          <w:rFonts w:ascii="Times New Roman" w:hAnsiTheme="minorEastAsia"/>
        </w:rPr>
        <w:t>第二部分招标项目要求</w:t>
      </w:r>
      <w:bookmarkEnd w:id="9"/>
    </w:p>
    <w:p w14:paraId="6A14B5CE">
      <w:pPr>
        <w:tabs>
          <w:tab w:val="left" w:pos="210"/>
        </w:tabs>
        <w:autoSpaceDE w:val="0"/>
        <w:autoSpaceDN w:val="0"/>
        <w:adjustRightInd w:val="0"/>
        <w:spacing w:line="360" w:lineRule="auto"/>
        <w:ind w:firstLine="480" w:firstLineChars="200"/>
        <w:outlineLvl w:val="0"/>
        <w:rPr>
          <w:sz w:val="24"/>
          <w:szCs w:val="24"/>
        </w:rPr>
      </w:pPr>
      <w:r>
        <w:rPr>
          <w:rFonts w:hAnsiTheme="minorEastAsia"/>
          <w:sz w:val="24"/>
          <w:szCs w:val="24"/>
        </w:rPr>
        <w:t>一、商务要求</w:t>
      </w:r>
    </w:p>
    <w:p w14:paraId="2CB2274C">
      <w:pPr>
        <w:autoSpaceDE w:val="0"/>
        <w:autoSpaceDN w:val="0"/>
        <w:adjustRightInd w:val="0"/>
        <w:spacing w:line="360" w:lineRule="auto"/>
        <w:ind w:firstLine="480" w:firstLineChars="200"/>
        <w:rPr>
          <w:sz w:val="24"/>
        </w:rPr>
      </w:pPr>
      <w:r>
        <w:rPr>
          <w:rFonts w:hAnsiTheme="minorEastAsia"/>
          <w:kern w:val="0"/>
          <w:sz w:val="24"/>
          <w:szCs w:val="24"/>
        </w:rPr>
        <w:t>（一）</w:t>
      </w:r>
      <w:r>
        <w:rPr>
          <w:rFonts w:hAnsiTheme="minorEastAsia"/>
          <w:sz w:val="24"/>
        </w:rPr>
        <w:t>报价要求</w:t>
      </w:r>
    </w:p>
    <w:p w14:paraId="40081DF7">
      <w:pPr>
        <w:autoSpaceDE w:val="0"/>
        <w:autoSpaceDN w:val="0"/>
        <w:adjustRightInd w:val="0"/>
        <w:spacing w:line="360" w:lineRule="auto"/>
        <w:ind w:firstLine="480" w:firstLineChars="200"/>
        <w:rPr>
          <w:sz w:val="24"/>
        </w:rPr>
      </w:pPr>
      <w:r>
        <w:rPr>
          <w:sz w:val="24"/>
        </w:rPr>
        <w:t xml:space="preserve">1. </w:t>
      </w:r>
      <w:r>
        <w:rPr>
          <w:rFonts w:hAnsiTheme="minorEastAsia"/>
          <w:sz w:val="24"/>
        </w:rPr>
        <w:t>投标报价以人民币填列。</w:t>
      </w:r>
    </w:p>
    <w:p w14:paraId="2682CD75">
      <w:pPr>
        <w:autoSpaceDE w:val="0"/>
        <w:autoSpaceDN w:val="0"/>
        <w:adjustRightInd w:val="0"/>
        <w:spacing w:line="360" w:lineRule="auto"/>
        <w:ind w:firstLine="480" w:firstLineChars="200"/>
        <w:rPr>
          <w:sz w:val="24"/>
        </w:rPr>
      </w:pPr>
      <w:r>
        <w:rPr>
          <w:sz w:val="24"/>
        </w:rPr>
        <w:t xml:space="preserve">2. </w:t>
      </w:r>
      <w:r>
        <w:rPr>
          <w:rFonts w:hAnsiTheme="minorEastAsia"/>
          <w:sz w:val="24"/>
        </w:rPr>
        <w:t>投标人的报价应包括：</w:t>
      </w:r>
      <w:r>
        <w:rPr>
          <w:rFonts w:hint="eastAsia"/>
          <w:sz w:val="24"/>
        </w:rPr>
        <w:t>调试费、线路连接费、维护维修费、保修费、测试费、人员费用、服务费用、材料费用、管理费及税金</w:t>
      </w:r>
      <w:r>
        <w:rPr>
          <w:sz w:val="24"/>
        </w:rPr>
        <w:t>等为完成</w:t>
      </w:r>
      <w:r>
        <w:rPr>
          <w:rFonts w:hint="eastAsia"/>
          <w:sz w:val="24"/>
        </w:rPr>
        <w:t>招标</w:t>
      </w:r>
      <w:r>
        <w:rPr>
          <w:sz w:val="24"/>
        </w:rPr>
        <w:t>文件规定全部任务所需的一切应有费用。</w:t>
      </w:r>
    </w:p>
    <w:p w14:paraId="2236AC8C">
      <w:pPr>
        <w:autoSpaceDE w:val="0"/>
        <w:autoSpaceDN w:val="0"/>
        <w:adjustRightInd w:val="0"/>
        <w:spacing w:line="360" w:lineRule="auto"/>
        <w:ind w:firstLine="480" w:firstLineChars="200"/>
        <w:rPr>
          <w:kern w:val="0"/>
          <w:sz w:val="24"/>
          <w:szCs w:val="24"/>
        </w:rPr>
      </w:pPr>
      <w:r>
        <w:rPr>
          <w:rFonts w:hint="eastAsia"/>
          <w:kern w:val="0"/>
          <w:sz w:val="24"/>
          <w:szCs w:val="24"/>
        </w:rPr>
        <w:t>3. 投标报价在不超采购预算的前提下，其合理性由评审委员会在评分中予以考虑。若出现异常低价投标情况，评审委员会启动异常低价投标审查程序（详见本文件第三部分31.1）。</w:t>
      </w:r>
    </w:p>
    <w:p w14:paraId="6056175A">
      <w:pPr>
        <w:autoSpaceDE w:val="0"/>
        <w:autoSpaceDN w:val="0"/>
        <w:adjustRightInd w:val="0"/>
        <w:spacing w:line="360" w:lineRule="auto"/>
        <w:ind w:firstLine="480" w:firstLineChars="200"/>
        <w:rPr>
          <w:kern w:val="0"/>
          <w:sz w:val="24"/>
          <w:szCs w:val="24"/>
        </w:rPr>
      </w:pPr>
      <w:r>
        <w:rPr>
          <w:rFonts w:hint="eastAsia"/>
          <w:kern w:val="0"/>
          <w:sz w:val="24"/>
          <w:szCs w:val="24"/>
        </w:rPr>
        <w:t>4. 验收相关费用由投标人负责。</w:t>
      </w:r>
    </w:p>
    <w:p w14:paraId="506B3E39">
      <w:pPr>
        <w:autoSpaceDE w:val="0"/>
        <w:autoSpaceDN w:val="0"/>
        <w:adjustRightInd w:val="0"/>
        <w:spacing w:line="360" w:lineRule="auto"/>
        <w:ind w:firstLine="480" w:firstLineChars="200"/>
        <w:rPr>
          <w:sz w:val="24"/>
        </w:rPr>
      </w:pPr>
      <w:r>
        <w:rPr>
          <w:sz w:val="24"/>
        </w:rPr>
        <w:t>（二）服务要求</w:t>
      </w:r>
    </w:p>
    <w:p w14:paraId="73BFA226">
      <w:pPr>
        <w:autoSpaceDE w:val="0"/>
        <w:autoSpaceDN w:val="0"/>
        <w:adjustRightInd w:val="0"/>
        <w:spacing w:line="360" w:lineRule="auto"/>
        <w:ind w:firstLine="480" w:firstLineChars="200"/>
        <w:rPr>
          <w:sz w:val="24"/>
        </w:rPr>
      </w:pPr>
      <w:r>
        <w:rPr>
          <w:rFonts w:hint="eastAsia"/>
          <w:sz w:val="24"/>
        </w:rPr>
        <w:t>1. 投标人提供详细的服务方案。</w:t>
      </w:r>
    </w:p>
    <w:p w14:paraId="190FBA2F">
      <w:pPr>
        <w:autoSpaceDE w:val="0"/>
        <w:autoSpaceDN w:val="0"/>
        <w:adjustRightInd w:val="0"/>
        <w:spacing w:line="360" w:lineRule="auto"/>
        <w:ind w:firstLine="480" w:firstLineChars="200"/>
        <w:rPr>
          <w:sz w:val="24"/>
        </w:rPr>
      </w:pPr>
      <w:r>
        <w:rPr>
          <w:sz w:val="24"/>
        </w:rPr>
        <w:t>2.</w:t>
      </w:r>
      <w:r>
        <w:rPr>
          <w:rFonts w:hint="eastAsia"/>
          <w:sz w:val="24"/>
        </w:rPr>
        <w:t xml:space="preserve"> 满足项目需求书要求。</w:t>
      </w:r>
    </w:p>
    <w:p w14:paraId="0EAECC2B">
      <w:pPr>
        <w:autoSpaceDE w:val="0"/>
        <w:autoSpaceDN w:val="0"/>
        <w:adjustRightInd w:val="0"/>
        <w:spacing w:line="360" w:lineRule="auto"/>
        <w:ind w:firstLine="480" w:firstLineChars="200"/>
        <w:rPr>
          <w:sz w:val="24"/>
        </w:rPr>
      </w:pPr>
      <w:r>
        <w:rPr>
          <w:rFonts w:hAnsiTheme="minorEastAsia"/>
          <w:sz w:val="24"/>
        </w:rPr>
        <w:t>（</w:t>
      </w:r>
      <w:r>
        <w:rPr>
          <w:rFonts w:hint="eastAsia" w:hAnsiTheme="minorEastAsia"/>
          <w:sz w:val="24"/>
        </w:rPr>
        <w:t>三</w:t>
      </w:r>
      <w:r>
        <w:rPr>
          <w:rFonts w:hAnsiTheme="minorEastAsia"/>
          <w:sz w:val="24"/>
        </w:rPr>
        <w:t>）时间、地点要求</w:t>
      </w:r>
    </w:p>
    <w:p w14:paraId="3F5FDBD6">
      <w:pPr>
        <w:autoSpaceDE w:val="0"/>
        <w:autoSpaceDN w:val="0"/>
        <w:adjustRightInd w:val="0"/>
        <w:spacing w:line="360" w:lineRule="auto"/>
        <w:ind w:firstLine="480" w:firstLineChars="200"/>
        <w:rPr>
          <w:rFonts w:hint="eastAsia" w:eastAsia="宋体"/>
          <w:color w:val="auto"/>
          <w:sz w:val="24"/>
          <w:lang w:eastAsia="zh-CN"/>
        </w:rPr>
      </w:pPr>
      <w:r>
        <w:rPr>
          <w:color w:val="auto"/>
          <w:sz w:val="24"/>
        </w:rPr>
        <w:t xml:space="preserve">1. </w:t>
      </w:r>
      <w:r>
        <w:rPr>
          <w:rFonts w:hAnsiTheme="minorEastAsia"/>
          <w:color w:val="auto"/>
          <w:sz w:val="24"/>
        </w:rPr>
        <w:t>时间要求：</w:t>
      </w:r>
      <w:r>
        <w:rPr>
          <w:rFonts w:hint="eastAsia" w:hAnsiTheme="minorEastAsia"/>
          <w:color w:val="auto"/>
          <w:sz w:val="24"/>
        </w:rPr>
        <w:t>服务期限自2026年9月17日至2027年9月16日止</w:t>
      </w:r>
      <w:r>
        <w:rPr>
          <w:rFonts w:hAnsiTheme="minorEastAsia"/>
          <w:color w:val="auto"/>
          <w:sz w:val="24"/>
        </w:rPr>
        <w:t>（特殊情况以合同为准）</w:t>
      </w:r>
      <w:r>
        <w:rPr>
          <w:rFonts w:hint="eastAsia" w:hAnsiTheme="minorEastAsia"/>
          <w:color w:val="auto"/>
          <w:sz w:val="24"/>
          <w:lang w:eastAsia="zh-CN"/>
        </w:rPr>
        <w:t>。</w:t>
      </w:r>
    </w:p>
    <w:p w14:paraId="67A54F41">
      <w:pPr>
        <w:autoSpaceDE w:val="0"/>
        <w:autoSpaceDN w:val="0"/>
        <w:adjustRightInd w:val="0"/>
        <w:spacing w:line="360" w:lineRule="auto"/>
        <w:ind w:firstLine="480" w:firstLineChars="200"/>
        <w:rPr>
          <w:color w:val="auto"/>
          <w:sz w:val="24"/>
        </w:rPr>
      </w:pPr>
      <w:r>
        <w:rPr>
          <w:color w:val="auto"/>
          <w:sz w:val="24"/>
        </w:rPr>
        <w:t xml:space="preserve">2. </w:t>
      </w:r>
      <w:r>
        <w:rPr>
          <w:rFonts w:hAnsiTheme="minorEastAsia"/>
          <w:color w:val="auto"/>
          <w:sz w:val="24"/>
        </w:rPr>
        <w:t>服务地点：</w:t>
      </w:r>
      <w:r>
        <w:rPr>
          <w:rFonts w:hint="eastAsia" w:hAnsiTheme="minorEastAsia"/>
          <w:color w:val="auto"/>
          <w:sz w:val="24"/>
        </w:rPr>
        <w:t>天津经济技术开发区</w:t>
      </w:r>
      <w:r>
        <w:rPr>
          <w:rFonts w:hAnsiTheme="minorEastAsia"/>
          <w:color w:val="auto"/>
          <w:sz w:val="24"/>
        </w:rPr>
        <w:t>（特殊情况以合同为准）。</w:t>
      </w:r>
    </w:p>
    <w:p w14:paraId="7DEBA935">
      <w:pPr>
        <w:autoSpaceDE w:val="0"/>
        <w:autoSpaceDN w:val="0"/>
        <w:adjustRightInd w:val="0"/>
        <w:spacing w:line="360" w:lineRule="auto"/>
        <w:ind w:firstLine="480" w:firstLineChars="200"/>
        <w:rPr>
          <w:color w:val="auto"/>
          <w:sz w:val="24"/>
        </w:rPr>
      </w:pPr>
      <w:r>
        <w:rPr>
          <w:rFonts w:hAnsiTheme="minorEastAsia"/>
          <w:color w:val="auto"/>
          <w:sz w:val="24"/>
        </w:rPr>
        <w:t>（</w:t>
      </w:r>
      <w:r>
        <w:rPr>
          <w:rFonts w:hint="eastAsia" w:hAnsiTheme="minorEastAsia"/>
          <w:color w:val="auto"/>
          <w:sz w:val="24"/>
        </w:rPr>
        <w:t>三</w:t>
      </w:r>
      <w:r>
        <w:rPr>
          <w:rFonts w:hAnsiTheme="minorEastAsia"/>
          <w:color w:val="auto"/>
          <w:sz w:val="24"/>
        </w:rPr>
        <w:t>）付款方式</w:t>
      </w:r>
    </w:p>
    <w:p w14:paraId="702D7664">
      <w:pPr>
        <w:autoSpaceDE w:val="0"/>
        <w:autoSpaceDN w:val="0"/>
        <w:adjustRightInd w:val="0"/>
        <w:spacing w:line="360" w:lineRule="auto"/>
        <w:ind w:firstLine="480" w:firstLineChars="200"/>
        <w:rPr>
          <w:rFonts w:hint="eastAsia"/>
          <w:color w:val="auto"/>
          <w:sz w:val="24"/>
        </w:rPr>
      </w:pPr>
      <w:r>
        <w:rPr>
          <w:rFonts w:hint="eastAsia"/>
          <w:color w:val="auto"/>
          <w:sz w:val="24"/>
        </w:rPr>
        <w:t>合同签订后，服务期每满三个月支付一次，验收合格，供应商提供发票、验收报告后，采购人支付相应的维护费用</w:t>
      </w:r>
      <w:r>
        <w:rPr>
          <w:rFonts w:hAnsiTheme="minorEastAsia"/>
          <w:color w:val="auto"/>
          <w:sz w:val="24"/>
        </w:rPr>
        <w:t>（特殊情况以合同为准）</w:t>
      </w:r>
      <w:r>
        <w:rPr>
          <w:rFonts w:hint="eastAsia"/>
          <w:color w:val="auto"/>
          <w:sz w:val="24"/>
        </w:rPr>
        <w:t>。</w:t>
      </w:r>
    </w:p>
    <w:p w14:paraId="58A04138">
      <w:pPr>
        <w:autoSpaceDE w:val="0"/>
        <w:autoSpaceDN w:val="0"/>
        <w:adjustRightInd w:val="0"/>
        <w:spacing w:line="360" w:lineRule="auto"/>
        <w:ind w:firstLine="480" w:firstLineChars="200"/>
        <w:rPr>
          <w:color w:val="auto"/>
          <w:sz w:val="24"/>
        </w:rPr>
      </w:pPr>
      <w:r>
        <w:rPr>
          <w:rFonts w:hAnsiTheme="minorEastAsia"/>
          <w:color w:val="auto"/>
          <w:sz w:val="24"/>
        </w:rPr>
        <w:t>（</w:t>
      </w:r>
      <w:r>
        <w:rPr>
          <w:rFonts w:hint="eastAsia" w:hAnsiTheme="minorEastAsia"/>
          <w:color w:val="auto"/>
          <w:sz w:val="24"/>
        </w:rPr>
        <w:t>四</w:t>
      </w:r>
      <w:r>
        <w:rPr>
          <w:rFonts w:hAnsiTheme="minorEastAsia"/>
          <w:color w:val="auto"/>
          <w:sz w:val="24"/>
        </w:rPr>
        <w:t>）投标保证金和履约保证金</w:t>
      </w:r>
    </w:p>
    <w:p w14:paraId="5AF83AA7">
      <w:pPr>
        <w:autoSpaceDE w:val="0"/>
        <w:autoSpaceDN w:val="0"/>
        <w:adjustRightInd w:val="0"/>
        <w:spacing w:line="360" w:lineRule="auto"/>
        <w:ind w:firstLine="480" w:firstLineChars="200"/>
        <w:rPr>
          <w:color w:val="auto"/>
          <w:sz w:val="24"/>
        </w:rPr>
      </w:pPr>
      <w:r>
        <w:rPr>
          <w:rFonts w:hAnsiTheme="minorEastAsia"/>
          <w:color w:val="auto"/>
          <w:sz w:val="24"/>
        </w:rPr>
        <w:t>本项目不收取投标保证金和履约保证金。</w:t>
      </w:r>
    </w:p>
    <w:p w14:paraId="569D2F4C">
      <w:pPr>
        <w:autoSpaceDE w:val="0"/>
        <w:autoSpaceDN w:val="0"/>
        <w:adjustRightInd w:val="0"/>
        <w:spacing w:line="360" w:lineRule="auto"/>
        <w:ind w:firstLine="480" w:firstLineChars="200"/>
        <w:rPr>
          <w:color w:val="auto"/>
          <w:sz w:val="24"/>
        </w:rPr>
      </w:pPr>
      <w:r>
        <w:rPr>
          <w:rFonts w:hint="eastAsia" w:hAnsiTheme="minorEastAsia"/>
          <w:color w:val="auto"/>
          <w:sz w:val="24"/>
        </w:rPr>
        <w:t>（五）验收方法及标准</w:t>
      </w:r>
    </w:p>
    <w:p w14:paraId="2A408670">
      <w:pPr>
        <w:autoSpaceDE w:val="0"/>
        <w:autoSpaceDN w:val="0"/>
        <w:adjustRightInd w:val="0"/>
        <w:spacing w:line="360" w:lineRule="auto"/>
        <w:ind w:firstLine="480" w:firstLineChars="200"/>
        <w:rPr>
          <w:color w:val="000000"/>
          <w:sz w:val="24"/>
        </w:rPr>
      </w:pPr>
      <w:r>
        <w:rPr>
          <w:rFonts w:hint="eastAsia" w:hAnsiTheme="minorEastAsia"/>
          <w:color w:val="000000"/>
          <w:sz w:val="24"/>
        </w:rPr>
        <w:t>按照采购合同的约定和现行国家标准、行业标准或企业标准对每一服务环节、安全标准的履约情况进行考核与验收。必要时，采购人有权邀请参加本项目的其他投标人或者第三方机构参与验收。参与验收的投标人或者第三方机构的意见作为验收书的参考资料一并存档。验收结束后，应当出具验收书，列明各项服务的考核验收情况及项目总体评价，由验收双方共同签署。</w:t>
      </w:r>
    </w:p>
    <w:p w14:paraId="2F10B9B9">
      <w:pPr>
        <w:autoSpaceDE w:val="0"/>
        <w:autoSpaceDN w:val="0"/>
        <w:adjustRightInd w:val="0"/>
        <w:spacing w:line="360" w:lineRule="auto"/>
        <w:ind w:firstLine="480" w:firstLineChars="200"/>
        <w:rPr>
          <w:bCs/>
          <w:sz w:val="24"/>
        </w:rPr>
      </w:pPr>
      <w:r>
        <w:rPr>
          <w:rFonts w:hAnsiTheme="minorEastAsia"/>
          <w:sz w:val="24"/>
        </w:rPr>
        <w:t>二</w:t>
      </w:r>
      <w:r>
        <w:rPr>
          <w:rFonts w:hAnsiTheme="minorEastAsia"/>
          <w:bCs/>
          <w:sz w:val="24"/>
        </w:rPr>
        <w:t>、技术要求</w:t>
      </w:r>
    </w:p>
    <w:p w14:paraId="35B5B117">
      <w:pPr>
        <w:spacing w:line="360" w:lineRule="auto"/>
        <w:ind w:firstLine="480" w:firstLineChars="200"/>
        <w:outlineLvl w:val="0"/>
        <w:rPr>
          <w:sz w:val="24"/>
        </w:rPr>
      </w:pPr>
      <w:r>
        <w:rPr>
          <w:sz w:val="24"/>
        </w:rPr>
        <w:t>（一）投标人须承诺所提供的服务、人员及设备符合相关国家强制性规定。</w:t>
      </w:r>
    </w:p>
    <w:p w14:paraId="1945AEC4">
      <w:pPr>
        <w:spacing w:line="360" w:lineRule="auto"/>
        <w:ind w:firstLine="480" w:firstLineChars="200"/>
        <w:outlineLvl w:val="0"/>
        <w:rPr>
          <w:sz w:val="24"/>
        </w:rPr>
      </w:pPr>
      <w:r>
        <w:rPr>
          <w:sz w:val="24"/>
        </w:rPr>
        <w:t>（二）具体需求详见本部分项目需求书。</w:t>
      </w:r>
    </w:p>
    <w:p w14:paraId="4432AAAF">
      <w:pPr>
        <w:spacing w:line="360" w:lineRule="auto"/>
        <w:ind w:firstLine="480" w:firstLineChars="200"/>
        <w:outlineLvl w:val="0"/>
        <w:rPr>
          <w:sz w:val="24"/>
        </w:rPr>
      </w:pPr>
      <w:r>
        <w:rPr>
          <w:rFonts w:hAnsiTheme="minorEastAsia"/>
          <w:sz w:val="24"/>
        </w:rPr>
        <w:t>三、评分因素及评标标准</w:t>
      </w:r>
    </w:p>
    <w:tbl>
      <w:tblPr>
        <w:tblStyle w:val="19"/>
        <w:tblW w:w="103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3"/>
        <w:gridCol w:w="1419"/>
        <w:gridCol w:w="7311"/>
        <w:gridCol w:w="932"/>
      </w:tblGrid>
      <w:tr w14:paraId="01B7E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393" w:type="dxa"/>
            <w:gridSpan w:val="3"/>
            <w:shd w:val="clear" w:color="auto" w:fill="auto"/>
            <w:vAlign w:val="center"/>
          </w:tcPr>
          <w:p w14:paraId="49D16E6A">
            <w:pPr>
              <w:widowControl/>
              <w:spacing w:line="360" w:lineRule="exact"/>
              <w:jc w:val="center"/>
              <w:rPr>
                <w:color w:val="000000"/>
                <w:kern w:val="0"/>
                <w:sz w:val="24"/>
                <w:szCs w:val="24"/>
              </w:rPr>
            </w:pPr>
            <w:r>
              <w:rPr>
                <w:color w:val="000000"/>
                <w:kern w:val="0"/>
                <w:sz w:val="24"/>
                <w:szCs w:val="24"/>
              </w:rPr>
              <w:t>第一部分价格（</w:t>
            </w:r>
            <w:r>
              <w:rPr>
                <w:rFonts w:hint="eastAsia"/>
                <w:color w:val="000000"/>
                <w:kern w:val="0"/>
                <w:sz w:val="24"/>
                <w:szCs w:val="24"/>
              </w:rPr>
              <w:t>2</w:t>
            </w:r>
            <w:r>
              <w:rPr>
                <w:color w:val="000000"/>
                <w:kern w:val="0"/>
                <w:sz w:val="24"/>
                <w:szCs w:val="24"/>
              </w:rPr>
              <w:t>0分）</w:t>
            </w:r>
          </w:p>
        </w:tc>
        <w:tc>
          <w:tcPr>
            <w:tcW w:w="932" w:type="dxa"/>
            <w:shd w:val="clear" w:color="auto" w:fill="auto"/>
            <w:vAlign w:val="center"/>
          </w:tcPr>
          <w:p w14:paraId="0FC80E5F">
            <w:pPr>
              <w:widowControl/>
              <w:jc w:val="center"/>
              <w:rPr>
                <w:color w:val="000000"/>
                <w:kern w:val="0"/>
                <w:sz w:val="24"/>
                <w:szCs w:val="24"/>
              </w:rPr>
            </w:pPr>
            <w:r>
              <w:rPr>
                <w:color w:val="000000"/>
                <w:kern w:val="0"/>
                <w:sz w:val="24"/>
                <w:szCs w:val="24"/>
              </w:rPr>
              <w:t>分值</w:t>
            </w:r>
          </w:p>
        </w:tc>
      </w:tr>
      <w:tr w14:paraId="2E30B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663" w:type="dxa"/>
            <w:shd w:val="clear" w:color="auto" w:fill="auto"/>
            <w:noWrap/>
            <w:vAlign w:val="center"/>
          </w:tcPr>
          <w:p w14:paraId="0AA664E7">
            <w:pPr>
              <w:widowControl/>
              <w:jc w:val="center"/>
              <w:rPr>
                <w:color w:val="000000"/>
                <w:kern w:val="0"/>
                <w:sz w:val="24"/>
                <w:szCs w:val="24"/>
              </w:rPr>
            </w:pPr>
            <w:r>
              <w:rPr>
                <w:color w:val="000000"/>
                <w:kern w:val="0"/>
                <w:sz w:val="24"/>
                <w:szCs w:val="24"/>
              </w:rPr>
              <w:t>1</w:t>
            </w:r>
          </w:p>
        </w:tc>
        <w:tc>
          <w:tcPr>
            <w:tcW w:w="1419" w:type="dxa"/>
            <w:shd w:val="clear" w:color="auto" w:fill="auto"/>
            <w:vAlign w:val="center"/>
          </w:tcPr>
          <w:p w14:paraId="0670D3E3">
            <w:pPr>
              <w:widowControl/>
              <w:spacing w:line="400" w:lineRule="exact"/>
              <w:jc w:val="center"/>
              <w:rPr>
                <w:kern w:val="0"/>
                <w:sz w:val="24"/>
                <w:szCs w:val="24"/>
              </w:rPr>
            </w:pPr>
            <w:r>
              <w:rPr>
                <w:kern w:val="0"/>
                <w:sz w:val="24"/>
                <w:szCs w:val="24"/>
              </w:rPr>
              <w:t>价格</w:t>
            </w:r>
          </w:p>
        </w:tc>
        <w:tc>
          <w:tcPr>
            <w:tcW w:w="7311" w:type="dxa"/>
            <w:shd w:val="clear" w:color="auto" w:fill="auto"/>
            <w:vAlign w:val="center"/>
          </w:tcPr>
          <w:p w14:paraId="622FC8DD">
            <w:pPr>
              <w:widowControl/>
              <w:spacing w:line="360" w:lineRule="exact"/>
              <w:rPr>
                <w:kern w:val="0"/>
                <w:sz w:val="24"/>
                <w:szCs w:val="24"/>
              </w:rPr>
            </w:pPr>
            <w:r>
              <w:rPr>
                <w:kern w:val="0"/>
                <w:sz w:val="24"/>
                <w:szCs w:val="24"/>
              </w:rPr>
              <w:t>（1）投标报价超过采购预算的，投标无效，未超过采购预算的投标报价按以下公式进行计算。</w:t>
            </w:r>
          </w:p>
          <w:p w14:paraId="1DB92E44">
            <w:pPr>
              <w:widowControl/>
              <w:spacing w:line="360" w:lineRule="exact"/>
              <w:rPr>
                <w:kern w:val="0"/>
                <w:sz w:val="24"/>
                <w:szCs w:val="24"/>
              </w:rPr>
            </w:pPr>
            <w:r>
              <w:rPr>
                <w:kern w:val="0"/>
                <w:sz w:val="24"/>
                <w:szCs w:val="24"/>
              </w:rPr>
              <w:t>（2）投标报价得分=（评标基准价/投标报价）×</w:t>
            </w:r>
            <w:r>
              <w:rPr>
                <w:rFonts w:hint="eastAsia"/>
                <w:kern w:val="0"/>
                <w:sz w:val="24"/>
                <w:szCs w:val="24"/>
              </w:rPr>
              <w:t>2</w:t>
            </w:r>
            <w:r>
              <w:rPr>
                <w:kern w:val="0"/>
                <w:sz w:val="24"/>
                <w:szCs w:val="24"/>
              </w:rPr>
              <w:t>0</w:t>
            </w:r>
            <w:r>
              <w:rPr>
                <w:rFonts w:hint="eastAsia"/>
                <w:kern w:val="0"/>
                <w:sz w:val="24"/>
                <w:szCs w:val="24"/>
              </w:rPr>
              <w:t>。</w:t>
            </w:r>
          </w:p>
          <w:p w14:paraId="0FD9CEA3">
            <w:pPr>
              <w:widowControl/>
              <w:spacing w:line="360" w:lineRule="exact"/>
              <w:rPr>
                <w:kern w:val="0"/>
                <w:sz w:val="24"/>
                <w:szCs w:val="24"/>
              </w:rPr>
            </w:pPr>
            <w:r>
              <w:rPr>
                <w:kern w:val="0"/>
                <w:sz w:val="24"/>
                <w:szCs w:val="24"/>
              </w:rPr>
              <w:t>注：满足</w:t>
            </w:r>
            <w:r>
              <w:rPr>
                <w:rFonts w:hint="eastAsia"/>
                <w:kern w:val="0"/>
                <w:sz w:val="24"/>
                <w:szCs w:val="24"/>
              </w:rPr>
              <w:t>采购</w:t>
            </w:r>
            <w:r>
              <w:rPr>
                <w:kern w:val="0"/>
                <w:sz w:val="24"/>
                <w:szCs w:val="24"/>
              </w:rPr>
              <w:t>文件要求且投标报价最低的投标报价为评标基准价。</w:t>
            </w:r>
          </w:p>
        </w:tc>
        <w:tc>
          <w:tcPr>
            <w:tcW w:w="932" w:type="dxa"/>
            <w:shd w:val="clear" w:color="auto" w:fill="auto"/>
            <w:vAlign w:val="center"/>
          </w:tcPr>
          <w:p w14:paraId="10347BC3">
            <w:pPr>
              <w:widowControl/>
              <w:jc w:val="center"/>
              <w:rPr>
                <w:color w:val="000000"/>
                <w:kern w:val="0"/>
                <w:sz w:val="24"/>
                <w:szCs w:val="24"/>
              </w:rPr>
            </w:pPr>
            <w:r>
              <w:rPr>
                <w:rFonts w:hint="eastAsia"/>
                <w:color w:val="000000"/>
                <w:kern w:val="0"/>
                <w:sz w:val="24"/>
                <w:szCs w:val="24"/>
              </w:rPr>
              <w:t>2</w:t>
            </w:r>
            <w:r>
              <w:rPr>
                <w:color w:val="000000"/>
                <w:kern w:val="0"/>
                <w:sz w:val="24"/>
                <w:szCs w:val="24"/>
              </w:rPr>
              <w:t>0</w:t>
            </w:r>
          </w:p>
        </w:tc>
      </w:tr>
      <w:tr w14:paraId="7216B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9393" w:type="dxa"/>
            <w:gridSpan w:val="3"/>
            <w:shd w:val="clear" w:color="auto" w:fill="auto"/>
            <w:noWrap/>
            <w:vAlign w:val="center"/>
          </w:tcPr>
          <w:p w14:paraId="34AA9F61">
            <w:pPr>
              <w:widowControl/>
              <w:spacing w:line="360" w:lineRule="exact"/>
              <w:jc w:val="center"/>
              <w:rPr>
                <w:kern w:val="0"/>
                <w:sz w:val="24"/>
                <w:szCs w:val="24"/>
              </w:rPr>
            </w:pPr>
            <w:r>
              <w:rPr>
                <w:color w:val="000000"/>
                <w:kern w:val="0"/>
                <w:sz w:val="24"/>
                <w:szCs w:val="24"/>
              </w:rPr>
              <w:t>第二部分客观分</w:t>
            </w:r>
            <w:r>
              <w:rPr>
                <w:kern w:val="0"/>
                <w:sz w:val="24"/>
                <w:szCs w:val="24"/>
              </w:rPr>
              <w:t>（</w:t>
            </w:r>
            <w:r>
              <w:rPr>
                <w:rFonts w:hint="eastAsia"/>
                <w:kern w:val="0"/>
                <w:sz w:val="24"/>
                <w:szCs w:val="24"/>
              </w:rPr>
              <w:t>38</w:t>
            </w:r>
            <w:r>
              <w:rPr>
                <w:kern w:val="0"/>
                <w:sz w:val="24"/>
                <w:szCs w:val="24"/>
              </w:rPr>
              <w:t>分）</w:t>
            </w:r>
          </w:p>
        </w:tc>
        <w:tc>
          <w:tcPr>
            <w:tcW w:w="932" w:type="dxa"/>
            <w:shd w:val="clear" w:color="auto" w:fill="auto"/>
            <w:vAlign w:val="center"/>
          </w:tcPr>
          <w:p w14:paraId="3EC59728">
            <w:pPr>
              <w:widowControl/>
              <w:jc w:val="center"/>
              <w:rPr>
                <w:color w:val="000000"/>
                <w:kern w:val="0"/>
                <w:sz w:val="24"/>
                <w:szCs w:val="24"/>
              </w:rPr>
            </w:pPr>
            <w:r>
              <w:rPr>
                <w:color w:val="000000"/>
                <w:kern w:val="0"/>
                <w:sz w:val="24"/>
                <w:szCs w:val="24"/>
              </w:rPr>
              <w:t>分值</w:t>
            </w:r>
          </w:p>
        </w:tc>
      </w:tr>
      <w:tr w14:paraId="794D9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067E237E">
            <w:pPr>
              <w:widowControl/>
              <w:jc w:val="center"/>
              <w:rPr>
                <w:color w:val="000000"/>
                <w:kern w:val="0"/>
                <w:sz w:val="24"/>
                <w:szCs w:val="24"/>
              </w:rPr>
            </w:pPr>
            <w:r>
              <w:rPr>
                <w:color w:val="000000"/>
                <w:kern w:val="0"/>
                <w:sz w:val="24"/>
                <w:szCs w:val="24"/>
              </w:rPr>
              <w:t>1</w:t>
            </w:r>
          </w:p>
        </w:tc>
        <w:tc>
          <w:tcPr>
            <w:tcW w:w="1419" w:type="dxa"/>
            <w:shd w:val="clear" w:color="auto" w:fill="auto"/>
            <w:vAlign w:val="center"/>
          </w:tcPr>
          <w:p w14:paraId="0CE66183">
            <w:pPr>
              <w:widowControl/>
              <w:spacing w:line="400" w:lineRule="exact"/>
              <w:jc w:val="center"/>
              <w:rPr>
                <w:kern w:val="0"/>
                <w:sz w:val="24"/>
                <w:szCs w:val="24"/>
              </w:rPr>
            </w:pPr>
            <w:r>
              <w:rPr>
                <w:kern w:val="0"/>
                <w:sz w:val="24"/>
                <w:szCs w:val="24"/>
              </w:rPr>
              <w:t>投标人业绩</w:t>
            </w:r>
          </w:p>
        </w:tc>
        <w:tc>
          <w:tcPr>
            <w:tcW w:w="7311" w:type="dxa"/>
            <w:shd w:val="clear" w:color="auto" w:fill="auto"/>
            <w:vAlign w:val="center"/>
          </w:tcPr>
          <w:p w14:paraId="2C062646">
            <w:pPr>
              <w:widowControl/>
              <w:spacing w:line="360" w:lineRule="exact"/>
              <w:rPr>
                <w:kern w:val="0"/>
                <w:sz w:val="24"/>
                <w:szCs w:val="24"/>
              </w:rPr>
            </w:pPr>
            <w:r>
              <w:rPr>
                <w:kern w:val="0"/>
                <w:sz w:val="24"/>
                <w:szCs w:val="24"/>
              </w:rPr>
              <w:t>完全按照以下要求提供</w:t>
            </w:r>
            <w:r>
              <w:rPr>
                <w:rFonts w:hint="eastAsia"/>
                <w:kern w:val="0"/>
                <w:sz w:val="24"/>
                <w:szCs w:val="24"/>
              </w:rPr>
              <w:t>投标人</w:t>
            </w:r>
            <w:r>
              <w:rPr>
                <w:kern w:val="0"/>
                <w:sz w:val="24"/>
                <w:szCs w:val="24"/>
              </w:rPr>
              <w:t>曾实施的本项目内容相</w:t>
            </w:r>
            <w:r>
              <w:rPr>
                <w:rFonts w:hint="eastAsia"/>
                <w:kern w:val="0"/>
                <w:sz w:val="24"/>
                <w:szCs w:val="24"/>
              </w:rPr>
              <w:t>关的</w:t>
            </w:r>
            <w:r>
              <w:rPr>
                <w:kern w:val="0"/>
                <w:sz w:val="24"/>
                <w:szCs w:val="24"/>
              </w:rPr>
              <w:t>业绩，提供的证明材料均不得遮挡涂黑，否则不予认定加分。</w:t>
            </w:r>
          </w:p>
          <w:p w14:paraId="247E9B2F">
            <w:pPr>
              <w:widowControl/>
              <w:spacing w:line="360" w:lineRule="exact"/>
              <w:rPr>
                <w:kern w:val="0"/>
                <w:sz w:val="24"/>
                <w:szCs w:val="24"/>
              </w:rPr>
            </w:pPr>
            <w:r>
              <w:rPr>
                <w:rFonts w:hint="eastAsia"/>
                <w:kern w:val="0"/>
                <w:sz w:val="24"/>
                <w:szCs w:val="24"/>
              </w:rPr>
              <w:t>A</w:t>
            </w:r>
            <w:r>
              <w:rPr>
                <w:kern w:val="0"/>
                <w:sz w:val="24"/>
                <w:szCs w:val="24"/>
              </w:rPr>
              <w:t>. 合同</w:t>
            </w:r>
            <w:r>
              <w:rPr>
                <w:rFonts w:hint="eastAsia"/>
                <w:kern w:val="0"/>
                <w:sz w:val="24"/>
                <w:szCs w:val="24"/>
              </w:rPr>
              <w:t>原件</w:t>
            </w:r>
            <w:r>
              <w:rPr>
                <w:kern w:val="0"/>
                <w:sz w:val="24"/>
                <w:szCs w:val="24"/>
              </w:rPr>
              <w:t>电子件</w:t>
            </w:r>
            <w:r>
              <w:rPr>
                <w:rFonts w:hint="eastAsia"/>
                <w:kern w:val="0"/>
                <w:sz w:val="24"/>
                <w:szCs w:val="24"/>
              </w:rPr>
              <w:t>。包括合同金额、服务双方名称及盖章、服务期限（合同服务起始日期为2023年1月1日或以后，且已经履行至少6个月的时间）、服务内容。</w:t>
            </w:r>
          </w:p>
          <w:p w14:paraId="42538283">
            <w:pPr>
              <w:widowControl/>
              <w:spacing w:line="360" w:lineRule="exact"/>
              <w:rPr>
                <w:kern w:val="0"/>
                <w:sz w:val="24"/>
                <w:szCs w:val="24"/>
              </w:rPr>
            </w:pPr>
            <w:r>
              <w:rPr>
                <w:kern w:val="0"/>
                <w:sz w:val="24"/>
                <w:szCs w:val="24"/>
              </w:rPr>
              <w:t>B.</w:t>
            </w:r>
            <w:r>
              <w:rPr>
                <w:rFonts w:hint="eastAsia"/>
                <w:kern w:val="0"/>
                <w:sz w:val="24"/>
                <w:szCs w:val="24"/>
              </w:rPr>
              <w:t>上述</w:t>
            </w:r>
            <w:r>
              <w:rPr>
                <w:kern w:val="0"/>
                <w:sz w:val="24"/>
                <w:szCs w:val="24"/>
              </w:rPr>
              <w:t>合同履行</w:t>
            </w:r>
            <w:r>
              <w:rPr>
                <w:rFonts w:hint="eastAsia"/>
                <w:kern w:val="0"/>
                <w:sz w:val="24"/>
                <w:szCs w:val="24"/>
              </w:rPr>
              <w:t>良好</w:t>
            </w:r>
            <w:r>
              <w:rPr>
                <w:kern w:val="0"/>
                <w:sz w:val="24"/>
                <w:szCs w:val="24"/>
              </w:rPr>
              <w:t>的相关证明材料</w:t>
            </w:r>
            <w:r>
              <w:rPr>
                <w:rFonts w:hint="eastAsia"/>
                <w:kern w:val="0"/>
                <w:sz w:val="24"/>
                <w:szCs w:val="24"/>
              </w:rPr>
              <w:t>原件</w:t>
            </w:r>
            <w:r>
              <w:rPr>
                <w:kern w:val="0"/>
                <w:sz w:val="24"/>
                <w:szCs w:val="24"/>
              </w:rPr>
              <w:t>电子件</w:t>
            </w:r>
            <w:r>
              <w:rPr>
                <w:rFonts w:hint="eastAsia"/>
                <w:kern w:val="0"/>
                <w:sz w:val="24"/>
                <w:szCs w:val="24"/>
              </w:rPr>
              <w:t>（加盖上述合同甲方单位公章或上述合同甲方印章）</w:t>
            </w:r>
            <w:r>
              <w:rPr>
                <w:kern w:val="0"/>
                <w:sz w:val="24"/>
                <w:szCs w:val="24"/>
              </w:rPr>
              <w:t>。</w:t>
            </w:r>
          </w:p>
          <w:p w14:paraId="0DA33421">
            <w:pPr>
              <w:widowControl/>
              <w:spacing w:line="360" w:lineRule="exact"/>
              <w:rPr>
                <w:color w:val="FF0000"/>
                <w:kern w:val="0"/>
                <w:sz w:val="24"/>
                <w:szCs w:val="24"/>
              </w:rPr>
            </w:pPr>
            <w:r>
              <w:rPr>
                <w:kern w:val="0"/>
                <w:sz w:val="24"/>
                <w:szCs w:val="24"/>
              </w:rPr>
              <w:t>每个案例</w:t>
            </w:r>
            <w:r>
              <w:rPr>
                <w:rFonts w:hint="eastAsia"/>
                <w:kern w:val="0"/>
                <w:sz w:val="24"/>
                <w:szCs w:val="24"/>
                <w:lang w:val="en-US" w:eastAsia="zh-CN"/>
              </w:rPr>
              <w:t>3</w:t>
            </w:r>
            <w:r>
              <w:rPr>
                <w:kern w:val="0"/>
                <w:sz w:val="24"/>
                <w:szCs w:val="24"/>
              </w:rPr>
              <w:t>分，最多</w:t>
            </w:r>
            <w:r>
              <w:rPr>
                <w:rFonts w:hint="eastAsia"/>
                <w:kern w:val="0"/>
                <w:sz w:val="24"/>
                <w:szCs w:val="24"/>
                <w:lang w:val="en-US" w:eastAsia="zh-CN"/>
              </w:rPr>
              <w:t>9</w:t>
            </w:r>
            <w:r>
              <w:rPr>
                <w:kern w:val="0"/>
                <w:sz w:val="24"/>
                <w:szCs w:val="24"/>
              </w:rPr>
              <w:t>分</w:t>
            </w:r>
          </w:p>
        </w:tc>
        <w:tc>
          <w:tcPr>
            <w:tcW w:w="932" w:type="dxa"/>
            <w:shd w:val="clear" w:color="auto" w:fill="auto"/>
            <w:vAlign w:val="center"/>
          </w:tcPr>
          <w:p w14:paraId="1628A660">
            <w:pPr>
              <w:widowControl/>
              <w:jc w:val="center"/>
              <w:rPr>
                <w:rFonts w:hint="eastAsia" w:eastAsia="宋体"/>
                <w:color w:val="000000"/>
                <w:kern w:val="0"/>
                <w:sz w:val="24"/>
                <w:szCs w:val="24"/>
                <w:lang w:eastAsia="zh-CN"/>
              </w:rPr>
            </w:pPr>
            <w:r>
              <w:rPr>
                <w:rFonts w:hint="eastAsia"/>
                <w:color w:val="000000"/>
                <w:kern w:val="0"/>
                <w:sz w:val="24"/>
                <w:szCs w:val="24"/>
                <w:lang w:val="en-US" w:eastAsia="zh-CN"/>
              </w:rPr>
              <w:t>9</w:t>
            </w:r>
          </w:p>
        </w:tc>
      </w:tr>
      <w:tr w14:paraId="4E741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63" w:type="dxa"/>
            <w:shd w:val="clear" w:color="auto" w:fill="auto"/>
            <w:noWrap/>
            <w:vAlign w:val="center"/>
          </w:tcPr>
          <w:p w14:paraId="0022DB21">
            <w:pPr>
              <w:widowControl/>
              <w:jc w:val="center"/>
              <w:rPr>
                <w:color w:val="000000"/>
                <w:kern w:val="0"/>
                <w:sz w:val="24"/>
                <w:szCs w:val="24"/>
              </w:rPr>
            </w:pPr>
            <w:r>
              <w:rPr>
                <w:rFonts w:hint="eastAsia"/>
                <w:color w:val="000000"/>
                <w:kern w:val="0"/>
                <w:sz w:val="24"/>
                <w:szCs w:val="24"/>
              </w:rPr>
              <w:t>2</w:t>
            </w:r>
          </w:p>
        </w:tc>
        <w:tc>
          <w:tcPr>
            <w:tcW w:w="1419" w:type="dxa"/>
            <w:shd w:val="clear" w:color="auto" w:fill="auto"/>
            <w:vAlign w:val="center"/>
          </w:tcPr>
          <w:p w14:paraId="11DDB200">
            <w:pPr>
              <w:widowControl/>
              <w:spacing w:line="400" w:lineRule="exact"/>
              <w:jc w:val="center"/>
              <w:rPr>
                <w:kern w:val="0"/>
                <w:sz w:val="24"/>
                <w:szCs w:val="24"/>
              </w:rPr>
            </w:pPr>
            <w:r>
              <w:rPr>
                <w:rFonts w:hint="eastAsia"/>
                <w:kern w:val="0"/>
                <w:sz w:val="24"/>
                <w:szCs w:val="24"/>
              </w:rPr>
              <w:t>投标人</w:t>
            </w:r>
            <w:r>
              <w:rPr>
                <w:kern w:val="0"/>
                <w:sz w:val="24"/>
                <w:szCs w:val="24"/>
              </w:rPr>
              <w:t>相关证书</w:t>
            </w:r>
          </w:p>
        </w:tc>
        <w:tc>
          <w:tcPr>
            <w:tcW w:w="7311" w:type="dxa"/>
            <w:shd w:val="clear" w:color="auto" w:fill="auto"/>
            <w:vAlign w:val="center"/>
          </w:tcPr>
          <w:p w14:paraId="7E9ECAE4">
            <w:pPr>
              <w:widowControl/>
              <w:spacing w:line="400" w:lineRule="exact"/>
              <w:rPr>
                <w:rFonts w:hint="eastAsia"/>
                <w:kern w:val="0"/>
                <w:sz w:val="24"/>
                <w:szCs w:val="24"/>
              </w:rPr>
            </w:pPr>
            <w:r>
              <w:rPr>
                <w:rFonts w:hint="eastAsia"/>
                <w:kern w:val="0"/>
                <w:sz w:val="24"/>
                <w:szCs w:val="24"/>
              </w:rPr>
              <w:t>（1）投标人具备质量管理体系认证证书，提供合格的证书</w:t>
            </w:r>
            <w:r>
              <w:rPr>
                <w:rFonts w:hint="eastAsia"/>
                <w:kern w:val="0"/>
                <w:sz w:val="24"/>
                <w:szCs w:val="24"/>
                <w:lang w:eastAsia="zh-CN"/>
              </w:rPr>
              <w:t>电子</w:t>
            </w:r>
            <w:r>
              <w:rPr>
                <w:rFonts w:hint="eastAsia"/>
                <w:kern w:val="0"/>
                <w:sz w:val="24"/>
                <w:szCs w:val="24"/>
              </w:rPr>
              <w:t>件得</w:t>
            </w:r>
            <w:r>
              <w:rPr>
                <w:rFonts w:hint="eastAsia"/>
                <w:kern w:val="0"/>
                <w:sz w:val="24"/>
                <w:szCs w:val="24"/>
                <w:lang w:val="en-US" w:eastAsia="zh-CN"/>
              </w:rPr>
              <w:t>3</w:t>
            </w:r>
            <w:r>
              <w:rPr>
                <w:rFonts w:hint="eastAsia"/>
                <w:kern w:val="0"/>
                <w:sz w:val="24"/>
                <w:szCs w:val="24"/>
              </w:rPr>
              <w:t>分；</w:t>
            </w:r>
          </w:p>
          <w:p w14:paraId="07693F04">
            <w:pPr>
              <w:widowControl/>
              <w:spacing w:line="400" w:lineRule="exact"/>
              <w:rPr>
                <w:rFonts w:hint="eastAsia"/>
                <w:kern w:val="0"/>
                <w:sz w:val="24"/>
                <w:szCs w:val="24"/>
              </w:rPr>
            </w:pPr>
            <w:r>
              <w:rPr>
                <w:rFonts w:hint="eastAsia"/>
                <w:kern w:val="0"/>
                <w:sz w:val="24"/>
                <w:szCs w:val="24"/>
              </w:rPr>
              <w:t>（2）投标人具有信息技术服务运行维护标准符合性证书（ITSS二级及以上），提供合格的证书</w:t>
            </w:r>
            <w:r>
              <w:rPr>
                <w:rFonts w:hint="eastAsia"/>
                <w:kern w:val="0"/>
                <w:sz w:val="24"/>
                <w:szCs w:val="24"/>
                <w:lang w:eastAsia="zh-CN"/>
              </w:rPr>
              <w:t>电子</w:t>
            </w:r>
            <w:r>
              <w:rPr>
                <w:rFonts w:hint="eastAsia"/>
                <w:kern w:val="0"/>
                <w:sz w:val="24"/>
                <w:szCs w:val="24"/>
              </w:rPr>
              <w:t>件得</w:t>
            </w:r>
            <w:r>
              <w:rPr>
                <w:rFonts w:hint="eastAsia"/>
                <w:kern w:val="0"/>
                <w:sz w:val="24"/>
                <w:szCs w:val="24"/>
                <w:lang w:val="en-US" w:eastAsia="zh-CN"/>
              </w:rPr>
              <w:t>3</w:t>
            </w:r>
            <w:r>
              <w:rPr>
                <w:rFonts w:hint="eastAsia"/>
                <w:kern w:val="0"/>
                <w:sz w:val="24"/>
                <w:szCs w:val="24"/>
              </w:rPr>
              <w:t>分；</w:t>
            </w:r>
          </w:p>
          <w:p w14:paraId="3C6D1ED5">
            <w:pPr>
              <w:widowControl/>
              <w:spacing w:line="400" w:lineRule="exact"/>
              <w:rPr>
                <w:kern w:val="0"/>
                <w:sz w:val="24"/>
                <w:szCs w:val="24"/>
              </w:rPr>
            </w:pPr>
            <w:r>
              <w:rPr>
                <w:rFonts w:hint="eastAsia"/>
                <w:kern w:val="0"/>
                <w:sz w:val="24"/>
                <w:szCs w:val="24"/>
              </w:rPr>
              <w:t>（3）投标人具有涉密信息系统集成乙级及以上资质，提供合格的证书</w:t>
            </w:r>
            <w:r>
              <w:rPr>
                <w:rFonts w:hint="eastAsia"/>
                <w:kern w:val="0"/>
                <w:sz w:val="24"/>
                <w:szCs w:val="24"/>
                <w:lang w:eastAsia="zh-CN"/>
              </w:rPr>
              <w:t>电子</w:t>
            </w:r>
            <w:r>
              <w:rPr>
                <w:rFonts w:hint="eastAsia"/>
                <w:kern w:val="0"/>
                <w:sz w:val="24"/>
                <w:szCs w:val="24"/>
              </w:rPr>
              <w:t>件得</w:t>
            </w:r>
            <w:r>
              <w:rPr>
                <w:rFonts w:hint="eastAsia"/>
                <w:kern w:val="0"/>
                <w:sz w:val="24"/>
                <w:szCs w:val="24"/>
                <w:lang w:val="en-US" w:eastAsia="zh-CN"/>
              </w:rPr>
              <w:t>3</w:t>
            </w:r>
            <w:r>
              <w:rPr>
                <w:rFonts w:hint="eastAsia"/>
                <w:kern w:val="0"/>
                <w:sz w:val="24"/>
                <w:szCs w:val="24"/>
              </w:rPr>
              <w:t>分。</w:t>
            </w:r>
          </w:p>
        </w:tc>
        <w:tc>
          <w:tcPr>
            <w:tcW w:w="932" w:type="dxa"/>
            <w:shd w:val="clear" w:color="auto" w:fill="auto"/>
            <w:vAlign w:val="center"/>
          </w:tcPr>
          <w:p w14:paraId="7C4F91CC">
            <w:pPr>
              <w:widowControl/>
              <w:adjustRightInd w:val="0"/>
              <w:snapToGrid w:val="0"/>
              <w:jc w:val="center"/>
              <w:rPr>
                <w:rFonts w:hint="eastAsia" w:eastAsia="宋体"/>
                <w:kern w:val="0"/>
                <w:sz w:val="24"/>
                <w:szCs w:val="24"/>
                <w:lang w:eastAsia="zh-CN"/>
              </w:rPr>
            </w:pPr>
            <w:r>
              <w:rPr>
                <w:rFonts w:hint="eastAsia"/>
                <w:kern w:val="0"/>
                <w:sz w:val="24"/>
                <w:szCs w:val="24"/>
                <w:lang w:val="en-US" w:eastAsia="zh-CN"/>
              </w:rPr>
              <w:t>9</w:t>
            </w:r>
          </w:p>
        </w:tc>
      </w:tr>
      <w:tr w14:paraId="262BD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63" w:type="dxa"/>
            <w:shd w:val="clear" w:color="auto" w:fill="auto"/>
            <w:noWrap/>
            <w:vAlign w:val="center"/>
          </w:tcPr>
          <w:p w14:paraId="1AAE187E">
            <w:pPr>
              <w:widowControl/>
              <w:jc w:val="center"/>
              <w:rPr>
                <w:color w:val="000000"/>
                <w:kern w:val="0"/>
                <w:sz w:val="24"/>
                <w:szCs w:val="24"/>
              </w:rPr>
            </w:pPr>
            <w:r>
              <w:rPr>
                <w:rFonts w:hint="eastAsia"/>
                <w:color w:val="000000"/>
                <w:kern w:val="0"/>
                <w:sz w:val="24"/>
                <w:szCs w:val="24"/>
              </w:rPr>
              <w:t>3</w:t>
            </w:r>
          </w:p>
        </w:tc>
        <w:tc>
          <w:tcPr>
            <w:tcW w:w="1419" w:type="dxa"/>
            <w:shd w:val="clear" w:color="auto" w:fill="auto"/>
            <w:vAlign w:val="center"/>
          </w:tcPr>
          <w:p w14:paraId="2E2C90C5">
            <w:pPr>
              <w:widowControl/>
              <w:spacing w:line="400" w:lineRule="exact"/>
              <w:jc w:val="center"/>
              <w:rPr>
                <w:kern w:val="0"/>
                <w:sz w:val="24"/>
                <w:szCs w:val="24"/>
              </w:rPr>
            </w:pPr>
            <w:r>
              <w:rPr>
                <w:rFonts w:hint="eastAsia"/>
                <w:kern w:val="0"/>
                <w:sz w:val="24"/>
                <w:szCs w:val="24"/>
              </w:rPr>
              <w:t>项目主要管理人员评价</w:t>
            </w:r>
          </w:p>
        </w:tc>
        <w:tc>
          <w:tcPr>
            <w:tcW w:w="7311" w:type="dxa"/>
            <w:shd w:val="clear" w:color="auto" w:fill="auto"/>
            <w:vAlign w:val="center"/>
          </w:tcPr>
          <w:p w14:paraId="6C378437">
            <w:pPr>
              <w:widowControl/>
              <w:spacing w:line="400" w:lineRule="exact"/>
              <w:rPr>
                <w:kern w:val="0"/>
                <w:sz w:val="24"/>
                <w:szCs w:val="24"/>
              </w:rPr>
            </w:pPr>
            <w:bookmarkStart w:id="10" w:name="OLE_LINK76"/>
            <w:r>
              <w:rPr>
                <w:rFonts w:hint="eastAsia"/>
                <w:kern w:val="0"/>
                <w:sz w:val="24"/>
                <w:szCs w:val="24"/>
              </w:rPr>
              <w:t>投入的项目主要管理人员为投标单位正式员工，提供项目主要管理人员姓名、项目主要管理人员开标日当月或上一月的由投标单位或其分公司缴纳社会保险证明电子件，否则不予认定加分。</w:t>
            </w:r>
          </w:p>
          <w:bookmarkEnd w:id="10"/>
          <w:p w14:paraId="2FA42723">
            <w:pPr>
              <w:widowControl/>
              <w:spacing w:line="400" w:lineRule="exact"/>
              <w:rPr>
                <w:rFonts w:hint="eastAsia"/>
                <w:kern w:val="0"/>
                <w:sz w:val="24"/>
                <w:szCs w:val="24"/>
              </w:rPr>
            </w:pPr>
            <w:r>
              <w:rPr>
                <w:rFonts w:hint="eastAsia"/>
                <w:kern w:val="0"/>
                <w:sz w:val="24"/>
                <w:szCs w:val="24"/>
              </w:rPr>
              <w:t>（1）运维经理：具备IT类企业管理经验，具有5年及以上IT运维工作经验，提供用户服务证明（加盖用户单位公章）</w:t>
            </w:r>
            <w:r>
              <w:rPr>
                <w:rFonts w:hint="eastAsia"/>
                <w:kern w:val="0"/>
                <w:sz w:val="24"/>
                <w:szCs w:val="24"/>
                <w:lang w:eastAsia="zh-CN"/>
              </w:rPr>
              <w:t>的</w:t>
            </w:r>
            <w:r>
              <w:rPr>
                <w:rFonts w:hint="eastAsia"/>
                <w:kern w:val="0"/>
                <w:sz w:val="24"/>
                <w:szCs w:val="24"/>
              </w:rPr>
              <w:t>得</w:t>
            </w:r>
            <w:r>
              <w:rPr>
                <w:rFonts w:hint="eastAsia"/>
                <w:kern w:val="0"/>
                <w:sz w:val="24"/>
                <w:szCs w:val="24"/>
                <w:lang w:val="en-US" w:eastAsia="zh-CN"/>
              </w:rPr>
              <w:t>3</w:t>
            </w:r>
            <w:r>
              <w:rPr>
                <w:rFonts w:hint="eastAsia"/>
                <w:kern w:val="0"/>
                <w:sz w:val="24"/>
                <w:szCs w:val="24"/>
              </w:rPr>
              <w:t>分</w:t>
            </w:r>
            <w:r>
              <w:rPr>
                <w:rFonts w:hint="eastAsia"/>
                <w:kern w:val="0"/>
                <w:sz w:val="24"/>
                <w:szCs w:val="24"/>
                <w:lang w:eastAsia="zh-CN"/>
              </w:rPr>
              <w:t>，其他：</w:t>
            </w:r>
            <w:r>
              <w:rPr>
                <w:rFonts w:hint="eastAsia"/>
                <w:kern w:val="0"/>
                <w:sz w:val="24"/>
                <w:szCs w:val="24"/>
                <w:lang w:val="en-US" w:eastAsia="zh-CN"/>
              </w:rPr>
              <w:t>0分</w:t>
            </w:r>
            <w:r>
              <w:rPr>
                <w:rFonts w:hint="eastAsia"/>
                <w:kern w:val="0"/>
                <w:sz w:val="24"/>
                <w:szCs w:val="24"/>
              </w:rPr>
              <w:t>；</w:t>
            </w:r>
          </w:p>
          <w:p w14:paraId="684F529E">
            <w:pPr>
              <w:widowControl/>
              <w:spacing w:line="400" w:lineRule="exact"/>
              <w:rPr>
                <w:rFonts w:hint="eastAsia" w:eastAsia="宋体"/>
                <w:kern w:val="0"/>
                <w:sz w:val="24"/>
                <w:szCs w:val="24"/>
                <w:lang w:eastAsia="zh-CN"/>
              </w:rPr>
            </w:pPr>
            <w:r>
              <w:rPr>
                <w:rFonts w:hint="eastAsia"/>
                <w:kern w:val="0"/>
                <w:sz w:val="24"/>
                <w:szCs w:val="24"/>
              </w:rPr>
              <w:t>（2）客户技术支持服务工程师（服务器工程师</w:t>
            </w:r>
            <w:r>
              <w:rPr>
                <w:rFonts w:hint="eastAsia"/>
                <w:kern w:val="0"/>
                <w:sz w:val="24"/>
                <w:szCs w:val="24"/>
                <w:lang w:val="en-US" w:eastAsia="zh-CN"/>
              </w:rPr>
              <w:t>1人</w:t>
            </w:r>
            <w:r>
              <w:rPr>
                <w:rFonts w:hint="eastAsia"/>
                <w:kern w:val="0"/>
                <w:sz w:val="24"/>
                <w:szCs w:val="24"/>
              </w:rPr>
              <w:t>）：具有5年及以上IT运维工作经验，提供用户服务证明（加盖用户单位公章）</w:t>
            </w:r>
            <w:r>
              <w:rPr>
                <w:rFonts w:hint="eastAsia"/>
                <w:kern w:val="0"/>
                <w:sz w:val="24"/>
                <w:szCs w:val="24"/>
                <w:lang w:eastAsia="zh-CN"/>
              </w:rPr>
              <w:t>的</w:t>
            </w:r>
            <w:r>
              <w:rPr>
                <w:rFonts w:hint="eastAsia"/>
                <w:kern w:val="0"/>
                <w:sz w:val="24"/>
                <w:szCs w:val="24"/>
              </w:rPr>
              <w:t>得</w:t>
            </w:r>
            <w:r>
              <w:rPr>
                <w:rFonts w:hint="eastAsia"/>
                <w:kern w:val="0"/>
                <w:sz w:val="24"/>
                <w:szCs w:val="24"/>
                <w:lang w:val="en-US" w:eastAsia="zh-CN"/>
              </w:rPr>
              <w:t>3</w:t>
            </w:r>
            <w:r>
              <w:rPr>
                <w:rFonts w:hint="eastAsia"/>
                <w:kern w:val="0"/>
                <w:sz w:val="24"/>
                <w:szCs w:val="24"/>
              </w:rPr>
              <w:t>分</w:t>
            </w:r>
            <w:r>
              <w:rPr>
                <w:rFonts w:hint="eastAsia"/>
                <w:kern w:val="0"/>
                <w:sz w:val="24"/>
                <w:szCs w:val="24"/>
                <w:lang w:eastAsia="zh-CN"/>
              </w:rPr>
              <w:t>，其他：</w:t>
            </w:r>
            <w:r>
              <w:rPr>
                <w:rFonts w:hint="eastAsia"/>
                <w:kern w:val="0"/>
                <w:sz w:val="24"/>
                <w:szCs w:val="24"/>
                <w:lang w:val="en-US" w:eastAsia="zh-CN"/>
              </w:rPr>
              <w:t>0分</w:t>
            </w:r>
            <w:r>
              <w:rPr>
                <w:rFonts w:hint="eastAsia"/>
                <w:kern w:val="0"/>
                <w:sz w:val="24"/>
                <w:szCs w:val="24"/>
                <w:lang w:eastAsia="zh-CN"/>
              </w:rPr>
              <w:t>。</w:t>
            </w:r>
          </w:p>
        </w:tc>
        <w:tc>
          <w:tcPr>
            <w:tcW w:w="932" w:type="dxa"/>
            <w:shd w:val="clear" w:color="auto" w:fill="auto"/>
            <w:vAlign w:val="center"/>
          </w:tcPr>
          <w:p w14:paraId="4034FCA7">
            <w:pPr>
              <w:widowControl/>
              <w:adjustRightInd w:val="0"/>
              <w:snapToGrid w:val="0"/>
              <w:jc w:val="center"/>
              <w:rPr>
                <w:rFonts w:hint="eastAsia" w:eastAsia="宋体"/>
                <w:kern w:val="0"/>
                <w:sz w:val="24"/>
                <w:szCs w:val="24"/>
                <w:lang w:eastAsia="zh-CN"/>
              </w:rPr>
            </w:pPr>
            <w:r>
              <w:rPr>
                <w:rFonts w:hint="eastAsia"/>
                <w:kern w:val="0"/>
                <w:sz w:val="24"/>
                <w:szCs w:val="24"/>
                <w:lang w:val="en-US" w:eastAsia="zh-CN"/>
              </w:rPr>
              <w:t>6</w:t>
            </w:r>
          </w:p>
        </w:tc>
      </w:tr>
      <w:tr w14:paraId="28753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5" w:hRule="atLeast"/>
          <w:jc w:val="center"/>
        </w:trPr>
        <w:tc>
          <w:tcPr>
            <w:tcW w:w="663" w:type="dxa"/>
            <w:shd w:val="clear" w:color="auto" w:fill="auto"/>
            <w:noWrap/>
            <w:vAlign w:val="center"/>
          </w:tcPr>
          <w:p w14:paraId="05D53F78">
            <w:pPr>
              <w:spacing w:line="360" w:lineRule="auto"/>
              <w:jc w:val="center"/>
              <w:rPr>
                <w:rFonts w:ascii="宋体" w:hAnsi="宋体" w:cs="宋体"/>
                <w:kern w:val="0"/>
                <w:sz w:val="24"/>
                <w:szCs w:val="24"/>
              </w:rPr>
            </w:pPr>
            <w:r>
              <w:rPr>
                <w:rFonts w:hint="eastAsia" w:ascii="宋体" w:hAnsi="宋体" w:cs="宋体"/>
                <w:kern w:val="0"/>
                <w:sz w:val="24"/>
                <w:szCs w:val="24"/>
              </w:rPr>
              <w:t>4</w:t>
            </w:r>
          </w:p>
        </w:tc>
        <w:tc>
          <w:tcPr>
            <w:tcW w:w="1419" w:type="dxa"/>
            <w:shd w:val="clear" w:color="auto" w:fill="auto"/>
            <w:vAlign w:val="center"/>
          </w:tcPr>
          <w:p w14:paraId="4C52E25A">
            <w:pPr>
              <w:spacing w:line="360" w:lineRule="auto"/>
              <w:jc w:val="center"/>
              <w:rPr>
                <w:rFonts w:ascii="宋体" w:hAnsi="宋体" w:cs="宋体"/>
                <w:sz w:val="24"/>
                <w:szCs w:val="24"/>
              </w:rPr>
            </w:pPr>
            <w:r>
              <w:rPr>
                <w:rFonts w:hint="eastAsia" w:ascii="宋体" w:hAnsi="宋体" w:cs="宋体"/>
                <w:sz w:val="24"/>
                <w:szCs w:val="24"/>
              </w:rPr>
              <w:t>服务响应评价</w:t>
            </w:r>
          </w:p>
        </w:tc>
        <w:tc>
          <w:tcPr>
            <w:tcW w:w="7311" w:type="dxa"/>
            <w:shd w:val="clear" w:color="auto" w:fill="auto"/>
            <w:vAlign w:val="center"/>
          </w:tcPr>
          <w:p w14:paraId="6E912734">
            <w:pPr>
              <w:widowControl/>
              <w:jc w:val="left"/>
              <w:rPr>
                <w:rFonts w:ascii="宋体" w:hAnsi="宋体" w:cs="仿宋"/>
                <w:kern w:val="0"/>
                <w:sz w:val="24"/>
                <w:szCs w:val="24"/>
              </w:rPr>
            </w:pPr>
            <w:r>
              <w:rPr>
                <w:rFonts w:hint="eastAsia"/>
                <w:kern w:val="0"/>
                <w:sz w:val="24"/>
                <w:szCs w:val="24"/>
              </w:rPr>
              <w:t>投标人</w:t>
            </w:r>
            <w:r>
              <w:rPr>
                <w:rFonts w:hint="eastAsia" w:ascii="宋体" w:hAnsi="宋体" w:cs="仿宋"/>
                <w:kern w:val="0"/>
                <w:sz w:val="24"/>
                <w:szCs w:val="24"/>
              </w:rPr>
              <w:t>完全满足项目需求书中第二项中所有服务要求的得1</w:t>
            </w:r>
            <w:r>
              <w:rPr>
                <w:rFonts w:hint="eastAsia" w:ascii="宋体" w:hAnsi="宋体" w:cs="仿宋"/>
                <w:kern w:val="0"/>
                <w:sz w:val="24"/>
                <w:szCs w:val="24"/>
                <w:lang w:val="en-US" w:eastAsia="zh-CN"/>
              </w:rPr>
              <w:t>2</w:t>
            </w:r>
            <w:r>
              <w:rPr>
                <w:rFonts w:hint="eastAsia" w:ascii="宋体" w:hAnsi="宋体" w:cs="仿宋"/>
                <w:kern w:val="0"/>
                <w:sz w:val="24"/>
                <w:szCs w:val="24"/>
              </w:rPr>
              <w:t>分，每出现一项不满足扣</w:t>
            </w:r>
            <w:r>
              <w:rPr>
                <w:rFonts w:hint="eastAsia" w:ascii="宋体" w:hAnsi="宋体" w:cs="仿宋"/>
                <w:kern w:val="0"/>
                <w:sz w:val="24"/>
                <w:szCs w:val="24"/>
                <w:lang w:val="en-US" w:eastAsia="zh-CN"/>
              </w:rPr>
              <w:t>2</w:t>
            </w:r>
            <w:r>
              <w:rPr>
                <w:rFonts w:hint="eastAsia" w:ascii="宋体" w:hAnsi="宋体" w:cs="仿宋"/>
                <w:kern w:val="0"/>
                <w:sz w:val="24"/>
                <w:szCs w:val="24"/>
              </w:rPr>
              <w:t>分，最低0分。</w:t>
            </w:r>
          </w:p>
          <w:p w14:paraId="5D2A6503">
            <w:pPr>
              <w:spacing w:line="360" w:lineRule="auto"/>
              <w:rPr>
                <w:rFonts w:ascii="宋体" w:hAnsi="宋体" w:cs="宋体"/>
                <w:kern w:val="0"/>
                <w:sz w:val="24"/>
                <w:szCs w:val="24"/>
              </w:rPr>
            </w:pPr>
            <w:r>
              <w:rPr>
                <w:rFonts w:hint="eastAsia" w:ascii="宋体" w:hAnsi="宋体" w:cs="仿宋"/>
                <w:b/>
                <w:kern w:val="0"/>
                <w:sz w:val="24"/>
                <w:szCs w:val="24"/>
              </w:rPr>
              <w:t>（注：供应商须在响应文件点对点应答中按照服务要求逐项应答并附详细说明，完全复制服务要求的不得分）</w:t>
            </w:r>
          </w:p>
        </w:tc>
        <w:tc>
          <w:tcPr>
            <w:tcW w:w="932" w:type="dxa"/>
            <w:shd w:val="clear" w:color="auto" w:fill="auto"/>
            <w:vAlign w:val="center"/>
          </w:tcPr>
          <w:p w14:paraId="61C03A83">
            <w:pPr>
              <w:spacing w:line="360" w:lineRule="auto"/>
              <w:jc w:val="center"/>
              <w:rPr>
                <w:rFonts w:hint="eastAsia" w:ascii="宋体" w:hAnsi="宋体" w:eastAsia="宋体" w:cs="宋体"/>
                <w:kern w:val="0"/>
                <w:sz w:val="24"/>
                <w:szCs w:val="24"/>
                <w:lang w:eastAsia="zh-CN"/>
              </w:rPr>
            </w:pPr>
            <w:r>
              <w:rPr>
                <w:rFonts w:hint="eastAsia" w:ascii="宋体" w:hAnsi="宋体" w:cs="宋体"/>
                <w:kern w:val="0"/>
                <w:sz w:val="24"/>
                <w:szCs w:val="24"/>
              </w:rPr>
              <w:t>1</w:t>
            </w:r>
            <w:r>
              <w:rPr>
                <w:rFonts w:hint="eastAsia" w:ascii="宋体" w:hAnsi="宋体" w:cs="宋体"/>
                <w:kern w:val="0"/>
                <w:sz w:val="24"/>
                <w:szCs w:val="24"/>
                <w:lang w:val="en-US" w:eastAsia="zh-CN"/>
              </w:rPr>
              <w:t>2</w:t>
            </w:r>
          </w:p>
        </w:tc>
      </w:tr>
      <w:tr w14:paraId="68DD4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5" w:hRule="atLeast"/>
          <w:jc w:val="center"/>
        </w:trPr>
        <w:tc>
          <w:tcPr>
            <w:tcW w:w="663" w:type="dxa"/>
            <w:shd w:val="clear" w:color="auto" w:fill="auto"/>
            <w:noWrap/>
            <w:vAlign w:val="center"/>
          </w:tcPr>
          <w:p w14:paraId="18E68964">
            <w:pPr>
              <w:spacing w:line="360" w:lineRule="auto"/>
              <w:jc w:val="center"/>
              <w:rPr>
                <w:rFonts w:hint="eastAsia" w:ascii="宋体" w:hAnsi="宋体" w:eastAsia="宋体" w:cs="宋体"/>
                <w:kern w:val="0"/>
                <w:sz w:val="24"/>
                <w:szCs w:val="24"/>
                <w:lang w:val="en-US" w:eastAsia="zh-CN"/>
              </w:rPr>
            </w:pPr>
            <w:r>
              <w:rPr>
                <w:rFonts w:hint="eastAsia" w:ascii="宋体" w:hAnsi="宋体" w:cs="宋体"/>
                <w:kern w:val="0"/>
                <w:sz w:val="24"/>
                <w:szCs w:val="24"/>
                <w:lang w:val="en-US" w:eastAsia="zh-CN"/>
              </w:rPr>
              <w:t>5</w:t>
            </w:r>
          </w:p>
        </w:tc>
        <w:tc>
          <w:tcPr>
            <w:tcW w:w="1419" w:type="dxa"/>
            <w:shd w:val="clear" w:color="auto" w:fill="auto"/>
            <w:vAlign w:val="center"/>
          </w:tcPr>
          <w:p w14:paraId="1C469ABF">
            <w:pPr>
              <w:widowControl/>
              <w:jc w:val="center"/>
              <w:rPr>
                <w:rFonts w:hint="eastAsia" w:ascii="宋体" w:hAnsi="宋体" w:cs="宋体"/>
                <w:sz w:val="24"/>
                <w:szCs w:val="24"/>
              </w:rPr>
            </w:pPr>
            <w:r>
              <w:rPr>
                <w:rFonts w:hint="eastAsia" w:ascii="宋体" w:hAnsi="宋体" w:cs="仿宋"/>
                <w:kern w:val="0"/>
                <w:sz w:val="24"/>
                <w:szCs w:val="24"/>
              </w:rPr>
              <w:t>服务承诺评价</w:t>
            </w:r>
          </w:p>
        </w:tc>
        <w:tc>
          <w:tcPr>
            <w:tcW w:w="7311" w:type="dxa"/>
            <w:shd w:val="clear" w:color="auto" w:fill="auto"/>
            <w:vAlign w:val="center"/>
          </w:tcPr>
          <w:p w14:paraId="3265B23E">
            <w:pPr>
              <w:rPr>
                <w:rFonts w:hint="eastAsia" w:ascii="宋体" w:hAnsi="宋体" w:cs="宋体"/>
                <w:kern w:val="0"/>
                <w:sz w:val="24"/>
                <w:szCs w:val="24"/>
              </w:rPr>
            </w:pPr>
            <w:r>
              <w:rPr>
                <w:rFonts w:hint="eastAsia" w:ascii="宋体" w:hAnsi="宋体" w:cs="仿宋"/>
                <w:kern w:val="0"/>
                <w:sz w:val="24"/>
                <w:szCs w:val="24"/>
              </w:rPr>
              <w:t>具有良好的保密工作机制，并承诺对项目过程中涉及到的信息及资料严格保密，</w:t>
            </w:r>
            <w:r>
              <w:rPr>
                <w:rFonts w:hint="eastAsia"/>
                <w:kern w:val="0"/>
                <w:sz w:val="24"/>
                <w:szCs w:val="24"/>
              </w:rPr>
              <w:t>投标</w:t>
            </w:r>
            <w:r>
              <w:rPr>
                <w:rFonts w:hint="eastAsia" w:ascii="宋体" w:hAnsi="宋体" w:cs="仿宋"/>
                <w:kern w:val="0"/>
                <w:sz w:val="24"/>
                <w:szCs w:val="24"/>
              </w:rPr>
              <w:t>文件中提供书面承诺书的得</w:t>
            </w:r>
            <w:r>
              <w:rPr>
                <w:rFonts w:hint="eastAsia" w:ascii="宋体" w:hAnsi="宋体" w:cs="仿宋"/>
                <w:kern w:val="0"/>
                <w:sz w:val="24"/>
                <w:szCs w:val="24"/>
                <w:lang w:val="en-US" w:eastAsia="zh-CN"/>
              </w:rPr>
              <w:t>2</w:t>
            </w:r>
            <w:r>
              <w:rPr>
                <w:rFonts w:hint="eastAsia" w:ascii="宋体" w:hAnsi="宋体" w:cs="仿宋"/>
                <w:kern w:val="0"/>
                <w:sz w:val="24"/>
                <w:szCs w:val="24"/>
              </w:rPr>
              <w:t>分，否则0分。</w:t>
            </w:r>
          </w:p>
        </w:tc>
        <w:tc>
          <w:tcPr>
            <w:tcW w:w="932" w:type="dxa"/>
            <w:shd w:val="clear" w:color="auto" w:fill="auto"/>
            <w:vAlign w:val="center"/>
          </w:tcPr>
          <w:p w14:paraId="2C72E4B7">
            <w:pPr>
              <w:spacing w:line="360" w:lineRule="auto"/>
              <w:jc w:val="center"/>
              <w:rPr>
                <w:rFonts w:hint="eastAsia" w:ascii="宋体" w:hAnsi="宋体" w:eastAsia="宋体" w:cs="宋体"/>
                <w:kern w:val="0"/>
                <w:sz w:val="24"/>
                <w:szCs w:val="24"/>
                <w:lang w:val="en-US" w:eastAsia="zh-CN"/>
              </w:rPr>
            </w:pPr>
            <w:r>
              <w:rPr>
                <w:rFonts w:hint="eastAsia" w:ascii="宋体" w:hAnsi="宋体" w:cs="宋体"/>
                <w:kern w:val="0"/>
                <w:sz w:val="24"/>
                <w:szCs w:val="24"/>
                <w:lang w:val="en-US" w:eastAsia="zh-CN"/>
              </w:rPr>
              <w:t>2</w:t>
            </w:r>
          </w:p>
        </w:tc>
      </w:tr>
      <w:tr w14:paraId="5A6B9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9393" w:type="dxa"/>
            <w:gridSpan w:val="3"/>
            <w:shd w:val="clear" w:color="auto" w:fill="auto"/>
            <w:noWrap/>
            <w:vAlign w:val="center"/>
          </w:tcPr>
          <w:p w14:paraId="08B7EAC4">
            <w:pPr>
              <w:widowControl/>
              <w:spacing w:line="360" w:lineRule="exact"/>
              <w:jc w:val="center"/>
              <w:rPr>
                <w:color w:val="FF0000"/>
                <w:kern w:val="0"/>
                <w:sz w:val="24"/>
                <w:szCs w:val="24"/>
              </w:rPr>
            </w:pPr>
            <w:r>
              <w:rPr>
                <w:kern w:val="0"/>
                <w:sz w:val="24"/>
                <w:szCs w:val="24"/>
              </w:rPr>
              <w:t>第三部分主观分（</w:t>
            </w:r>
            <w:r>
              <w:rPr>
                <w:rFonts w:hint="eastAsia"/>
                <w:kern w:val="0"/>
                <w:sz w:val="24"/>
                <w:szCs w:val="24"/>
              </w:rPr>
              <w:t>42</w:t>
            </w:r>
            <w:r>
              <w:rPr>
                <w:kern w:val="0"/>
                <w:sz w:val="24"/>
                <w:szCs w:val="24"/>
              </w:rPr>
              <w:t>分）</w:t>
            </w:r>
          </w:p>
        </w:tc>
        <w:tc>
          <w:tcPr>
            <w:tcW w:w="932" w:type="dxa"/>
            <w:shd w:val="clear" w:color="auto" w:fill="auto"/>
            <w:vAlign w:val="center"/>
          </w:tcPr>
          <w:p w14:paraId="3EDE7AD9">
            <w:pPr>
              <w:widowControl/>
              <w:jc w:val="center"/>
              <w:rPr>
                <w:kern w:val="0"/>
                <w:sz w:val="24"/>
                <w:szCs w:val="24"/>
              </w:rPr>
            </w:pPr>
            <w:r>
              <w:rPr>
                <w:kern w:val="0"/>
                <w:sz w:val="24"/>
                <w:szCs w:val="24"/>
              </w:rPr>
              <w:t>分值</w:t>
            </w:r>
          </w:p>
        </w:tc>
      </w:tr>
      <w:tr w14:paraId="5DA2C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276E3DE0">
            <w:pPr>
              <w:widowControl/>
              <w:adjustRightInd w:val="0"/>
              <w:snapToGrid w:val="0"/>
              <w:jc w:val="center"/>
              <w:rPr>
                <w:color w:val="000000"/>
                <w:kern w:val="0"/>
                <w:sz w:val="24"/>
                <w:szCs w:val="24"/>
              </w:rPr>
            </w:pPr>
            <w:r>
              <w:rPr>
                <w:rFonts w:hint="eastAsia"/>
                <w:color w:val="000000"/>
                <w:kern w:val="0"/>
                <w:sz w:val="24"/>
                <w:szCs w:val="24"/>
              </w:rPr>
              <w:t>1</w:t>
            </w:r>
          </w:p>
        </w:tc>
        <w:tc>
          <w:tcPr>
            <w:tcW w:w="1419" w:type="dxa"/>
            <w:shd w:val="clear" w:color="auto" w:fill="auto"/>
            <w:vAlign w:val="center"/>
          </w:tcPr>
          <w:p w14:paraId="15E49E3B">
            <w:pPr>
              <w:widowControl/>
              <w:adjustRightInd w:val="0"/>
              <w:snapToGrid w:val="0"/>
              <w:jc w:val="center"/>
              <w:rPr>
                <w:kern w:val="0"/>
                <w:sz w:val="24"/>
                <w:szCs w:val="24"/>
              </w:rPr>
            </w:pPr>
            <w:r>
              <w:rPr>
                <w:rFonts w:hint="eastAsia"/>
                <w:kern w:val="0"/>
                <w:sz w:val="24"/>
                <w:szCs w:val="24"/>
              </w:rPr>
              <w:t>项目管理能力评价</w:t>
            </w:r>
          </w:p>
        </w:tc>
        <w:tc>
          <w:tcPr>
            <w:tcW w:w="7311" w:type="dxa"/>
            <w:shd w:val="clear" w:color="auto" w:fill="auto"/>
            <w:vAlign w:val="center"/>
          </w:tcPr>
          <w:p w14:paraId="72B364AE">
            <w:pPr>
              <w:spacing w:line="360" w:lineRule="exact"/>
              <w:rPr>
                <w:rFonts w:hint="eastAsia" w:cs="宋体"/>
                <w:sz w:val="24"/>
                <w:szCs w:val="24"/>
                <w:lang w:val="zh-CN"/>
              </w:rPr>
            </w:pPr>
            <w:r>
              <w:rPr>
                <w:rFonts w:hint="eastAsia" w:cs="宋体"/>
                <w:sz w:val="24"/>
                <w:szCs w:val="24"/>
                <w:lang w:val="zh-CN"/>
              </w:rPr>
              <w:t>根据管理能力、运维服务能力、服务范围、服务内容、服务标准、服务管理体系和服务保障体系等内容进行评审：</w:t>
            </w:r>
          </w:p>
          <w:p w14:paraId="306FEAFF">
            <w:pPr>
              <w:spacing w:line="360" w:lineRule="exact"/>
              <w:rPr>
                <w:rFonts w:hint="eastAsia" w:cs="宋体"/>
                <w:sz w:val="24"/>
                <w:szCs w:val="24"/>
                <w:lang w:val="zh-CN"/>
              </w:rPr>
            </w:pPr>
            <w:r>
              <w:rPr>
                <w:rFonts w:hint="eastAsia" w:cs="宋体"/>
                <w:sz w:val="24"/>
                <w:szCs w:val="24"/>
                <w:lang w:val="zh-CN"/>
              </w:rPr>
              <w:t>阐述全面，方案能够体现出很高的项目管理能力和运维服务能力；对服务范围、服务内容、服务标</w:t>
            </w:r>
            <w:bookmarkStart w:id="24" w:name="_GoBack"/>
            <w:bookmarkEnd w:id="24"/>
            <w:r>
              <w:rPr>
                <w:rFonts w:hint="eastAsia" w:cs="宋体"/>
                <w:sz w:val="24"/>
                <w:szCs w:val="24"/>
                <w:lang w:val="zh-CN"/>
              </w:rPr>
              <w:t>准理解清晰；具备完善的服务管理体系和服务保障体系；阐述内容无瑕疵：</w:t>
            </w:r>
            <w:r>
              <w:rPr>
                <w:rFonts w:hint="eastAsia" w:cs="宋体"/>
                <w:sz w:val="24"/>
                <w:szCs w:val="24"/>
                <w:lang w:val="en-US" w:eastAsia="zh-CN"/>
              </w:rPr>
              <w:t>6</w:t>
            </w:r>
            <w:r>
              <w:rPr>
                <w:rFonts w:hint="eastAsia" w:cs="宋体"/>
                <w:sz w:val="24"/>
                <w:szCs w:val="24"/>
                <w:lang w:val="zh-CN"/>
              </w:rPr>
              <w:t>分；</w:t>
            </w:r>
          </w:p>
          <w:p w14:paraId="70042B75">
            <w:pPr>
              <w:spacing w:line="360" w:lineRule="exact"/>
              <w:rPr>
                <w:rFonts w:hint="eastAsia" w:cs="宋体"/>
                <w:sz w:val="24"/>
                <w:szCs w:val="24"/>
                <w:lang w:val="zh-CN"/>
              </w:rPr>
            </w:pPr>
            <w:r>
              <w:rPr>
                <w:rFonts w:hint="eastAsia" w:cs="宋体"/>
                <w:sz w:val="24"/>
                <w:szCs w:val="24"/>
                <w:lang w:val="zh-CN"/>
              </w:rPr>
              <w:t>满足</w:t>
            </w:r>
            <w:r>
              <w:rPr>
                <w:rFonts w:hint="eastAsia"/>
                <w:kern w:val="0"/>
                <w:sz w:val="24"/>
                <w:szCs w:val="24"/>
              </w:rPr>
              <w:t>招标</w:t>
            </w:r>
            <w:r>
              <w:rPr>
                <w:rFonts w:hint="eastAsia" w:cs="宋体"/>
                <w:sz w:val="24"/>
                <w:szCs w:val="24"/>
                <w:lang w:val="zh-CN"/>
              </w:rPr>
              <w:t>文件要求，但内容阐述存在1处瑕疵：</w:t>
            </w:r>
            <w:r>
              <w:rPr>
                <w:rFonts w:hint="eastAsia" w:cs="宋体"/>
                <w:sz w:val="24"/>
                <w:szCs w:val="24"/>
                <w:lang w:val="en-US" w:eastAsia="zh-CN"/>
              </w:rPr>
              <w:t>5</w:t>
            </w:r>
            <w:r>
              <w:rPr>
                <w:rFonts w:hint="eastAsia" w:cs="宋体"/>
                <w:sz w:val="24"/>
                <w:szCs w:val="24"/>
                <w:lang w:val="zh-CN"/>
              </w:rPr>
              <w:t>分；</w:t>
            </w:r>
          </w:p>
          <w:p w14:paraId="0518C1F4">
            <w:pPr>
              <w:spacing w:line="360" w:lineRule="exact"/>
              <w:rPr>
                <w:rFonts w:hint="eastAsia" w:cs="宋体"/>
                <w:sz w:val="24"/>
                <w:szCs w:val="24"/>
                <w:lang w:val="zh-CN"/>
              </w:rPr>
            </w:pPr>
            <w:r>
              <w:rPr>
                <w:rFonts w:hint="eastAsia" w:cs="宋体"/>
                <w:sz w:val="24"/>
                <w:szCs w:val="24"/>
                <w:lang w:val="zh-CN"/>
              </w:rPr>
              <w:t>满足</w:t>
            </w:r>
            <w:r>
              <w:rPr>
                <w:rFonts w:hint="eastAsia"/>
                <w:kern w:val="0"/>
                <w:sz w:val="24"/>
                <w:szCs w:val="24"/>
              </w:rPr>
              <w:t>招标</w:t>
            </w:r>
            <w:r>
              <w:rPr>
                <w:rFonts w:hint="eastAsia" w:cs="宋体"/>
                <w:sz w:val="24"/>
                <w:szCs w:val="24"/>
                <w:lang w:val="zh-CN"/>
              </w:rPr>
              <w:t>文件要求，但内容阐述存在2处瑕疵：</w:t>
            </w:r>
            <w:r>
              <w:rPr>
                <w:rFonts w:hint="eastAsia" w:cs="宋体"/>
                <w:sz w:val="24"/>
                <w:szCs w:val="24"/>
                <w:lang w:val="en-US" w:eastAsia="zh-CN"/>
              </w:rPr>
              <w:t>4</w:t>
            </w:r>
            <w:r>
              <w:rPr>
                <w:rFonts w:hint="eastAsia" w:cs="宋体"/>
                <w:sz w:val="24"/>
                <w:szCs w:val="24"/>
                <w:lang w:val="zh-CN"/>
              </w:rPr>
              <w:t>分；</w:t>
            </w:r>
          </w:p>
          <w:p w14:paraId="733E0664">
            <w:pPr>
              <w:spacing w:line="360" w:lineRule="exact"/>
              <w:rPr>
                <w:rFonts w:cs="宋体"/>
                <w:sz w:val="24"/>
                <w:szCs w:val="24"/>
                <w:lang w:val="zh-CN"/>
              </w:rPr>
            </w:pPr>
            <w:r>
              <w:rPr>
                <w:rFonts w:hint="eastAsia" w:cs="宋体"/>
                <w:sz w:val="24"/>
                <w:szCs w:val="24"/>
                <w:lang w:val="zh-CN"/>
              </w:rPr>
              <w:t>其他情况得0分。</w:t>
            </w:r>
          </w:p>
        </w:tc>
        <w:tc>
          <w:tcPr>
            <w:tcW w:w="932" w:type="dxa"/>
            <w:shd w:val="clear" w:color="auto" w:fill="auto"/>
            <w:vAlign w:val="center"/>
          </w:tcPr>
          <w:p w14:paraId="0684A272">
            <w:pPr>
              <w:widowControl/>
              <w:jc w:val="center"/>
              <w:rPr>
                <w:kern w:val="0"/>
                <w:sz w:val="24"/>
                <w:szCs w:val="24"/>
              </w:rPr>
            </w:pPr>
            <w:r>
              <w:rPr>
                <w:rFonts w:hint="eastAsia"/>
                <w:kern w:val="0"/>
                <w:sz w:val="24"/>
                <w:szCs w:val="24"/>
              </w:rPr>
              <w:t>6</w:t>
            </w:r>
          </w:p>
        </w:tc>
      </w:tr>
      <w:tr w14:paraId="51499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663" w:type="dxa"/>
            <w:shd w:val="clear" w:color="auto" w:fill="auto"/>
            <w:noWrap/>
            <w:vAlign w:val="center"/>
          </w:tcPr>
          <w:p w14:paraId="6B3A3003">
            <w:pPr>
              <w:widowControl/>
              <w:adjustRightInd w:val="0"/>
              <w:snapToGrid w:val="0"/>
              <w:jc w:val="center"/>
              <w:rPr>
                <w:color w:val="000000"/>
                <w:kern w:val="0"/>
                <w:sz w:val="24"/>
                <w:szCs w:val="24"/>
              </w:rPr>
            </w:pPr>
            <w:r>
              <w:rPr>
                <w:rFonts w:hint="eastAsia"/>
                <w:color w:val="000000"/>
                <w:kern w:val="0"/>
                <w:sz w:val="24"/>
                <w:szCs w:val="24"/>
              </w:rPr>
              <w:t>2</w:t>
            </w:r>
          </w:p>
        </w:tc>
        <w:tc>
          <w:tcPr>
            <w:tcW w:w="1419" w:type="dxa"/>
            <w:shd w:val="clear" w:color="auto" w:fill="auto"/>
            <w:vAlign w:val="center"/>
          </w:tcPr>
          <w:p w14:paraId="577DBFF9">
            <w:pPr>
              <w:widowControl/>
              <w:adjustRightInd w:val="0"/>
              <w:snapToGrid w:val="0"/>
              <w:jc w:val="center"/>
              <w:rPr>
                <w:rFonts w:cs="宋体"/>
                <w:sz w:val="24"/>
                <w:szCs w:val="24"/>
                <w:lang w:val="zh-CN"/>
              </w:rPr>
            </w:pPr>
            <w:r>
              <w:rPr>
                <w:rFonts w:hint="eastAsia" w:cs="宋体"/>
                <w:sz w:val="24"/>
                <w:szCs w:val="24"/>
                <w:lang w:val="zh-CN"/>
              </w:rPr>
              <w:t>项目服务人员评价</w:t>
            </w:r>
          </w:p>
        </w:tc>
        <w:tc>
          <w:tcPr>
            <w:tcW w:w="7311" w:type="dxa"/>
            <w:shd w:val="clear" w:color="auto" w:fill="auto"/>
            <w:vAlign w:val="center"/>
          </w:tcPr>
          <w:p w14:paraId="10FE384C">
            <w:pPr>
              <w:widowControl/>
              <w:spacing w:line="400" w:lineRule="exact"/>
              <w:rPr>
                <w:kern w:val="0"/>
                <w:sz w:val="24"/>
                <w:szCs w:val="24"/>
              </w:rPr>
            </w:pPr>
            <w:r>
              <w:rPr>
                <w:rFonts w:hint="eastAsia"/>
                <w:kern w:val="0"/>
                <w:sz w:val="24"/>
                <w:szCs w:val="24"/>
              </w:rPr>
              <w:t>至少包含人员组织架构、岗位职责、人员工作经验及技术实力、人员稳定性保障措施等方面内容：</w:t>
            </w:r>
          </w:p>
          <w:p w14:paraId="364B7183">
            <w:pPr>
              <w:widowControl/>
              <w:spacing w:line="400" w:lineRule="exact"/>
              <w:rPr>
                <w:kern w:val="0"/>
                <w:sz w:val="24"/>
                <w:szCs w:val="24"/>
              </w:rPr>
            </w:pPr>
            <w:r>
              <w:rPr>
                <w:rFonts w:hint="eastAsia"/>
                <w:sz w:val="24"/>
              </w:rPr>
              <w:t>方案满足招标文件要求，内容无瑕疵：</w:t>
            </w:r>
            <w:r>
              <w:rPr>
                <w:rFonts w:hint="eastAsia"/>
                <w:kern w:val="0"/>
                <w:sz w:val="24"/>
                <w:szCs w:val="24"/>
              </w:rPr>
              <w:t>6分</w:t>
            </w:r>
          </w:p>
          <w:p w14:paraId="023E1BD5">
            <w:pPr>
              <w:widowControl/>
              <w:spacing w:line="400" w:lineRule="exact"/>
              <w:rPr>
                <w:kern w:val="0"/>
                <w:sz w:val="24"/>
                <w:szCs w:val="24"/>
              </w:rPr>
            </w:pPr>
            <w:r>
              <w:rPr>
                <w:rFonts w:hint="eastAsia"/>
                <w:kern w:val="0"/>
                <w:sz w:val="24"/>
                <w:szCs w:val="24"/>
              </w:rPr>
              <w:t>满足招标文件要求，但内容存在1处瑕疵：5分；</w:t>
            </w:r>
          </w:p>
          <w:p w14:paraId="79B1890A">
            <w:pPr>
              <w:widowControl/>
              <w:spacing w:line="400" w:lineRule="exact"/>
              <w:rPr>
                <w:kern w:val="0"/>
                <w:sz w:val="24"/>
                <w:szCs w:val="24"/>
              </w:rPr>
            </w:pPr>
            <w:r>
              <w:rPr>
                <w:rFonts w:hint="eastAsia"/>
                <w:kern w:val="0"/>
                <w:sz w:val="24"/>
                <w:szCs w:val="24"/>
              </w:rPr>
              <w:t>满足招标文件要求，但内容存在2处瑕疵：4分；</w:t>
            </w:r>
          </w:p>
          <w:p w14:paraId="60062674">
            <w:pPr>
              <w:widowControl/>
              <w:spacing w:line="400" w:lineRule="exact"/>
              <w:rPr>
                <w:kern w:val="0"/>
                <w:sz w:val="24"/>
                <w:szCs w:val="24"/>
              </w:rPr>
            </w:pPr>
            <w:r>
              <w:rPr>
                <w:rFonts w:hint="eastAsia"/>
                <w:kern w:val="0"/>
                <w:sz w:val="24"/>
                <w:szCs w:val="24"/>
              </w:rPr>
              <w:t>其他：0分；</w:t>
            </w:r>
          </w:p>
        </w:tc>
        <w:tc>
          <w:tcPr>
            <w:tcW w:w="932" w:type="dxa"/>
            <w:shd w:val="clear" w:color="auto" w:fill="auto"/>
            <w:vAlign w:val="center"/>
          </w:tcPr>
          <w:p w14:paraId="72B2E459">
            <w:pPr>
              <w:widowControl/>
              <w:spacing w:line="400" w:lineRule="exact"/>
              <w:jc w:val="center"/>
              <w:rPr>
                <w:kern w:val="0"/>
                <w:sz w:val="24"/>
                <w:szCs w:val="24"/>
              </w:rPr>
            </w:pPr>
            <w:r>
              <w:rPr>
                <w:rFonts w:hint="eastAsia"/>
                <w:kern w:val="0"/>
                <w:sz w:val="24"/>
                <w:szCs w:val="24"/>
              </w:rPr>
              <w:t>6</w:t>
            </w:r>
          </w:p>
        </w:tc>
      </w:tr>
      <w:tr w14:paraId="13363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663" w:type="dxa"/>
            <w:shd w:val="clear" w:color="auto" w:fill="auto"/>
            <w:noWrap/>
            <w:vAlign w:val="center"/>
          </w:tcPr>
          <w:p w14:paraId="2E7A9D74">
            <w:pPr>
              <w:widowControl/>
              <w:adjustRightInd w:val="0"/>
              <w:snapToGrid w:val="0"/>
              <w:jc w:val="center"/>
              <w:rPr>
                <w:color w:val="000000"/>
                <w:kern w:val="0"/>
                <w:sz w:val="24"/>
                <w:szCs w:val="24"/>
              </w:rPr>
            </w:pPr>
            <w:r>
              <w:rPr>
                <w:rFonts w:hint="eastAsia"/>
                <w:color w:val="000000"/>
                <w:kern w:val="0"/>
                <w:sz w:val="24"/>
                <w:szCs w:val="24"/>
              </w:rPr>
              <w:t>3</w:t>
            </w:r>
          </w:p>
        </w:tc>
        <w:tc>
          <w:tcPr>
            <w:tcW w:w="1419" w:type="dxa"/>
            <w:shd w:val="clear" w:color="auto" w:fill="auto"/>
            <w:vAlign w:val="center"/>
          </w:tcPr>
          <w:p w14:paraId="38305E7D">
            <w:pPr>
              <w:widowControl/>
              <w:adjustRightInd w:val="0"/>
              <w:snapToGrid w:val="0"/>
              <w:jc w:val="center"/>
              <w:rPr>
                <w:rFonts w:cs="宋体"/>
                <w:sz w:val="24"/>
                <w:szCs w:val="24"/>
                <w:lang w:val="zh-CN"/>
              </w:rPr>
            </w:pPr>
            <w:r>
              <w:rPr>
                <w:rFonts w:hint="eastAsia" w:cs="宋体"/>
                <w:sz w:val="24"/>
                <w:szCs w:val="24"/>
              </w:rPr>
              <w:t>项目整体运营服务方案评价</w:t>
            </w:r>
          </w:p>
        </w:tc>
        <w:tc>
          <w:tcPr>
            <w:tcW w:w="7311" w:type="dxa"/>
            <w:shd w:val="clear" w:color="auto" w:fill="auto"/>
            <w:vAlign w:val="center"/>
          </w:tcPr>
          <w:p w14:paraId="5580638B">
            <w:pPr>
              <w:widowControl/>
              <w:spacing w:line="400" w:lineRule="exact"/>
              <w:jc w:val="left"/>
              <w:rPr>
                <w:rFonts w:hint="eastAsia"/>
                <w:sz w:val="24"/>
              </w:rPr>
            </w:pPr>
            <w:r>
              <w:rPr>
                <w:rFonts w:hint="eastAsia"/>
                <w:sz w:val="24"/>
              </w:rPr>
              <w:t>根据现场服务方案、人员安排计划、服务计划、应急响应、服务制度、保障措施等内容进行评审：</w:t>
            </w:r>
          </w:p>
          <w:p w14:paraId="4B8D6614">
            <w:pPr>
              <w:widowControl/>
              <w:spacing w:line="400" w:lineRule="exact"/>
              <w:jc w:val="left"/>
              <w:rPr>
                <w:rFonts w:hint="eastAsia"/>
                <w:sz w:val="24"/>
              </w:rPr>
            </w:pPr>
            <w:r>
              <w:rPr>
                <w:rFonts w:hint="eastAsia"/>
                <w:sz w:val="24"/>
              </w:rPr>
              <w:t>对项目人员现场服务方案、人员安排计划、项目服务计划、应急响应工作方案、服务制度和保障措施内容阐述具体、详实，理解全面准确；数据安全和保密工作的管理制度（体系）完善；应用迁移方案，服务可用性连续性保障方案完善；阐述内容无瑕疵：</w:t>
            </w:r>
            <w:r>
              <w:rPr>
                <w:rFonts w:hint="eastAsia"/>
                <w:sz w:val="24"/>
                <w:lang w:val="en-US" w:eastAsia="zh-CN"/>
              </w:rPr>
              <w:t>6</w:t>
            </w:r>
            <w:r>
              <w:rPr>
                <w:rFonts w:hint="eastAsia"/>
                <w:sz w:val="24"/>
              </w:rPr>
              <w:t>分；</w:t>
            </w:r>
          </w:p>
          <w:p w14:paraId="486CC5F8">
            <w:pPr>
              <w:widowControl/>
              <w:spacing w:line="400" w:lineRule="exact"/>
              <w:jc w:val="left"/>
              <w:rPr>
                <w:rFonts w:hint="eastAsia"/>
                <w:sz w:val="24"/>
              </w:rPr>
            </w:pPr>
            <w:r>
              <w:rPr>
                <w:rFonts w:hint="eastAsia"/>
                <w:sz w:val="24"/>
              </w:rPr>
              <w:t>满足</w:t>
            </w:r>
            <w:r>
              <w:rPr>
                <w:rFonts w:hint="eastAsia"/>
                <w:kern w:val="0"/>
                <w:sz w:val="24"/>
                <w:szCs w:val="24"/>
              </w:rPr>
              <w:t>招标</w:t>
            </w:r>
            <w:r>
              <w:rPr>
                <w:rFonts w:hint="eastAsia"/>
                <w:sz w:val="24"/>
              </w:rPr>
              <w:t>文件要求，但内容阐述存在1处瑕疵：</w:t>
            </w:r>
            <w:r>
              <w:rPr>
                <w:rFonts w:hint="eastAsia"/>
                <w:sz w:val="24"/>
                <w:lang w:val="en-US" w:eastAsia="zh-CN"/>
              </w:rPr>
              <w:t>5</w:t>
            </w:r>
            <w:r>
              <w:rPr>
                <w:rFonts w:hint="eastAsia"/>
                <w:sz w:val="24"/>
              </w:rPr>
              <w:t>分；</w:t>
            </w:r>
          </w:p>
          <w:p w14:paraId="59484EBF">
            <w:pPr>
              <w:widowControl/>
              <w:spacing w:line="400" w:lineRule="exact"/>
              <w:jc w:val="left"/>
              <w:rPr>
                <w:rFonts w:hint="eastAsia"/>
                <w:sz w:val="24"/>
              </w:rPr>
            </w:pPr>
            <w:r>
              <w:rPr>
                <w:rFonts w:hint="eastAsia"/>
                <w:sz w:val="24"/>
              </w:rPr>
              <w:t>满足</w:t>
            </w:r>
            <w:r>
              <w:rPr>
                <w:rFonts w:hint="eastAsia"/>
                <w:kern w:val="0"/>
                <w:sz w:val="24"/>
                <w:szCs w:val="24"/>
              </w:rPr>
              <w:t>招标</w:t>
            </w:r>
            <w:r>
              <w:rPr>
                <w:rFonts w:hint="eastAsia"/>
                <w:sz w:val="24"/>
              </w:rPr>
              <w:t>文件要求，但内容阐述存在2处瑕疵：</w:t>
            </w:r>
            <w:r>
              <w:rPr>
                <w:rFonts w:hint="eastAsia"/>
                <w:sz w:val="24"/>
                <w:lang w:val="en-US" w:eastAsia="zh-CN"/>
              </w:rPr>
              <w:t>4</w:t>
            </w:r>
            <w:r>
              <w:rPr>
                <w:rFonts w:hint="eastAsia"/>
                <w:sz w:val="24"/>
              </w:rPr>
              <w:t>分；</w:t>
            </w:r>
          </w:p>
          <w:p w14:paraId="07A5BEEC">
            <w:pPr>
              <w:widowControl/>
              <w:spacing w:line="400" w:lineRule="exact"/>
              <w:jc w:val="left"/>
              <w:rPr>
                <w:sz w:val="24"/>
              </w:rPr>
            </w:pPr>
            <w:r>
              <w:rPr>
                <w:rFonts w:hint="eastAsia"/>
                <w:sz w:val="24"/>
              </w:rPr>
              <w:t>其他情况得0分。</w:t>
            </w:r>
          </w:p>
        </w:tc>
        <w:tc>
          <w:tcPr>
            <w:tcW w:w="932" w:type="dxa"/>
            <w:shd w:val="clear" w:color="auto" w:fill="auto"/>
            <w:vAlign w:val="center"/>
          </w:tcPr>
          <w:p w14:paraId="4904D322">
            <w:pPr>
              <w:widowControl/>
              <w:spacing w:line="400" w:lineRule="exact"/>
              <w:jc w:val="center"/>
              <w:rPr>
                <w:sz w:val="24"/>
              </w:rPr>
            </w:pPr>
            <w:r>
              <w:rPr>
                <w:rFonts w:hint="eastAsia"/>
                <w:sz w:val="24"/>
              </w:rPr>
              <w:t>6</w:t>
            </w:r>
          </w:p>
        </w:tc>
      </w:tr>
      <w:tr w14:paraId="0D176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663" w:type="dxa"/>
            <w:shd w:val="clear" w:color="auto" w:fill="auto"/>
            <w:noWrap/>
            <w:vAlign w:val="center"/>
          </w:tcPr>
          <w:p w14:paraId="298822EC">
            <w:pPr>
              <w:widowControl/>
              <w:adjustRightInd w:val="0"/>
              <w:snapToGrid w:val="0"/>
              <w:jc w:val="center"/>
              <w:rPr>
                <w:color w:val="000000"/>
                <w:kern w:val="0"/>
                <w:sz w:val="24"/>
                <w:szCs w:val="24"/>
              </w:rPr>
            </w:pPr>
            <w:r>
              <w:rPr>
                <w:rFonts w:hint="eastAsia"/>
                <w:color w:val="000000"/>
                <w:kern w:val="0"/>
                <w:sz w:val="24"/>
                <w:szCs w:val="24"/>
              </w:rPr>
              <w:t>4</w:t>
            </w:r>
          </w:p>
        </w:tc>
        <w:tc>
          <w:tcPr>
            <w:tcW w:w="1419" w:type="dxa"/>
            <w:shd w:val="clear" w:color="auto" w:fill="auto"/>
            <w:vAlign w:val="center"/>
          </w:tcPr>
          <w:p w14:paraId="4EFDBFDB">
            <w:pPr>
              <w:widowControl/>
              <w:adjustRightInd w:val="0"/>
              <w:snapToGrid w:val="0"/>
              <w:jc w:val="center"/>
              <w:rPr>
                <w:kern w:val="0"/>
                <w:sz w:val="24"/>
                <w:szCs w:val="24"/>
              </w:rPr>
            </w:pPr>
            <w:r>
              <w:rPr>
                <w:rFonts w:hint="eastAsia" w:cs="宋体"/>
                <w:sz w:val="24"/>
                <w:szCs w:val="24"/>
                <w:lang w:val="zh-CN"/>
              </w:rPr>
              <w:t>定期预防性检查方案</w:t>
            </w:r>
          </w:p>
        </w:tc>
        <w:tc>
          <w:tcPr>
            <w:tcW w:w="7311" w:type="dxa"/>
            <w:shd w:val="clear" w:color="auto" w:fill="auto"/>
            <w:vAlign w:val="center"/>
          </w:tcPr>
          <w:p w14:paraId="1C952B6D">
            <w:pPr>
              <w:widowControl/>
              <w:spacing w:line="400" w:lineRule="exact"/>
              <w:jc w:val="left"/>
              <w:rPr>
                <w:sz w:val="24"/>
              </w:rPr>
            </w:pPr>
            <w:r>
              <w:rPr>
                <w:rFonts w:hint="eastAsia"/>
                <w:sz w:val="24"/>
              </w:rPr>
              <w:t>至少包含预防性检查频率、检查内容、检查方案、发现问题后的解决方案等方面内容</w:t>
            </w:r>
          </w:p>
          <w:p w14:paraId="38AFC363">
            <w:pPr>
              <w:widowControl/>
              <w:spacing w:line="400" w:lineRule="exact"/>
              <w:jc w:val="left"/>
              <w:rPr>
                <w:sz w:val="24"/>
              </w:rPr>
            </w:pPr>
            <w:r>
              <w:rPr>
                <w:rFonts w:hint="eastAsia"/>
                <w:sz w:val="24"/>
              </w:rPr>
              <w:t>方案满足招标文件要求，内容无瑕疵：6分；</w:t>
            </w:r>
          </w:p>
          <w:p w14:paraId="1EDF9957">
            <w:pPr>
              <w:widowControl/>
              <w:spacing w:line="400" w:lineRule="exact"/>
              <w:jc w:val="left"/>
              <w:rPr>
                <w:sz w:val="24"/>
              </w:rPr>
            </w:pPr>
            <w:r>
              <w:rPr>
                <w:rFonts w:hint="eastAsia"/>
                <w:sz w:val="24"/>
              </w:rPr>
              <w:t>方案满足招标文件要求，但内容存在1处瑕疵：5分；</w:t>
            </w:r>
          </w:p>
          <w:p w14:paraId="1D042235">
            <w:pPr>
              <w:widowControl/>
              <w:spacing w:line="400" w:lineRule="exact"/>
              <w:jc w:val="left"/>
              <w:rPr>
                <w:sz w:val="24"/>
              </w:rPr>
            </w:pPr>
            <w:r>
              <w:rPr>
                <w:rFonts w:hint="eastAsia"/>
                <w:sz w:val="24"/>
              </w:rPr>
              <w:t>方案满足招标文件要求，但内容存在2处瑕疵：4分；</w:t>
            </w:r>
          </w:p>
          <w:p w14:paraId="4FF30A0F">
            <w:pPr>
              <w:widowControl/>
              <w:spacing w:line="400" w:lineRule="exact"/>
              <w:jc w:val="left"/>
              <w:rPr>
                <w:sz w:val="24"/>
              </w:rPr>
            </w:pPr>
            <w:r>
              <w:rPr>
                <w:rFonts w:hint="eastAsia"/>
                <w:sz w:val="24"/>
              </w:rPr>
              <w:t>其他：0分；</w:t>
            </w:r>
          </w:p>
        </w:tc>
        <w:tc>
          <w:tcPr>
            <w:tcW w:w="932" w:type="dxa"/>
            <w:shd w:val="clear" w:color="auto" w:fill="auto"/>
            <w:vAlign w:val="center"/>
          </w:tcPr>
          <w:p w14:paraId="45B770AE">
            <w:pPr>
              <w:widowControl/>
              <w:spacing w:line="400" w:lineRule="exact"/>
              <w:jc w:val="center"/>
              <w:rPr>
                <w:sz w:val="24"/>
              </w:rPr>
            </w:pPr>
            <w:r>
              <w:rPr>
                <w:rFonts w:hint="eastAsia"/>
                <w:sz w:val="24"/>
              </w:rPr>
              <w:t>6</w:t>
            </w:r>
          </w:p>
        </w:tc>
      </w:tr>
      <w:tr w14:paraId="1DD8B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663" w:type="dxa"/>
            <w:shd w:val="clear" w:color="auto" w:fill="auto"/>
            <w:noWrap/>
            <w:vAlign w:val="center"/>
          </w:tcPr>
          <w:p w14:paraId="54B00A5D">
            <w:pPr>
              <w:widowControl/>
              <w:adjustRightInd w:val="0"/>
              <w:snapToGrid w:val="0"/>
              <w:jc w:val="center"/>
              <w:rPr>
                <w:color w:val="000000"/>
                <w:kern w:val="0"/>
                <w:sz w:val="24"/>
                <w:szCs w:val="24"/>
              </w:rPr>
            </w:pPr>
            <w:r>
              <w:rPr>
                <w:rFonts w:hint="eastAsia"/>
                <w:color w:val="000000"/>
                <w:kern w:val="0"/>
                <w:sz w:val="24"/>
                <w:szCs w:val="24"/>
              </w:rPr>
              <w:t>5</w:t>
            </w:r>
          </w:p>
        </w:tc>
        <w:tc>
          <w:tcPr>
            <w:tcW w:w="1419" w:type="dxa"/>
            <w:shd w:val="clear" w:color="auto" w:fill="auto"/>
            <w:vAlign w:val="center"/>
          </w:tcPr>
          <w:p w14:paraId="27992285">
            <w:pPr>
              <w:widowControl/>
              <w:adjustRightInd w:val="0"/>
              <w:snapToGrid w:val="0"/>
              <w:jc w:val="center"/>
              <w:rPr>
                <w:kern w:val="0"/>
                <w:sz w:val="24"/>
                <w:szCs w:val="24"/>
              </w:rPr>
            </w:pPr>
            <w:r>
              <w:rPr>
                <w:rFonts w:hint="eastAsia"/>
                <w:kern w:val="0"/>
                <w:sz w:val="24"/>
                <w:szCs w:val="24"/>
              </w:rPr>
              <w:t>管理工具评价</w:t>
            </w:r>
          </w:p>
        </w:tc>
        <w:tc>
          <w:tcPr>
            <w:tcW w:w="7311" w:type="dxa"/>
            <w:shd w:val="clear" w:color="auto" w:fill="auto"/>
            <w:vAlign w:val="center"/>
          </w:tcPr>
          <w:p w14:paraId="295B6487">
            <w:pPr>
              <w:widowControl/>
              <w:spacing w:line="400" w:lineRule="exact"/>
              <w:jc w:val="left"/>
              <w:rPr>
                <w:rFonts w:hint="eastAsia"/>
                <w:sz w:val="24"/>
              </w:rPr>
            </w:pPr>
            <w:r>
              <w:rPr>
                <w:rFonts w:hint="eastAsia"/>
                <w:sz w:val="24"/>
              </w:rPr>
              <w:t>提供专业的IT运维管理工具，平台可对事件、变更、发布、配置、知识库、问题等流程进行审批管理，并能进行数据汇总和分析生成专业报告，完全满足项目需求；阐述内容无瑕疵：</w:t>
            </w:r>
            <w:r>
              <w:rPr>
                <w:rFonts w:hint="eastAsia"/>
                <w:sz w:val="24"/>
                <w:lang w:val="en-US" w:eastAsia="zh-CN"/>
              </w:rPr>
              <w:t>6</w:t>
            </w:r>
            <w:r>
              <w:rPr>
                <w:rFonts w:hint="eastAsia"/>
                <w:sz w:val="24"/>
              </w:rPr>
              <w:t>分；</w:t>
            </w:r>
          </w:p>
          <w:p w14:paraId="4FA88DE9">
            <w:pPr>
              <w:widowControl/>
              <w:spacing w:line="400" w:lineRule="exact"/>
              <w:jc w:val="left"/>
              <w:rPr>
                <w:rFonts w:hint="eastAsia"/>
                <w:sz w:val="24"/>
              </w:rPr>
            </w:pPr>
            <w:r>
              <w:rPr>
                <w:rFonts w:hint="eastAsia"/>
                <w:sz w:val="24"/>
              </w:rPr>
              <w:t>满足</w:t>
            </w:r>
            <w:r>
              <w:rPr>
                <w:rFonts w:hint="eastAsia"/>
                <w:kern w:val="0"/>
                <w:sz w:val="24"/>
                <w:szCs w:val="24"/>
              </w:rPr>
              <w:t>招标</w:t>
            </w:r>
            <w:r>
              <w:rPr>
                <w:rFonts w:hint="eastAsia"/>
                <w:sz w:val="24"/>
              </w:rPr>
              <w:t>文件要求，但内容阐述存在1处瑕疵：</w:t>
            </w:r>
            <w:r>
              <w:rPr>
                <w:rFonts w:hint="eastAsia"/>
                <w:sz w:val="24"/>
                <w:lang w:val="en-US" w:eastAsia="zh-CN"/>
              </w:rPr>
              <w:t>5</w:t>
            </w:r>
            <w:r>
              <w:rPr>
                <w:rFonts w:hint="eastAsia"/>
                <w:sz w:val="24"/>
              </w:rPr>
              <w:t>分；</w:t>
            </w:r>
          </w:p>
          <w:p w14:paraId="474A1645">
            <w:pPr>
              <w:widowControl/>
              <w:spacing w:line="400" w:lineRule="exact"/>
              <w:jc w:val="left"/>
              <w:rPr>
                <w:rFonts w:hint="eastAsia"/>
                <w:sz w:val="24"/>
              </w:rPr>
            </w:pPr>
            <w:r>
              <w:rPr>
                <w:rFonts w:hint="eastAsia"/>
                <w:sz w:val="24"/>
              </w:rPr>
              <w:t>满足</w:t>
            </w:r>
            <w:r>
              <w:rPr>
                <w:rFonts w:hint="eastAsia"/>
                <w:kern w:val="0"/>
                <w:sz w:val="24"/>
                <w:szCs w:val="24"/>
              </w:rPr>
              <w:t>招标</w:t>
            </w:r>
            <w:r>
              <w:rPr>
                <w:rFonts w:hint="eastAsia"/>
                <w:sz w:val="24"/>
              </w:rPr>
              <w:t>文件要求，但内容阐述存在2处瑕疵：</w:t>
            </w:r>
            <w:r>
              <w:rPr>
                <w:rFonts w:hint="eastAsia"/>
                <w:sz w:val="24"/>
                <w:lang w:val="en-US" w:eastAsia="zh-CN"/>
              </w:rPr>
              <w:t>4</w:t>
            </w:r>
            <w:r>
              <w:rPr>
                <w:rFonts w:hint="eastAsia"/>
                <w:sz w:val="24"/>
              </w:rPr>
              <w:t>分；</w:t>
            </w:r>
          </w:p>
          <w:p w14:paraId="4FB2C569">
            <w:pPr>
              <w:widowControl/>
              <w:spacing w:line="400" w:lineRule="exact"/>
              <w:jc w:val="left"/>
              <w:rPr>
                <w:sz w:val="24"/>
              </w:rPr>
            </w:pPr>
            <w:r>
              <w:rPr>
                <w:rFonts w:hint="eastAsia"/>
                <w:sz w:val="24"/>
              </w:rPr>
              <w:t>其他情况得0分。</w:t>
            </w:r>
          </w:p>
        </w:tc>
        <w:tc>
          <w:tcPr>
            <w:tcW w:w="932" w:type="dxa"/>
            <w:shd w:val="clear" w:color="auto" w:fill="auto"/>
            <w:vAlign w:val="center"/>
          </w:tcPr>
          <w:p w14:paraId="0CC81A73">
            <w:pPr>
              <w:widowControl/>
              <w:spacing w:line="400" w:lineRule="exact"/>
              <w:jc w:val="center"/>
              <w:rPr>
                <w:sz w:val="24"/>
              </w:rPr>
            </w:pPr>
            <w:r>
              <w:rPr>
                <w:rFonts w:hint="eastAsia"/>
                <w:sz w:val="24"/>
              </w:rPr>
              <w:t>6</w:t>
            </w:r>
          </w:p>
        </w:tc>
      </w:tr>
      <w:tr w14:paraId="231D5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663" w:type="dxa"/>
            <w:shd w:val="clear" w:color="auto" w:fill="auto"/>
            <w:noWrap/>
            <w:vAlign w:val="center"/>
          </w:tcPr>
          <w:p w14:paraId="34864871">
            <w:pPr>
              <w:widowControl/>
              <w:adjustRightInd w:val="0"/>
              <w:snapToGrid w:val="0"/>
              <w:jc w:val="center"/>
              <w:rPr>
                <w:color w:val="000000"/>
                <w:kern w:val="0"/>
                <w:sz w:val="24"/>
                <w:szCs w:val="24"/>
              </w:rPr>
            </w:pPr>
            <w:r>
              <w:rPr>
                <w:rFonts w:hint="eastAsia"/>
                <w:color w:val="000000"/>
                <w:kern w:val="0"/>
                <w:sz w:val="24"/>
                <w:szCs w:val="24"/>
              </w:rPr>
              <w:t>6</w:t>
            </w:r>
          </w:p>
        </w:tc>
        <w:tc>
          <w:tcPr>
            <w:tcW w:w="1419" w:type="dxa"/>
            <w:shd w:val="clear" w:color="auto" w:fill="auto"/>
            <w:vAlign w:val="center"/>
          </w:tcPr>
          <w:p w14:paraId="4A79CA23">
            <w:pPr>
              <w:widowControl/>
              <w:adjustRightInd w:val="0"/>
              <w:snapToGrid w:val="0"/>
              <w:jc w:val="center"/>
              <w:rPr>
                <w:kern w:val="0"/>
                <w:sz w:val="24"/>
                <w:szCs w:val="24"/>
              </w:rPr>
            </w:pPr>
            <w:r>
              <w:rPr>
                <w:rFonts w:hint="eastAsia" w:cs="宋体"/>
                <w:sz w:val="24"/>
                <w:szCs w:val="24"/>
                <w:lang w:val="zh-CN"/>
              </w:rPr>
              <w:t>突发事件管理方案</w:t>
            </w:r>
          </w:p>
        </w:tc>
        <w:tc>
          <w:tcPr>
            <w:tcW w:w="7311" w:type="dxa"/>
            <w:shd w:val="clear" w:color="auto" w:fill="auto"/>
            <w:vAlign w:val="center"/>
          </w:tcPr>
          <w:p w14:paraId="59BCBB0D">
            <w:pPr>
              <w:widowControl/>
              <w:spacing w:line="400" w:lineRule="exact"/>
              <w:jc w:val="left"/>
              <w:rPr>
                <w:sz w:val="24"/>
              </w:rPr>
            </w:pPr>
            <w:r>
              <w:rPr>
                <w:rFonts w:hint="eastAsia"/>
                <w:sz w:val="24"/>
              </w:rPr>
              <w:t>至少包含突发事件管理流程、突发事件响应方案、突发事件响应时间等方面内容</w:t>
            </w:r>
          </w:p>
          <w:p w14:paraId="06E63036">
            <w:pPr>
              <w:widowControl/>
              <w:spacing w:line="400" w:lineRule="exact"/>
              <w:jc w:val="left"/>
              <w:rPr>
                <w:sz w:val="24"/>
              </w:rPr>
            </w:pPr>
            <w:r>
              <w:rPr>
                <w:rFonts w:hint="eastAsia"/>
                <w:sz w:val="24"/>
              </w:rPr>
              <w:t>方案满足招标文件要求，内容无瑕疵：6分；</w:t>
            </w:r>
          </w:p>
          <w:p w14:paraId="64CE57F7">
            <w:pPr>
              <w:widowControl/>
              <w:spacing w:line="400" w:lineRule="exact"/>
              <w:jc w:val="left"/>
              <w:rPr>
                <w:sz w:val="24"/>
              </w:rPr>
            </w:pPr>
            <w:r>
              <w:rPr>
                <w:rFonts w:hint="eastAsia"/>
                <w:sz w:val="24"/>
              </w:rPr>
              <w:t>方案满足招标文件要求，但内容存在1处瑕疵：5分；</w:t>
            </w:r>
          </w:p>
          <w:p w14:paraId="14BBCF1F">
            <w:pPr>
              <w:widowControl/>
              <w:spacing w:line="400" w:lineRule="exact"/>
              <w:jc w:val="left"/>
              <w:rPr>
                <w:sz w:val="24"/>
              </w:rPr>
            </w:pPr>
            <w:r>
              <w:rPr>
                <w:rFonts w:hint="eastAsia"/>
                <w:sz w:val="24"/>
              </w:rPr>
              <w:t>方案满足招标文件要求，但内容存在2处瑕疵：4分；</w:t>
            </w:r>
          </w:p>
          <w:p w14:paraId="7213C566">
            <w:pPr>
              <w:widowControl/>
              <w:spacing w:line="400" w:lineRule="exact"/>
              <w:jc w:val="left"/>
              <w:rPr>
                <w:sz w:val="24"/>
              </w:rPr>
            </w:pPr>
            <w:r>
              <w:rPr>
                <w:rFonts w:hint="eastAsia"/>
                <w:sz w:val="24"/>
              </w:rPr>
              <w:t>其他：0分；</w:t>
            </w:r>
          </w:p>
        </w:tc>
        <w:tc>
          <w:tcPr>
            <w:tcW w:w="932" w:type="dxa"/>
            <w:shd w:val="clear" w:color="auto" w:fill="auto"/>
            <w:vAlign w:val="center"/>
          </w:tcPr>
          <w:p w14:paraId="56A8A488">
            <w:pPr>
              <w:widowControl/>
              <w:spacing w:line="400" w:lineRule="exact"/>
              <w:jc w:val="center"/>
              <w:rPr>
                <w:sz w:val="24"/>
              </w:rPr>
            </w:pPr>
            <w:r>
              <w:rPr>
                <w:rFonts w:hint="eastAsia"/>
                <w:sz w:val="24"/>
              </w:rPr>
              <w:t>6</w:t>
            </w:r>
          </w:p>
        </w:tc>
      </w:tr>
      <w:tr w14:paraId="1010A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663" w:type="dxa"/>
            <w:shd w:val="clear" w:color="auto" w:fill="auto"/>
            <w:noWrap/>
            <w:vAlign w:val="center"/>
          </w:tcPr>
          <w:p w14:paraId="042506AD">
            <w:pPr>
              <w:widowControl/>
              <w:adjustRightInd w:val="0"/>
              <w:snapToGrid w:val="0"/>
              <w:jc w:val="center"/>
              <w:rPr>
                <w:color w:val="000000"/>
                <w:kern w:val="0"/>
                <w:sz w:val="24"/>
                <w:szCs w:val="24"/>
              </w:rPr>
            </w:pPr>
            <w:r>
              <w:rPr>
                <w:rFonts w:hint="eastAsia"/>
                <w:color w:val="000000"/>
                <w:kern w:val="0"/>
                <w:sz w:val="24"/>
                <w:szCs w:val="24"/>
              </w:rPr>
              <w:t>7</w:t>
            </w:r>
          </w:p>
        </w:tc>
        <w:tc>
          <w:tcPr>
            <w:tcW w:w="1419" w:type="dxa"/>
            <w:shd w:val="clear" w:color="auto" w:fill="auto"/>
            <w:vAlign w:val="center"/>
          </w:tcPr>
          <w:p w14:paraId="48B2DDE6">
            <w:pPr>
              <w:widowControl/>
              <w:adjustRightInd w:val="0"/>
              <w:snapToGrid w:val="0"/>
              <w:jc w:val="center"/>
              <w:rPr>
                <w:rFonts w:cs="宋体"/>
                <w:sz w:val="24"/>
                <w:szCs w:val="24"/>
                <w:lang w:val="zh-CN"/>
              </w:rPr>
            </w:pPr>
            <w:r>
              <w:rPr>
                <w:rFonts w:hint="eastAsia" w:cs="宋体"/>
                <w:sz w:val="24"/>
                <w:szCs w:val="24"/>
                <w:lang w:val="zh-CN"/>
              </w:rPr>
              <w:t>培训方案及文档编制评价</w:t>
            </w:r>
          </w:p>
        </w:tc>
        <w:tc>
          <w:tcPr>
            <w:tcW w:w="7311" w:type="dxa"/>
            <w:shd w:val="clear" w:color="auto" w:fill="auto"/>
            <w:vAlign w:val="center"/>
          </w:tcPr>
          <w:p w14:paraId="55B5E099">
            <w:pPr>
              <w:widowControl/>
              <w:spacing w:line="400" w:lineRule="exact"/>
              <w:jc w:val="left"/>
              <w:rPr>
                <w:rFonts w:hint="eastAsia"/>
                <w:sz w:val="24"/>
              </w:rPr>
            </w:pPr>
            <w:r>
              <w:rPr>
                <w:rFonts w:hint="eastAsia"/>
                <w:sz w:val="24"/>
              </w:rPr>
              <w:t>提供具有针对性、可操作性和系统性的培训方案和计划，提供文档全面，文档编制系统正规；阐述内容无瑕疵：6分；</w:t>
            </w:r>
          </w:p>
          <w:p w14:paraId="31EC87C5">
            <w:pPr>
              <w:widowControl/>
              <w:spacing w:line="400" w:lineRule="exact"/>
              <w:jc w:val="left"/>
              <w:rPr>
                <w:rFonts w:hint="eastAsia"/>
                <w:sz w:val="24"/>
              </w:rPr>
            </w:pPr>
            <w:r>
              <w:rPr>
                <w:rFonts w:hint="eastAsia"/>
                <w:sz w:val="24"/>
              </w:rPr>
              <w:t>满足</w:t>
            </w:r>
            <w:r>
              <w:rPr>
                <w:rFonts w:hint="eastAsia"/>
                <w:kern w:val="0"/>
                <w:sz w:val="24"/>
                <w:szCs w:val="24"/>
              </w:rPr>
              <w:t>招标</w:t>
            </w:r>
            <w:r>
              <w:rPr>
                <w:rFonts w:hint="eastAsia"/>
                <w:sz w:val="24"/>
              </w:rPr>
              <w:t>文件要求，但内容阐述存在1处瑕疵：5分；</w:t>
            </w:r>
          </w:p>
          <w:p w14:paraId="26C77688">
            <w:pPr>
              <w:widowControl/>
              <w:spacing w:line="400" w:lineRule="exact"/>
              <w:jc w:val="left"/>
              <w:rPr>
                <w:rFonts w:hint="eastAsia"/>
                <w:sz w:val="24"/>
              </w:rPr>
            </w:pPr>
            <w:r>
              <w:rPr>
                <w:rFonts w:hint="eastAsia"/>
                <w:sz w:val="24"/>
              </w:rPr>
              <w:t>满足</w:t>
            </w:r>
            <w:r>
              <w:rPr>
                <w:rFonts w:hint="eastAsia"/>
                <w:kern w:val="0"/>
                <w:sz w:val="24"/>
                <w:szCs w:val="24"/>
              </w:rPr>
              <w:t>招标</w:t>
            </w:r>
            <w:r>
              <w:rPr>
                <w:rFonts w:hint="eastAsia"/>
                <w:sz w:val="24"/>
              </w:rPr>
              <w:t>文件要求，但内容阐述存在2处瑕疵：4分；</w:t>
            </w:r>
          </w:p>
          <w:p w14:paraId="381CBD4F">
            <w:pPr>
              <w:widowControl/>
              <w:spacing w:line="400" w:lineRule="exact"/>
              <w:jc w:val="left"/>
              <w:rPr>
                <w:sz w:val="24"/>
              </w:rPr>
            </w:pPr>
            <w:r>
              <w:rPr>
                <w:rFonts w:hint="eastAsia"/>
                <w:sz w:val="24"/>
              </w:rPr>
              <w:t>其他情况得0分。</w:t>
            </w:r>
          </w:p>
        </w:tc>
        <w:tc>
          <w:tcPr>
            <w:tcW w:w="932" w:type="dxa"/>
            <w:shd w:val="clear" w:color="auto" w:fill="auto"/>
            <w:vAlign w:val="center"/>
          </w:tcPr>
          <w:p w14:paraId="0D000954">
            <w:pPr>
              <w:widowControl/>
              <w:spacing w:line="400" w:lineRule="exact"/>
              <w:jc w:val="center"/>
              <w:rPr>
                <w:sz w:val="24"/>
              </w:rPr>
            </w:pPr>
            <w:r>
              <w:rPr>
                <w:rFonts w:hint="eastAsia"/>
                <w:sz w:val="24"/>
              </w:rPr>
              <w:t>6</w:t>
            </w:r>
          </w:p>
        </w:tc>
      </w:tr>
      <w:tr w14:paraId="7A76C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2082" w:type="dxa"/>
            <w:gridSpan w:val="2"/>
            <w:shd w:val="clear" w:color="auto" w:fill="auto"/>
            <w:noWrap/>
            <w:vAlign w:val="center"/>
          </w:tcPr>
          <w:p w14:paraId="6B480566">
            <w:pPr>
              <w:widowControl/>
              <w:spacing w:line="400" w:lineRule="exact"/>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合计</w:t>
            </w:r>
          </w:p>
        </w:tc>
        <w:tc>
          <w:tcPr>
            <w:tcW w:w="7311" w:type="dxa"/>
            <w:shd w:val="clear" w:color="auto" w:fill="auto"/>
            <w:vAlign w:val="center"/>
          </w:tcPr>
          <w:p w14:paraId="3622A614">
            <w:pPr>
              <w:widowControl/>
              <w:spacing w:line="400" w:lineRule="exact"/>
              <w:jc w:val="center"/>
              <w:rPr>
                <w:rFonts w:cs="宋体"/>
                <w:sz w:val="24"/>
                <w:szCs w:val="24"/>
                <w:lang w:val="zh-CN"/>
              </w:rPr>
            </w:pPr>
            <w:r>
              <w:rPr>
                <w:color w:val="000000" w:themeColor="text1"/>
                <w:sz w:val="24"/>
                <w14:textFill>
                  <w14:solidFill>
                    <w14:schemeClr w14:val="tx1"/>
                  </w14:solidFill>
                </w14:textFill>
              </w:rPr>
              <w:t>合计</w:t>
            </w:r>
          </w:p>
        </w:tc>
        <w:tc>
          <w:tcPr>
            <w:tcW w:w="932" w:type="dxa"/>
            <w:shd w:val="clear" w:color="auto" w:fill="auto"/>
            <w:vAlign w:val="center"/>
          </w:tcPr>
          <w:p w14:paraId="2A3C8284">
            <w:pPr>
              <w:widowControl/>
              <w:jc w:val="center"/>
              <w:rPr>
                <w:color w:val="000000"/>
                <w:kern w:val="0"/>
                <w:sz w:val="24"/>
                <w:szCs w:val="24"/>
              </w:rPr>
            </w:pPr>
            <w:r>
              <w:rPr>
                <w:color w:val="000000"/>
                <w:kern w:val="0"/>
                <w:sz w:val="24"/>
                <w:szCs w:val="24"/>
              </w:rPr>
              <w:t>100</w:t>
            </w:r>
          </w:p>
        </w:tc>
      </w:tr>
      <w:tr w14:paraId="1C2D1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10325" w:type="dxa"/>
            <w:gridSpan w:val="4"/>
            <w:shd w:val="clear" w:color="auto" w:fill="auto"/>
            <w:noWrap/>
            <w:vAlign w:val="center"/>
          </w:tcPr>
          <w:p w14:paraId="5448A41D">
            <w:pPr>
              <w:widowControl/>
              <w:jc w:val="center"/>
              <w:rPr>
                <w:color w:val="000000"/>
                <w:kern w:val="0"/>
                <w:sz w:val="24"/>
                <w:szCs w:val="24"/>
              </w:rPr>
            </w:pPr>
            <w:r>
              <w:rPr>
                <w:rFonts w:hint="eastAsia"/>
                <w:b/>
                <w:bCs/>
                <w:color w:val="000000"/>
                <w:kern w:val="0"/>
                <w:sz w:val="24"/>
                <w:szCs w:val="24"/>
              </w:rPr>
              <w:t>注：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r>
    </w:tbl>
    <w:p w14:paraId="34C228C8">
      <w:pPr>
        <w:spacing w:line="360" w:lineRule="auto"/>
        <w:ind w:firstLine="480" w:firstLineChars="200"/>
        <w:outlineLvl w:val="0"/>
        <w:rPr>
          <w:rFonts w:hAnsiTheme="minorEastAsia"/>
          <w:sz w:val="24"/>
        </w:rPr>
      </w:pPr>
    </w:p>
    <w:p w14:paraId="70F39682">
      <w:pPr>
        <w:spacing w:line="360" w:lineRule="auto"/>
        <w:ind w:firstLine="480" w:firstLineChars="200"/>
        <w:outlineLvl w:val="0"/>
        <w:rPr>
          <w:sz w:val="24"/>
        </w:rPr>
      </w:pPr>
      <w:r>
        <w:rPr>
          <w:rFonts w:hAnsiTheme="minorEastAsia"/>
          <w:sz w:val="24"/>
        </w:rPr>
        <w:t>四、投标文件内容要求</w:t>
      </w:r>
    </w:p>
    <w:p w14:paraId="1F420BBC">
      <w:pPr>
        <w:spacing w:line="360" w:lineRule="auto"/>
        <w:ind w:firstLine="480" w:firstLineChars="200"/>
        <w:outlineLvl w:val="0"/>
        <w:rPr>
          <w:sz w:val="24"/>
        </w:rPr>
      </w:pPr>
      <w:r>
        <w:rPr>
          <w:rFonts w:hint="eastAsia" w:hAnsiTheme="minorEastAsia"/>
          <w:sz w:val="24"/>
        </w:rPr>
        <w:t>（一）</w:t>
      </w:r>
      <w:r>
        <w:rPr>
          <w:rFonts w:hAnsiTheme="minorEastAsia"/>
          <w:sz w:val="24"/>
        </w:rPr>
        <w:t>投标人须按照《投标须知》</w:t>
      </w:r>
      <w:r>
        <w:rPr>
          <w:sz w:val="24"/>
        </w:rPr>
        <w:t xml:space="preserve">“C </w:t>
      </w:r>
      <w:r>
        <w:rPr>
          <w:rFonts w:hAnsiTheme="minorEastAsia"/>
          <w:sz w:val="24"/>
        </w:rPr>
        <w:t>投标文件的编制</w:t>
      </w:r>
      <w:r>
        <w:rPr>
          <w:sz w:val="24"/>
        </w:rPr>
        <w:t>”</w:t>
      </w:r>
      <w:r>
        <w:rPr>
          <w:rFonts w:hAnsiTheme="minorEastAsia"/>
          <w:sz w:val="24"/>
        </w:rPr>
        <w:t>中的相关要求编制投标文件</w:t>
      </w:r>
      <w:r>
        <w:rPr>
          <w:rFonts w:hint="eastAsia" w:hAnsiTheme="minorEastAsia"/>
          <w:sz w:val="24"/>
        </w:rPr>
        <w:t>。</w:t>
      </w:r>
    </w:p>
    <w:p w14:paraId="2303B770">
      <w:pPr>
        <w:spacing w:line="360" w:lineRule="auto"/>
        <w:ind w:firstLine="480" w:firstLineChars="200"/>
        <w:outlineLvl w:val="0"/>
        <w:rPr>
          <w:sz w:val="24"/>
        </w:rPr>
      </w:pPr>
      <w:r>
        <w:rPr>
          <w:rFonts w:hint="eastAsia" w:hAnsiTheme="minorEastAsia"/>
          <w:sz w:val="24"/>
        </w:rPr>
        <w:t>（二）</w:t>
      </w:r>
      <w:r>
        <w:rPr>
          <w:rFonts w:hAnsiTheme="minorEastAsia"/>
          <w:sz w:val="24"/>
        </w:rPr>
        <w:t>投标文件</w:t>
      </w:r>
      <w:r>
        <w:rPr>
          <w:rFonts w:hint="eastAsia" w:hAnsiTheme="minorEastAsia"/>
          <w:sz w:val="24"/>
        </w:rPr>
        <w:t>格式参照第五部分</w:t>
      </w:r>
      <w:r>
        <w:rPr>
          <w:rFonts w:hint="eastAsia"/>
          <w:sz w:val="24"/>
        </w:rPr>
        <w:t>“</w:t>
      </w:r>
      <w:r>
        <w:rPr>
          <w:rFonts w:hint="eastAsia" w:hAnsiTheme="minorEastAsia"/>
          <w:sz w:val="24"/>
        </w:rPr>
        <w:t>投标文件格式</w:t>
      </w:r>
      <w:r>
        <w:rPr>
          <w:rFonts w:hint="eastAsia"/>
          <w:sz w:val="24"/>
        </w:rPr>
        <w:t>”</w:t>
      </w:r>
      <w:r>
        <w:rPr>
          <w:rFonts w:hint="eastAsia" w:hAnsiTheme="minorEastAsia"/>
          <w:sz w:val="24"/>
        </w:rPr>
        <w:t>。</w:t>
      </w:r>
    </w:p>
    <w:p w14:paraId="03799897">
      <w:pPr>
        <w:spacing w:line="360" w:lineRule="auto"/>
        <w:ind w:firstLine="480" w:firstLineChars="200"/>
        <w:outlineLvl w:val="0"/>
        <w:rPr>
          <w:sz w:val="24"/>
        </w:rPr>
      </w:pPr>
    </w:p>
    <w:p w14:paraId="7F73A5E6">
      <w:pPr>
        <w:spacing w:line="360" w:lineRule="auto"/>
        <w:jc w:val="center"/>
        <w:rPr>
          <w:b/>
          <w:sz w:val="24"/>
        </w:rPr>
      </w:pPr>
      <w:r>
        <w:rPr>
          <w:sz w:val="24"/>
          <w:u w:val="single"/>
        </w:rPr>
        <w:br w:type="page"/>
      </w:r>
      <w:r>
        <w:rPr>
          <w:rFonts w:hAnsiTheme="minorEastAsia"/>
          <w:b/>
          <w:sz w:val="24"/>
        </w:rPr>
        <w:t>项目需求书</w:t>
      </w:r>
    </w:p>
    <w:p w14:paraId="5B7206F5">
      <w:pPr>
        <w:spacing w:line="360" w:lineRule="auto"/>
        <w:rPr>
          <w:rFonts w:ascii="Times New Roman" w:hAnsi="Times New Roman" w:cs="Times New Roman"/>
          <w:b/>
          <w:sz w:val="24"/>
          <w:szCs w:val="24"/>
        </w:rPr>
      </w:pPr>
      <w:r>
        <w:rPr>
          <w:rFonts w:hint="eastAsia" w:ascii="Times New Roman" w:hAnsi="Times New Roman" w:cs="Times New Roman"/>
          <w:b/>
          <w:sz w:val="24"/>
          <w:szCs w:val="24"/>
        </w:rPr>
        <w:t>一、项目背景</w:t>
      </w:r>
    </w:p>
    <w:p w14:paraId="4523A81F">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服务范围：经开区管委会宝信大厦所有机房、配线间、桌面及外设设备、电话系统及会议系统的运行维护保障相关服务。OA系统相关外围服务，包括OA系统客户端维护等。</w:t>
      </w:r>
    </w:p>
    <w:p w14:paraId="5FD66B5A">
      <w:pPr>
        <w:spacing w:line="360" w:lineRule="auto"/>
        <w:ind w:firstLine="480" w:firstLineChars="200"/>
        <w:rPr>
          <w:rFonts w:hint="eastAsia" w:ascii="宋体" w:hAnsi="宋体" w:eastAsia="宋体" w:cs="Times New Roman"/>
          <w:sz w:val="24"/>
          <w:szCs w:val="24"/>
          <w:lang w:eastAsia="zh-CN"/>
        </w:rPr>
      </w:pPr>
      <w:r>
        <w:rPr>
          <w:rFonts w:hint="eastAsia" w:ascii="宋体" w:hAnsi="宋体" w:eastAsia="宋体" w:cs="Times New Roman"/>
          <w:sz w:val="24"/>
          <w:szCs w:val="24"/>
        </w:rPr>
        <w:t>服务要求：达到</w:t>
      </w:r>
      <w:r>
        <w:rPr>
          <w:rFonts w:ascii="宋体" w:hAnsi="宋体" w:eastAsia="宋体" w:cs="Times New Roman"/>
          <w:sz w:val="24"/>
          <w:szCs w:val="24"/>
        </w:rPr>
        <w:t>本项目需求书中的全部要求</w:t>
      </w:r>
      <w:r>
        <w:rPr>
          <w:rFonts w:hint="eastAsia" w:ascii="宋体" w:hAnsi="宋体" w:eastAsia="宋体" w:cs="Times New Roman"/>
          <w:sz w:val="24"/>
          <w:szCs w:val="24"/>
          <w:lang w:eastAsia="zh-CN"/>
        </w:rPr>
        <w:t>。</w:t>
      </w:r>
    </w:p>
    <w:p w14:paraId="617F46E3">
      <w:pPr>
        <w:spacing w:line="360" w:lineRule="auto"/>
        <w:ind w:firstLine="480" w:firstLineChars="200"/>
        <w:rPr>
          <w:rFonts w:hint="eastAsia" w:ascii="宋体" w:hAnsi="宋体" w:eastAsia="宋体" w:cs="Times New Roman"/>
          <w:sz w:val="24"/>
          <w:szCs w:val="24"/>
          <w:lang w:eastAsia="zh-CN"/>
        </w:rPr>
      </w:pPr>
      <w:r>
        <w:rPr>
          <w:rFonts w:hint="eastAsia" w:ascii="宋体" w:hAnsi="宋体" w:eastAsia="宋体" w:cs="Times New Roman"/>
          <w:sz w:val="24"/>
          <w:szCs w:val="24"/>
        </w:rPr>
        <w:t>本项目所属行业：软件和信息技术服务业</w:t>
      </w:r>
      <w:r>
        <w:rPr>
          <w:rFonts w:hint="eastAsia" w:ascii="宋体" w:hAnsi="宋体" w:eastAsia="宋体" w:cs="Times New Roman"/>
          <w:sz w:val="24"/>
          <w:szCs w:val="24"/>
          <w:lang w:eastAsia="zh-CN"/>
        </w:rPr>
        <w:t>。</w:t>
      </w:r>
    </w:p>
    <w:p w14:paraId="699DFA0B">
      <w:pPr>
        <w:spacing w:line="360" w:lineRule="auto"/>
        <w:ind w:firstLine="482" w:firstLineChars="200"/>
        <w:rPr>
          <w:rFonts w:ascii="宋体" w:hAnsi="宋体" w:eastAsia="宋体"/>
          <w:b/>
          <w:sz w:val="24"/>
        </w:rPr>
      </w:pPr>
      <w:r>
        <w:rPr>
          <w:rFonts w:hint="eastAsia" w:ascii="宋体" w:hAnsi="宋体" w:eastAsia="宋体"/>
          <w:b/>
          <w:sz w:val="24"/>
          <w:lang w:eastAsia="zh-CN"/>
        </w:rPr>
        <w:t>二</w:t>
      </w:r>
      <w:r>
        <w:rPr>
          <w:rFonts w:hint="eastAsia" w:ascii="宋体" w:hAnsi="宋体" w:eastAsia="宋体"/>
          <w:b/>
          <w:sz w:val="24"/>
        </w:rPr>
        <w:t>、技术要求</w:t>
      </w:r>
    </w:p>
    <w:p w14:paraId="730D6DCF">
      <w:pPr>
        <w:spacing w:line="360" w:lineRule="auto"/>
        <w:ind w:firstLine="480" w:firstLineChars="200"/>
        <w:rPr>
          <w:rFonts w:hint="eastAsia" w:ascii="宋体" w:hAnsi="宋体" w:eastAsia="宋体"/>
          <w:bCs/>
          <w:sz w:val="24"/>
        </w:rPr>
      </w:pPr>
      <w:r>
        <w:rPr>
          <w:rFonts w:hint="eastAsia" w:ascii="宋体" w:hAnsi="宋体" w:eastAsia="宋体"/>
          <w:bCs/>
          <w:sz w:val="24"/>
        </w:rPr>
        <w:t>1.维护设备类型及数量</w:t>
      </w:r>
    </w:p>
    <w:tbl>
      <w:tblPr>
        <w:tblStyle w:val="19"/>
        <w:tblpPr w:leftFromText="180" w:rightFromText="180" w:vertAnchor="text" w:horzAnchor="page" w:tblpXSpec="center" w:tblpY="1101"/>
        <w:tblOverlap w:val="never"/>
        <w:tblW w:w="8117" w:type="dxa"/>
        <w:jc w:val="center"/>
        <w:tblLayout w:type="fixed"/>
        <w:tblCellMar>
          <w:top w:w="0" w:type="dxa"/>
          <w:left w:w="108" w:type="dxa"/>
          <w:bottom w:w="0" w:type="dxa"/>
          <w:right w:w="108" w:type="dxa"/>
        </w:tblCellMar>
      </w:tblPr>
      <w:tblGrid>
        <w:gridCol w:w="1095"/>
        <w:gridCol w:w="2266"/>
        <w:gridCol w:w="2404"/>
        <w:gridCol w:w="2352"/>
      </w:tblGrid>
      <w:tr w14:paraId="40F30CAF">
        <w:tblPrEx>
          <w:tblCellMar>
            <w:top w:w="0" w:type="dxa"/>
            <w:left w:w="108" w:type="dxa"/>
            <w:bottom w:w="0" w:type="dxa"/>
            <w:right w:w="108" w:type="dxa"/>
          </w:tblCellMar>
        </w:tblPrEx>
        <w:trPr>
          <w:trHeight w:val="419" w:hRule="exact"/>
          <w:jc w:val="center"/>
        </w:trPr>
        <w:tc>
          <w:tcPr>
            <w:tcW w:w="1095" w:type="dxa"/>
            <w:tcBorders>
              <w:top w:val="single" w:color="auto" w:sz="4" w:space="0"/>
              <w:left w:val="single" w:color="auto" w:sz="4" w:space="0"/>
              <w:bottom w:val="single" w:color="auto" w:sz="4" w:space="0"/>
              <w:right w:val="single" w:color="auto" w:sz="4" w:space="0"/>
            </w:tcBorders>
            <w:noWrap/>
            <w:vAlign w:val="center"/>
          </w:tcPr>
          <w:p w14:paraId="68CC91AF">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序号</w:t>
            </w:r>
          </w:p>
        </w:tc>
        <w:tc>
          <w:tcPr>
            <w:tcW w:w="2266" w:type="dxa"/>
            <w:tcBorders>
              <w:top w:val="single" w:color="auto" w:sz="4" w:space="0"/>
              <w:left w:val="nil"/>
              <w:bottom w:val="single" w:color="auto" w:sz="4" w:space="0"/>
              <w:right w:val="single" w:color="auto" w:sz="4" w:space="0"/>
            </w:tcBorders>
            <w:noWrap/>
            <w:vAlign w:val="center"/>
          </w:tcPr>
          <w:p w14:paraId="23BF8F13">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设备类型</w:t>
            </w:r>
          </w:p>
        </w:tc>
        <w:tc>
          <w:tcPr>
            <w:tcW w:w="2404" w:type="dxa"/>
            <w:tcBorders>
              <w:top w:val="single" w:color="auto" w:sz="4" w:space="0"/>
              <w:left w:val="nil"/>
              <w:bottom w:val="single" w:color="auto" w:sz="4" w:space="0"/>
              <w:right w:val="single" w:color="auto" w:sz="4" w:space="0"/>
            </w:tcBorders>
            <w:noWrap/>
            <w:vAlign w:val="center"/>
          </w:tcPr>
          <w:p w14:paraId="6A56E7E5">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rPr>
              <w:t>设备</w:t>
            </w:r>
            <w:r>
              <w:rPr>
                <w:rFonts w:hint="eastAsia" w:ascii="宋体" w:hAnsi="宋体" w:eastAsia="宋体" w:cs="宋体"/>
                <w:kern w:val="0"/>
                <w:sz w:val="24"/>
                <w:szCs w:val="24"/>
                <w:lang w:val="en-US" w:eastAsia="zh-CN"/>
              </w:rPr>
              <w:t>总数</w:t>
            </w:r>
            <w:r>
              <w:rPr>
                <w:rFonts w:hint="eastAsia" w:ascii="宋体" w:hAnsi="宋体" w:eastAsia="宋体" w:cs="宋体"/>
                <w:kern w:val="0"/>
                <w:sz w:val="24"/>
                <w:szCs w:val="24"/>
              </w:rPr>
              <w:t>（台）</w:t>
            </w:r>
          </w:p>
        </w:tc>
        <w:tc>
          <w:tcPr>
            <w:tcW w:w="2352" w:type="dxa"/>
            <w:tcBorders>
              <w:top w:val="single" w:color="auto" w:sz="4" w:space="0"/>
              <w:left w:val="nil"/>
              <w:bottom w:val="single" w:color="auto" w:sz="4" w:space="0"/>
              <w:right w:val="single" w:color="auto" w:sz="4" w:space="0"/>
            </w:tcBorders>
            <w:noWrap/>
            <w:vAlign w:val="center"/>
          </w:tcPr>
          <w:p w14:paraId="5F4060E1">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备注</w:t>
            </w:r>
          </w:p>
        </w:tc>
      </w:tr>
      <w:tr w14:paraId="21A41896">
        <w:tblPrEx>
          <w:tblCellMar>
            <w:top w:w="0" w:type="dxa"/>
            <w:left w:w="108" w:type="dxa"/>
            <w:bottom w:w="0" w:type="dxa"/>
            <w:right w:w="108" w:type="dxa"/>
          </w:tblCellMar>
        </w:tblPrEx>
        <w:trPr>
          <w:trHeight w:val="419" w:hRule="exact"/>
          <w:jc w:val="center"/>
        </w:trPr>
        <w:tc>
          <w:tcPr>
            <w:tcW w:w="1095" w:type="dxa"/>
            <w:tcBorders>
              <w:top w:val="nil"/>
              <w:left w:val="single" w:color="auto" w:sz="4" w:space="0"/>
              <w:bottom w:val="single" w:color="auto" w:sz="4" w:space="0"/>
              <w:right w:val="single" w:color="auto" w:sz="4" w:space="0"/>
            </w:tcBorders>
            <w:noWrap/>
            <w:vAlign w:val="center"/>
          </w:tcPr>
          <w:p w14:paraId="55EA68B9">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1</w:t>
            </w:r>
          </w:p>
        </w:tc>
        <w:tc>
          <w:tcPr>
            <w:tcW w:w="2266" w:type="dxa"/>
            <w:tcBorders>
              <w:top w:val="nil"/>
              <w:left w:val="nil"/>
              <w:bottom w:val="single" w:color="auto" w:sz="4" w:space="0"/>
              <w:right w:val="single" w:color="auto" w:sz="4" w:space="0"/>
            </w:tcBorders>
            <w:noWrap/>
            <w:vAlign w:val="center"/>
          </w:tcPr>
          <w:p w14:paraId="218DD5B9">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服务器</w:t>
            </w:r>
          </w:p>
        </w:tc>
        <w:tc>
          <w:tcPr>
            <w:tcW w:w="2404" w:type="dxa"/>
            <w:tcBorders>
              <w:top w:val="nil"/>
              <w:left w:val="nil"/>
              <w:bottom w:val="single" w:color="auto" w:sz="4" w:space="0"/>
              <w:right w:val="single" w:color="auto" w:sz="4" w:space="0"/>
            </w:tcBorders>
            <w:noWrap/>
            <w:vAlign w:val="center"/>
          </w:tcPr>
          <w:p w14:paraId="293118AC">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85</w:t>
            </w:r>
          </w:p>
        </w:tc>
        <w:tc>
          <w:tcPr>
            <w:tcW w:w="2352" w:type="dxa"/>
            <w:tcBorders>
              <w:top w:val="nil"/>
              <w:left w:val="nil"/>
              <w:bottom w:val="single" w:color="auto" w:sz="4" w:space="0"/>
              <w:right w:val="single" w:color="auto" w:sz="4" w:space="0"/>
            </w:tcBorders>
            <w:noWrap/>
            <w:vAlign w:val="center"/>
          </w:tcPr>
          <w:p w14:paraId="45E146F7">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虚拟主机</w:t>
            </w:r>
          </w:p>
        </w:tc>
      </w:tr>
      <w:tr w14:paraId="49E72065">
        <w:tblPrEx>
          <w:tblCellMar>
            <w:top w:w="0" w:type="dxa"/>
            <w:left w:w="108" w:type="dxa"/>
            <w:bottom w:w="0" w:type="dxa"/>
            <w:right w:w="108" w:type="dxa"/>
          </w:tblCellMar>
        </w:tblPrEx>
        <w:trPr>
          <w:trHeight w:val="419" w:hRule="exact"/>
          <w:jc w:val="center"/>
        </w:trPr>
        <w:tc>
          <w:tcPr>
            <w:tcW w:w="1095" w:type="dxa"/>
            <w:tcBorders>
              <w:top w:val="nil"/>
              <w:left w:val="single" w:color="auto" w:sz="4" w:space="0"/>
              <w:bottom w:val="single" w:color="auto" w:sz="4" w:space="0"/>
              <w:right w:val="single" w:color="auto" w:sz="4" w:space="0"/>
            </w:tcBorders>
            <w:noWrap/>
            <w:vAlign w:val="center"/>
          </w:tcPr>
          <w:p w14:paraId="67A01747">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2</w:t>
            </w:r>
          </w:p>
        </w:tc>
        <w:tc>
          <w:tcPr>
            <w:tcW w:w="2266" w:type="dxa"/>
            <w:tcBorders>
              <w:top w:val="nil"/>
              <w:left w:val="nil"/>
              <w:bottom w:val="single" w:color="auto" w:sz="4" w:space="0"/>
              <w:right w:val="single" w:color="auto" w:sz="4" w:space="0"/>
            </w:tcBorders>
            <w:noWrap/>
            <w:vAlign w:val="center"/>
          </w:tcPr>
          <w:p w14:paraId="6ABD6AA7">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服务器</w:t>
            </w:r>
          </w:p>
        </w:tc>
        <w:tc>
          <w:tcPr>
            <w:tcW w:w="2404" w:type="dxa"/>
            <w:tcBorders>
              <w:top w:val="nil"/>
              <w:left w:val="nil"/>
              <w:bottom w:val="single" w:color="auto" w:sz="4" w:space="0"/>
              <w:right w:val="single" w:color="auto" w:sz="4" w:space="0"/>
            </w:tcBorders>
            <w:noWrap/>
            <w:vAlign w:val="center"/>
          </w:tcPr>
          <w:p w14:paraId="5F514A3C">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341</w:t>
            </w:r>
          </w:p>
        </w:tc>
        <w:tc>
          <w:tcPr>
            <w:tcW w:w="2352" w:type="dxa"/>
            <w:tcBorders>
              <w:top w:val="nil"/>
              <w:left w:val="nil"/>
              <w:bottom w:val="single" w:color="auto" w:sz="4" w:space="0"/>
              <w:right w:val="single" w:color="auto" w:sz="4" w:space="0"/>
            </w:tcBorders>
            <w:noWrap/>
            <w:vAlign w:val="center"/>
          </w:tcPr>
          <w:p w14:paraId="556D642A">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虚拟服务器</w:t>
            </w:r>
          </w:p>
        </w:tc>
      </w:tr>
      <w:tr w14:paraId="53C7DE1A">
        <w:tblPrEx>
          <w:tblCellMar>
            <w:top w:w="0" w:type="dxa"/>
            <w:left w:w="108" w:type="dxa"/>
            <w:bottom w:w="0" w:type="dxa"/>
            <w:right w:w="108" w:type="dxa"/>
          </w:tblCellMar>
        </w:tblPrEx>
        <w:trPr>
          <w:trHeight w:val="419" w:hRule="exact"/>
          <w:jc w:val="center"/>
        </w:trPr>
        <w:tc>
          <w:tcPr>
            <w:tcW w:w="1095" w:type="dxa"/>
            <w:tcBorders>
              <w:top w:val="nil"/>
              <w:left w:val="single" w:color="auto" w:sz="4" w:space="0"/>
              <w:bottom w:val="single" w:color="auto" w:sz="4" w:space="0"/>
              <w:right w:val="single" w:color="auto" w:sz="4" w:space="0"/>
            </w:tcBorders>
            <w:noWrap/>
            <w:vAlign w:val="center"/>
          </w:tcPr>
          <w:p w14:paraId="0981B50A">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3</w:t>
            </w:r>
          </w:p>
        </w:tc>
        <w:tc>
          <w:tcPr>
            <w:tcW w:w="2266" w:type="dxa"/>
            <w:tcBorders>
              <w:top w:val="nil"/>
              <w:left w:val="nil"/>
              <w:bottom w:val="single" w:color="auto" w:sz="4" w:space="0"/>
              <w:right w:val="single" w:color="auto" w:sz="4" w:space="0"/>
            </w:tcBorders>
            <w:noWrap/>
            <w:vAlign w:val="center"/>
          </w:tcPr>
          <w:p w14:paraId="65842F78">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服务器</w:t>
            </w:r>
          </w:p>
        </w:tc>
        <w:tc>
          <w:tcPr>
            <w:tcW w:w="2404" w:type="dxa"/>
            <w:tcBorders>
              <w:top w:val="nil"/>
              <w:left w:val="nil"/>
              <w:bottom w:val="single" w:color="auto" w:sz="4" w:space="0"/>
              <w:right w:val="single" w:color="auto" w:sz="4" w:space="0"/>
            </w:tcBorders>
            <w:noWrap/>
            <w:vAlign w:val="center"/>
          </w:tcPr>
          <w:p w14:paraId="262F6418">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55</w:t>
            </w:r>
          </w:p>
        </w:tc>
        <w:tc>
          <w:tcPr>
            <w:tcW w:w="2352" w:type="dxa"/>
            <w:tcBorders>
              <w:top w:val="nil"/>
              <w:left w:val="nil"/>
              <w:bottom w:val="single" w:color="auto" w:sz="4" w:space="0"/>
              <w:right w:val="single" w:color="auto" w:sz="4" w:space="0"/>
            </w:tcBorders>
            <w:noWrap/>
            <w:vAlign w:val="center"/>
          </w:tcPr>
          <w:p w14:paraId="561CA6E3">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实体机服务器</w:t>
            </w:r>
          </w:p>
        </w:tc>
      </w:tr>
      <w:tr w14:paraId="4C91F519">
        <w:tblPrEx>
          <w:tblCellMar>
            <w:top w:w="0" w:type="dxa"/>
            <w:left w:w="108" w:type="dxa"/>
            <w:bottom w:w="0" w:type="dxa"/>
            <w:right w:w="108" w:type="dxa"/>
          </w:tblCellMar>
        </w:tblPrEx>
        <w:trPr>
          <w:trHeight w:val="419" w:hRule="exact"/>
          <w:jc w:val="center"/>
        </w:trPr>
        <w:tc>
          <w:tcPr>
            <w:tcW w:w="1095" w:type="dxa"/>
            <w:tcBorders>
              <w:top w:val="nil"/>
              <w:left w:val="single" w:color="auto" w:sz="4" w:space="0"/>
              <w:bottom w:val="single" w:color="auto" w:sz="4" w:space="0"/>
              <w:right w:val="single" w:color="auto" w:sz="4" w:space="0"/>
            </w:tcBorders>
            <w:noWrap/>
            <w:vAlign w:val="center"/>
          </w:tcPr>
          <w:p w14:paraId="2EA348D1">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4</w:t>
            </w:r>
          </w:p>
        </w:tc>
        <w:tc>
          <w:tcPr>
            <w:tcW w:w="2266" w:type="dxa"/>
            <w:tcBorders>
              <w:top w:val="nil"/>
              <w:left w:val="nil"/>
              <w:bottom w:val="single" w:color="auto" w:sz="4" w:space="0"/>
              <w:right w:val="single" w:color="auto" w:sz="4" w:space="0"/>
            </w:tcBorders>
            <w:noWrap/>
            <w:vAlign w:val="center"/>
          </w:tcPr>
          <w:p w14:paraId="49673FC4">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网络设备</w:t>
            </w:r>
          </w:p>
        </w:tc>
        <w:tc>
          <w:tcPr>
            <w:tcW w:w="2404" w:type="dxa"/>
            <w:tcBorders>
              <w:top w:val="nil"/>
              <w:left w:val="nil"/>
              <w:bottom w:val="single" w:color="auto" w:sz="4" w:space="0"/>
              <w:right w:val="single" w:color="auto" w:sz="4" w:space="0"/>
            </w:tcBorders>
            <w:noWrap/>
            <w:vAlign w:val="center"/>
          </w:tcPr>
          <w:p w14:paraId="23810ADA">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336</w:t>
            </w:r>
          </w:p>
        </w:tc>
        <w:tc>
          <w:tcPr>
            <w:tcW w:w="2352" w:type="dxa"/>
            <w:tcBorders>
              <w:top w:val="nil"/>
              <w:left w:val="nil"/>
              <w:bottom w:val="single" w:color="auto" w:sz="4" w:space="0"/>
              <w:right w:val="single" w:color="auto" w:sz="4" w:space="0"/>
            </w:tcBorders>
            <w:noWrap/>
            <w:vAlign w:val="center"/>
          </w:tcPr>
          <w:p w14:paraId="045E3192">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机房　</w:t>
            </w:r>
          </w:p>
        </w:tc>
      </w:tr>
      <w:tr w14:paraId="7476FF17">
        <w:tblPrEx>
          <w:tblCellMar>
            <w:top w:w="0" w:type="dxa"/>
            <w:left w:w="108" w:type="dxa"/>
            <w:bottom w:w="0" w:type="dxa"/>
            <w:right w:w="108" w:type="dxa"/>
          </w:tblCellMar>
        </w:tblPrEx>
        <w:trPr>
          <w:trHeight w:val="419" w:hRule="exact"/>
          <w:jc w:val="center"/>
        </w:trPr>
        <w:tc>
          <w:tcPr>
            <w:tcW w:w="1095" w:type="dxa"/>
            <w:tcBorders>
              <w:top w:val="nil"/>
              <w:left w:val="single" w:color="auto" w:sz="4" w:space="0"/>
              <w:bottom w:val="single" w:color="auto" w:sz="4" w:space="0"/>
              <w:right w:val="single" w:color="auto" w:sz="4" w:space="0"/>
            </w:tcBorders>
            <w:noWrap/>
            <w:vAlign w:val="center"/>
          </w:tcPr>
          <w:p w14:paraId="30066F80">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5</w:t>
            </w:r>
          </w:p>
        </w:tc>
        <w:tc>
          <w:tcPr>
            <w:tcW w:w="2266" w:type="dxa"/>
            <w:tcBorders>
              <w:top w:val="nil"/>
              <w:left w:val="nil"/>
              <w:bottom w:val="single" w:color="auto" w:sz="4" w:space="0"/>
              <w:right w:val="single" w:color="auto" w:sz="4" w:space="0"/>
            </w:tcBorders>
            <w:noWrap/>
            <w:vAlign w:val="center"/>
          </w:tcPr>
          <w:p w14:paraId="20DCE37A">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网络安全设备</w:t>
            </w:r>
          </w:p>
        </w:tc>
        <w:tc>
          <w:tcPr>
            <w:tcW w:w="2404" w:type="dxa"/>
            <w:tcBorders>
              <w:top w:val="nil"/>
              <w:left w:val="nil"/>
              <w:bottom w:val="single" w:color="auto" w:sz="4" w:space="0"/>
              <w:right w:val="single" w:color="auto" w:sz="4" w:space="0"/>
            </w:tcBorders>
            <w:noWrap/>
            <w:vAlign w:val="center"/>
          </w:tcPr>
          <w:p w14:paraId="59B05273">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39</w:t>
            </w:r>
          </w:p>
        </w:tc>
        <w:tc>
          <w:tcPr>
            <w:tcW w:w="2352" w:type="dxa"/>
            <w:tcBorders>
              <w:top w:val="nil"/>
              <w:left w:val="nil"/>
              <w:bottom w:val="single" w:color="auto" w:sz="4" w:space="0"/>
              <w:right w:val="single" w:color="auto" w:sz="4" w:space="0"/>
            </w:tcBorders>
            <w:noWrap/>
            <w:vAlign w:val="center"/>
          </w:tcPr>
          <w:p w14:paraId="2722F80F">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机房</w:t>
            </w:r>
          </w:p>
        </w:tc>
      </w:tr>
      <w:tr w14:paraId="0B55687B">
        <w:tblPrEx>
          <w:tblCellMar>
            <w:top w:w="0" w:type="dxa"/>
            <w:left w:w="108" w:type="dxa"/>
            <w:bottom w:w="0" w:type="dxa"/>
            <w:right w:w="108" w:type="dxa"/>
          </w:tblCellMar>
        </w:tblPrEx>
        <w:trPr>
          <w:trHeight w:val="399" w:hRule="exact"/>
          <w:jc w:val="center"/>
        </w:trPr>
        <w:tc>
          <w:tcPr>
            <w:tcW w:w="1095" w:type="dxa"/>
            <w:tcBorders>
              <w:top w:val="nil"/>
              <w:left w:val="single" w:color="auto" w:sz="4" w:space="0"/>
              <w:bottom w:val="single" w:color="auto" w:sz="4" w:space="0"/>
              <w:right w:val="single" w:color="auto" w:sz="4" w:space="0"/>
            </w:tcBorders>
            <w:noWrap/>
            <w:vAlign w:val="center"/>
          </w:tcPr>
          <w:p w14:paraId="2C080FB9">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6</w:t>
            </w:r>
          </w:p>
        </w:tc>
        <w:tc>
          <w:tcPr>
            <w:tcW w:w="2266" w:type="dxa"/>
            <w:tcBorders>
              <w:top w:val="nil"/>
              <w:left w:val="nil"/>
              <w:bottom w:val="single" w:color="auto" w:sz="4" w:space="0"/>
              <w:right w:val="single" w:color="auto" w:sz="4" w:space="0"/>
            </w:tcBorders>
            <w:noWrap/>
            <w:vAlign w:val="center"/>
          </w:tcPr>
          <w:p w14:paraId="78C03A59">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存储服务器</w:t>
            </w:r>
          </w:p>
        </w:tc>
        <w:tc>
          <w:tcPr>
            <w:tcW w:w="2404" w:type="dxa"/>
            <w:tcBorders>
              <w:top w:val="nil"/>
              <w:left w:val="nil"/>
              <w:bottom w:val="single" w:color="auto" w:sz="4" w:space="0"/>
              <w:right w:val="single" w:color="auto" w:sz="4" w:space="0"/>
            </w:tcBorders>
            <w:noWrap/>
            <w:vAlign w:val="center"/>
          </w:tcPr>
          <w:p w14:paraId="2ACACFD0">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rPr>
              <w:t>19</w:t>
            </w:r>
          </w:p>
        </w:tc>
        <w:tc>
          <w:tcPr>
            <w:tcW w:w="2352" w:type="dxa"/>
            <w:tcBorders>
              <w:top w:val="nil"/>
              <w:left w:val="nil"/>
              <w:bottom w:val="single" w:color="auto" w:sz="4" w:space="0"/>
              <w:right w:val="single" w:color="auto" w:sz="4" w:space="0"/>
            </w:tcBorders>
            <w:noWrap/>
            <w:vAlign w:val="center"/>
          </w:tcPr>
          <w:p w14:paraId="57F0F40D">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机房</w:t>
            </w:r>
          </w:p>
        </w:tc>
      </w:tr>
      <w:tr w14:paraId="347CBC20">
        <w:tblPrEx>
          <w:tblCellMar>
            <w:top w:w="0" w:type="dxa"/>
            <w:left w:w="108" w:type="dxa"/>
            <w:bottom w:w="0" w:type="dxa"/>
            <w:right w:w="108" w:type="dxa"/>
          </w:tblCellMar>
        </w:tblPrEx>
        <w:trPr>
          <w:trHeight w:val="419" w:hRule="exact"/>
          <w:jc w:val="center"/>
        </w:trPr>
        <w:tc>
          <w:tcPr>
            <w:tcW w:w="1095" w:type="dxa"/>
            <w:tcBorders>
              <w:top w:val="nil"/>
              <w:left w:val="single" w:color="auto" w:sz="4" w:space="0"/>
              <w:bottom w:val="single" w:color="auto" w:sz="4" w:space="0"/>
              <w:right w:val="single" w:color="auto" w:sz="4" w:space="0"/>
            </w:tcBorders>
            <w:noWrap/>
            <w:vAlign w:val="center"/>
          </w:tcPr>
          <w:p w14:paraId="2348DA4B">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7</w:t>
            </w:r>
          </w:p>
        </w:tc>
        <w:tc>
          <w:tcPr>
            <w:tcW w:w="2266" w:type="dxa"/>
            <w:tcBorders>
              <w:top w:val="nil"/>
              <w:left w:val="nil"/>
              <w:bottom w:val="single" w:color="auto" w:sz="4" w:space="0"/>
              <w:right w:val="single" w:color="auto" w:sz="4" w:space="0"/>
            </w:tcBorders>
            <w:noWrap/>
            <w:vAlign w:val="center"/>
          </w:tcPr>
          <w:p w14:paraId="3F669663">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UPS电源</w:t>
            </w:r>
          </w:p>
        </w:tc>
        <w:tc>
          <w:tcPr>
            <w:tcW w:w="2404" w:type="dxa"/>
            <w:tcBorders>
              <w:top w:val="nil"/>
              <w:left w:val="nil"/>
              <w:bottom w:val="single" w:color="auto" w:sz="4" w:space="0"/>
              <w:right w:val="single" w:color="auto" w:sz="4" w:space="0"/>
            </w:tcBorders>
            <w:noWrap/>
            <w:vAlign w:val="center"/>
          </w:tcPr>
          <w:p w14:paraId="3A16015D">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rPr>
              <w:t>50</w:t>
            </w:r>
          </w:p>
        </w:tc>
        <w:tc>
          <w:tcPr>
            <w:tcW w:w="2352" w:type="dxa"/>
            <w:tcBorders>
              <w:top w:val="nil"/>
              <w:left w:val="nil"/>
              <w:bottom w:val="single" w:color="auto" w:sz="4" w:space="0"/>
              <w:right w:val="single" w:color="auto" w:sz="4" w:space="0"/>
            </w:tcBorders>
            <w:noWrap/>
            <w:vAlign w:val="center"/>
          </w:tcPr>
          <w:p w14:paraId="1C975B1B">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机房</w:t>
            </w:r>
          </w:p>
        </w:tc>
      </w:tr>
      <w:tr w14:paraId="52BA5BEB">
        <w:tblPrEx>
          <w:tblCellMar>
            <w:top w:w="0" w:type="dxa"/>
            <w:left w:w="108" w:type="dxa"/>
            <w:bottom w:w="0" w:type="dxa"/>
            <w:right w:w="108" w:type="dxa"/>
          </w:tblCellMar>
        </w:tblPrEx>
        <w:trPr>
          <w:trHeight w:val="419" w:hRule="exact"/>
          <w:jc w:val="center"/>
        </w:trPr>
        <w:tc>
          <w:tcPr>
            <w:tcW w:w="1095" w:type="dxa"/>
            <w:tcBorders>
              <w:top w:val="single" w:color="auto" w:sz="4" w:space="0"/>
              <w:left w:val="single" w:color="auto" w:sz="4" w:space="0"/>
              <w:bottom w:val="single" w:color="auto" w:sz="4" w:space="0"/>
              <w:right w:val="single" w:color="auto" w:sz="4" w:space="0"/>
            </w:tcBorders>
            <w:noWrap/>
            <w:vAlign w:val="center"/>
          </w:tcPr>
          <w:p w14:paraId="6A83A3C5">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8</w:t>
            </w:r>
          </w:p>
        </w:tc>
        <w:tc>
          <w:tcPr>
            <w:tcW w:w="2266" w:type="dxa"/>
            <w:tcBorders>
              <w:top w:val="single" w:color="auto" w:sz="4" w:space="0"/>
              <w:left w:val="nil"/>
              <w:bottom w:val="single" w:color="auto" w:sz="4" w:space="0"/>
              <w:right w:val="single" w:color="auto" w:sz="4" w:space="0"/>
            </w:tcBorders>
            <w:noWrap/>
            <w:vAlign w:val="center"/>
          </w:tcPr>
          <w:p w14:paraId="3F8832D9">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机房专用空调</w:t>
            </w:r>
          </w:p>
        </w:tc>
        <w:tc>
          <w:tcPr>
            <w:tcW w:w="2404" w:type="dxa"/>
            <w:tcBorders>
              <w:top w:val="single" w:color="auto" w:sz="4" w:space="0"/>
              <w:left w:val="nil"/>
              <w:bottom w:val="single" w:color="auto" w:sz="4" w:space="0"/>
              <w:right w:val="single" w:color="auto" w:sz="4" w:space="0"/>
            </w:tcBorders>
            <w:noWrap/>
            <w:vAlign w:val="center"/>
          </w:tcPr>
          <w:p w14:paraId="0130B1A1">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rPr>
              <w:t>15</w:t>
            </w:r>
          </w:p>
        </w:tc>
        <w:tc>
          <w:tcPr>
            <w:tcW w:w="2352" w:type="dxa"/>
            <w:tcBorders>
              <w:top w:val="single" w:color="auto" w:sz="4" w:space="0"/>
              <w:left w:val="nil"/>
              <w:bottom w:val="single" w:color="auto" w:sz="4" w:space="0"/>
              <w:right w:val="single" w:color="auto" w:sz="4" w:space="0"/>
            </w:tcBorders>
            <w:noWrap/>
            <w:vAlign w:val="center"/>
          </w:tcPr>
          <w:p w14:paraId="003E16E6">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机房</w:t>
            </w:r>
          </w:p>
        </w:tc>
      </w:tr>
      <w:tr w14:paraId="226E2F3B">
        <w:tblPrEx>
          <w:tblCellMar>
            <w:top w:w="0" w:type="dxa"/>
            <w:left w:w="108" w:type="dxa"/>
            <w:bottom w:w="0" w:type="dxa"/>
            <w:right w:w="108" w:type="dxa"/>
          </w:tblCellMar>
        </w:tblPrEx>
        <w:trPr>
          <w:trHeight w:val="369" w:hRule="exact"/>
          <w:jc w:val="center"/>
        </w:trPr>
        <w:tc>
          <w:tcPr>
            <w:tcW w:w="1095" w:type="dxa"/>
            <w:tcBorders>
              <w:top w:val="single" w:color="auto" w:sz="4" w:space="0"/>
              <w:left w:val="single" w:color="auto" w:sz="4" w:space="0"/>
              <w:bottom w:val="single" w:color="auto" w:sz="4" w:space="0"/>
              <w:right w:val="single" w:color="auto" w:sz="4" w:space="0"/>
            </w:tcBorders>
            <w:noWrap/>
            <w:vAlign w:val="center"/>
          </w:tcPr>
          <w:p w14:paraId="0AA945FB">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9</w:t>
            </w:r>
          </w:p>
        </w:tc>
        <w:tc>
          <w:tcPr>
            <w:tcW w:w="2266" w:type="dxa"/>
            <w:tcBorders>
              <w:top w:val="single" w:color="auto" w:sz="4" w:space="0"/>
              <w:left w:val="nil"/>
              <w:bottom w:val="single" w:color="auto" w:sz="4" w:space="0"/>
              <w:right w:val="single" w:color="auto" w:sz="4" w:space="0"/>
            </w:tcBorders>
            <w:noWrap/>
            <w:vAlign w:val="center"/>
          </w:tcPr>
          <w:p w14:paraId="61DFAA77">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通信设备</w:t>
            </w:r>
          </w:p>
        </w:tc>
        <w:tc>
          <w:tcPr>
            <w:tcW w:w="2404" w:type="dxa"/>
            <w:tcBorders>
              <w:top w:val="single" w:color="auto" w:sz="4" w:space="0"/>
              <w:left w:val="nil"/>
              <w:bottom w:val="single" w:color="auto" w:sz="4" w:space="0"/>
              <w:right w:val="single" w:color="auto" w:sz="4" w:space="0"/>
            </w:tcBorders>
            <w:noWrap/>
            <w:vAlign w:val="center"/>
          </w:tcPr>
          <w:p w14:paraId="3A39A468">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62</w:t>
            </w:r>
          </w:p>
        </w:tc>
        <w:tc>
          <w:tcPr>
            <w:tcW w:w="2352" w:type="dxa"/>
            <w:tcBorders>
              <w:top w:val="single" w:color="auto" w:sz="4" w:space="0"/>
              <w:left w:val="nil"/>
              <w:bottom w:val="single" w:color="auto" w:sz="4" w:space="0"/>
              <w:right w:val="single" w:color="auto" w:sz="4" w:space="0"/>
            </w:tcBorders>
            <w:noWrap/>
            <w:vAlign w:val="center"/>
          </w:tcPr>
          <w:p w14:paraId="69A5443D">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机房</w:t>
            </w:r>
          </w:p>
        </w:tc>
      </w:tr>
      <w:tr w14:paraId="1B1EFD57">
        <w:tblPrEx>
          <w:tblCellMar>
            <w:top w:w="0" w:type="dxa"/>
            <w:left w:w="108" w:type="dxa"/>
            <w:bottom w:w="0" w:type="dxa"/>
            <w:right w:w="108" w:type="dxa"/>
          </w:tblCellMar>
        </w:tblPrEx>
        <w:trPr>
          <w:trHeight w:val="419" w:hRule="exact"/>
          <w:jc w:val="center"/>
        </w:trPr>
        <w:tc>
          <w:tcPr>
            <w:tcW w:w="1095" w:type="dxa"/>
            <w:tcBorders>
              <w:top w:val="single" w:color="auto" w:sz="4" w:space="0"/>
              <w:left w:val="single" w:color="auto" w:sz="4" w:space="0"/>
              <w:bottom w:val="single" w:color="auto" w:sz="4" w:space="0"/>
              <w:right w:val="single" w:color="auto" w:sz="4" w:space="0"/>
            </w:tcBorders>
            <w:noWrap/>
            <w:vAlign w:val="center"/>
          </w:tcPr>
          <w:p w14:paraId="7763D6DD">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10</w:t>
            </w:r>
          </w:p>
        </w:tc>
        <w:tc>
          <w:tcPr>
            <w:tcW w:w="2266" w:type="dxa"/>
            <w:tcBorders>
              <w:top w:val="single" w:color="auto" w:sz="4" w:space="0"/>
              <w:left w:val="nil"/>
              <w:bottom w:val="single" w:color="auto" w:sz="4" w:space="0"/>
              <w:right w:val="single" w:color="auto" w:sz="4" w:space="0"/>
            </w:tcBorders>
            <w:noWrap/>
            <w:vAlign w:val="center"/>
          </w:tcPr>
          <w:p w14:paraId="19280152">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PC终端及外设</w:t>
            </w:r>
          </w:p>
        </w:tc>
        <w:tc>
          <w:tcPr>
            <w:tcW w:w="2404" w:type="dxa"/>
            <w:tcBorders>
              <w:top w:val="single" w:color="auto" w:sz="4" w:space="0"/>
              <w:left w:val="nil"/>
              <w:bottom w:val="single" w:color="auto" w:sz="4" w:space="0"/>
              <w:right w:val="single" w:color="auto" w:sz="4" w:space="0"/>
            </w:tcBorders>
            <w:noWrap/>
            <w:vAlign w:val="center"/>
          </w:tcPr>
          <w:p w14:paraId="6BFA9A9B">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rPr>
              <w:t>2</w:t>
            </w:r>
            <w:r>
              <w:rPr>
                <w:rFonts w:hint="eastAsia" w:ascii="宋体" w:hAnsi="宋体" w:eastAsia="宋体" w:cs="宋体"/>
                <w:kern w:val="0"/>
                <w:sz w:val="24"/>
                <w:szCs w:val="24"/>
                <w:lang w:val="en-US" w:eastAsia="zh-CN"/>
              </w:rPr>
              <w:t>69</w:t>
            </w:r>
            <w:r>
              <w:rPr>
                <w:rFonts w:hint="eastAsia" w:ascii="宋体" w:hAnsi="宋体" w:eastAsia="宋体" w:cs="宋体"/>
                <w:kern w:val="0"/>
                <w:sz w:val="24"/>
                <w:szCs w:val="24"/>
              </w:rPr>
              <w:t>5</w:t>
            </w:r>
          </w:p>
        </w:tc>
        <w:tc>
          <w:tcPr>
            <w:tcW w:w="2352" w:type="dxa"/>
            <w:tcBorders>
              <w:top w:val="single" w:color="auto" w:sz="4" w:space="0"/>
              <w:left w:val="nil"/>
              <w:bottom w:val="single" w:color="auto" w:sz="4" w:space="0"/>
              <w:right w:val="single" w:color="auto" w:sz="4" w:space="0"/>
            </w:tcBorders>
            <w:noWrap/>
            <w:vAlign w:val="center"/>
          </w:tcPr>
          <w:p w14:paraId="1E7D14B3">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办公区域</w:t>
            </w:r>
          </w:p>
        </w:tc>
      </w:tr>
      <w:tr w14:paraId="43AF48FF">
        <w:tblPrEx>
          <w:tblCellMar>
            <w:top w:w="0" w:type="dxa"/>
            <w:left w:w="108" w:type="dxa"/>
            <w:bottom w:w="0" w:type="dxa"/>
            <w:right w:w="108" w:type="dxa"/>
          </w:tblCellMar>
        </w:tblPrEx>
        <w:trPr>
          <w:trHeight w:val="437" w:hRule="exact"/>
          <w:jc w:val="center"/>
        </w:trPr>
        <w:tc>
          <w:tcPr>
            <w:tcW w:w="1095" w:type="dxa"/>
            <w:tcBorders>
              <w:top w:val="single" w:color="auto" w:sz="4" w:space="0"/>
              <w:left w:val="single" w:color="auto" w:sz="4" w:space="0"/>
              <w:bottom w:val="single" w:color="auto" w:sz="4" w:space="0"/>
              <w:right w:val="single" w:color="auto" w:sz="4" w:space="0"/>
            </w:tcBorders>
            <w:noWrap/>
            <w:vAlign w:val="center"/>
          </w:tcPr>
          <w:p w14:paraId="02813D82">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11</w:t>
            </w:r>
          </w:p>
        </w:tc>
        <w:tc>
          <w:tcPr>
            <w:tcW w:w="2266" w:type="dxa"/>
            <w:tcBorders>
              <w:top w:val="single" w:color="auto" w:sz="4" w:space="0"/>
              <w:left w:val="nil"/>
              <w:bottom w:val="single" w:color="auto" w:sz="4" w:space="0"/>
              <w:right w:val="single" w:color="auto" w:sz="4" w:space="0"/>
            </w:tcBorders>
            <w:noWrap/>
            <w:vAlign w:val="center"/>
          </w:tcPr>
          <w:p w14:paraId="46920DC7">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会议系统设备</w:t>
            </w:r>
          </w:p>
        </w:tc>
        <w:tc>
          <w:tcPr>
            <w:tcW w:w="2404" w:type="dxa"/>
            <w:tcBorders>
              <w:top w:val="single" w:color="auto" w:sz="4" w:space="0"/>
              <w:left w:val="nil"/>
              <w:bottom w:val="single" w:color="auto" w:sz="4" w:space="0"/>
              <w:right w:val="single" w:color="auto" w:sz="4" w:space="0"/>
            </w:tcBorders>
            <w:noWrap/>
            <w:vAlign w:val="center"/>
          </w:tcPr>
          <w:p w14:paraId="4B4D71FB">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rPr>
              <w:t>3</w:t>
            </w:r>
            <w:r>
              <w:rPr>
                <w:rFonts w:hint="eastAsia" w:ascii="宋体" w:hAnsi="宋体" w:eastAsia="宋体" w:cs="宋体"/>
                <w:kern w:val="0"/>
                <w:sz w:val="24"/>
                <w:szCs w:val="24"/>
                <w:lang w:val="en-US" w:eastAsia="zh-CN"/>
              </w:rPr>
              <w:t>4</w:t>
            </w:r>
            <w:r>
              <w:rPr>
                <w:rFonts w:hint="eastAsia" w:ascii="宋体" w:hAnsi="宋体" w:eastAsia="宋体" w:cs="宋体"/>
                <w:kern w:val="0"/>
                <w:sz w:val="24"/>
                <w:szCs w:val="24"/>
              </w:rPr>
              <w:t>3</w:t>
            </w:r>
          </w:p>
        </w:tc>
        <w:tc>
          <w:tcPr>
            <w:tcW w:w="2352" w:type="dxa"/>
            <w:tcBorders>
              <w:top w:val="single" w:color="auto" w:sz="4" w:space="0"/>
              <w:left w:val="nil"/>
              <w:bottom w:val="single" w:color="auto" w:sz="4" w:space="0"/>
              <w:right w:val="single" w:color="auto" w:sz="4" w:space="0"/>
            </w:tcBorders>
            <w:noWrap/>
            <w:vAlign w:val="center"/>
          </w:tcPr>
          <w:p w14:paraId="1546ABB3">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会议室</w:t>
            </w:r>
          </w:p>
        </w:tc>
      </w:tr>
    </w:tbl>
    <w:p w14:paraId="2A942E51">
      <w:pPr>
        <w:spacing w:line="360" w:lineRule="auto"/>
        <w:ind w:firstLine="480" w:firstLineChars="200"/>
        <w:rPr>
          <w:rFonts w:hint="eastAsia" w:ascii="宋体" w:hAnsi="宋体" w:eastAsia="宋体"/>
          <w:bCs/>
          <w:sz w:val="24"/>
        </w:rPr>
      </w:pPr>
    </w:p>
    <w:p w14:paraId="301C1B60">
      <w:pPr>
        <w:spacing w:line="360" w:lineRule="auto"/>
        <w:rPr>
          <w:rFonts w:hint="eastAsia" w:ascii="宋体" w:hAnsi="宋体" w:eastAsia="宋体"/>
          <w:bCs/>
          <w:sz w:val="24"/>
        </w:rPr>
      </w:pPr>
    </w:p>
    <w:p w14:paraId="222D2F66">
      <w:pPr>
        <w:numPr>
          <w:ilvl w:val="0"/>
          <w:numId w:val="2"/>
        </w:numPr>
        <w:spacing w:line="360" w:lineRule="auto"/>
        <w:ind w:firstLine="480" w:firstLineChars="200"/>
        <w:rPr>
          <w:rFonts w:ascii="宋体" w:hAnsi="宋体" w:eastAsia="宋体"/>
          <w:bCs/>
          <w:sz w:val="24"/>
        </w:rPr>
      </w:pPr>
      <w:r>
        <w:rPr>
          <w:rFonts w:hint="eastAsia" w:ascii="宋体" w:hAnsi="宋体" w:eastAsia="宋体"/>
          <w:bCs/>
          <w:sz w:val="24"/>
        </w:rPr>
        <w:t>服务内容</w:t>
      </w:r>
    </w:p>
    <w:tbl>
      <w:tblPr>
        <w:tblStyle w:val="19"/>
        <w:tblW w:w="10135" w:type="dxa"/>
        <w:jc w:val="center"/>
        <w:tblLayout w:type="fixed"/>
        <w:tblCellMar>
          <w:top w:w="0" w:type="dxa"/>
          <w:left w:w="108" w:type="dxa"/>
          <w:bottom w:w="0" w:type="dxa"/>
          <w:right w:w="108" w:type="dxa"/>
        </w:tblCellMar>
      </w:tblPr>
      <w:tblGrid>
        <w:gridCol w:w="697"/>
        <w:gridCol w:w="1200"/>
        <w:gridCol w:w="1222"/>
        <w:gridCol w:w="5633"/>
        <w:gridCol w:w="1383"/>
      </w:tblGrid>
      <w:tr w14:paraId="4A8DFCD7">
        <w:tblPrEx>
          <w:tblCellMar>
            <w:top w:w="0" w:type="dxa"/>
            <w:left w:w="108" w:type="dxa"/>
            <w:bottom w:w="0" w:type="dxa"/>
            <w:right w:w="108" w:type="dxa"/>
          </w:tblCellMar>
        </w:tblPrEx>
        <w:trPr>
          <w:trHeight w:val="695"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7E81396E">
            <w:pPr>
              <w:widowControl/>
              <w:spacing w:line="300" w:lineRule="exact"/>
              <w:jc w:val="center"/>
              <w:rPr>
                <w:rFonts w:hint="eastAsia" w:ascii="宋体" w:hAnsi="宋体" w:eastAsia="宋体" w:cs="仿宋"/>
                <w:kern w:val="0"/>
                <w:sz w:val="24"/>
                <w:szCs w:val="24"/>
              </w:rPr>
            </w:pPr>
            <w:r>
              <w:rPr>
                <w:rFonts w:hint="eastAsia" w:ascii="宋体" w:hAnsi="宋体" w:eastAsia="宋体" w:cs="仿宋"/>
                <w:kern w:val="0"/>
                <w:sz w:val="24"/>
                <w:szCs w:val="24"/>
              </w:rPr>
              <w:t>序号</w:t>
            </w:r>
          </w:p>
        </w:tc>
        <w:tc>
          <w:tcPr>
            <w:tcW w:w="1200" w:type="dxa"/>
            <w:tcBorders>
              <w:top w:val="single" w:color="auto" w:sz="4" w:space="0"/>
              <w:left w:val="single" w:color="auto" w:sz="4" w:space="0"/>
              <w:bottom w:val="single" w:color="auto" w:sz="4" w:space="0"/>
              <w:right w:val="single" w:color="auto" w:sz="4" w:space="0"/>
            </w:tcBorders>
            <w:vAlign w:val="center"/>
          </w:tcPr>
          <w:p w14:paraId="343D40D8">
            <w:pPr>
              <w:widowControl/>
              <w:spacing w:line="300" w:lineRule="exact"/>
              <w:jc w:val="center"/>
              <w:rPr>
                <w:rFonts w:hint="eastAsia" w:ascii="宋体" w:hAnsi="宋体" w:eastAsia="宋体" w:cs="仿宋"/>
                <w:kern w:val="0"/>
                <w:sz w:val="24"/>
                <w:szCs w:val="24"/>
              </w:rPr>
            </w:pPr>
            <w:r>
              <w:rPr>
                <w:rFonts w:hint="eastAsia" w:ascii="宋体" w:hAnsi="宋体" w:eastAsia="宋体" w:cs="仿宋"/>
                <w:kern w:val="0"/>
                <w:sz w:val="24"/>
                <w:szCs w:val="24"/>
              </w:rPr>
              <w:t>服务类型</w:t>
            </w:r>
          </w:p>
        </w:tc>
        <w:tc>
          <w:tcPr>
            <w:tcW w:w="1222" w:type="dxa"/>
            <w:tcBorders>
              <w:top w:val="single" w:color="auto" w:sz="4" w:space="0"/>
              <w:left w:val="single" w:color="auto" w:sz="4" w:space="0"/>
              <w:bottom w:val="single" w:color="auto" w:sz="4" w:space="0"/>
              <w:right w:val="single" w:color="auto" w:sz="4" w:space="0"/>
            </w:tcBorders>
            <w:vAlign w:val="center"/>
          </w:tcPr>
          <w:p w14:paraId="404402D8">
            <w:pPr>
              <w:widowControl/>
              <w:spacing w:line="300" w:lineRule="exact"/>
              <w:jc w:val="center"/>
              <w:rPr>
                <w:rFonts w:hint="eastAsia" w:ascii="宋体" w:hAnsi="宋体" w:eastAsia="宋体" w:cs="仿宋"/>
                <w:kern w:val="0"/>
                <w:sz w:val="24"/>
                <w:szCs w:val="24"/>
              </w:rPr>
            </w:pPr>
            <w:r>
              <w:rPr>
                <w:rFonts w:hint="eastAsia" w:ascii="宋体" w:hAnsi="宋体" w:eastAsia="宋体" w:cs="仿宋"/>
                <w:kern w:val="0"/>
                <w:sz w:val="24"/>
                <w:szCs w:val="24"/>
              </w:rPr>
              <w:t>服务名称</w:t>
            </w:r>
          </w:p>
        </w:tc>
        <w:tc>
          <w:tcPr>
            <w:tcW w:w="5633" w:type="dxa"/>
            <w:tcBorders>
              <w:top w:val="single" w:color="auto" w:sz="4" w:space="0"/>
              <w:left w:val="nil"/>
              <w:bottom w:val="single" w:color="auto" w:sz="4" w:space="0"/>
              <w:right w:val="nil"/>
            </w:tcBorders>
            <w:vAlign w:val="center"/>
          </w:tcPr>
          <w:p w14:paraId="44D09E69">
            <w:pPr>
              <w:widowControl/>
              <w:spacing w:line="300" w:lineRule="exact"/>
              <w:jc w:val="center"/>
              <w:rPr>
                <w:rFonts w:hint="eastAsia" w:ascii="宋体" w:hAnsi="宋体" w:eastAsia="宋体" w:cs="仿宋"/>
                <w:kern w:val="0"/>
                <w:sz w:val="24"/>
                <w:szCs w:val="24"/>
              </w:rPr>
            </w:pPr>
            <w:r>
              <w:rPr>
                <w:rFonts w:hint="eastAsia" w:ascii="宋体" w:hAnsi="宋体" w:eastAsia="宋体" w:cs="仿宋"/>
                <w:kern w:val="0"/>
                <w:sz w:val="24"/>
                <w:szCs w:val="24"/>
              </w:rPr>
              <w:t>服务内容</w:t>
            </w:r>
          </w:p>
        </w:tc>
        <w:tc>
          <w:tcPr>
            <w:tcW w:w="1383" w:type="dxa"/>
            <w:tcBorders>
              <w:top w:val="single" w:color="auto" w:sz="4" w:space="0"/>
              <w:left w:val="single" w:color="auto" w:sz="4" w:space="0"/>
              <w:bottom w:val="single" w:color="auto" w:sz="4" w:space="0"/>
              <w:right w:val="single" w:color="auto" w:sz="4" w:space="0"/>
            </w:tcBorders>
            <w:vAlign w:val="center"/>
          </w:tcPr>
          <w:p w14:paraId="32DB29DE">
            <w:pPr>
              <w:widowControl/>
              <w:spacing w:line="300" w:lineRule="exact"/>
              <w:jc w:val="center"/>
              <w:rPr>
                <w:rFonts w:hint="eastAsia" w:ascii="宋体" w:hAnsi="宋体" w:eastAsia="宋体" w:cs="仿宋"/>
                <w:kern w:val="0"/>
                <w:sz w:val="24"/>
                <w:szCs w:val="24"/>
              </w:rPr>
            </w:pPr>
            <w:r>
              <w:rPr>
                <w:rFonts w:hint="eastAsia" w:ascii="宋体" w:hAnsi="宋体" w:eastAsia="宋体" w:cs="仿宋"/>
                <w:kern w:val="0"/>
                <w:sz w:val="24"/>
                <w:szCs w:val="24"/>
              </w:rPr>
              <w:t>备注</w:t>
            </w:r>
          </w:p>
        </w:tc>
      </w:tr>
      <w:tr w14:paraId="259FEED0">
        <w:tblPrEx>
          <w:tblCellMar>
            <w:top w:w="0" w:type="dxa"/>
            <w:left w:w="108" w:type="dxa"/>
            <w:bottom w:w="0" w:type="dxa"/>
            <w:right w:w="108" w:type="dxa"/>
          </w:tblCellMar>
        </w:tblPrEx>
        <w:trPr>
          <w:trHeight w:val="4210" w:hRule="atLeast"/>
          <w:jc w:val="center"/>
        </w:trPr>
        <w:tc>
          <w:tcPr>
            <w:tcW w:w="697" w:type="dxa"/>
            <w:vMerge w:val="restart"/>
            <w:tcBorders>
              <w:top w:val="nil"/>
              <w:left w:val="single" w:color="auto" w:sz="4" w:space="0"/>
              <w:right w:val="single" w:color="auto" w:sz="4" w:space="0"/>
            </w:tcBorders>
            <w:vAlign w:val="center"/>
          </w:tcPr>
          <w:p w14:paraId="3996AB5C">
            <w:pPr>
              <w:widowControl/>
              <w:spacing w:line="300" w:lineRule="exact"/>
              <w:jc w:val="center"/>
              <w:rPr>
                <w:rFonts w:hint="eastAsia" w:ascii="宋体" w:hAnsi="宋体" w:eastAsia="宋体" w:cs="仿宋"/>
                <w:kern w:val="0"/>
                <w:sz w:val="24"/>
                <w:szCs w:val="24"/>
              </w:rPr>
            </w:pPr>
          </w:p>
          <w:p w14:paraId="5B3DF8C5">
            <w:pPr>
              <w:widowControl/>
              <w:spacing w:line="300" w:lineRule="exact"/>
              <w:jc w:val="center"/>
              <w:rPr>
                <w:rFonts w:hint="eastAsia" w:ascii="宋体" w:hAnsi="宋体" w:eastAsia="宋体" w:cs="仿宋"/>
                <w:kern w:val="0"/>
                <w:sz w:val="24"/>
                <w:szCs w:val="24"/>
              </w:rPr>
            </w:pPr>
          </w:p>
          <w:p w14:paraId="651837D9">
            <w:pPr>
              <w:widowControl/>
              <w:spacing w:line="300" w:lineRule="exact"/>
              <w:jc w:val="center"/>
              <w:rPr>
                <w:rFonts w:hint="eastAsia" w:ascii="宋体" w:hAnsi="宋体" w:eastAsia="宋体" w:cs="仿宋"/>
                <w:kern w:val="0"/>
                <w:sz w:val="24"/>
                <w:szCs w:val="24"/>
              </w:rPr>
            </w:pPr>
          </w:p>
          <w:p w14:paraId="70A2918C">
            <w:pPr>
              <w:widowControl/>
              <w:spacing w:line="300" w:lineRule="exact"/>
              <w:jc w:val="center"/>
              <w:rPr>
                <w:rFonts w:hint="eastAsia" w:ascii="宋体" w:hAnsi="宋体" w:eastAsia="宋体" w:cs="仿宋"/>
                <w:kern w:val="0"/>
                <w:sz w:val="24"/>
                <w:szCs w:val="24"/>
              </w:rPr>
            </w:pPr>
            <w:r>
              <w:rPr>
                <w:rFonts w:hint="eastAsia" w:ascii="宋体" w:hAnsi="宋体" w:eastAsia="宋体" w:cs="仿宋"/>
                <w:kern w:val="0"/>
                <w:sz w:val="24"/>
                <w:szCs w:val="24"/>
              </w:rPr>
              <w:t>1</w:t>
            </w:r>
          </w:p>
        </w:tc>
        <w:tc>
          <w:tcPr>
            <w:tcW w:w="1200" w:type="dxa"/>
            <w:vMerge w:val="restart"/>
            <w:tcBorders>
              <w:top w:val="nil"/>
              <w:left w:val="single" w:color="auto" w:sz="4" w:space="0"/>
              <w:right w:val="single" w:color="auto" w:sz="4" w:space="0"/>
            </w:tcBorders>
            <w:vAlign w:val="center"/>
          </w:tcPr>
          <w:p w14:paraId="4E2D5796">
            <w:pPr>
              <w:widowControl/>
              <w:spacing w:line="300" w:lineRule="exact"/>
              <w:jc w:val="center"/>
              <w:rPr>
                <w:rFonts w:hint="eastAsia" w:ascii="宋体" w:hAnsi="宋体" w:eastAsia="宋体" w:cs="仿宋"/>
                <w:kern w:val="0"/>
                <w:sz w:val="24"/>
                <w:szCs w:val="24"/>
              </w:rPr>
            </w:pPr>
          </w:p>
          <w:p w14:paraId="503E309D">
            <w:pPr>
              <w:widowControl/>
              <w:spacing w:line="300" w:lineRule="exact"/>
              <w:jc w:val="center"/>
              <w:rPr>
                <w:rFonts w:hint="eastAsia" w:ascii="宋体" w:hAnsi="宋体" w:eastAsia="宋体" w:cs="仿宋"/>
                <w:kern w:val="0"/>
                <w:sz w:val="24"/>
                <w:szCs w:val="24"/>
              </w:rPr>
            </w:pPr>
          </w:p>
          <w:p w14:paraId="48E7D46C">
            <w:pPr>
              <w:widowControl/>
              <w:spacing w:line="300" w:lineRule="exact"/>
              <w:jc w:val="center"/>
              <w:rPr>
                <w:rFonts w:hint="eastAsia" w:ascii="宋体" w:hAnsi="宋体" w:eastAsia="宋体" w:cs="仿宋"/>
                <w:kern w:val="0"/>
                <w:sz w:val="24"/>
                <w:szCs w:val="24"/>
              </w:rPr>
            </w:pPr>
          </w:p>
          <w:p w14:paraId="44F57DBE">
            <w:pPr>
              <w:widowControl/>
              <w:spacing w:line="300" w:lineRule="exact"/>
              <w:jc w:val="center"/>
              <w:rPr>
                <w:rFonts w:hint="eastAsia" w:ascii="宋体" w:hAnsi="宋体" w:eastAsia="宋体" w:cs="仿宋"/>
                <w:kern w:val="0"/>
                <w:sz w:val="24"/>
                <w:szCs w:val="24"/>
              </w:rPr>
            </w:pPr>
            <w:r>
              <w:rPr>
                <w:rFonts w:hint="eastAsia" w:ascii="宋体" w:hAnsi="宋体" w:eastAsia="宋体" w:cs="仿宋"/>
                <w:kern w:val="0"/>
                <w:sz w:val="24"/>
                <w:szCs w:val="24"/>
              </w:rPr>
              <w:t>机房网络及应用服务</w:t>
            </w:r>
          </w:p>
        </w:tc>
        <w:tc>
          <w:tcPr>
            <w:tcW w:w="1222" w:type="dxa"/>
            <w:tcBorders>
              <w:top w:val="nil"/>
              <w:left w:val="single" w:color="auto" w:sz="4" w:space="0"/>
              <w:bottom w:val="single" w:color="auto" w:sz="4" w:space="0"/>
              <w:right w:val="single" w:color="auto" w:sz="4" w:space="0"/>
            </w:tcBorders>
            <w:vAlign w:val="center"/>
          </w:tcPr>
          <w:p w14:paraId="2A202B5A">
            <w:pPr>
              <w:widowControl/>
              <w:spacing w:line="300" w:lineRule="exact"/>
              <w:jc w:val="center"/>
              <w:rPr>
                <w:rFonts w:hint="eastAsia" w:ascii="宋体" w:hAnsi="宋体" w:eastAsia="宋体" w:cs="仿宋"/>
                <w:kern w:val="0"/>
                <w:sz w:val="24"/>
                <w:szCs w:val="24"/>
              </w:rPr>
            </w:pPr>
            <w:r>
              <w:rPr>
                <w:rFonts w:hint="eastAsia" w:ascii="宋体" w:hAnsi="宋体" w:eastAsia="宋体" w:cs="仿宋"/>
                <w:kern w:val="0"/>
                <w:sz w:val="24"/>
                <w:szCs w:val="24"/>
              </w:rPr>
              <w:t>机房服务</w:t>
            </w:r>
          </w:p>
        </w:tc>
        <w:tc>
          <w:tcPr>
            <w:tcW w:w="5633" w:type="dxa"/>
            <w:tcBorders>
              <w:top w:val="nil"/>
              <w:left w:val="nil"/>
              <w:bottom w:val="single" w:color="auto" w:sz="4" w:space="0"/>
              <w:right w:val="nil"/>
            </w:tcBorders>
            <w:vAlign w:val="center"/>
          </w:tcPr>
          <w:p w14:paraId="41B7F74E">
            <w:pPr>
              <w:pStyle w:val="75"/>
              <w:numPr>
                <w:ilvl w:val="0"/>
                <w:numId w:val="3"/>
              </w:numPr>
              <w:spacing w:line="300" w:lineRule="exact"/>
              <w:ind w:firstLineChars="0"/>
              <w:rPr>
                <w:rFonts w:hint="eastAsia" w:ascii="宋体" w:hAnsi="宋体" w:eastAsia="宋体" w:cs="仿宋"/>
                <w:kern w:val="0"/>
                <w:sz w:val="24"/>
                <w:szCs w:val="24"/>
              </w:rPr>
            </w:pPr>
            <w:r>
              <w:rPr>
                <w:rFonts w:hint="eastAsia" w:ascii="宋体" w:hAnsi="宋体" w:eastAsia="宋体" w:cs="仿宋"/>
                <w:kern w:val="0"/>
                <w:sz w:val="24"/>
                <w:szCs w:val="24"/>
              </w:rPr>
              <w:t>机房环境日常维护：</w:t>
            </w:r>
          </w:p>
          <w:p w14:paraId="3C465188">
            <w:pPr>
              <w:pStyle w:val="75"/>
              <w:spacing w:line="300" w:lineRule="exact"/>
              <w:ind w:firstLine="0" w:firstLineChars="0"/>
              <w:rPr>
                <w:rFonts w:hint="eastAsia" w:ascii="宋体" w:hAnsi="宋体" w:eastAsia="宋体" w:cs="仿宋"/>
                <w:kern w:val="0"/>
                <w:sz w:val="24"/>
                <w:szCs w:val="24"/>
              </w:rPr>
            </w:pPr>
            <w:r>
              <w:rPr>
                <w:rFonts w:hint="eastAsia" w:ascii="宋体" w:hAnsi="宋体" w:eastAsia="宋体" w:cs="仿宋"/>
                <w:kern w:val="0"/>
                <w:sz w:val="24"/>
                <w:szCs w:val="24"/>
              </w:rPr>
              <w:t>UPS测试及监控：包括电池测试、放电测试、电压、电流和功率的监控等。</w:t>
            </w:r>
          </w:p>
          <w:p w14:paraId="4C04732F">
            <w:pPr>
              <w:spacing w:line="300" w:lineRule="exact"/>
              <w:rPr>
                <w:rFonts w:hint="eastAsia" w:ascii="宋体" w:hAnsi="宋体" w:eastAsia="宋体" w:cs="仿宋"/>
                <w:kern w:val="0"/>
                <w:sz w:val="24"/>
                <w:szCs w:val="24"/>
              </w:rPr>
            </w:pPr>
            <w:r>
              <w:rPr>
                <w:rFonts w:hint="eastAsia" w:ascii="宋体" w:hAnsi="宋体" w:eastAsia="宋体" w:cs="仿宋"/>
                <w:kern w:val="0"/>
                <w:sz w:val="24"/>
                <w:szCs w:val="24"/>
              </w:rPr>
              <w:t>线路整理：对机房、弱电间或机柜中的物理连接线路按照布线系统标准进行整理、标示、测试、记录和归档等。</w:t>
            </w:r>
          </w:p>
          <w:p w14:paraId="58FE5FAC">
            <w:pPr>
              <w:spacing w:line="300" w:lineRule="exact"/>
              <w:rPr>
                <w:rFonts w:hint="eastAsia" w:ascii="宋体" w:hAnsi="宋体" w:eastAsia="宋体" w:cs="仿宋"/>
                <w:kern w:val="0"/>
                <w:sz w:val="24"/>
                <w:szCs w:val="24"/>
              </w:rPr>
            </w:pPr>
            <w:r>
              <w:rPr>
                <w:rFonts w:hint="eastAsia" w:ascii="宋体" w:hAnsi="宋体" w:eastAsia="宋体" w:cs="仿宋"/>
                <w:kern w:val="0"/>
                <w:sz w:val="24"/>
                <w:szCs w:val="24"/>
              </w:rPr>
              <w:t>设备清洁保养：（1）机房内服务器及网络设备清洁保养服务，主机及服务器外观、清洁和除尘服务。（2）机房空调清洁保养服务：对机房空调运行状态检查、外机除尘服务。</w:t>
            </w:r>
          </w:p>
          <w:p w14:paraId="6A0D2DB1">
            <w:pPr>
              <w:spacing w:line="300" w:lineRule="exact"/>
              <w:rPr>
                <w:rFonts w:hint="eastAsia" w:ascii="宋体" w:hAnsi="宋体" w:eastAsia="宋体" w:cs="仿宋"/>
                <w:kern w:val="0"/>
                <w:sz w:val="24"/>
                <w:szCs w:val="24"/>
              </w:rPr>
            </w:pPr>
            <w:r>
              <w:rPr>
                <w:rFonts w:hint="eastAsia" w:ascii="宋体" w:hAnsi="宋体" w:eastAsia="宋体" w:cs="仿宋"/>
                <w:kern w:val="0"/>
                <w:sz w:val="24"/>
                <w:szCs w:val="24"/>
              </w:rPr>
              <w:t>2.日常巡检：对机房温湿度环境、机房设备、链路等运行情况进行日常巡检、记录及故障排查等。</w:t>
            </w:r>
          </w:p>
          <w:p w14:paraId="0D798F18">
            <w:pPr>
              <w:pStyle w:val="75"/>
              <w:spacing w:line="300" w:lineRule="exact"/>
              <w:ind w:firstLine="0" w:firstLineChars="0"/>
              <w:rPr>
                <w:rFonts w:hint="eastAsia" w:ascii="宋体" w:hAnsi="宋体" w:eastAsia="宋体" w:cs="仿宋"/>
                <w:kern w:val="0"/>
                <w:sz w:val="24"/>
                <w:szCs w:val="24"/>
              </w:rPr>
            </w:pPr>
            <w:r>
              <w:rPr>
                <w:rFonts w:hint="eastAsia" w:ascii="宋体" w:hAnsi="宋体" w:eastAsia="宋体" w:cs="仿宋"/>
                <w:kern w:val="0"/>
                <w:sz w:val="24"/>
                <w:szCs w:val="24"/>
              </w:rPr>
              <w:t>3.机房出入审核登记：人员出入审核登记、设备出入审核登记等。</w:t>
            </w:r>
          </w:p>
        </w:tc>
        <w:tc>
          <w:tcPr>
            <w:tcW w:w="1383" w:type="dxa"/>
            <w:tcBorders>
              <w:top w:val="nil"/>
              <w:left w:val="single" w:color="auto" w:sz="4" w:space="0"/>
              <w:bottom w:val="single" w:color="auto" w:sz="4" w:space="0"/>
              <w:right w:val="single" w:color="auto" w:sz="4" w:space="0"/>
            </w:tcBorders>
            <w:vAlign w:val="center"/>
          </w:tcPr>
          <w:p w14:paraId="30B9BF90">
            <w:pPr>
              <w:widowControl/>
              <w:spacing w:line="300" w:lineRule="exact"/>
              <w:jc w:val="center"/>
              <w:rPr>
                <w:rFonts w:hint="eastAsia" w:ascii="宋体" w:hAnsi="宋体" w:eastAsia="宋体" w:cs="仿宋"/>
                <w:kern w:val="0"/>
                <w:sz w:val="24"/>
                <w:szCs w:val="24"/>
              </w:rPr>
            </w:pPr>
          </w:p>
        </w:tc>
      </w:tr>
      <w:tr w14:paraId="61B2886B">
        <w:tblPrEx>
          <w:tblCellMar>
            <w:top w:w="0" w:type="dxa"/>
            <w:left w:w="108" w:type="dxa"/>
            <w:bottom w:w="0" w:type="dxa"/>
            <w:right w:w="108" w:type="dxa"/>
          </w:tblCellMar>
        </w:tblPrEx>
        <w:trPr>
          <w:trHeight w:val="2095" w:hRule="atLeast"/>
          <w:jc w:val="center"/>
        </w:trPr>
        <w:tc>
          <w:tcPr>
            <w:tcW w:w="697" w:type="dxa"/>
            <w:vMerge w:val="continue"/>
            <w:tcBorders>
              <w:left w:val="single" w:color="auto" w:sz="4" w:space="0"/>
              <w:right w:val="single" w:color="auto" w:sz="4" w:space="0"/>
            </w:tcBorders>
            <w:vAlign w:val="center"/>
          </w:tcPr>
          <w:p w14:paraId="2C5CCB13">
            <w:pPr>
              <w:widowControl/>
              <w:spacing w:line="300" w:lineRule="exact"/>
              <w:jc w:val="center"/>
              <w:rPr>
                <w:rFonts w:hint="eastAsia" w:ascii="宋体" w:hAnsi="宋体" w:eastAsia="宋体" w:cs="仿宋"/>
                <w:kern w:val="0"/>
                <w:sz w:val="24"/>
                <w:szCs w:val="24"/>
              </w:rPr>
            </w:pPr>
          </w:p>
        </w:tc>
        <w:tc>
          <w:tcPr>
            <w:tcW w:w="1200" w:type="dxa"/>
            <w:vMerge w:val="continue"/>
            <w:tcBorders>
              <w:left w:val="single" w:color="auto" w:sz="4" w:space="0"/>
              <w:right w:val="single" w:color="auto" w:sz="4" w:space="0"/>
            </w:tcBorders>
            <w:vAlign w:val="center"/>
          </w:tcPr>
          <w:p w14:paraId="1C057452">
            <w:pPr>
              <w:widowControl/>
              <w:spacing w:line="300" w:lineRule="exact"/>
              <w:jc w:val="center"/>
              <w:rPr>
                <w:rFonts w:hint="eastAsia" w:ascii="宋体" w:hAnsi="宋体" w:eastAsia="宋体" w:cs="仿宋"/>
                <w:kern w:val="0"/>
                <w:sz w:val="24"/>
                <w:szCs w:val="24"/>
              </w:rPr>
            </w:pPr>
          </w:p>
        </w:tc>
        <w:tc>
          <w:tcPr>
            <w:tcW w:w="1222" w:type="dxa"/>
            <w:tcBorders>
              <w:top w:val="nil"/>
              <w:left w:val="single" w:color="auto" w:sz="4" w:space="0"/>
              <w:bottom w:val="single" w:color="auto" w:sz="4" w:space="0"/>
              <w:right w:val="single" w:color="auto" w:sz="4" w:space="0"/>
            </w:tcBorders>
            <w:vAlign w:val="center"/>
          </w:tcPr>
          <w:p w14:paraId="479F89C6">
            <w:pPr>
              <w:spacing w:line="300" w:lineRule="exact"/>
              <w:jc w:val="center"/>
              <w:rPr>
                <w:rFonts w:hint="eastAsia" w:ascii="宋体" w:hAnsi="宋体" w:eastAsia="宋体" w:cs="仿宋"/>
                <w:kern w:val="0"/>
                <w:sz w:val="24"/>
                <w:szCs w:val="24"/>
              </w:rPr>
            </w:pPr>
            <w:r>
              <w:rPr>
                <w:rFonts w:hint="eastAsia" w:ascii="宋体" w:hAnsi="宋体" w:eastAsia="宋体" w:cs="仿宋"/>
                <w:kern w:val="0"/>
                <w:sz w:val="24"/>
                <w:szCs w:val="24"/>
              </w:rPr>
              <w:t>线路运维</w:t>
            </w:r>
          </w:p>
        </w:tc>
        <w:tc>
          <w:tcPr>
            <w:tcW w:w="5633" w:type="dxa"/>
            <w:tcBorders>
              <w:top w:val="nil"/>
              <w:left w:val="nil"/>
              <w:bottom w:val="single" w:color="auto" w:sz="4" w:space="0"/>
              <w:right w:val="nil"/>
            </w:tcBorders>
            <w:vAlign w:val="center"/>
          </w:tcPr>
          <w:p w14:paraId="590A4BE6">
            <w:pPr>
              <w:spacing w:line="300" w:lineRule="exact"/>
              <w:rPr>
                <w:rFonts w:hint="eastAsia" w:ascii="宋体" w:hAnsi="宋体" w:eastAsia="宋体" w:cs="仿宋"/>
                <w:kern w:val="0"/>
                <w:sz w:val="24"/>
                <w:szCs w:val="24"/>
              </w:rPr>
            </w:pPr>
            <w:r>
              <w:rPr>
                <w:rFonts w:hint="eastAsia" w:ascii="宋体" w:hAnsi="宋体" w:eastAsia="宋体" w:cs="仿宋"/>
                <w:kern w:val="0"/>
                <w:sz w:val="24"/>
                <w:szCs w:val="24"/>
              </w:rPr>
              <w:t>1.网络配线间线路调整和故障排除，管理和维护等服务。</w:t>
            </w:r>
          </w:p>
          <w:p w14:paraId="7A884597">
            <w:pPr>
              <w:spacing w:line="300" w:lineRule="exact"/>
              <w:rPr>
                <w:rFonts w:hint="eastAsia" w:ascii="宋体" w:hAnsi="宋体" w:eastAsia="宋体" w:cs="仿宋"/>
                <w:kern w:val="0"/>
                <w:sz w:val="24"/>
                <w:szCs w:val="24"/>
              </w:rPr>
            </w:pPr>
            <w:r>
              <w:rPr>
                <w:rFonts w:hint="eastAsia" w:ascii="宋体" w:hAnsi="宋体" w:eastAsia="宋体" w:cs="仿宋"/>
                <w:kern w:val="0"/>
                <w:sz w:val="24"/>
                <w:szCs w:val="24"/>
              </w:rPr>
              <w:t>2.办公区域网络节点维护调整。</w:t>
            </w:r>
            <w:r>
              <w:rPr>
                <w:rFonts w:hint="eastAsia" w:ascii="宋体" w:hAnsi="宋体" w:eastAsia="宋体" w:cs="仿宋"/>
                <w:kern w:val="0"/>
                <w:sz w:val="24"/>
                <w:szCs w:val="24"/>
              </w:rPr>
              <w:br w:type="textWrapping"/>
            </w:r>
            <w:r>
              <w:rPr>
                <w:rFonts w:hint="eastAsia" w:ascii="宋体" w:hAnsi="宋体" w:eastAsia="宋体" w:cs="仿宋"/>
                <w:kern w:val="0"/>
                <w:sz w:val="24"/>
                <w:szCs w:val="24"/>
              </w:rPr>
              <w:t>3.用户线路数据库建立：包括接入，工位图，工位号，物理线路号，工位号与线路号对应表等。</w:t>
            </w:r>
            <w:r>
              <w:rPr>
                <w:rFonts w:hint="eastAsia" w:ascii="宋体" w:hAnsi="宋体" w:eastAsia="宋体" w:cs="仿宋"/>
                <w:kern w:val="0"/>
                <w:sz w:val="24"/>
                <w:szCs w:val="24"/>
              </w:rPr>
              <w:br w:type="textWrapping"/>
            </w:r>
            <w:r>
              <w:rPr>
                <w:rFonts w:hint="eastAsia" w:ascii="宋体" w:hAnsi="宋体" w:eastAsia="宋体" w:cs="仿宋"/>
                <w:kern w:val="0"/>
                <w:sz w:val="24"/>
                <w:szCs w:val="24"/>
              </w:rPr>
              <w:t>4.提供维护报告，报告维护情况，变更情况等建议。</w:t>
            </w:r>
          </w:p>
        </w:tc>
        <w:tc>
          <w:tcPr>
            <w:tcW w:w="1383" w:type="dxa"/>
            <w:tcBorders>
              <w:top w:val="nil"/>
              <w:left w:val="single" w:color="auto" w:sz="4" w:space="0"/>
              <w:bottom w:val="single" w:color="auto" w:sz="4" w:space="0"/>
              <w:right w:val="single" w:color="auto" w:sz="4" w:space="0"/>
            </w:tcBorders>
            <w:vAlign w:val="center"/>
          </w:tcPr>
          <w:p w14:paraId="5984665E">
            <w:pPr>
              <w:widowControl/>
              <w:spacing w:line="300" w:lineRule="exact"/>
              <w:jc w:val="center"/>
              <w:rPr>
                <w:rFonts w:hint="eastAsia" w:ascii="宋体" w:hAnsi="宋体" w:eastAsia="宋体" w:cs="仿宋"/>
                <w:kern w:val="0"/>
                <w:sz w:val="24"/>
                <w:szCs w:val="24"/>
              </w:rPr>
            </w:pPr>
          </w:p>
        </w:tc>
      </w:tr>
      <w:tr w14:paraId="122B7329">
        <w:tblPrEx>
          <w:tblCellMar>
            <w:top w:w="0" w:type="dxa"/>
            <w:left w:w="108" w:type="dxa"/>
            <w:bottom w:w="0" w:type="dxa"/>
            <w:right w:w="108" w:type="dxa"/>
          </w:tblCellMar>
        </w:tblPrEx>
        <w:trPr>
          <w:trHeight w:val="2905" w:hRule="atLeast"/>
          <w:jc w:val="center"/>
        </w:trPr>
        <w:tc>
          <w:tcPr>
            <w:tcW w:w="697" w:type="dxa"/>
            <w:vMerge w:val="continue"/>
            <w:tcBorders>
              <w:left w:val="single" w:color="auto" w:sz="4" w:space="0"/>
              <w:right w:val="single" w:color="auto" w:sz="4" w:space="0"/>
            </w:tcBorders>
            <w:vAlign w:val="center"/>
          </w:tcPr>
          <w:p w14:paraId="4CD8A23E">
            <w:pPr>
              <w:widowControl/>
              <w:spacing w:line="300" w:lineRule="exact"/>
              <w:jc w:val="center"/>
              <w:rPr>
                <w:rFonts w:hint="eastAsia" w:ascii="宋体" w:hAnsi="宋体" w:eastAsia="宋体" w:cs="仿宋"/>
                <w:kern w:val="0"/>
                <w:sz w:val="24"/>
                <w:szCs w:val="24"/>
              </w:rPr>
            </w:pPr>
          </w:p>
        </w:tc>
        <w:tc>
          <w:tcPr>
            <w:tcW w:w="1200" w:type="dxa"/>
            <w:vMerge w:val="continue"/>
            <w:tcBorders>
              <w:left w:val="single" w:color="auto" w:sz="4" w:space="0"/>
              <w:right w:val="single" w:color="auto" w:sz="4" w:space="0"/>
            </w:tcBorders>
            <w:vAlign w:val="center"/>
          </w:tcPr>
          <w:p w14:paraId="72D13994">
            <w:pPr>
              <w:widowControl/>
              <w:spacing w:line="300" w:lineRule="exact"/>
              <w:jc w:val="center"/>
              <w:rPr>
                <w:rFonts w:hint="eastAsia" w:ascii="宋体" w:hAnsi="宋体" w:eastAsia="宋体" w:cs="仿宋"/>
                <w:kern w:val="0"/>
                <w:sz w:val="24"/>
                <w:szCs w:val="24"/>
              </w:rPr>
            </w:pPr>
          </w:p>
        </w:tc>
        <w:tc>
          <w:tcPr>
            <w:tcW w:w="1222" w:type="dxa"/>
            <w:tcBorders>
              <w:top w:val="nil"/>
              <w:left w:val="single" w:color="auto" w:sz="4" w:space="0"/>
              <w:bottom w:val="single" w:color="auto" w:sz="4" w:space="0"/>
              <w:right w:val="single" w:color="auto" w:sz="4" w:space="0"/>
            </w:tcBorders>
            <w:vAlign w:val="center"/>
          </w:tcPr>
          <w:p w14:paraId="01458C4D">
            <w:pPr>
              <w:spacing w:line="300" w:lineRule="exact"/>
              <w:jc w:val="center"/>
              <w:rPr>
                <w:rFonts w:hint="eastAsia" w:ascii="宋体" w:hAnsi="宋体" w:eastAsia="宋体" w:cs="仿宋"/>
                <w:kern w:val="0"/>
                <w:sz w:val="24"/>
                <w:szCs w:val="24"/>
              </w:rPr>
            </w:pPr>
            <w:r>
              <w:rPr>
                <w:rFonts w:hint="eastAsia" w:ascii="宋体" w:hAnsi="宋体" w:eastAsia="宋体" w:cs="仿宋"/>
                <w:kern w:val="0"/>
                <w:sz w:val="24"/>
                <w:szCs w:val="24"/>
              </w:rPr>
              <w:t>巡检服务</w:t>
            </w:r>
          </w:p>
        </w:tc>
        <w:tc>
          <w:tcPr>
            <w:tcW w:w="5633" w:type="dxa"/>
            <w:tcBorders>
              <w:top w:val="nil"/>
              <w:left w:val="nil"/>
              <w:bottom w:val="single" w:color="auto" w:sz="4" w:space="0"/>
              <w:right w:val="nil"/>
            </w:tcBorders>
            <w:vAlign w:val="center"/>
          </w:tcPr>
          <w:p w14:paraId="24993B32">
            <w:pPr>
              <w:spacing w:line="300" w:lineRule="exact"/>
              <w:rPr>
                <w:rFonts w:hint="eastAsia" w:ascii="宋体" w:hAnsi="宋体" w:eastAsia="宋体" w:cs="仿宋"/>
                <w:kern w:val="0"/>
                <w:sz w:val="24"/>
                <w:szCs w:val="24"/>
              </w:rPr>
            </w:pPr>
            <w:r>
              <w:rPr>
                <w:rFonts w:hint="eastAsia" w:ascii="宋体" w:hAnsi="宋体" w:eastAsia="宋体" w:cs="仿宋"/>
                <w:kern w:val="0"/>
                <w:sz w:val="24"/>
                <w:szCs w:val="24"/>
              </w:rPr>
              <w:t>1.制定巡检计划，按规定对服务器、网络设备等进行巡检服务。</w:t>
            </w:r>
          </w:p>
          <w:p w14:paraId="501B4805">
            <w:pPr>
              <w:spacing w:line="300" w:lineRule="exact"/>
              <w:rPr>
                <w:rFonts w:hint="eastAsia" w:ascii="宋体" w:hAnsi="宋体" w:eastAsia="宋体" w:cs="仿宋"/>
                <w:kern w:val="0"/>
                <w:sz w:val="24"/>
                <w:szCs w:val="24"/>
              </w:rPr>
            </w:pPr>
            <w:r>
              <w:rPr>
                <w:rFonts w:hint="eastAsia" w:ascii="宋体" w:hAnsi="宋体" w:eastAsia="宋体" w:cs="仿宋"/>
                <w:kern w:val="0"/>
                <w:sz w:val="24"/>
                <w:szCs w:val="24"/>
              </w:rPr>
              <w:t>2.定期对网络系统进行评估、确定核心设备、制定备份计划，对设备配置、用户数据、应用数据等进行备份服务，定期进行恢复性测试。根据系统可用性、连续性的要求制定应急计划，并定期培训和演练。</w:t>
            </w:r>
          </w:p>
          <w:p w14:paraId="78DF8449">
            <w:pPr>
              <w:spacing w:line="300" w:lineRule="exact"/>
              <w:rPr>
                <w:rFonts w:hint="eastAsia" w:ascii="宋体" w:hAnsi="宋体" w:eastAsia="宋体" w:cs="仿宋"/>
                <w:kern w:val="0"/>
                <w:sz w:val="24"/>
                <w:szCs w:val="24"/>
              </w:rPr>
            </w:pPr>
            <w:r>
              <w:rPr>
                <w:rFonts w:hint="eastAsia" w:ascii="宋体" w:hAnsi="宋体" w:eastAsia="宋体" w:cs="仿宋"/>
                <w:kern w:val="0"/>
                <w:sz w:val="24"/>
                <w:szCs w:val="24"/>
              </w:rPr>
              <w:t>3.每月定期对服务器漏洞进行扫描并修复。</w:t>
            </w:r>
            <w:r>
              <w:rPr>
                <w:rFonts w:hint="eastAsia" w:ascii="宋体" w:hAnsi="宋体" w:eastAsia="宋体" w:cs="仿宋"/>
                <w:kern w:val="0"/>
                <w:sz w:val="24"/>
                <w:szCs w:val="24"/>
              </w:rPr>
              <w:br w:type="textWrapping"/>
            </w:r>
            <w:r>
              <w:rPr>
                <w:rFonts w:hint="eastAsia" w:ascii="宋体" w:hAnsi="宋体" w:eastAsia="宋体" w:cs="仿宋"/>
                <w:kern w:val="0"/>
                <w:sz w:val="24"/>
                <w:szCs w:val="24"/>
              </w:rPr>
              <w:t>4.对维护中发现的问题和经验进行记录、积累和分析，建立运维知识库提高运维保障效率。</w:t>
            </w:r>
          </w:p>
        </w:tc>
        <w:tc>
          <w:tcPr>
            <w:tcW w:w="1383" w:type="dxa"/>
            <w:tcBorders>
              <w:top w:val="nil"/>
              <w:left w:val="single" w:color="auto" w:sz="4" w:space="0"/>
              <w:bottom w:val="single" w:color="auto" w:sz="4" w:space="0"/>
              <w:right w:val="single" w:color="auto" w:sz="4" w:space="0"/>
            </w:tcBorders>
            <w:vAlign w:val="center"/>
          </w:tcPr>
          <w:p w14:paraId="57A0838A">
            <w:pPr>
              <w:widowControl/>
              <w:spacing w:line="300" w:lineRule="exact"/>
              <w:jc w:val="center"/>
              <w:rPr>
                <w:rFonts w:hint="eastAsia" w:ascii="宋体" w:hAnsi="宋体" w:eastAsia="宋体" w:cs="仿宋"/>
                <w:kern w:val="0"/>
                <w:sz w:val="24"/>
                <w:szCs w:val="24"/>
              </w:rPr>
            </w:pPr>
          </w:p>
        </w:tc>
      </w:tr>
      <w:tr w14:paraId="06994892">
        <w:tblPrEx>
          <w:tblCellMar>
            <w:top w:w="0" w:type="dxa"/>
            <w:left w:w="108" w:type="dxa"/>
            <w:bottom w:w="0" w:type="dxa"/>
            <w:right w:w="108" w:type="dxa"/>
          </w:tblCellMar>
        </w:tblPrEx>
        <w:trPr>
          <w:trHeight w:val="7720" w:hRule="atLeast"/>
          <w:jc w:val="center"/>
        </w:trPr>
        <w:tc>
          <w:tcPr>
            <w:tcW w:w="697" w:type="dxa"/>
            <w:vMerge w:val="continue"/>
            <w:tcBorders>
              <w:left w:val="single" w:color="auto" w:sz="4" w:space="0"/>
              <w:right w:val="single" w:color="auto" w:sz="4" w:space="0"/>
            </w:tcBorders>
            <w:vAlign w:val="center"/>
          </w:tcPr>
          <w:p w14:paraId="07409C56">
            <w:pPr>
              <w:widowControl/>
              <w:spacing w:line="300" w:lineRule="exact"/>
              <w:jc w:val="center"/>
              <w:rPr>
                <w:rFonts w:hint="eastAsia" w:ascii="宋体" w:hAnsi="宋体" w:eastAsia="宋体" w:cs="仿宋"/>
                <w:kern w:val="0"/>
                <w:sz w:val="24"/>
                <w:szCs w:val="24"/>
              </w:rPr>
            </w:pPr>
          </w:p>
        </w:tc>
        <w:tc>
          <w:tcPr>
            <w:tcW w:w="1200" w:type="dxa"/>
            <w:vMerge w:val="continue"/>
            <w:tcBorders>
              <w:left w:val="single" w:color="auto" w:sz="4" w:space="0"/>
              <w:right w:val="single" w:color="auto" w:sz="4" w:space="0"/>
            </w:tcBorders>
            <w:vAlign w:val="center"/>
          </w:tcPr>
          <w:p w14:paraId="08A4A2B7">
            <w:pPr>
              <w:widowControl/>
              <w:spacing w:line="300" w:lineRule="exact"/>
              <w:jc w:val="center"/>
              <w:rPr>
                <w:rFonts w:hint="eastAsia" w:ascii="宋体" w:hAnsi="宋体" w:eastAsia="宋体" w:cs="仿宋"/>
                <w:kern w:val="0"/>
                <w:sz w:val="24"/>
                <w:szCs w:val="24"/>
              </w:rPr>
            </w:pPr>
          </w:p>
        </w:tc>
        <w:tc>
          <w:tcPr>
            <w:tcW w:w="1222" w:type="dxa"/>
            <w:tcBorders>
              <w:top w:val="nil"/>
              <w:left w:val="single" w:color="auto" w:sz="4" w:space="0"/>
              <w:bottom w:val="single" w:color="auto" w:sz="4" w:space="0"/>
              <w:right w:val="single" w:color="auto" w:sz="4" w:space="0"/>
            </w:tcBorders>
            <w:vAlign w:val="center"/>
          </w:tcPr>
          <w:p w14:paraId="1792ECE4">
            <w:pPr>
              <w:spacing w:line="300" w:lineRule="exact"/>
              <w:jc w:val="center"/>
              <w:rPr>
                <w:rFonts w:hint="eastAsia" w:ascii="宋体" w:hAnsi="宋体" w:eastAsia="宋体" w:cs="仿宋"/>
                <w:kern w:val="0"/>
                <w:sz w:val="24"/>
                <w:szCs w:val="24"/>
              </w:rPr>
            </w:pPr>
            <w:r>
              <w:rPr>
                <w:rFonts w:hint="eastAsia" w:ascii="宋体" w:hAnsi="宋体" w:eastAsia="宋体" w:cs="仿宋"/>
                <w:kern w:val="0"/>
                <w:sz w:val="24"/>
                <w:szCs w:val="24"/>
              </w:rPr>
              <w:t>网络运维</w:t>
            </w:r>
          </w:p>
        </w:tc>
        <w:tc>
          <w:tcPr>
            <w:tcW w:w="5633" w:type="dxa"/>
            <w:tcBorders>
              <w:top w:val="nil"/>
              <w:left w:val="nil"/>
              <w:bottom w:val="single" w:color="auto" w:sz="4" w:space="0"/>
              <w:right w:val="nil"/>
            </w:tcBorders>
            <w:vAlign w:val="center"/>
          </w:tcPr>
          <w:p w14:paraId="55630AA9">
            <w:pPr>
              <w:spacing w:line="300" w:lineRule="exact"/>
              <w:rPr>
                <w:rFonts w:hint="eastAsia" w:ascii="宋体" w:hAnsi="宋体" w:eastAsia="宋体" w:cs="仿宋"/>
                <w:kern w:val="0"/>
                <w:sz w:val="24"/>
                <w:szCs w:val="24"/>
              </w:rPr>
            </w:pPr>
            <w:r>
              <w:rPr>
                <w:rFonts w:hint="eastAsia" w:ascii="宋体" w:hAnsi="宋体" w:eastAsia="宋体" w:cs="仿宋"/>
                <w:kern w:val="0"/>
                <w:sz w:val="24"/>
                <w:szCs w:val="24"/>
              </w:rPr>
              <w:t>1.网络设备日常维护：网络设备（核心交换机和路由器、汇聚层交换设备、防火墙）进行日常巡检和维护，对故障进行诊断和修复。</w:t>
            </w:r>
          </w:p>
          <w:p w14:paraId="6AA7F2C3">
            <w:pPr>
              <w:spacing w:line="300" w:lineRule="exact"/>
              <w:rPr>
                <w:rFonts w:hint="eastAsia" w:ascii="宋体" w:hAnsi="宋体" w:eastAsia="宋体" w:cs="仿宋"/>
                <w:kern w:val="0"/>
                <w:sz w:val="24"/>
                <w:szCs w:val="24"/>
              </w:rPr>
            </w:pPr>
            <w:r>
              <w:rPr>
                <w:rFonts w:hint="eastAsia" w:ascii="宋体" w:hAnsi="宋体" w:eastAsia="宋体" w:cs="仿宋"/>
                <w:kern w:val="0"/>
                <w:sz w:val="24"/>
                <w:szCs w:val="24"/>
              </w:rPr>
              <w:t>2.网络运行维护：对网络中心机房进行监控，跟踪设备运行工作状态，确保核心网络的稳定运行。</w:t>
            </w:r>
          </w:p>
          <w:p w14:paraId="5822E054">
            <w:pPr>
              <w:spacing w:line="300" w:lineRule="exact"/>
              <w:rPr>
                <w:rFonts w:hint="eastAsia" w:ascii="宋体" w:hAnsi="宋体" w:eastAsia="宋体" w:cs="仿宋"/>
                <w:kern w:val="0"/>
                <w:sz w:val="24"/>
                <w:szCs w:val="24"/>
              </w:rPr>
            </w:pPr>
            <w:r>
              <w:rPr>
                <w:rFonts w:hint="eastAsia" w:ascii="宋体" w:hAnsi="宋体" w:eastAsia="宋体" w:cs="仿宋"/>
                <w:kern w:val="0"/>
                <w:sz w:val="24"/>
                <w:szCs w:val="24"/>
              </w:rPr>
              <w:t>3.网络健康检查：网络节点进行周期性检查，发现潜在问题，及时报告处理。</w:t>
            </w:r>
            <w:r>
              <w:rPr>
                <w:rFonts w:hint="eastAsia" w:ascii="宋体" w:hAnsi="宋体" w:eastAsia="宋体" w:cs="仿宋"/>
                <w:kern w:val="0"/>
                <w:sz w:val="24"/>
                <w:szCs w:val="24"/>
              </w:rPr>
              <w:br w:type="textWrapping"/>
            </w:r>
            <w:r>
              <w:rPr>
                <w:rFonts w:hint="eastAsia" w:ascii="宋体" w:hAnsi="宋体" w:eastAsia="宋体" w:cs="仿宋"/>
                <w:kern w:val="0"/>
                <w:sz w:val="24"/>
                <w:szCs w:val="24"/>
              </w:rPr>
              <w:t>4.网络可用性：通过查看网络设备日志、专业工具对客户的网络设备运行状态和线路连通性进行实施监控。包括：INTERNET连通性、业务主干网络、核心交换机、核心路由器、汇聚层交换设备、防火墙。</w:t>
            </w:r>
            <w:r>
              <w:rPr>
                <w:rFonts w:hint="eastAsia" w:ascii="宋体" w:hAnsi="宋体" w:eastAsia="宋体" w:cs="仿宋"/>
                <w:kern w:val="0"/>
                <w:sz w:val="24"/>
                <w:szCs w:val="24"/>
              </w:rPr>
              <w:br w:type="textWrapping"/>
            </w:r>
            <w:r>
              <w:rPr>
                <w:rFonts w:hint="eastAsia" w:ascii="宋体" w:hAnsi="宋体" w:eastAsia="宋体" w:cs="仿宋"/>
                <w:kern w:val="0"/>
                <w:sz w:val="24"/>
                <w:szCs w:val="24"/>
              </w:rPr>
              <w:t>5.网络设备配置备份。</w:t>
            </w:r>
            <w:r>
              <w:rPr>
                <w:rFonts w:hint="eastAsia" w:ascii="宋体" w:hAnsi="宋体" w:eastAsia="宋体" w:cs="仿宋"/>
                <w:kern w:val="0"/>
                <w:sz w:val="24"/>
                <w:szCs w:val="24"/>
              </w:rPr>
              <w:br w:type="textWrapping"/>
            </w:r>
            <w:r>
              <w:rPr>
                <w:rFonts w:hint="eastAsia" w:ascii="宋体" w:hAnsi="宋体" w:eastAsia="宋体" w:cs="仿宋"/>
                <w:kern w:val="0"/>
                <w:sz w:val="24"/>
                <w:szCs w:val="24"/>
              </w:rPr>
              <w:t>6.网络安全管理：对所有维护的设备和服务进行安全管理，享有安全管理权利。</w:t>
            </w:r>
          </w:p>
          <w:p w14:paraId="1B7C502C">
            <w:pPr>
              <w:spacing w:line="300" w:lineRule="exact"/>
              <w:rPr>
                <w:rFonts w:hint="eastAsia" w:ascii="宋体" w:hAnsi="宋体" w:eastAsia="宋体" w:cs="仿宋"/>
                <w:kern w:val="0"/>
                <w:sz w:val="24"/>
                <w:szCs w:val="24"/>
              </w:rPr>
            </w:pPr>
            <w:r>
              <w:rPr>
                <w:rFonts w:hint="eastAsia" w:ascii="宋体" w:hAnsi="宋体" w:eastAsia="宋体" w:cs="仿宋"/>
                <w:kern w:val="0"/>
                <w:sz w:val="24"/>
                <w:szCs w:val="24"/>
              </w:rPr>
              <w:t>7、系统软件升级：根据网络设备的运行状况及用户需求，提供IOS、VRP等系统软件升级服务。8、设备配置优化：根据网络设备运行状况，分析网络设备和网络部署情况，提供安全策略优化、网络安全加固、应用负载性能等配置优化服务。</w:t>
            </w:r>
          </w:p>
          <w:p w14:paraId="06F4DDE7">
            <w:pPr>
              <w:spacing w:line="300" w:lineRule="exact"/>
              <w:rPr>
                <w:rFonts w:hint="eastAsia" w:ascii="宋体" w:hAnsi="宋体" w:eastAsia="宋体" w:cs="仿宋"/>
                <w:kern w:val="0"/>
                <w:sz w:val="24"/>
                <w:szCs w:val="24"/>
              </w:rPr>
            </w:pPr>
            <w:r>
              <w:rPr>
                <w:rFonts w:hint="eastAsia" w:ascii="宋体" w:hAnsi="宋体" w:eastAsia="宋体" w:cs="仿宋"/>
                <w:kern w:val="0"/>
                <w:sz w:val="24"/>
                <w:szCs w:val="24"/>
              </w:rPr>
              <w:t>9、拓扑结构优化：针对当前网络设备运行情况，结合网管平台数据，给出网络结构优化建议并实施，提升网络健壮性。</w:t>
            </w:r>
          </w:p>
          <w:p w14:paraId="42658218">
            <w:pPr>
              <w:spacing w:line="300" w:lineRule="exact"/>
              <w:rPr>
                <w:rFonts w:hint="eastAsia" w:ascii="宋体" w:hAnsi="宋体" w:eastAsia="宋体" w:cs="仿宋"/>
                <w:kern w:val="0"/>
                <w:sz w:val="24"/>
                <w:szCs w:val="24"/>
              </w:rPr>
            </w:pPr>
            <w:r>
              <w:rPr>
                <w:rFonts w:hint="eastAsia" w:ascii="宋体" w:hAnsi="宋体" w:eastAsia="宋体" w:cs="仿宋"/>
                <w:kern w:val="0"/>
                <w:sz w:val="24"/>
                <w:szCs w:val="24"/>
              </w:rPr>
              <w:t>10、网络设备更换：网络设备故障及时维修，无法维修的及时更换备件，无备件情况为客户进行备件可用性选型</w:t>
            </w:r>
          </w:p>
        </w:tc>
        <w:tc>
          <w:tcPr>
            <w:tcW w:w="1383" w:type="dxa"/>
            <w:tcBorders>
              <w:top w:val="nil"/>
              <w:left w:val="single" w:color="auto" w:sz="4" w:space="0"/>
              <w:bottom w:val="single" w:color="auto" w:sz="4" w:space="0"/>
              <w:right w:val="single" w:color="auto" w:sz="4" w:space="0"/>
            </w:tcBorders>
            <w:vAlign w:val="center"/>
          </w:tcPr>
          <w:p w14:paraId="1CDE360F">
            <w:pPr>
              <w:spacing w:line="300" w:lineRule="exact"/>
              <w:jc w:val="left"/>
              <w:rPr>
                <w:rFonts w:hint="eastAsia" w:ascii="宋体" w:hAnsi="宋体" w:eastAsia="宋体" w:cs="仿宋"/>
                <w:kern w:val="0"/>
                <w:sz w:val="24"/>
                <w:szCs w:val="24"/>
              </w:rPr>
            </w:pPr>
            <w:r>
              <w:rPr>
                <w:rFonts w:hint="eastAsia" w:ascii="宋体" w:hAnsi="宋体" w:eastAsia="宋体" w:cs="仿宋"/>
                <w:kern w:val="0"/>
                <w:sz w:val="24"/>
                <w:szCs w:val="24"/>
              </w:rPr>
              <w:t>采购人提供：</w:t>
            </w:r>
            <w:r>
              <w:rPr>
                <w:rFonts w:hint="eastAsia" w:ascii="宋体" w:hAnsi="宋体" w:eastAsia="宋体" w:cs="仿宋"/>
                <w:kern w:val="0"/>
                <w:sz w:val="24"/>
                <w:szCs w:val="24"/>
              </w:rPr>
              <w:br w:type="textWrapping"/>
            </w:r>
            <w:r>
              <w:rPr>
                <w:rFonts w:hint="eastAsia" w:ascii="宋体" w:hAnsi="宋体" w:eastAsia="宋体" w:cs="仿宋"/>
                <w:kern w:val="0"/>
                <w:sz w:val="24"/>
                <w:szCs w:val="24"/>
              </w:rPr>
              <w:t>1.正版网管监控软件和监控服务器。</w:t>
            </w:r>
            <w:r>
              <w:rPr>
                <w:rFonts w:hint="eastAsia" w:ascii="宋体" w:hAnsi="宋体" w:eastAsia="宋体" w:cs="仿宋"/>
                <w:kern w:val="0"/>
                <w:sz w:val="24"/>
                <w:szCs w:val="24"/>
              </w:rPr>
              <w:br w:type="textWrapping"/>
            </w:r>
            <w:r>
              <w:rPr>
                <w:rFonts w:hint="eastAsia" w:ascii="宋体" w:hAnsi="宋体" w:eastAsia="宋体" w:cs="仿宋"/>
                <w:kern w:val="0"/>
                <w:sz w:val="24"/>
                <w:szCs w:val="24"/>
              </w:rPr>
              <w:t>2.硬件的安装或更换，采购人提供完整硬件部件。</w:t>
            </w:r>
            <w:r>
              <w:rPr>
                <w:rFonts w:hint="eastAsia" w:ascii="宋体" w:hAnsi="宋体" w:eastAsia="宋体" w:cs="仿宋"/>
                <w:kern w:val="0"/>
                <w:sz w:val="24"/>
                <w:szCs w:val="24"/>
              </w:rPr>
              <w:br w:type="textWrapping"/>
            </w:r>
            <w:r>
              <w:rPr>
                <w:rFonts w:hint="eastAsia" w:ascii="宋体" w:hAnsi="宋体" w:eastAsia="宋体" w:cs="仿宋"/>
                <w:kern w:val="0"/>
                <w:sz w:val="24"/>
                <w:szCs w:val="24"/>
              </w:rPr>
              <w:t>3.所监控的网络设备有管理功能。</w:t>
            </w:r>
            <w:r>
              <w:rPr>
                <w:rFonts w:hint="eastAsia" w:ascii="宋体" w:hAnsi="宋体" w:eastAsia="宋体" w:cs="仿宋"/>
                <w:kern w:val="0"/>
                <w:sz w:val="24"/>
                <w:szCs w:val="24"/>
              </w:rPr>
              <w:br w:type="textWrapping"/>
            </w:r>
            <w:r>
              <w:rPr>
                <w:rFonts w:hint="eastAsia" w:ascii="宋体" w:hAnsi="宋体" w:eastAsia="宋体" w:cs="仿宋"/>
                <w:kern w:val="0"/>
                <w:sz w:val="24"/>
                <w:szCs w:val="24"/>
              </w:rPr>
              <w:t>4.给予网络安全管理权限。</w:t>
            </w:r>
          </w:p>
        </w:tc>
      </w:tr>
      <w:tr w14:paraId="029F3D1D">
        <w:tblPrEx>
          <w:tblCellMar>
            <w:top w:w="0" w:type="dxa"/>
            <w:left w:w="108" w:type="dxa"/>
            <w:bottom w:w="0" w:type="dxa"/>
            <w:right w:w="108" w:type="dxa"/>
          </w:tblCellMar>
        </w:tblPrEx>
        <w:trPr>
          <w:trHeight w:val="5680" w:hRule="atLeast"/>
          <w:jc w:val="center"/>
        </w:trPr>
        <w:tc>
          <w:tcPr>
            <w:tcW w:w="697" w:type="dxa"/>
            <w:vMerge w:val="continue"/>
            <w:tcBorders>
              <w:left w:val="single" w:color="auto" w:sz="4" w:space="0"/>
              <w:right w:val="single" w:color="auto" w:sz="4" w:space="0"/>
            </w:tcBorders>
            <w:vAlign w:val="center"/>
          </w:tcPr>
          <w:p w14:paraId="3952059D">
            <w:pPr>
              <w:widowControl/>
              <w:spacing w:line="300" w:lineRule="exact"/>
              <w:jc w:val="center"/>
              <w:rPr>
                <w:rFonts w:hint="eastAsia" w:ascii="宋体" w:hAnsi="宋体" w:eastAsia="宋体" w:cs="仿宋"/>
                <w:kern w:val="0"/>
                <w:sz w:val="24"/>
                <w:szCs w:val="24"/>
              </w:rPr>
            </w:pPr>
          </w:p>
        </w:tc>
        <w:tc>
          <w:tcPr>
            <w:tcW w:w="1200" w:type="dxa"/>
            <w:vMerge w:val="continue"/>
            <w:tcBorders>
              <w:left w:val="single" w:color="auto" w:sz="4" w:space="0"/>
              <w:right w:val="single" w:color="auto" w:sz="4" w:space="0"/>
            </w:tcBorders>
            <w:vAlign w:val="center"/>
          </w:tcPr>
          <w:p w14:paraId="1523E297">
            <w:pPr>
              <w:widowControl/>
              <w:spacing w:line="300" w:lineRule="exact"/>
              <w:jc w:val="center"/>
              <w:rPr>
                <w:rFonts w:hint="eastAsia" w:ascii="宋体" w:hAnsi="宋体" w:eastAsia="宋体" w:cs="仿宋"/>
                <w:kern w:val="0"/>
                <w:sz w:val="24"/>
                <w:szCs w:val="24"/>
              </w:rPr>
            </w:pPr>
          </w:p>
        </w:tc>
        <w:tc>
          <w:tcPr>
            <w:tcW w:w="1222" w:type="dxa"/>
            <w:tcBorders>
              <w:top w:val="nil"/>
              <w:left w:val="single" w:color="auto" w:sz="4" w:space="0"/>
              <w:bottom w:val="single" w:color="auto" w:sz="4" w:space="0"/>
              <w:right w:val="single" w:color="auto" w:sz="4" w:space="0"/>
            </w:tcBorders>
            <w:vAlign w:val="center"/>
          </w:tcPr>
          <w:p w14:paraId="5F8E04F0">
            <w:pPr>
              <w:widowControl/>
              <w:spacing w:line="300" w:lineRule="exact"/>
              <w:jc w:val="center"/>
              <w:rPr>
                <w:rFonts w:hint="eastAsia" w:ascii="宋体" w:hAnsi="宋体" w:eastAsia="宋体" w:cs="仿宋"/>
                <w:kern w:val="0"/>
                <w:sz w:val="24"/>
                <w:szCs w:val="24"/>
              </w:rPr>
            </w:pPr>
            <w:r>
              <w:rPr>
                <w:rFonts w:hint="eastAsia" w:ascii="宋体" w:hAnsi="宋体" w:eastAsia="宋体" w:cs="仿宋"/>
                <w:kern w:val="0"/>
                <w:sz w:val="24"/>
                <w:szCs w:val="24"/>
              </w:rPr>
              <w:t>应用管理服务</w:t>
            </w:r>
          </w:p>
        </w:tc>
        <w:tc>
          <w:tcPr>
            <w:tcW w:w="5633" w:type="dxa"/>
            <w:tcBorders>
              <w:top w:val="nil"/>
              <w:left w:val="nil"/>
              <w:bottom w:val="single" w:color="auto" w:sz="4" w:space="0"/>
              <w:right w:val="nil"/>
            </w:tcBorders>
            <w:vAlign w:val="center"/>
          </w:tcPr>
          <w:p w14:paraId="215A3B2E">
            <w:pPr>
              <w:spacing w:line="300" w:lineRule="exact"/>
              <w:rPr>
                <w:rFonts w:hint="eastAsia" w:ascii="宋体" w:hAnsi="宋体" w:eastAsia="宋体" w:cs="仿宋"/>
                <w:kern w:val="0"/>
                <w:sz w:val="24"/>
                <w:szCs w:val="24"/>
              </w:rPr>
            </w:pPr>
            <w:r>
              <w:rPr>
                <w:rFonts w:hint="eastAsia" w:ascii="宋体" w:hAnsi="宋体" w:eastAsia="宋体" w:cs="仿宋"/>
                <w:kern w:val="0"/>
                <w:sz w:val="24"/>
                <w:szCs w:val="24"/>
              </w:rPr>
              <w:t>1.主机监控：服务器主机运行状态、应用软件的运行状态、日志的检查、监控。</w:t>
            </w:r>
            <w:r>
              <w:rPr>
                <w:rFonts w:hint="eastAsia" w:ascii="宋体" w:hAnsi="宋体" w:eastAsia="宋体" w:cs="仿宋"/>
                <w:kern w:val="0"/>
                <w:sz w:val="24"/>
                <w:szCs w:val="24"/>
              </w:rPr>
              <w:br w:type="textWrapping"/>
            </w:r>
            <w:r>
              <w:rPr>
                <w:rFonts w:hint="eastAsia" w:ascii="宋体" w:hAnsi="宋体" w:eastAsia="宋体" w:cs="仿宋"/>
                <w:kern w:val="0"/>
                <w:sz w:val="24"/>
                <w:szCs w:val="24"/>
              </w:rPr>
              <w:t>2.主机配置：服务器主机的应用配置与维护，应用服务设置。</w:t>
            </w:r>
          </w:p>
          <w:p w14:paraId="31DA66CB">
            <w:pPr>
              <w:spacing w:line="300" w:lineRule="exact"/>
              <w:rPr>
                <w:rFonts w:hint="eastAsia" w:ascii="宋体" w:hAnsi="宋体" w:eastAsia="宋体" w:cs="仿宋"/>
                <w:kern w:val="0"/>
                <w:sz w:val="24"/>
                <w:szCs w:val="24"/>
              </w:rPr>
            </w:pPr>
            <w:r>
              <w:rPr>
                <w:rFonts w:hint="eastAsia" w:ascii="宋体" w:hAnsi="宋体" w:eastAsia="宋体" w:cs="仿宋"/>
                <w:kern w:val="0"/>
                <w:sz w:val="24"/>
                <w:szCs w:val="24"/>
              </w:rPr>
              <w:t>3.针对系统运行中出现的故障进行分析处理，尽快恢复系统及业务的正常运行。</w:t>
            </w:r>
            <w:r>
              <w:rPr>
                <w:rFonts w:hint="eastAsia" w:ascii="宋体" w:hAnsi="宋体" w:eastAsia="宋体" w:cs="仿宋"/>
                <w:kern w:val="0"/>
                <w:sz w:val="24"/>
                <w:szCs w:val="24"/>
              </w:rPr>
              <w:br w:type="textWrapping"/>
            </w:r>
            <w:r>
              <w:rPr>
                <w:rFonts w:hint="eastAsia" w:ascii="宋体" w:hAnsi="宋体" w:eastAsia="宋体" w:cs="仿宋"/>
                <w:kern w:val="0"/>
                <w:sz w:val="24"/>
                <w:szCs w:val="24"/>
              </w:rPr>
              <w:t>4.系统更新：随时关注安全公告，定期对服务器进行系统更新，补丁下载。</w:t>
            </w:r>
            <w:r>
              <w:rPr>
                <w:rFonts w:hint="eastAsia" w:ascii="宋体" w:hAnsi="宋体" w:eastAsia="宋体" w:cs="仿宋"/>
                <w:kern w:val="0"/>
                <w:sz w:val="24"/>
                <w:szCs w:val="24"/>
              </w:rPr>
              <w:br w:type="textWrapping"/>
            </w:r>
            <w:r>
              <w:rPr>
                <w:rFonts w:hint="eastAsia" w:ascii="宋体" w:hAnsi="宋体" w:eastAsia="宋体" w:cs="仿宋"/>
                <w:kern w:val="0"/>
                <w:sz w:val="24"/>
                <w:szCs w:val="24"/>
              </w:rPr>
              <w:t>5.数据备份：按照甲方要求制定备份计划（网络交换机配置备份、内网虚拟化平台CVM管理系统的备份、内网虚拟机服务器时间点快照创建、外网虚拟化平台VRM管理系统的备份、外网虚拟机服务器时间点快照创建、云桌面虚拟机备份），定期备份用户重要文档、图片、邮件、关键应用及用户系统等</w:t>
            </w:r>
            <w:r>
              <w:rPr>
                <w:rFonts w:hint="eastAsia" w:ascii="宋体" w:hAnsi="宋体" w:eastAsia="宋体" w:cs="仿宋"/>
                <w:kern w:val="0"/>
                <w:sz w:val="24"/>
                <w:szCs w:val="24"/>
              </w:rPr>
              <w:br w:type="textWrapping"/>
            </w:r>
            <w:r>
              <w:rPr>
                <w:rFonts w:hint="eastAsia" w:ascii="宋体" w:hAnsi="宋体" w:eastAsia="宋体" w:cs="仿宋"/>
                <w:kern w:val="0"/>
                <w:sz w:val="24"/>
                <w:szCs w:val="24"/>
              </w:rPr>
              <w:t>6.主机安全：病毒库升级、高危端口监控，保障主机健康运行。</w:t>
            </w:r>
          </w:p>
          <w:p w14:paraId="249AAC43">
            <w:pPr>
              <w:spacing w:line="300" w:lineRule="exact"/>
              <w:rPr>
                <w:rFonts w:hint="eastAsia" w:ascii="宋体" w:hAnsi="宋体" w:eastAsia="宋体" w:cs="仿宋"/>
                <w:kern w:val="0"/>
                <w:sz w:val="24"/>
                <w:szCs w:val="24"/>
              </w:rPr>
            </w:pPr>
            <w:r>
              <w:rPr>
                <w:rFonts w:hint="eastAsia" w:ascii="宋体" w:hAnsi="宋体" w:eastAsia="宋体" w:cs="仿宋"/>
                <w:kern w:val="0"/>
                <w:sz w:val="24"/>
                <w:szCs w:val="24"/>
              </w:rPr>
              <w:t>7.主机设备更换：主机设备故障及时维修，无法维修的及时更换备件，无备件情况为客户进行备件可用性选型</w:t>
            </w:r>
          </w:p>
        </w:tc>
        <w:tc>
          <w:tcPr>
            <w:tcW w:w="1383" w:type="dxa"/>
            <w:tcBorders>
              <w:top w:val="nil"/>
              <w:left w:val="single" w:color="auto" w:sz="4" w:space="0"/>
              <w:bottom w:val="single" w:color="auto" w:sz="4" w:space="0"/>
              <w:right w:val="single" w:color="auto" w:sz="4" w:space="0"/>
            </w:tcBorders>
            <w:vAlign w:val="center"/>
          </w:tcPr>
          <w:p w14:paraId="728A957D">
            <w:pPr>
              <w:spacing w:line="300" w:lineRule="exact"/>
              <w:jc w:val="left"/>
              <w:rPr>
                <w:rFonts w:hint="eastAsia" w:ascii="宋体" w:hAnsi="宋体" w:eastAsia="宋体" w:cs="仿宋"/>
                <w:kern w:val="0"/>
                <w:sz w:val="24"/>
                <w:szCs w:val="24"/>
              </w:rPr>
            </w:pPr>
            <w:r>
              <w:rPr>
                <w:rFonts w:hint="eastAsia" w:ascii="宋体" w:hAnsi="宋体" w:eastAsia="宋体" w:cs="仿宋"/>
                <w:kern w:val="0"/>
                <w:sz w:val="24"/>
                <w:szCs w:val="24"/>
              </w:rPr>
              <w:t>采购人提供：1.所管理的服务器给予管理权限。</w:t>
            </w:r>
            <w:r>
              <w:rPr>
                <w:rFonts w:hint="eastAsia" w:ascii="宋体" w:hAnsi="宋体" w:eastAsia="宋体" w:cs="仿宋"/>
                <w:kern w:val="0"/>
                <w:sz w:val="24"/>
                <w:szCs w:val="24"/>
              </w:rPr>
              <w:br w:type="textWrapping"/>
            </w:r>
            <w:r>
              <w:rPr>
                <w:rFonts w:hint="eastAsia" w:ascii="宋体" w:hAnsi="宋体" w:eastAsia="宋体" w:cs="仿宋"/>
                <w:kern w:val="0"/>
                <w:sz w:val="24"/>
                <w:szCs w:val="24"/>
              </w:rPr>
              <w:t>2.硬件的安装或更换，采购人提供完整的硬件部件。</w:t>
            </w:r>
            <w:r>
              <w:rPr>
                <w:rFonts w:hint="eastAsia" w:ascii="宋体" w:hAnsi="宋体" w:eastAsia="宋体" w:cs="仿宋"/>
                <w:kern w:val="0"/>
                <w:sz w:val="24"/>
                <w:szCs w:val="24"/>
              </w:rPr>
              <w:br w:type="textWrapping"/>
            </w:r>
            <w:r>
              <w:rPr>
                <w:rFonts w:hint="eastAsia" w:ascii="宋体" w:hAnsi="宋体" w:eastAsia="宋体" w:cs="仿宋"/>
                <w:kern w:val="0"/>
                <w:sz w:val="24"/>
                <w:szCs w:val="24"/>
              </w:rPr>
              <w:t>3.提供正版软件安装介质。</w:t>
            </w:r>
            <w:r>
              <w:rPr>
                <w:rFonts w:hint="eastAsia" w:ascii="宋体" w:hAnsi="宋体" w:eastAsia="宋体" w:cs="仿宋"/>
                <w:kern w:val="0"/>
                <w:sz w:val="24"/>
                <w:szCs w:val="24"/>
              </w:rPr>
              <w:br w:type="textWrapping"/>
            </w:r>
            <w:r>
              <w:rPr>
                <w:rFonts w:hint="eastAsia" w:ascii="宋体" w:hAnsi="宋体" w:eastAsia="宋体" w:cs="仿宋"/>
                <w:kern w:val="0"/>
                <w:sz w:val="24"/>
                <w:szCs w:val="24"/>
              </w:rPr>
              <w:t>4.提供备份介质。</w:t>
            </w:r>
          </w:p>
        </w:tc>
      </w:tr>
      <w:tr w14:paraId="6BAA15D1">
        <w:tblPrEx>
          <w:tblCellMar>
            <w:top w:w="0" w:type="dxa"/>
            <w:left w:w="108" w:type="dxa"/>
            <w:bottom w:w="0" w:type="dxa"/>
            <w:right w:w="108" w:type="dxa"/>
          </w:tblCellMar>
        </w:tblPrEx>
        <w:trPr>
          <w:trHeight w:val="1985" w:hRule="atLeast"/>
          <w:jc w:val="center"/>
        </w:trPr>
        <w:tc>
          <w:tcPr>
            <w:tcW w:w="697" w:type="dxa"/>
            <w:vMerge w:val="continue"/>
            <w:tcBorders>
              <w:left w:val="single" w:color="auto" w:sz="4" w:space="0"/>
              <w:right w:val="single" w:color="auto" w:sz="4" w:space="0"/>
            </w:tcBorders>
            <w:vAlign w:val="center"/>
          </w:tcPr>
          <w:p w14:paraId="14628BB5">
            <w:pPr>
              <w:widowControl/>
              <w:spacing w:line="300" w:lineRule="exact"/>
              <w:jc w:val="center"/>
              <w:rPr>
                <w:rFonts w:hint="eastAsia" w:ascii="宋体" w:hAnsi="宋体" w:eastAsia="宋体" w:cs="仿宋"/>
                <w:kern w:val="0"/>
                <w:sz w:val="24"/>
                <w:szCs w:val="24"/>
              </w:rPr>
            </w:pPr>
          </w:p>
        </w:tc>
        <w:tc>
          <w:tcPr>
            <w:tcW w:w="1200" w:type="dxa"/>
            <w:vMerge w:val="continue"/>
            <w:tcBorders>
              <w:left w:val="single" w:color="auto" w:sz="4" w:space="0"/>
              <w:right w:val="single" w:color="auto" w:sz="4" w:space="0"/>
            </w:tcBorders>
            <w:vAlign w:val="center"/>
          </w:tcPr>
          <w:p w14:paraId="5C4B4E8C">
            <w:pPr>
              <w:widowControl/>
              <w:spacing w:line="300" w:lineRule="exact"/>
              <w:jc w:val="center"/>
              <w:rPr>
                <w:rFonts w:hint="eastAsia" w:ascii="宋体" w:hAnsi="宋体" w:eastAsia="宋体" w:cs="仿宋"/>
                <w:kern w:val="0"/>
                <w:sz w:val="24"/>
                <w:szCs w:val="24"/>
              </w:rPr>
            </w:pPr>
          </w:p>
        </w:tc>
        <w:tc>
          <w:tcPr>
            <w:tcW w:w="1222" w:type="dxa"/>
            <w:tcBorders>
              <w:top w:val="single" w:color="auto" w:sz="4" w:space="0"/>
              <w:left w:val="single" w:color="auto" w:sz="4" w:space="0"/>
              <w:bottom w:val="single" w:color="auto" w:sz="4" w:space="0"/>
              <w:right w:val="single" w:color="auto" w:sz="4" w:space="0"/>
            </w:tcBorders>
            <w:vAlign w:val="center"/>
          </w:tcPr>
          <w:p w14:paraId="116FB30A">
            <w:pPr>
              <w:widowControl/>
              <w:spacing w:line="300" w:lineRule="exact"/>
              <w:jc w:val="center"/>
              <w:rPr>
                <w:rFonts w:hint="eastAsia" w:ascii="宋体" w:hAnsi="宋体" w:eastAsia="宋体" w:cs="仿宋"/>
                <w:kern w:val="0"/>
                <w:sz w:val="24"/>
                <w:szCs w:val="24"/>
              </w:rPr>
            </w:pPr>
            <w:r>
              <w:rPr>
                <w:rFonts w:hint="eastAsia" w:ascii="宋体" w:hAnsi="宋体" w:eastAsia="宋体" w:cs="仿宋"/>
                <w:kern w:val="0"/>
                <w:sz w:val="24"/>
                <w:szCs w:val="24"/>
              </w:rPr>
              <w:t>新系统（设备）上架服务以及系统迁移服务</w:t>
            </w:r>
          </w:p>
        </w:tc>
        <w:tc>
          <w:tcPr>
            <w:tcW w:w="5633" w:type="dxa"/>
            <w:tcBorders>
              <w:top w:val="single" w:color="auto" w:sz="4" w:space="0"/>
              <w:left w:val="nil"/>
              <w:bottom w:val="single" w:color="auto" w:sz="4" w:space="0"/>
              <w:right w:val="nil"/>
            </w:tcBorders>
            <w:vAlign w:val="center"/>
          </w:tcPr>
          <w:p w14:paraId="7C30C6E0">
            <w:pPr>
              <w:spacing w:line="300" w:lineRule="exact"/>
              <w:rPr>
                <w:rFonts w:hint="eastAsia" w:ascii="宋体" w:hAnsi="宋体" w:eastAsia="宋体" w:cs="仿宋"/>
                <w:kern w:val="0"/>
                <w:sz w:val="24"/>
                <w:szCs w:val="24"/>
              </w:rPr>
            </w:pPr>
            <w:r>
              <w:rPr>
                <w:rFonts w:hint="eastAsia" w:ascii="宋体" w:hAnsi="宋体" w:eastAsia="宋体" w:cs="仿宋"/>
                <w:kern w:val="0"/>
                <w:sz w:val="24"/>
                <w:szCs w:val="24"/>
              </w:rPr>
              <w:t>1.新系统上线服务：测试、安装、调试及排错等。</w:t>
            </w:r>
            <w:r>
              <w:rPr>
                <w:rFonts w:hint="eastAsia" w:ascii="宋体" w:hAnsi="宋体" w:eastAsia="宋体" w:cs="仿宋"/>
                <w:kern w:val="0"/>
                <w:sz w:val="24"/>
                <w:szCs w:val="24"/>
              </w:rPr>
              <w:br w:type="textWrapping"/>
            </w:r>
            <w:r>
              <w:rPr>
                <w:rFonts w:hint="eastAsia" w:ascii="宋体" w:hAnsi="宋体" w:eastAsia="宋体" w:cs="仿宋"/>
                <w:kern w:val="0"/>
                <w:sz w:val="24"/>
                <w:szCs w:val="24"/>
              </w:rPr>
              <w:t>2.新设备上线服务：测试、安装、调试及排错等。</w:t>
            </w:r>
            <w:r>
              <w:rPr>
                <w:rFonts w:hint="eastAsia" w:ascii="宋体" w:hAnsi="宋体" w:eastAsia="宋体" w:cs="仿宋"/>
                <w:kern w:val="0"/>
                <w:sz w:val="24"/>
                <w:szCs w:val="24"/>
              </w:rPr>
              <w:br w:type="textWrapping"/>
            </w:r>
            <w:r>
              <w:rPr>
                <w:rFonts w:hint="eastAsia" w:ascii="宋体" w:hAnsi="宋体" w:eastAsia="宋体" w:cs="仿宋"/>
                <w:kern w:val="0"/>
                <w:sz w:val="24"/>
                <w:szCs w:val="24"/>
              </w:rPr>
              <w:t>3.原有设备系统迁移服务：新、旧管委会原有设备和系统迁移服务，保证搬迁后管委会网络和系统和应用的安全、平稳过渡。</w:t>
            </w:r>
          </w:p>
        </w:tc>
        <w:tc>
          <w:tcPr>
            <w:tcW w:w="1383" w:type="dxa"/>
            <w:tcBorders>
              <w:top w:val="single" w:color="auto" w:sz="4" w:space="0"/>
              <w:left w:val="single" w:color="auto" w:sz="4" w:space="0"/>
              <w:bottom w:val="single" w:color="auto" w:sz="4" w:space="0"/>
              <w:right w:val="single" w:color="auto" w:sz="4" w:space="0"/>
            </w:tcBorders>
            <w:vAlign w:val="center"/>
          </w:tcPr>
          <w:p w14:paraId="2F51435D">
            <w:pPr>
              <w:spacing w:line="300" w:lineRule="exact"/>
              <w:jc w:val="left"/>
              <w:rPr>
                <w:rFonts w:hint="eastAsia" w:ascii="宋体" w:hAnsi="宋体" w:eastAsia="宋体" w:cs="仿宋"/>
                <w:kern w:val="0"/>
                <w:sz w:val="24"/>
                <w:szCs w:val="24"/>
              </w:rPr>
            </w:pPr>
            <w:r>
              <w:rPr>
                <w:rFonts w:hint="eastAsia" w:ascii="宋体" w:hAnsi="宋体" w:eastAsia="宋体" w:cs="仿宋"/>
                <w:kern w:val="0"/>
                <w:sz w:val="24"/>
                <w:szCs w:val="24"/>
              </w:rPr>
              <w:t>新系统新设备（项目）若存在中标方，乙方起协助处理作用。</w:t>
            </w:r>
          </w:p>
        </w:tc>
      </w:tr>
      <w:tr w14:paraId="20C22F30">
        <w:tblPrEx>
          <w:tblCellMar>
            <w:top w:w="0" w:type="dxa"/>
            <w:left w:w="108" w:type="dxa"/>
            <w:bottom w:w="0" w:type="dxa"/>
            <w:right w:w="108" w:type="dxa"/>
          </w:tblCellMar>
        </w:tblPrEx>
        <w:trPr>
          <w:trHeight w:val="1143" w:hRule="atLeast"/>
          <w:jc w:val="center"/>
        </w:trPr>
        <w:tc>
          <w:tcPr>
            <w:tcW w:w="697" w:type="dxa"/>
            <w:vMerge w:val="continue"/>
            <w:tcBorders>
              <w:left w:val="single" w:color="auto" w:sz="4" w:space="0"/>
              <w:right w:val="single" w:color="auto" w:sz="4" w:space="0"/>
            </w:tcBorders>
            <w:vAlign w:val="center"/>
          </w:tcPr>
          <w:p w14:paraId="6E0FD18F">
            <w:pPr>
              <w:widowControl/>
              <w:spacing w:line="300" w:lineRule="exact"/>
              <w:jc w:val="center"/>
              <w:rPr>
                <w:rFonts w:hint="eastAsia" w:ascii="宋体" w:hAnsi="宋体" w:eastAsia="宋体" w:cs="仿宋"/>
                <w:kern w:val="0"/>
                <w:sz w:val="24"/>
                <w:szCs w:val="24"/>
              </w:rPr>
            </w:pPr>
          </w:p>
        </w:tc>
        <w:tc>
          <w:tcPr>
            <w:tcW w:w="1200" w:type="dxa"/>
            <w:vMerge w:val="continue"/>
            <w:tcBorders>
              <w:left w:val="single" w:color="auto" w:sz="4" w:space="0"/>
              <w:right w:val="single" w:color="auto" w:sz="4" w:space="0"/>
            </w:tcBorders>
            <w:vAlign w:val="center"/>
          </w:tcPr>
          <w:p w14:paraId="04B1B4A1">
            <w:pPr>
              <w:widowControl/>
              <w:spacing w:line="300" w:lineRule="exact"/>
              <w:jc w:val="center"/>
              <w:rPr>
                <w:rFonts w:hint="eastAsia" w:ascii="宋体" w:hAnsi="宋体" w:eastAsia="宋体" w:cs="仿宋"/>
                <w:kern w:val="0"/>
                <w:sz w:val="24"/>
                <w:szCs w:val="24"/>
              </w:rPr>
            </w:pPr>
          </w:p>
        </w:tc>
        <w:tc>
          <w:tcPr>
            <w:tcW w:w="1222" w:type="dxa"/>
            <w:tcBorders>
              <w:top w:val="single" w:color="auto" w:sz="4" w:space="0"/>
              <w:left w:val="single" w:color="auto" w:sz="4" w:space="0"/>
              <w:bottom w:val="single" w:color="auto" w:sz="4" w:space="0"/>
              <w:right w:val="single" w:color="auto" w:sz="4" w:space="0"/>
            </w:tcBorders>
            <w:vAlign w:val="center"/>
          </w:tcPr>
          <w:p w14:paraId="7A8E05EE">
            <w:pPr>
              <w:widowControl/>
              <w:spacing w:line="300" w:lineRule="exact"/>
              <w:jc w:val="center"/>
              <w:rPr>
                <w:rFonts w:hint="eastAsia" w:ascii="宋体" w:hAnsi="宋体" w:eastAsia="宋体" w:cs="仿宋"/>
                <w:kern w:val="0"/>
                <w:sz w:val="24"/>
                <w:szCs w:val="24"/>
              </w:rPr>
            </w:pPr>
            <w:r>
              <w:rPr>
                <w:rFonts w:hint="eastAsia" w:ascii="宋体" w:hAnsi="宋体" w:eastAsia="宋体" w:cs="仿宋"/>
                <w:kern w:val="0"/>
                <w:sz w:val="24"/>
                <w:szCs w:val="24"/>
              </w:rPr>
              <w:t>虚拟化平台运维服务</w:t>
            </w:r>
          </w:p>
        </w:tc>
        <w:tc>
          <w:tcPr>
            <w:tcW w:w="5633" w:type="dxa"/>
            <w:tcBorders>
              <w:top w:val="single" w:color="auto" w:sz="4" w:space="0"/>
              <w:left w:val="nil"/>
              <w:bottom w:val="single" w:color="auto" w:sz="4" w:space="0"/>
              <w:right w:val="nil"/>
            </w:tcBorders>
            <w:vAlign w:val="center"/>
          </w:tcPr>
          <w:p w14:paraId="1400B1C8">
            <w:pPr>
              <w:spacing w:line="300" w:lineRule="exact"/>
              <w:rPr>
                <w:rFonts w:hint="eastAsia" w:ascii="宋体" w:hAnsi="宋体" w:eastAsia="宋体" w:cs="仿宋"/>
                <w:kern w:val="0"/>
                <w:sz w:val="24"/>
                <w:szCs w:val="24"/>
              </w:rPr>
            </w:pPr>
            <w:r>
              <w:rPr>
                <w:rFonts w:hint="eastAsia" w:ascii="宋体" w:hAnsi="宋体" w:eastAsia="宋体" w:cs="仿宋"/>
                <w:kern w:val="0"/>
                <w:sz w:val="24"/>
                <w:szCs w:val="24"/>
              </w:rPr>
              <w:t>对虚拟化平台进行日常运营维护及管理服务，对CPU、内存等资源使用情况及性能进行维护、分析、预警和故障排查,保障应用系统运行稳定。</w:t>
            </w:r>
          </w:p>
        </w:tc>
        <w:tc>
          <w:tcPr>
            <w:tcW w:w="1383" w:type="dxa"/>
            <w:tcBorders>
              <w:top w:val="single" w:color="auto" w:sz="4" w:space="0"/>
              <w:left w:val="single" w:color="auto" w:sz="4" w:space="0"/>
              <w:bottom w:val="single" w:color="auto" w:sz="4" w:space="0"/>
              <w:right w:val="single" w:color="auto" w:sz="4" w:space="0"/>
            </w:tcBorders>
            <w:vAlign w:val="center"/>
          </w:tcPr>
          <w:p w14:paraId="288098F3">
            <w:pPr>
              <w:widowControl/>
              <w:spacing w:line="300" w:lineRule="exact"/>
              <w:jc w:val="center"/>
              <w:rPr>
                <w:rFonts w:hint="eastAsia" w:ascii="宋体" w:hAnsi="宋体" w:eastAsia="宋体" w:cs="仿宋"/>
                <w:kern w:val="0"/>
                <w:sz w:val="24"/>
                <w:szCs w:val="24"/>
              </w:rPr>
            </w:pPr>
          </w:p>
        </w:tc>
      </w:tr>
      <w:tr w14:paraId="6B22B52B">
        <w:tblPrEx>
          <w:tblCellMar>
            <w:top w:w="0" w:type="dxa"/>
            <w:left w:w="108" w:type="dxa"/>
            <w:bottom w:w="0" w:type="dxa"/>
            <w:right w:w="108" w:type="dxa"/>
          </w:tblCellMar>
        </w:tblPrEx>
        <w:trPr>
          <w:trHeight w:val="1388" w:hRule="atLeast"/>
          <w:jc w:val="center"/>
        </w:trPr>
        <w:tc>
          <w:tcPr>
            <w:tcW w:w="697" w:type="dxa"/>
            <w:vMerge w:val="continue"/>
            <w:tcBorders>
              <w:left w:val="single" w:color="auto" w:sz="4" w:space="0"/>
              <w:bottom w:val="single" w:color="auto" w:sz="4" w:space="0"/>
              <w:right w:val="single" w:color="auto" w:sz="4" w:space="0"/>
            </w:tcBorders>
            <w:vAlign w:val="center"/>
          </w:tcPr>
          <w:p w14:paraId="3F368E49">
            <w:pPr>
              <w:widowControl/>
              <w:spacing w:line="300" w:lineRule="exact"/>
              <w:jc w:val="center"/>
              <w:rPr>
                <w:rFonts w:hint="eastAsia" w:ascii="宋体" w:hAnsi="宋体" w:eastAsia="宋体" w:cs="仿宋"/>
                <w:kern w:val="0"/>
                <w:sz w:val="24"/>
                <w:szCs w:val="24"/>
              </w:rPr>
            </w:pPr>
          </w:p>
        </w:tc>
        <w:tc>
          <w:tcPr>
            <w:tcW w:w="1200" w:type="dxa"/>
            <w:vMerge w:val="continue"/>
            <w:tcBorders>
              <w:left w:val="single" w:color="auto" w:sz="4" w:space="0"/>
              <w:bottom w:val="single" w:color="auto" w:sz="4" w:space="0"/>
              <w:right w:val="single" w:color="auto" w:sz="4" w:space="0"/>
            </w:tcBorders>
            <w:vAlign w:val="center"/>
          </w:tcPr>
          <w:p w14:paraId="7A4BC207">
            <w:pPr>
              <w:widowControl/>
              <w:spacing w:line="300" w:lineRule="exact"/>
              <w:jc w:val="center"/>
              <w:rPr>
                <w:rFonts w:hint="eastAsia" w:ascii="宋体" w:hAnsi="宋体" w:eastAsia="宋体" w:cs="仿宋"/>
                <w:kern w:val="0"/>
                <w:sz w:val="24"/>
                <w:szCs w:val="24"/>
              </w:rPr>
            </w:pPr>
          </w:p>
        </w:tc>
        <w:tc>
          <w:tcPr>
            <w:tcW w:w="1222" w:type="dxa"/>
            <w:tcBorders>
              <w:top w:val="single" w:color="auto" w:sz="4" w:space="0"/>
              <w:left w:val="single" w:color="auto" w:sz="4" w:space="0"/>
              <w:bottom w:val="single" w:color="auto" w:sz="4" w:space="0"/>
              <w:right w:val="single" w:color="auto" w:sz="4" w:space="0"/>
            </w:tcBorders>
            <w:vAlign w:val="center"/>
          </w:tcPr>
          <w:p w14:paraId="3515DBFB">
            <w:pPr>
              <w:spacing w:line="300" w:lineRule="exact"/>
              <w:jc w:val="center"/>
              <w:rPr>
                <w:rFonts w:hint="eastAsia" w:ascii="宋体" w:hAnsi="宋体" w:eastAsia="宋体" w:cs="仿宋"/>
                <w:kern w:val="0"/>
                <w:sz w:val="24"/>
                <w:szCs w:val="24"/>
              </w:rPr>
            </w:pPr>
            <w:r>
              <w:rPr>
                <w:rFonts w:hint="eastAsia" w:ascii="宋体" w:hAnsi="宋体" w:eastAsia="宋体" w:cs="仿宋"/>
                <w:kern w:val="0"/>
                <w:sz w:val="24"/>
                <w:szCs w:val="24"/>
              </w:rPr>
              <w:t>IT安全服务</w:t>
            </w:r>
          </w:p>
        </w:tc>
        <w:tc>
          <w:tcPr>
            <w:tcW w:w="5633" w:type="dxa"/>
            <w:tcBorders>
              <w:top w:val="single" w:color="auto" w:sz="4" w:space="0"/>
              <w:left w:val="nil"/>
              <w:bottom w:val="single" w:color="auto" w:sz="4" w:space="0"/>
              <w:right w:val="nil"/>
            </w:tcBorders>
            <w:vAlign w:val="center"/>
          </w:tcPr>
          <w:p w14:paraId="6B11FB06">
            <w:pPr>
              <w:spacing w:line="300" w:lineRule="exact"/>
              <w:rPr>
                <w:rFonts w:hint="eastAsia" w:ascii="宋体" w:hAnsi="宋体" w:eastAsia="宋体" w:cs="仿宋"/>
                <w:kern w:val="0"/>
                <w:sz w:val="24"/>
                <w:szCs w:val="24"/>
              </w:rPr>
            </w:pPr>
            <w:r>
              <w:rPr>
                <w:rFonts w:hint="eastAsia" w:ascii="宋体" w:hAnsi="宋体" w:eastAsia="宋体" w:cs="仿宋"/>
                <w:kern w:val="0"/>
                <w:sz w:val="24"/>
                <w:szCs w:val="24"/>
              </w:rPr>
              <w:t>对网络及系统的运行和使用安全进行保障，对病毒、攻击、恶意链接等进行响应安全防护，每月提供安全服务报告，对安全运行情况进行总结，对安全风险进行预警、修补和改进。</w:t>
            </w:r>
          </w:p>
        </w:tc>
        <w:tc>
          <w:tcPr>
            <w:tcW w:w="1383" w:type="dxa"/>
            <w:tcBorders>
              <w:top w:val="single" w:color="auto" w:sz="4" w:space="0"/>
              <w:left w:val="single" w:color="auto" w:sz="4" w:space="0"/>
              <w:bottom w:val="single" w:color="auto" w:sz="4" w:space="0"/>
              <w:right w:val="single" w:color="auto" w:sz="4" w:space="0"/>
            </w:tcBorders>
            <w:vAlign w:val="center"/>
          </w:tcPr>
          <w:p w14:paraId="3308D2CE">
            <w:pPr>
              <w:widowControl/>
              <w:spacing w:line="300" w:lineRule="exact"/>
              <w:jc w:val="center"/>
              <w:rPr>
                <w:rFonts w:hint="eastAsia" w:ascii="宋体" w:hAnsi="宋体" w:eastAsia="宋体" w:cs="仿宋"/>
                <w:kern w:val="0"/>
                <w:sz w:val="24"/>
                <w:szCs w:val="24"/>
              </w:rPr>
            </w:pPr>
          </w:p>
        </w:tc>
      </w:tr>
      <w:tr w14:paraId="4BCA1F33">
        <w:tblPrEx>
          <w:tblCellMar>
            <w:top w:w="0" w:type="dxa"/>
            <w:left w:w="108" w:type="dxa"/>
            <w:bottom w:w="0" w:type="dxa"/>
            <w:right w:w="108" w:type="dxa"/>
          </w:tblCellMar>
        </w:tblPrEx>
        <w:trPr>
          <w:trHeight w:val="2540" w:hRule="atLeast"/>
          <w:jc w:val="center"/>
        </w:trPr>
        <w:tc>
          <w:tcPr>
            <w:tcW w:w="697" w:type="dxa"/>
            <w:vMerge w:val="restart"/>
            <w:tcBorders>
              <w:top w:val="single" w:color="auto" w:sz="4" w:space="0"/>
              <w:left w:val="single" w:color="auto" w:sz="4" w:space="0"/>
              <w:bottom w:val="single" w:color="auto" w:sz="4" w:space="0"/>
              <w:right w:val="single" w:color="auto" w:sz="4" w:space="0"/>
            </w:tcBorders>
            <w:vAlign w:val="center"/>
          </w:tcPr>
          <w:p w14:paraId="5D660F8F">
            <w:pPr>
              <w:widowControl/>
              <w:spacing w:line="300" w:lineRule="exact"/>
              <w:jc w:val="center"/>
              <w:rPr>
                <w:rFonts w:hint="eastAsia" w:ascii="宋体" w:hAnsi="宋体" w:eastAsia="宋体" w:cs="仿宋"/>
                <w:kern w:val="0"/>
                <w:sz w:val="24"/>
                <w:szCs w:val="24"/>
              </w:rPr>
            </w:pPr>
          </w:p>
          <w:p w14:paraId="0663E828">
            <w:pPr>
              <w:widowControl/>
              <w:spacing w:line="300" w:lineRule="exact"/>
              <w:jc w:val="center"/>
              <w:rPr>
                <w:rFonts w:hint="eastAsia" w:ascii="宋体" w:hAnsi="宋体" w:eastAsia="宋体" w:cs="仿宋"/>
                <w:kern w:val="0"/>
                <w:sz w:val="24"/>
                <w:szCs w:val="24"/>
              </w:rPr>
            </w:pPr>
          </w:p>
          <w:p w14:paraId="36EBC9EA">
            <w:pPr>
              <w:widowControl/>
              <w:spacing w:line="300" w:lineRule="exact"/>
              <w:jc w:val="center"/>
              <w:rPr>
                <w:rFonts w:hint="eastAsia" w:ascii="宋体" w:hAnsi="宋体" w:eastAsia="宋体" w:cs="仿宋"/>
                <w:kern w:val="0"/>
                <w:sz w:val="24"/>
                <w:szCs w:val="24"/>
              </w:rPr>
            </w:pPr>
          </w:p>
          <w:p w14:paraId="491C5C33">
            <w:pPr>
              <w:widowControl/>
              <w:spacing w:line="300" w:lineRule="exact"/>
              <w:jc w:val="center"/>
              <w:rPr>
                <w:rFonts w:hint="eastAsia" w:ascii="宋体" w:hAnsi="宋体" w:eastAsia="宋体" w:cs="仿宋"/>
                <w:kern w:val="0"/>
                <w:sz w:val="24"/>
                <w:szCs w:val="24"/>
              </w:rPr>
            </w:pPr>
          </w:p>
          <w:p w14:paraId="1599C7A7">
            <w:pPr>
              <w:widowControl/>
              <w:spacing w:line="300" w:lineRule="exact"/>
              <w:jc w:val="center"/>
              <w:rPr>
                <w:rFonts w:hint="eastAsia" w:ascii="宋体" w:hAnsi="宋体" w:eastAsia="宋体" w:cs="仿宋"/>
                <w:kern w:val="0"/>
                <w:sz w:val="24"/>
                <w:szCs w:val="24"/>
              </w:rPr>
            </w:pPr>
            <w:r>
              <w:rPr>
                <w:rFonts w:hint="eastAsia" w:ascii="宋体" w:hAnsi="宋体" w:eastAsia="宋体" w:cs="仿宋"/>
                <w:kern w:val="0"/>
                <w:sz w:val="24"/>
                <w:szCs w:val="24"/>
              </w:rPr>
              <w:t>2</w:t>
            </w:r>
          </w:p>
        </w:tc>
        <w:tc>
          <w:tcPr>
            <w:tcW w:w="1200" w:type="dxa"/>
            <w:vMerge w:val="restart"/>
            <w:tcBorders>
              <w:top w:val="single" w:color="auto" w:sz="4" w:space="0"/>
              <w:left w:val="single" w:color="auto" w:sz="4" w:space="0"/>
              <w:bottom w:val="single" w:color="auto" w:sz="4" w:space="0"/>
              <w:right w:val="single" w:color="auto" w:sz="4" w:space="0"/>
            </w:tcBorders>
            <w:vAlign w:val="center"/>
          </w:tcPr>
          <w:p w14:paraId="7D945842">
            <w:pPr>
              <w:widowControl/>
              <w:spacing w:line="300" w:lineRule="exact"/>
              <w:jc w:val="center"/>
              <w:rPr>
                <w:rFonts w:hint="eastAsia" w:ascii="宋体" w:hAnsi="宋体" w:eastAsia="宋体" w:cs="仿宋"/>
                <w:kern w:val="0"/>
                <w:sz w:val="24"/>
                <w:szCs w:val="24"/>
              </w:rPr>
            </w:pPr>
          </w:p>
          <w:p w14:paraId="16E63D29">
            <w:pPr>
              <w:widowControl/>
              <w:spacing w:line="300" w:lineRule="exact"/>
              <w:jc w:val="center"/>
              <w:rPr>
                <w:rFonts w:hint="eastAsia" w:ascii="宋体" w:hAnsi="宋体" w:eastAsia="宋体" w:cs="仿宋"/>
                <w:kern w:val="0"/>
                <w:sz w:val="24"/>
                <w:szCs w:val="24"/>
              </w:rPr>
            </w:pPr>
          </w:p>
          <w:p w14:paraId="084D4756">
            <w:pPr>
              <w:widowControl/>
              <w:spacing w:line="300" w:lineRule="exact"/>
              <w:jc w:val="center"/>
              <w:rPr>
                <w:rFonts w:hint="eastAsia" w:ascii="宋体" w:hAnsi="宋体" w:eastAsia="宋体" w:cs="仿宋"/>
                <w:kern w:val="0"/>
                <w:sz w:val="24"/>
                <w:szCs w:val="24"/>
              </w:rPr>
            </w:pPr>
          </w:p>
          <w:p w14:paraId="75760637">
            <w:pPr>
              <w:widowControl/>
              <w:spacing w:line="300" w:lineRule="exact"/>
              <w:jc w:val="center"/>
              <w:rPr>
                <w:rFonts w:hint="eastAsia" w:ascii="宋体" w:hAnsi="宋体" w:eastAsia="宋体" w:cs="仿宋"/>
                <w:kern w:val="0"/>
                <w:sz w:val="24"/>
                <w:szCs w:val="24"/>
              </w:rPr>
            </w:pPr>
          </w:p>
          <w:p w14:paraId="0E24F214">
            <w:pPr>
              <w:widowControl/>
              <w:spacing w:line="300" w:lineRule="exact"/>
              <w:jc w:val="center"/>
              <w:rPr>
                <w:rFonts w:hint="eastAsia" w:ascii="宋体" w:hAnsi="宋体" w:eastAsia="宋体" w:cs="仿宋"/>
                <w:kern w:val="0"/>
                <w:sz w:val="24"/>
                <w:szCs w:val="24"/>
              </w:rPr>
            </w:pPr>
            <w:r>
              <w:rPr>
                <w:rFonts w:hint="eastAsia" w:ascii="宋体" w:hAnsi="宋体" w:eastAsia="宋体" w:cs="仿宋"/>
                <w:kern w:val="0"/>
                <w:sz w:val="24"/>
                <w:szCs w:val="24"/>
              </w:rPr>
              <w:t>桌面相关服务</w:t>
            </w:r>
          </w:p>
        </w:tc>
        <w:tc>
          <w:tcPr>
            <w:tcW w:w="1222" w:type="dxa"/>
            <w:tcBorders>
              <w:top w:val="single" w:color="auto" w:sz="4" w:space="0"/>
              <w:left w:val="single" w:color="auto" w:sz="4" w:space="0"/>
              <w:bottom w:val="single" w:color="auto" w:sz="4" w:space="0"/>
              <w:right w:val="single" w:color="auto" w:sz="4" w:space="0"/>
            </w:tcBorders>
            <w:vAlign w:val="center"/>
          </w:tcPr>
          <w:p w14:paraId="308F9484">
            <w:pPr>
              <w:widowControl/>
              <w:spacing w:line="300" w:lineRule="exact"/>
              <w:jc w:val="center"/>
              <w:rPr>
                <w:rFonts w:hint="eastAsia" w:ascii="宋体" w:hAnsi="宋体" w:eastAsia="宋体" w:cs="仿宋"/>
                <w:kern w:val="0"/>
                <w:sz w:val="24"/>
                <w:szCs w:val="24"/>
              </w:rPr>
            </w:pPr>
            <w:r>
              <w:rPr>
                <w:rFonts w:hint="eastAsia" w:ascii="宋体" w:hAnsi="宋体" w:eastAsia="宋体" w:cs="仿宋"/>
                <w:kern w:val="0"/>
                <w:sz w:val="24"/>
                <w:szCs w:val="24"/>
              </w:rPr>
              <w:t>桌面技术热线服务</w:t>
            </w:r>
          </w:p>
        </w:tc>
        <w:tc>
          <w:tcPr>
            <w:tcW w:w="5633" w:type="dxa"/>
            <w:tcBorders>
              <w:top w:val="single" w:color="auto" w:sz="4" w:space="0"/>
              <w:left w:val="nil"/>
              <w:bottom w:val="single" w:color="auto" w:sz="4" w:space="0"/>
              <w:right w:val="nil"/>
            </w:tcBorders>
            <w:vAlign w:val="center"/>
          </w:tcPr>
          <w:p w14:paraId="68BE416C">
            <w:pPr>
              <w:spacing w:line="300" w:lineRule="exact"/>
              <w:rPr>
                <w:rFonts w:hint="eastAsia" w:ascii="宋体" w:hAnsi="宋体" w:eastAsia="宋体" w:cs="仿宋"/>
                <w:kern w:val="0"/>
                <w:sz w:val="24"/>
                <w:szCs w:val="24"/>
              </w:rPr>
            </w:pPr>
            <w:r>
              <w:rPr>
                <w:rFonts w:hint="eastAsia" w:ascii="宋体" w:hAnsi="宋体" w:eastAsia="宋体" w:cs="仿宋"/>
                <w:kern w:val="0"/>
                <w:sz w:val="24"/>
                <w:szCs w:val="24"/>
              </w:rPr>
              <w:t>1.向终端用户提供问题咨询的热线服务，跟踪从事件提出到解决的全过程，提供在线解决和咨询。提高一线故障解决率，提高桌面报修解决效率。</w:t>
            </w:r>
            <w:r>
              <w:rPr>
                <w:rFonts w:hint="eastAsia" w:ascii="宋体" w:hAnsi="宋体" w:eastAsia="宋体" w:cs="仿宋"/>
                <w:kern w:val="0"/>
                <w:sz w:val="24"/>
                <w:szCs w:val="24"/>
              </w:rPr>
              <w:br w:type="textWrapping"/>
            </w:r>
            <w:r>
              <w:rPr>
                <w:rFonts w:hint="eastAsia" w:ascii="宋体" w:hAnsi="宋体" w:eastAsia="宋体" w:cs="仿宋"/>
                <w:kern w:val="0"/>
                <w:sz w:val="24"/>
                <w:szCs w:val="24"/>
              </w:rPr>
              <w:t>2.记录故障问题及服务请求的详细内容，诊断问题，提出解决建议，如有必要将转给相应的技术支持工程师进行处理。</w:t>
            </w:r>
            <w:r>
              <w:rPr>
                <w:rFonts w:hint="eastAsia" w:ascii="宋体" w:hAnsi="宋体" w:eastAsia="宋体" w:cs="仿宋"/>
                <w:kern w:val="0"/>
                <w:sz w:val="24"/>
                <w:szCs w:val="24"/>
              </w:rPr>
              <w:br w:type="textWrapping"/>
            </w:r>
            <w:r>
              <w:rPr>
                <w:rFonts w:hint="eastAsia" w:ascii="宋体" w:hAnsi="宋体" w:eastAsia="宋体" w:cs="仿宋"/>
                <w:kern w:val="0"/>
                <w:sz w:val="24"/>
                <w:szCs w:val="24"/>
              </w:rPr>
              <w:t>3.记录、整理、分析服务请求资讯，每月提供桌面维护统计报表，并进行定期的满意度调查。</w:t>
            </w:r>
          </w:p>
        </w:tc>
        <w:tc>
          <w:tcPr>
            <w:tcW w:w="1383" w:type="dxa"/>
            <w:tcBorders>
              <w:top w:val="single" w:color="auto" w:sz="4" w:space="0"/>
              <w:left w:val="single" w:color="auto" w:sz="4" w:space="0"/>
              <w:bottom w:val="single" w:color="auto" w:sz="4" w:space="0"/>
              <w:right w:val="single" w:color="auto" w:sz="4" w:space="0"/>
            </w:tcBorders>
            <w:vAlign w:val="center"/>
          </w:tcPr>
          <w:p w14:paraId="6CE832F3">
            <w:pPr>
              <w:widowControl/>
              <w:spacing w:line="300" w:lineRule="exact"/>
              <w:jc w:val="center"/>
              <w:rPr>
                <w:rFonts w:hint="eastAsia" w:ascii="宋体" w:hAnsi="宋体" w:eastAsia="宋体" w:cs="仿宋"/>
                <w:kern w:val="0"/>
                <w:sz w:val="24"/>
                <w:szCs w:val="24"/>
              </w:rPr>
            </w:pPr>
          </w:p>
        </w:tc>
      </w:tr>
      <w:tr w14:paraId="3AA2F2D5">
        <w:tblPrEx>
          <w:tblCellMar>
            <w:top w:w="0" w:type="dxa"/>
            <w:left w:w="108" w:type="dxa"/>
            <w:bottom w:w="0" w:type="dxa"/>
            <w:right w:w="108" w:type="dxa"/>
          </w:tblCellMar>
        </w:tblPrEx>
        <w:trPr>
          <w:trHeight w:val="1635" w:hRule="atLeast"/>
          <w:jc w:val="center"/>
        </w:trPr>
        <w:tc>
          <w:tcPr>
            <w:tcW w:w="697" w:type="dxa"/>
            <w:vMerge w:val="continue"/>
            <w:tcBorders>
              <w:top w:val="single" w:color="auto" w:sz="4" w:space="0"/>
              <w:left w:val="single" w:color="auto" w:sz="4" w:space="0"/>
              <w:bottom w:val="single" w:color="auto" w:sz="4" w:space="0"/>
              <w:right w:val="single" w:color="auto" w:sz="4" w:space="0"/>
            </w:tcBorders>
            <w:vAlign w:val="center"/>
          </w:tcPr>
          <w:p w14:paraId="14429FE8">
            <w:pPr>
              <w:widowControl/>
              <w:spacing w:line="300" w:lineRule="exact"/>
              <w:jc w:val="center"/>
              <w:rPr>
                <w:rFonts w:hint="eastAsia" w:ascii="宋体" w:hAnsi="宋体" w:eastAsia="宋体" w:cs="仿宋"/>
                <w:kern w:val="0"/>
                <w:sz w:val="24"/>
                <w:szCs w:val="24"/>
              </w:rPr>
            </w:pPr>
          </w:p>
        </w:tc>
        <w:tc>
          <w:tcPr>
            <w:tcW w:w="1200" w:type="dxa"/>
            <w:vMerge w:val="continue"/>
            <w:tcBorders>
              <w:top w:val="single" w:color="auto" w:sz="4" w:space="0"/>
              <w:left w:val="single" w:color="auto" w:sz="4" w:space="0"/>
              <w:bottom w:val="single" w:color="auto" w:sz="4" w:space="0"/>
              <w:right w:val="single" w:color="auto" w:sz="4" w:space="0"/>
            </w:tcBorders>
            <w:vAlign w:val="center"/>
          </w:tcPr>
          <w:p w14:paraId="4491DD18">
            <w:pPr>
              <w:widowControl/>
              <w:spacing w:line="300" w:lineRule="exact"/>
              <w:jc w:val="center"/>
              <w:rPr>
                <w:rFonts w:hint="eastAsia" w:ascii="宋体" w:hAnsi="宋体" w:eastAsia="宋体" w:cs="仿宋"/>
                <w:kern w:val="0"/>
                <w:sz w:val="24"/>
                <w:szCs w:val="24"/>
              </w:rPr>
            </w:pPr>
          </w:p>
        </w:tc>
        <w:tc>
          <w:tcPr>
            <w:tcW w:w="1222" w:type="dxa"/>
            <w:tcBorders>
              <w:top w:val="single" w:color="auto" w:sz="4" w:space="0"/>
              <w:left w:val="single" w:color="auto" w:sz="4" w:space="0"/>
              <w:bottom w:val="single" w:color="auto" w:sz="4" w:space="0"/>
              <w:right w:val="single" w:color="auto" w:sz="4" w:space="0"/>
            </w:tcBorders>
            <w:vAlign w:val="center"/>
          </w:tcPr>
          <w:p w14:paraId="0095D100">
            <w:pPr>
              <w:widowControl/>
              <w:spacing w:line="300" w:lineRule="exact"/>
              <w:jc w:val="center"/>
              <w:rPr>
                <w:rFonts w:hint="eastAsia" w:ascii="宋体" w:hAnsi="宋体" w:eastAsia="宋体" w:cs="仿宋"/>
                <w:kern w:val="0"/>
                <w:sz w:val="24"/>
                <w:szCs w:val="24"/>
              </w:rPr>
            </w:pPr>
            <w:r>
              <w:rPr>
                <w:rFonts w:hint="eastAsia" w:ascii="宋体" w:hAnsi="宋体" w:eastAsia="宋体" w:cs="仿宋"/>
                <w:kern w:val="0"/>
                <w:sz w:val="24"/>
                <w:szCs w:val="24"/>
              </w:rPr>
              <w:t>桌面支持维护服务</w:t>
            </w:r>
          </w:p>
        </w:tc>
        <w:tc>
          <w:tcPr>
            <w:tcW w:w="5633" w:type="dxa"/>
            <w:tcBorders>
              <w:top w:val="nil"/>
              <w:left w:val="nil"/>
              <w:bottom w:val="single" w:color="auto" w:sz="4" w:space="0"/>
              <w:right w:val="nil"/>
            </w:tcBorders>
            <w:vAlign w:val="center"/>
          </w:tcPr>
          <w:p w14:paraId="4F20A86F">
            <w:pPr>
              <w:spacing w:line="300" w:lineRule="exact"/>
              <w:rPr>
                <w:rFonts w:hint="eastAsia" w:ascii="宋体" w:hAnsi="宋体" w:eastAsia="宋体" w:cs="仿宋"/>
                <w:kern w:val="0"/>
                <w:sz w:val="24"/>
                <w:szCs w:val="24"/>
              </w:rPr>
            </w:pPr>
            <w:r>
              <w:rPr>
                <w:rFonts w:hint="eastAsia" w:ascii="宋体" w:hAnsi="宋体" w:eastAsia="宋体" w:cs="仿宋"/>
                <w:kern w:val="0"/>
                <w:sz w:val="24"/>
                <w:szCs w:val="24"/>
              </w:rPr>
              <w:t>1.对终端机进行巡检、维护和故障分析，协助用户解决终端机的软硬件问题及故障。</w:t>
            </w:r>
          </w:p>
          <w:p w14:paraId="4DD5E3A2">
            <w:pPr>
              <w:spacing w:line="300" w:lineRule="exact"/>
              <w:rPr>
                <w:rFonts w:hint="eastAsia" w:ascii="宋体" w:hAnsi="宋体" w:eastAsia="宋体" w:cs="仿宋"/>
                <w:kern w:val="0"/>
                <w:sz w:val="24"/>
                <w:szCs w:val="24"/>
              </w:rPr>
            </w:pPr>
            <w:r>
              <w:rPr>
                <w:rFonts w:hint="eastAsia" w:ascii="宋体" w:hAnsi="宋体" w:eastAsia="宋体" w:cs="仿宋"/>
                <w:kern w:val="0"/>
                <w:sz w:val="24"/>
                <w:szCs w:val="24"/>
              </w:rPr>
              <w:t>2.对外围设备进行安装、调试、巡检、故障排除等服务。</w:t>
            </w:r>
          </w:p>
          <w:p w14:paraId="7E2E9FD1">
            <w:pPr>
              <w:spacing w:line="300" w:lineRule="exact"/>
              <w:rPr>
                <w:rFonts w:hint="eastAsia" w:ascii="宋体" w:hAnsi="宋体" w:eastAsia="宋体" w:cs="仿宋"/>
                <w:kern w:val="0"/>
                <w:sz w:val="24"/>
                <w:szCs w:val="24"/>
              </w:rPr>
            </w:pPr>
            <w:r>
              <w:rPr>
                <w:rFonts w:hint="eastAsia" w:ascii="宋体" w:hAnsi="宋体" w:eastAsia="宋体" w:cs="仿宋"/>
                <w:kern w:val="0"/>
                <w:sz w:val="24"/>
                <w:szCs w:val="24"/>
              </w:rPr>
              <w:t>3.具备计算机及外设使用维护技巧、常见问题解答能力，累积问题知识库和病毒更新库。</w:t>
            </w:r>
          </w:p>
        </w:tc>
        <w:tc>
          <w:tcPr>
            <w:tcW w:w="1383" w:type="dxa"/>
            <w:tcBorders>
              <w:top w:val="nil"/>
              <w:left w:val="single" w:color="auto" w:sz="4" w:space="0"/>
              <w:bottom w:val="single" w:color="auto" w:sz="4" w:space="0"/>
              <w:right w:val="single" w:color="auto" w:sz="4" w:space="0"/>
            </w:tcBorders>
            <w:vAlign w:val="center"/>
          </w:tcPr>
          <w:p w14:paraId="7CA484B2">
            <w:pPr>
              <w:widowControl/>
              <w:spacing w:line="300" w:lineRule="exact"/>
              <w:jc w:val="center"/>
              <w:rPr>
                <w:rFonts w:hint="eastAsia" w:ascii="宋体" w:hAnsi="宋体" w:eastAsia="宋体" w:cs="仿宋"/>
                <w:kern w:val="0"/>
                <w:sz w:val="24"/>
                <w:szCs w:val="24"/>
              </w:rPr>
            </w:pPr>
          </w:p>
        </w:tc>
      </w:tr>
      <w:tr w14:paraId="397364E4">
        <w:tblPrEx>
          <w:tblCellMar>
            <w:top w:w="0" w:type="dxa"/>
            <w:left w:w="108" w:type="dxa"/>
            <w:bottom w:w="0" w:type="dxa"/>
            <w:right w:w="108" w:type="dxa"/>
          </w:tblCellMar>
        </w:tblPrEx>
        <w:trPr>
          <w:trHeight w:val="3495" w:hRule="atLeast"/>
          <w:jc w:val="center"/>
        </w:trPr>
        <w:tc>
          <w:tcPr>
            <w:tcW w:w="697" w:type="dxa"/>
            <w:tcBorders>
              <w:top w:val="nil"/>
              <w:left w:val="single" w:color="auto" w:sz="4" w:space="0"/>
              <w:bottom w:val="single" w:color="auto" w:sz="4" w:space="0"/>
              <w:right w:val="single" w:color="auto" w:sz="4" w:space="0"/>
            </w:tcBorders>
            <w:vAlign w:val="center"/>
          </w:tcPr>
          <w:p w14:paraId="0FC27D6D">
            <w:pPr>
              <w:widowControl/>
              <w:spacing w:line="300" w:lineRule="exact"/>
              <w:jc w:val="center"/>
              <w:rPr>
                <w:rFonts w:hint="eastAsia" w:ascii="宋体" w:hAnsi="宋体" w:eastAsia="宋体" w:cs="仿宋"/>
                <w:kern w:val="0"/>
                <w:sz w:val="24"/>
                <w:szCs w:val="24"/>
              </w:rPr>
            </w:pPr>
          </w:p>
          <w:p w14:paraId="01249D52">
            <w:pPr>
              <w:widowControl/>
              <w:spacing w:line="300" w:lineRule="exact"/>
              <w:jc w:val="center"/>
              <w:rPr>
                <w:rFonts w:hint="eastAsia" w:ascii="宋体" w:hAnsi="宋体" w:eastAsia="宋体" w:cs="仿宋"/>
                <w:kern w:val="0"/>
                <w:sz w:val="24"/>
                <w:szCs w:val="24"/>
              </w:rPr>
            </w:pPr>
          </w:p>
          <w:p w14:paraId="6D54C719">
            <w:pPr>
              <w:widowControl/>
              <w:spacing w:line="300" w:lineRule="exact"/>
              <w:jc w:val="center"/>
              <w:rPr>
                <w:rFonts w:hint="eastAsia" w:ascii="宋体" w:hAnsi="宋体" w:eastAsia="宋体" w:cs="仿宋"/>
                <w:kern w:val="0"/>
                <w:sz w:val="24"/>
                <w:szCs w:val="24"/>
              </w:rPr>
            </w:pPr>
          </w:p>
          <w:p w14:paraId="15ED8FB1">
            <w:pPr>
              <w:widowControl/>
              <w:spacing w:line="300" w:lineRule="exact"/>
              <w:jc w:val="center"/>
              <w:rPr>
                <w:rFonts w:hint="eastAsia" w:ascii="宋体" w:hAnsi="宋体" w:eastAsia="宋体" w:cs="仿宋"/>
                <w:kern w:val="0"/>
                <w:sz w:val="24"/>
                <w:szCs w:val="24"/>
              </w:rPr>
            </w:pPr>
            <w:r>
              <w:rPr>
                <w:rFonts w:hint="eastAsia" w:ascii="宋体" w:hAnsi="宋体" w:eastAsia="宋体" w:cs="仿宋"/>
                <w:kern w:val="0"/>
                <w:sz w:val="24"/>
                <w:szCs w:val="24"/>
              </w:rPr>
              <w:t>3</w:t>
            </w:r>
          </w:p>
        </w:tc>
        <w:tc>
          <w:tcPr>
            <w:tcW w:w="1200" w:type="dxa"/>
            <w:tcBorders>
              <w:top w:val="nil"/>
              <w:left w:val="single" w:color="auto" w:sz="4" w:space="0"/>
              <w:bottom w:val="single" w:color="auto" w:sz="4" w:space="0"/>
              <w:right w:val="single" w:color="auto" w:sz="4" w:space="0"/>
            </w:tcBorders>
            <w:vAlign w:val="center"/>
          </w:tcPr>
          <w:p w14:paraId="4F0EEC01">
            <w:pPr>
              <w:widowControl/>
              <w:spacing w:line="300" w:lineRule="exact"/>
              <w:jc w:val="center"/>
              <w:rPr>
                <w:rFonts w:hint="eastAsia" w:ascii="宋体" w:hAnsi="宋体" w:eastAsia="宋体" w:cs="仿宋"/>
                <w:kern w:val="0"/>
                <w:sz w:val="24"/>
                <w:szCs w:val="24"/>
              </w:rPr>
            </w:pPr>
          </w:p>
          <w:p w14:paraId="0A333F94">
            <w:pPr>
              <w:widowControl/>
              <w:spacing w:line="300" w:lineRule="exact"/>
              <w:jc w:val="center"/>
              <w:rPr>
                <w:rFonts w:hint="eastAsia" w:ascii="宋体" w:hAnsi="宋体" w:eastAsia="宋体" w:cs="仿宋"/>
                <w:kern w:val="0"/>
                <w:sz w:val="24"/>
                <w:szCs w:val="24"/>
              </w:rPr>
            </w:pPr>
          </w:p>
          <w:p w14:paraId="474E1123">
            <w:pPr>
              <w:widowControl/>
              <w:spacing w:line="300" w:lineRule="exact"/>
              <w:jc w:val="center"/>
              <w:rPr>
                <w:rFonts w:hint="eastAsia" w:ascii="宋体" w:hAnsi="宋体" w:eastAsia="宋体" w:cs="仿宋"/>
                <w:kern w:val="0"/>
                <w:sz w:val="24"/>
                <w:szCs w:val="24"/>
              </w:rPr>
            </w:pPr>
          </w:p>
          <w:p w14:paraId="58E7E420">
            <w:pPr>
              <w:widowControl/>
              <w:spacing w:line="300" w:lineRule="exact"/>
              <w:jc w:val="center"/>
              <w:rPr>
                <w:rFonts w:hint="eastAsia" w:ascii="宋体" w:hAnsi="宋体" w:eastAsia="宋体" w:cs="仿宋"/>
                <w:kern w:val="0"/>
                <w:sz w:val="24"/>
                <w:szCs w:val="24"/>
              </w:rPr>
            </w:pPr>
            <w:r>
              <w:rPr>
                <w:rFonts w:hint="eastAsia" w:ascii="宋体" w:hAnsi="宋体" w:eastAsia="宋体" w:cs="仿宋"/>
                <w:kern w:val="0"/>
                <w:sz w:val="24"/>
                <w:szCs w:val="24"/>
              </w:rPr>
              <w:t>电话相关运维服务</w:t>
            </w:r>
          </w:p>
        </w:tc>
        <w:tc>
          <w:tcPr>
            <w:tcW w:w="1222" w:type="dxa"/>
            <w:tcBorders>
              <w:top w:val="nil"/>
              <w:left w:val="single" w:color="auto" w:sz="4" w:space="0"/>
              <w:bottom w:val="single" w:color="auto" w:sz="4" w:space="0"/>
              <w:right w:val="single" w:color="auto" w:sz="4" w:space="0"/>
            </w:tcBorders>
            <w:vAlign w:val="center"/>
          </w:tcPr>
          <w:p w14:paraId="0F31DC27">
            <w:pPr>
              <w:widowControl/>
              <w:spacing w:line="300" w:lineRule="exact"/>
              <w:jc w:val="center"/>
              <w:rPr>
                <w:rFonts w:hint="eastAsia" w:ascii="宋体" w:hAnsi="宋体" w:eastAsia="宋体" w:cs="仿宋"/>
                <w:kern w:val="0"/>
                <w:sz w:val="24"/>
                <w:szCs w:val="24"/>
              </w:rPr>
            </w:pPr>
            <w:r>
              <w:rPr>
                <w:rFonts w:hint="eastAsia" w:ascii="宋体" w:hAnsi="宋体" w:eastAsia="宋体" w:cs="仿宋"/>
                <w:kern w:val="0"/>
                <w:sz w:val="24"/>
                <w:szCs w:val="24"/>
              </w:rPr>
              <w:t>电话运维</w:t>
            </w:r>
          </w:p>
        </w:tc>
        <w:tc>
          <w:tcPr>
            <w:tcW w:w="5633" w:type="dxa"/>
            <w:tcBorders>
              <w:top w:val="nil"/>
              <w:left w:val="nil"/>
              <w:bottom w:val="single" w:color="auto" w:sz="4" w:space="0"/>
              <w:right w:val="nil"/>
            </w:tcBorders>
            <w:vAlign w:val="center"/>
          </w:tcPr>
          <w:p w14:paraId="304CC2C4">
            <w:pPr>
              <w:spacing w:line="300" w:lineRule="exact"/>
              <w:rPr>
                <w:rFonts w:hint="eastAsia" w:ascii="宋体" w:hAnsi="宋体" w:eastAsia="宋体" w:cs="仿宋"/>
                <w:kern w:val="0"/>
                <w:sz w:val="24"/>
                <w:szCs w:val="24"/>
              </w:rPr>
            </w:pPr>
            <w:r>
              <w:rPr>
                <w:rFonts w:hint="eastAsia" w:ascii="宋体" w:hAnsi="宋体" w:eastAsia="宋体" w:cs="仿宋"/>
                <w:kern w:val="0"/>
                <w:sz w:val="24"/>
                <w:szCs w:val="24"/>
              </w:rPr>
              <w:t>1.机务维护：语音交换机维修维护、计费系统日常维修维护等。</w:t>
            </w:r>
          </w:p>
          <w:p w14:paraId="117B10BF">
            <w:pPr>
              <w:spacing w:line="300" w:lineRule="exact"/>
              <w:rPr>
                <w:rFonts w:hint="eastAsia" w:ascii="宋体" w:hAnsi="宋体" w:eastAsia="宋体" w:cs="仿宋"/>
                <w:kern w:val="0"/>
                <w:sz w:val="24"/>
                <w:szCs w:val="24"/>
              </w:rPr>
            </w:pPr>
            <w:r>
              <w:rPr>
                <w:rFonts w:hint="eastAsia" w:ascii="宋体" w:hAnsi="宋体" w:eastAsia="宋体" w:cs="仿宋"/>
                <w:kern w:val="0"/>
                <w:sz w:val="24"/>
                <w:szCs w:val="24"/>
              </w:rPr>
              <w:t>2.线务维护：提供所有楼内电话及传真机安装调试、电话号码更换、电话功能调整等。电话线路日常巡检。</w:t>
            </w:r>
          </w:p>
          <w:p w14:paraId="637567C2">
            <w:pPr>
              <w:spacing w:line="300" w:lineRule="exact"/>
              <w:rPr>
                <w:rFonts w:hint="eastAsia" w:ascii="宋体" w:hAnsi="宋体" w:eastAsia="宋体" w:cs="仿宋"/>
                <w:kern w:val="0"/>
                <w:sz w:val="24"/>
                <w:szCs w:val="24"/>
              </w:rPr>
            </w:pPr>
            <w:r>
              <w:rPr>
                <w:rFonts w:hint="eastAsia" w:ascii="宋体" w:hAnsi="宋体" w:eastAsia="宋体" w:cs="仿宋"/>
                <w:kern w:val="0"/>
                <w:sz w:val="24"/>
                <w:szCs w:val="24"/>
              </w:rPr>
              <w:t>3.每天对机房内通讯相关设备进行巡检。每月对通讯设备进行两次例检。解决通讯设备出现的所有故障。</w:t>
            </w:r>
          </w:p>
          <w:p w14:paraId="50F7F075">
            <w:pPr>
              <w:spacing w:line="300" w:lineRule="exact"/>
              <w:rPr>
                <w:rFonts w:hint="eastAsia" w:ascii="宋体" w:hAnsi="宋体" w:eastAsia="宋体" w:cs="仿宋"/>
                <w:kern w:val="0"/>
                <w:sz w:val="24"/>
                <w:szCs w:val="24"/>
              </w:rPr>
            </w:pPr>
            <w:r>
              <w:rPr>
                <w:rFonts w:hint="eastAsia" w:ascii="宋体" w:hAnsi="宋体" w:eastAsia="宋体" w:cs="仿宋"/>
                <w:kern w:val="0"/>
                <w:sz w:val="24"/>
                <w:szCs w:val="24"/>
              </w:rPr>
              <w:t>4.根据相关要求更改配线架跳接，并做好配线表记录，排查终端用户线路的各种故障，进行故障话机的回收、维修和话机的发放记录。</w:t>
            </w:r>
          </w:p>
          <w:p w14:paraId="41C63796">
            <w:pPr>
              <w:spacing w:line="300" w:lineRule="exact"/>
              <w:rPr>
                <w:rFonts w:hint="eastAsia" w:ascii="宋体" w:hAnsi="宋体" w:eastAsia="宋体" w:cs="仿宋"/>
                <w:kern w:val="0"/>
                <w:sz w:val="24"/>
                <w:szCs w:val="24"/>
              </w:rPr>
            </w:pPr>
            <w:r>
              <w:rPr>
                <w:rFonts w:hint="eastAsia" w:ascii="宋体" w:hAnsi="宋体" w:eastAsia="宋体" w:cs="仿宋"/>
                <w:kern w:val="0"/>
                <w:sz w:val="24"/>
                <w:szCs w:val="24"/>
              </w:rPr>
              <w:t>5.电话设备更换：电话设备故障及时维修，无法维修的及时更换备件，无备件情况为客户进行备件可用性选型</w:t>
            </w:r>
          </w:p>
        </w:tc>
        <w:tc>
          <w:tcPr>
            <w:tcW w:w="1383" w:type="dxa"/>
            <w:tcBorders>
              <w:top w:val="nil"/>
              <w:left w:val="single" w:color="auto" w:sz="4" w:space="0"/>
              <w:bottom w:val="single" w:color="auto" w:sz="4" w:space="0"/>
              <w:right w:val="single" w:color="auto" w:sz="4" w:space="0"/>
            </w:tcBorders>
            <w:vAlign w:val="center"/>
          </w:tcPr>
          <w:p w14:paraId="3835C152">
            <w:pPr>
              <w:widowControl/>
              <w:spacing w:line="300" w:lineRule="exact"/>
              <w:jc w:val="center"/>
              <w:rPr>
                <w:rFonts w:hint="eastAsia" w:ascii="宋体" w:hAnsi="宋体" w:eastAsia="宋体" w:cs="仿宋"/>
                <w:kern w:val="0"/>
                <w:sz w:val="24"/>
                <w:szCs w:val="24"/>
              </w:rPr>
            </w:pPr>
          </w:p>
        </w:tc>
      </w:tr>
      <w:tr w14:paraId="073A7D77">
        <w:tblPrEx>
          <w:tblCellMar>
            <w:top w:w="0" w:type="dxa"/>
            <w:left w:w="108" w:type="dxa"/>
            <w:bottom w:w="0" w:type="dxa"/>
            <w:right w:w="108" w:type="dxa"/>
          </w:tblCellMar>
        </w:tblPrEx>
        <w:trPr>
          <w:trHeight w:val="2220" w:hRule="atLeast"/>
          <w:jc w:val="center"/>
        </w:trPr>
        <w:tc>
          <w:tcPr>
            <w:tcW w:w="697" w:type="dxa"/>
            <w:tcBorders>
              <w:top w:val="nil"/>
              <w:left w:val="single" w:color="auto" w:sz="4" w:space="0"/>
              <w:bottom w:val="single" w:color="auto" w:sz="4" w:space="0"/>
              <w:right w:val="single" w:color="auto" w:sz="4" w:space="0"/>
            </w:tcBorders>
            <w:vAlign w:val="center"/>
          </w:tcPr>
          <w:p w14:paraId="21DD2C0F">
            <w:pPr>
              <w:widowControl/>
              <w:spacing w:line="300" w:lineRule="exact"/>
              <w:jc w:val="center"/>
              <w:rPr>
                <w:rFonts w:hint="eastAsia" w:ascii="宋体" w:hAnsi="宋体" w:eastAsia="宋体" w:cs="仿宋"/>
                <w:kern w:val="0"/>
                <w:sz w:val="24"/>
                <w:szCs w:val="24"/>
              </w:rPr>
            </w:pPr>
          </w:p>
          <w:p w14:paraId="127E4A1F">
            <w:pPr>
              <w:widowControl/>
              <w:spacing w:line="300" w:lineRule="exact"/>
              <w:jc w:val="center"/>
              <w:rPr>
                <w:rFonts w:hint="eastAsia" w:ascii="宋体" w:hAnsi="宋体" w:eastAsia="宋体" w:cs="仿宋"/>
                <w:kern w:val="0"/>
                <w:sz w:val="24"/>
                <w:szCs w:val="24"/>
              </w:rPr>
            </w:pPr>
            <w:r>
              <w:rPr>
                <w:rFonts w:hint="eastAsia" w:ascii="宋体" w:hAnsi="宋体" w:eastAsia="宋体" w:cs="仿宋"/>
                <w:kern w:val="0"/>
                <w:sz w:val="24"/>
                <w:szCs w:val="24"/>
              </w:rPr>
              <w:t>4</w:t>
            </w:r>
          </w:p>
        </w:tc>
        <w:tc>
          <w:tcPr>
            <w:tcW w:w="1200" w:type="dxa"/>
            <w:tcBorders>
              <w:top w:val="nil"/>
              <w:left w:val="single" w:color="auto" w:sz="4" w:space="0"/>
              <w:bottom w:val="single" w:color="auto" w:sz="4" w:space="0"/>
              <w:right w:val="single" w:color="auto" w:sz="4" w:space="0"/>
            </w:tcBorders>
            <w:vAlign w:val="center"/>
          </w:tcPr>
          <w:p w14:paraId="1EF8CBF5">
            <w:pPr>
              <w:widowControl/>
              <w:spacing w:line="300" w:lineRule="exact"/>
              <w:jc w:val="center"/>
              <w:rPr>
                <w:rFonts w:hint="eastAsia" w:ascii="宋体" w:hAnsi="宋体" w:eastAsia="宋体" w:cs="仿宋"/>
                <w:kern w:val="0"/>
                <w:sz w:val="24"/>
                <w:szCs w:val="24"/>
              </w:rPr>
            </w:pPr>
          </w:p>
          <w:p w14:paraId="78BB6218">
            <w:pPr>
              <w:widowControl/>
              <w:spacing w:line="300" w:lineRule="exact"/>
              <w:jc w:val="center"/>
              <w:rPr>
                <w:rFonts w:hint="eastAsia" w:ascii="宋体" w:hAnsi="宋体" w:eastAsia="宋体" w:cs="仿宋"/>
                <w:kern w:val="0"/>
                <w:sz w:val="24"/>
                <w:szCs w:val="24"/>
              </w:rPr>
            </w:pPr>
            <w:r>
              <w:rPr>
                <w:rFonts w:hint="eastAsia" w:ascii="宋体" w:hAnsi="宋体" w:eastAsia="宋体" w:cs="仿宋"/>
                <w:kern w:val="0"/>
                <w:sz w:val="24"/>
                <w:szCs w:val="24"/>
              </w:rPr>
              <w:t>会议相关运维服务</w:t>
            </w:r>
          </w:p>
        </w:tc>
        <w:tc>
          <w:tcPr>
            <w:tcW w:w="1222" w:type="dxa"/>
            <w:tcBorders>
              <w:top w:val="nil"/>
              <w:left w:val="single" w:color="auto" w:sz="4" w:space="0"/>
              <w:bottom w:val="single" w:color="auto" w:sz="4" w:space="0"/>
              <w:right w:val="single" w:color="auto" w:sz="4" w:space="0"/>
            </w:tcBorders>
            <w:vAlign w:val="center"/>
          </w:tcPr>
          <w:p w14:paraId="6874D8FC">
            <w:pPr>
              <w:widowControl/>
              <w:spacing w:line="300" w:lineRule="exact"/>
              <w:jc w:val="center"/>
              <w:rPr>
                <w:rFonts w:hint="eastAsia" w:ascii="宋体" w:hAnsi="宋体" w:eastAsia="宋体" w:cs="仿宋"/>
                <w:kern w:val="0"/>
                <w:sz w:val="24"/>
                <w:szCs w:val="24"/>
              </w:rPr>
            </w:pPr>
            <w:r>
              <w:rPr>
                <w:rFonts w:hint="eastAsia" w:ascii="宋体" w:hAnsi="宋体" w:eastAsia="宋体" w:cs="仿宋"/>
                <w:kern w:val="0"/>
                <w:sz w:val="24"/>
                <w:szCs w:val="24"/>
              </w:rPr>
              <w:t>音响设备维护服务</w:t>
            </w:r>
          </w:p>
        </w:tc>
        <w:tc>
          <w:tcPr>
            <w:tcW w:w="5633" w:type="dxa"/>
            <w:tcBorders>
              <w:top w:val="nil"/>
              <w:left w:val="nil"/>
              <w:bottom w:val="single" w:color="auto" w:sz="4" w:space="0"/>
              <w:right w:val="nil"/>
            </w:tcBorders>
            <w:vAlign w:val="center"/>
          </w:tcPr>
          <w:p w14:paraId="19CD466C">
            <w:pPr>
              <w:numPr>
                <w:ilvl w:val="0"/>
                <w:numId w:val="4"/>
              </w:numPr>
              <w:spacing w:line="300" w:lineRule="exact"/>
              <w:ind w:left="0" w:firstLine="0"/>
              <w:rPr>
                <w:rFonts w:hint="eastAsia" w:ascii="宋体" w:hAnsi="宋体" w:eastAsia="宋体" w:cs="仿宋"/>
                <w:kern w:val="0"/>
                <w:sz w:val="24"/>
                <w:szCs w:val="24"/>
              </w:rPr>
            </w:pPr>
            <w:r>
              <w:rPr>
                <w:rFonts w:hint="eastAsia" w:ascii="宋体" w:hAnsi="宋体" w:eastAsia="宋体" w:cs="仿宋"/>
                <w:kern w:val="0"/>
                <w:sz w:val="24"/>
                <w:szCs w:val="24"/>
              </w:rPr>
              <w:t>定期检查设备运行情况，并具备故障排查能力。</w:t>
            </w:r>
          </w:p>
          <w:p w14:paraId="220D88C7">
            <w:pPr>
              <w:numPr>
                <w:ilvl w:val="0"/>
                <w:numId w:val="4"/>
              </w:numPr>
              <w:spacing w:line="300" w:lineRule="exact"/>
              <w:ind w:left="0" w:firstLine="0"/>
              <w:rPr>
                <w:rFonts w:hint="eastAsia" w:ascii="宋体" w:hAnsi="宋体" w:eastAsia="宋体" w:cs="仿宋"/>
                <w:kern w:val="0"/>
                <w:sz w:val="24"/>
                <w:szCs w:val="24"/>
              </w:rPr>
            </w:pPr>
            <w:r>
              <w:rPr>
                <w:rFonts w:hint="eastAsia" w:ascii="宋体" w:hAnsi="宋体" w:eastAsia="宋体" w:cs="仿宋"/>
                <w:kern w:val="0"/>
                <w:sz w:val="24"/>
                <w:szCs w:val="24"/>
              </w:rPr>
              <w:t>保障各会议室、接待室、报告厅等音响、视频设备正常运行。</w:t>
            </w:r>
          </w:p>
          <w:p w14:paraId="74D0E7C3">
            <w:pPr>
              <w:numPr>
                <w:ilvl w:val="0"/>
                <w:numId w:val="4"/>
              </w:numPr>
              <w:spacing w:line="300" w:lineRule="exact"/>
              <w:ind w:left="0" w:firstLine="0"/>
              <w:rPr>
                <w:rFonts w:hint="eastAsia" w:ascii="宋体" w:hAnsi="宋体" w:eastAsia="宋体" w:cs="仿宋"/>
                <w:kern w:val="0"/>
                <w:sz w:val="24"/>
                <w:szCs w:val="24"/>
              </w:rPr>
            </w:pPr>
            <w:r>
              <w:rPr>
                <w:rFonts w:hint="eastAsia" w:ascii="宋体" w:hAnsi="宋体" w:eastAsia="宋体" w:cs="仿宋"/>
                <w:kern w:val="0"/>
                <w:sz w:val="24"/>
                <w:szCs w:val="24"/>
              </w:rPr>
              <w:t>提供视频会议技术保障及跟会技术支持服务。</w:t>
            </w:r>
          </w:p>
          <w:p w14:paraId="259FADDF">
            <w:pPr>
              <w:numPr>
                <w:ilvl w:val="0"/>
                <w:numId w:val="4"/>
              </w:numPr>
              <w:spacing w:line="300" w:lineRule="exact"/>
              <w:ind w:left="0" w:firstLine="0"/>
              <w:rPr>
                <w:rFonts w:hint="eastAsia" w:ascii="宋体" w:hAnsi="宋体" w:eastAsia="宋体" w:cs="仿宋"/>
                <w:kern w:val="0"/>
                <w:sz w:val="24"/>
                <w:szCs w:val="24"/>
              </w:rPr>
            </w:pPr>
            <w:r>
              <w:rPr>
                <w:rFonts w:hint="eastAsia" w:ascii="宋体" w:hAnsi="宋体" w:eastAsia="宋体" w:cs="仿宋"/>
                <w:kern w:val="0"/>
                <w:sz w:val="24"/>
                <w:szCs w:val="24"/>
              </w:rPr>
              <w:t>会议设备更换：会议设备故障及时维修，无法维修的及时更换备件，无备件情况为客户进行备件可用性选型</w:t>
            </w:r>
          </w:p>
        </w:tc>
        <w:tc>
          <w:tcPr>
            <w:tcW w:w="1383" w:type="dxa"/>
            <w:tcBorders>
              <w:top w:val="nil"/>
              <w:left w:val="single" w:color="auto" w:sz="4" w:space="0"/>
              <w:bottom w:val="single" w:color="auto" w:sz="4" w:space="0"/>
              <w:right w:val="single" w:color="auto" w:sz="4" w:space="0"/>
            </w:tcBorders>
            <w:vAlign w:val="center"/>
          </w:tcPr>
          <w:p w14:paraId="2EE5EC6E">
            <w:pPr>
              <w:widowControl/>
              <w:spacing w:line="300" w:lineRule="exact"/>
              <w:jc w:val="center"/>
              <w:rPr>
                <w:rFonts w:hint="eastAsia" w:ascii="宋体" w:hAnsi="宋体" w:eastAsia="宋体" w:cs="仿宋"/>
                <w:kern w:val="0"/>
                <w:sz w:val="24"/>
                <w:szCs w:val="24"/>
              </w:rPr>
            </w:pPr>
          </w:p>
        </w:tc>
      </w:tr>
      <w:tr w14:paraId="561AEE49">
        <w:tblPrEx>
          <w:tblCellMar>
            <w:top w:w="0" w:type="dxa"/>
            <w:left w:w="108" w:type="dxa"/>
            <w:bottom w:w="0" w:type="dxa"/>
            <w:right w:w="108" w:type="dxa"/>
          </w:tblCellMar>
        </w:tblPrEx>
        <w:trPr>
          <w:trHeight w:val="2515" w:hRule="atLeast"/>
          <w:jc w:val="center"/>
        </w:trPr>
        <w:tc>
          <w:tcPr>
            <w:tcW w:w="697" w:type="dxa"/>
            <w:vMerge w:val="restart"/>
            <w:tcBorders>
              <w:top w:val="nil"/>
              <w:left w:val="single" w:color="auto" w:sz="4" w:space="0"/>
              <w:right w:val="single" w:color="auto" w:sz="4" w:space="0"/>
            </w:tcBorders>
            <w:vAlign w:val="center"/>
          </w:tcPr>
          <w:p w14:paraId="15AB023B">
            <w:pPr>
              <w:widowControl/>
              <w:spacing w:line="300" w:lineRule="exact"/>
              <w:jc w:val="center"/>
              <w:rPr>
                <w:rFonts w:hint="eastAsia" w:ascii="宋体" w:hAnsi="宋体" w:eastAsia="宋体" w:cs="仿宋"/>
                <w:kern w:val="0"/>
                <w:sz w:val="24"/>
                <w:szCs w:val="24"/>
              </w:rPr>
            </w:pPr>
          </w:p>
          <w:p w14:paraId="449C63E8">
            <w:pPr>
              <w:widowControl/>
              <w:spacing w:line="300" w:lineRule="exact"/>
              <w:jc w:val="center"/>
              <w:rPr>
                <w:rFonts w:hint="eastAsia" w:ascii="宋体" w:hAnsi="宋体" w:eastAsia="宋体" w:cs="仿宋"/>
                <w:kern w:val="0"/>
                <w:sz w:val="24"/>
                <w:szCs w:val="24"/>
              </w:rPr>
            </w:pPr>
          </w:p>
          <w:p w14:paraId="0F2DD81F">
            <w:pPr>
              <w:widowControl/>
              <w:spacing w:line="300" w:lineRule="exact"/>
              <w:jc w:val="center"/>
              <w:rPr>
                <w:rFonts w:hint="eastAsia" w:ascii="宋体" w:hAnsi="宋体" w:eastAsia="宋体" w:cs="仿宋"/>
                <w:kern w:val="0"/>
                <w:sz w:val="24"/>
                <w:szCs w:val="24"/>
              </w:rPr>
            </w:pPr>
            <w:r>
              <w:rPr>
                <w:rFonts w:hint="eastAsia" w:ascii="宋体" w:hAnsi="宋体" w:eastAsia="宋体" w:cs="仿宋"/>
                <w:kern w:val="0"/>
                <w:sz w:val="24"/>
                <w:szCs w:val="24"/>
              </w:rPr>
              <w:t>5</w:t>
            </w:r>
          </w:p>
        </w:tc>
        <w:tc>
          <w:tcPr>
            <w:tcW w:w="1200" w:type="dxa"/>
            <w:vMerge w:val="restart"/>
            <w:tcBorders>
              <w:top w:val="nil"/>
              <w:left w:val="single" w:color="auto" w:sz="4" w:space="0"/>
              <w:right w:val="single" w:color="auto" w:sz="4" w:space="0"/>
            </w:tcBorders>
            <w:vAlign w:val="center"/>
          </w:tcPr>
          <w:p w14:paraId="6D0FF587">
            <w:pPr>
              <w:spacing w:line="300" w:lineRule="exact"/>
              <w:jc w:val="center"/>
              <w:rPr>
                <w:rFonts w:hint="eastAsia" w:ascii="宋体" w:hAnsi="宋体" w:eastAsia="宋体" w:cs="仿宋"/>
                <w:kern w:val="0"/>
                <w:sz w:val="24"/>
                <w:szCs w:val="24"/>
              </w:rPr>
            </w:pPr>
          </w:p>
          <w:p w14:paraId="41CF6428">
            <w:pPr>
              <w:spacing w:line="300" w:lineRule="exact"/>
              <w:jc w:val="center"/>
              <w:rPr>
                <w:rFonts w:hint="eastAsia" w:ascii="宋体" w:hAnsi="宋体" w:eastAsia="宋体" w:cs="仿宋"/>
                <w:kern w:val="0"/>
                <w:sz w:val="24"/>
                <w:szCs w:val="24"/>
              </w:rPr>
            </w:pPr>
          </w:p>
          <w:p w14:paraId="4314385C">
            <w:pPr>
              <w:spacing w:line="300" w:lineRule="exact"/>
              <w:jc w:val="center"/>
              <w:rPr>
                <w:rFonts w:hint="eastAsia" w:ascii="宋体" w:hAnsi="宋体" w:eastAsia="宋体" w:cs="仿宋"/>
                <w:kern w:val="0"/>
                <w:sz w:val="24"/>
                <w:szCs w:val="24"/>
              </w:rPr>
            </w:pPr>
            <w:r>
              <w:rPr>
                <w:rFonts w:hint="eastAsia" w:ascii="宋体" w:hAnsi="宋体" w:eastAsia="宋体" w:cs="仿宋"/>
                <w:kern w:val="0"/>
                <w:sz w:val="24"/>
                <w:szCs w:val="24"/>
              </w:rPr>
              <w:t>其他相关运维服务</w:t>
            </w:r>
          </w:p>
        </w:tc>
        <w:tc>
          <w:tcPr>
            <w:tcW w:w="1222" w:type="dxa"/>
            <w:tcBorders>
              <w:top w:val="nil"/>
              <w:left w:val="single" w:color="auto" w:sz="4" w:space="0"/>
              <w:bottom w:val="single" w:color="auto" w:sz="4" w:space="0"/>
              <w:right w:val="single" w:color="auto" w:sz="4" w:space="0"/>
            </w:tcBorders>
            <w:vAlign w:val="center"/>
          </w:tcPr>
          <w:p w14:paraId="64F0B054">
            <w:pPr>
              <w:widowControl/>
              <w:spacing w:line="300" w:lineRule="exact"/>
              <w:jc w:val="center"/>
              <w:rPr>
                <w:rFonts w:hint="eastAsia" w:ascii="宋体" w:hAnsi="宋体" w:eastAsia="宋体" w:cs="仿宋"/>
                <w:kern w:val="0"/>
                <w:sz w:val="24"/>
                <w:szCs w:val="24"/>
              </w:rPr>
            </w:pPr>
            <w:r>
              <w:rPr>
                <w:rFonts w:hint="eastAsia" w:ascii="宋体" w:hAnsi="宋体" w:eastAsia="宋体" w:cs="仿宋"/>
                <w:kern w:val="0"/>
                <w:sz w:val="24"/>
                <w:szCs w:val="24"/>
              </w:rPr>
              <w:t>月度服务报告</w:t>
            </w:r>
          </w:p>
        </w:tc>
        <w:tc>
          <w:tcPr>
            <w:tcW w:w="5633" w:type="dxa"/>
            <w:tcBorders>
              <w:top w:val="nil"/>
              <w:left w:val="nil"/>
              <w:bottom w:val="single" w:color="auto" w:sz="4" w:space="0"/>
              <w:right w:val="nil"/>
            </w:tcBorders>
            <w:vAlign w:val="center"/>
          </w:tcPr>
          <w:p w14:paraId="42D201A3">
            <w:pPr>
              <w:spacing w:line="300" w:lineRule="exact"/>
              <w:rPr>
                <w:rFonts w:hint="eastAsia" w:ascii="宋体" w:hAnsi="宋体" w:eastAsia="宋体" w:cs="仿宋"/>
                <w:kern w:val="0"/>
                <w:sz w:val="24"/>
                <w:szCs w:val="24"/>
              </w:rPr>
            </w:pPr>
            <w:r>
              <w:rPr>
                <w:rFonts w:hint="eastAsia" w:ascii="宋体" w:hAnsi="宋体" w:eastAsia="宋体" w:cs="仿宋"/>
                <w:kern w:val="0"/>
                <w:sz w:val="24"/>
                <w:szCs w:val="24"/>
              </w:rPr>
              <w:t>每月提供服务报告，回顾最近一个月的技术支持及现场维护情况，对当前系统运行维护状况进行总结分析，帮助了解当前系统状况以及系统在一定时间范围内的可用性及故障情况，了解服务计划的实施进度，了解系统运作中存在的隐患及改进方法，提高管理水平，同时，汇报将来的服务安排。通过报告，能够更加全面地了解系统运行的状态以及服务方已经提供的各项服务内容及服务情况。</w:t>
            </w:r>
          </w:p>
        </w:tc>
        <w:tc>
          <w:tcPr>
            <w:tcW w:w="1383" w:type="dxa"/>
            <w:tcBorders>
              <w:top w:val="nil"/>
              <w:left w:val="single" w:color="auto" w:sz="4" w:space="0"/>
              <w:bottom w:val="single" w:color="auto" w:sz="4" w:space="0"/>
              <w:right w:val="single" w:color="auto" w:sz="4" w:space="0"/>
            </w:tcBorders>
            <w:vAlign w:val="center"/>
          </w:tcPr>
          <w:p w14:paraId="4B2BCEA9">
            <w:pPr>
              <w:widowControl/>
              <w:spacing w:line="300" w:lineRule="exact"/>
              <w:jc w:val="center"/>
              <w:rPr>
                <w:rFonts w:hint="eastAsia" w:ascii="宋体" w:hAnsi="宋体" w:eastAsia="宋体" w:cs="仿宋"/>
                <w:kern w:val="0"/>
                <w:sz w:val="24"/>
                <w:szCs w:val="24"/>
              </w:rPr>
            </w:pPr>
          </w:p>
        </w:tc>
      </w:tr>
      <w:tr w14:paraId="1625A00A">
        <w:tblPrEx>
          <w:tblCellMar>
            <w:top w:w="0" w:type="dxa"/>
            <w:left w:w="108" w:type="dxa"/>
            <w:bottom w:w="0" w:type="dxa"/>
            <w:right w:w="108" w:type="dxa"/>
          </w:tblCellMar>
        </w:tblPrEx>
        <w:trPr>
          <w:trHeight w:val="3640" w:hRule="atLeast"/>
          <w:jc w:val="center"/>
        </w:trPr>
        <w:tc>
          <w:tcPr>
            <w:tcW w:w="697" w:type="dxa"/>
            <w:vMerge w:val="continue"/>
            <w:tcBorders>
              <w:left w:val="single" w:color="auto" w:sz="4" w:space="0"/>
              <w:right w:val="single" w:color="auto" w:sz="4" w:space="0"/>
            </w:tcBorders>
            <w:vAlign w:val="center"/>
          </w:tcPr>
          <w:p w14:paraId="2D7C4CD0">
            <w:pPr>
              <w:widowControl/>
              <w:spacing w:line="300" w:lineRule="exact"/>
              <w:jc w:val="center"/>
              <w:rPr>
                <w:rFonts w:hint="eastAsia" w:ascii="宋体" w:hAnsi="宋体" w:eastAsia="宋体" w:cs="仿宋"/>
                <w:kern w:val="0"/>
                <w:sz w:val="24"/>
                <w:szCs w:val="24"/>
              </w:rPr>
            </w:pPr>
          </w:p>
        </w:tc>
        <w:tc>
          <w:tcPr>
            <w:tcW w:w="1200" w:type="dxa"/>
            <w:vMerge w:val="continue"/>
            <w:tcBorders>
              <w:left w:val="single" w:color="auto" w:sz="4" w:space="0"/>
              <w:right w:val="single" w:color="auto" w:sz="4" w:space="0"/>
            </w:tcBorders>
            <w:vAlign w:val="center"/>
          </w:tcPr>
          <w:p w14:paraId="67389766">
            <w:pPr>
              <w:spacing w:line="300" w:lineRule="exact"/>
              <w:jc w:val="center"/>
              <w:rPr>
                <w:rFonts w:hint="eastAsia" w:ascii="宋体" w:hAnsi="宋体" w:eastAsia="宋体" w:cs="仿宋"/>
                <w:kern w:val="0"/>
                <w:sz w:val="24"/>
                <w:szCs w:val="24"/>
              </w:rPr>
            </w:pPr>
          </w:p>
        </w:tc>
        <w:tc>
          <w:tcPr>
            <w:tcW w:w="1222" w:type="dxa"/>
            <w:tcBorders>
              <w:top w:val="nil"/>
              <w:left w:val="single" w:color="auto" w:sz="4" w:space="0"/>
              <w:bottom w:val="single" w:color="auto" w:sz="4" w:space="0"/>
              <w:right w:val="single" w:color="auto" w:sz="4" w:space="0"/>
            </w:tcBorders>
            <w:vAlign w:val="center"/>
          </w:tcPr>
          <w:p w14:paraId="404C8F73">
            <w:pPr>
              <w:widowControl/>
              <w:spacing w:line="300" w:lineRule="exact"/>
              <w:jc w:val="center"/>
              <w:rPr>
                <w:rFonts w:hint="eastAsia" w:ascii="宋体" w:hAnsi="宋体" w:eastAsia="宋体" w:cs="仿宋"/>
                <w:kern w:val="0"/>
                <w:sz w:val="24"/>
                <w:szCs w:val="24"/>
              </w:rPr>
            </w:pPr>
            <w:r>
              <w:rPr>
                <w:rFonts w:hint="eastAsia" w:ascii="宋体" w:hAnsi="宋体" w:eastAsia="宋体" w:cs="仿宋"/>
                <w:kern w:val="0"/>
                <w:sz w:val="24"/>
                <w:szCs w:val="24"/>
              </w:rPr>
              <w:t>管理服务</w:t>
            </w:r>
          </w:p>
        </w:tc>
        <w:tc>
          <w:tcPr>
            <w:tcW w:w="5633" w:type="dxa"/>
            <w:tcBorders>
              <w:top w:val="nil"/>
              <w:left w:val="nil"/>
              <w:bottom w:val="single" w:color="auto" w:sz="4" w:space="0"/>
              <w:right w:val="nil"/>
            </w:tcBorders>
            <w:vAlign w:val="center"/>
          </w:tcPr>
          <w:p w14:paraId="0AB85EA1">
            <w:pPr>
              <w:spacing w:line="300" w:lineRule="exact"/>
              <w:rPr>
                <w:rFonts w:hint="eastAsia" w:ascii="宋体" w:hAnsi="宋体" w:eastAsia="宋体" w:cs="仿宋"/>
                <w:kern w:val="0"/>
                <w:sz w:val="24"/>
                <w:szCs w:val="24"/>
              </w:rPr>
            </w:pPr>
            <w:r>
              <w:rPr>
                <w:rFonts w:hint="eastAsia" w:ascii="宋体" w:hAnsi="宋体" w:eastAsia="宋体" w:cs="仿宋"/>
                <w:kern w:val="0"/>
                <w:sz w:val="24"/>
                <w:szCs w:val="24"/>
              </w:rPr>
              <w:t>1.对协议范围内客户的所有 IT 设备(资产)提供资产管理，实现随时更新和月度集中更新，确保CMDB数据的完整性和正确性，提供第一手的资产管理报告，最终汇总到服务月报中。</w:t>
            </w:r>
          </w:p>
          <w:p w14:paraId="7EC633A6">
            <w:pPr>
              <w:spacing w:line="300" w:lineRule="exact"/>
              <w:rPr>
                <w:rFonts w:hint="eastAsia" w:ascii="宋体" w:hAnsi="宋体" w:eastAsia="宋体" w:cs="仿宋"/>
                <w:kern w:val="0"/>
                <w:sz w:val="24"/>
                <w:szCs w:val="24"/>
              </w:rPr>
            </w:pPr>
            <w:r>
              <w:rPr>
                <w:rFonts w:hint="eastAsia" w:ascii="宋体" w:hAnsi="宋体" w:eastAsia="宋体" w:cs="仿宋"/>
                <w:kern w:val="0"/>
                <w:sz w:val="24"/>
                <w:szCs w:val="24"/>
              </w:rPr>
              <w:t>2.资产管理服务：完整记录资产的相关信息。其中包括购买、信息（设备分类）、维护、维修、保养服务：对与设备相关的维护、维修、保养提供全过程记录，对设备进行资产评估管理。</w:t>
            </w:r>
            <w:r>
              <w:rPr>
                <w:rFonts w:hint="eastAsia" w:ascii="宋体" w:hAnsi="宋体" w:eastAsia="宋体" w:cs="仿宋"/>
                <w:kern w:val="0"/>
                <w:sz w:val="24"/>
                <w:szCs w:val="24"/>
              </w:rPr>
              <w:br w:type="textWrapping"/>
            </w:r>
            <w:r>
              <w:rPr>
                <w:rFonts w:hint="eastAsia" w:ascii="宋体" w:hAnsi="宋体" w:eastAsia="宋体" w:cs="仿宋"/>
                <w:kern w:val="0"/>
                <w:sz w:val="24"/>
                <w:szCs w:val="24"/>
              </w:rPr>
              <w:t>3.维护、维修、保养用户评价管理：提供全面的用户评价与管理，监督和改进服务质量和服务协议等级。</w:t>
            </w:r>
            <w:r>
              <w:rPr>
                <w:rFonts w:hint="eastAsia" w:ascii="宋体" w:hAnsi="宋体" w:eastAsia="宋体" w:cs="仿宋"/>
                <w:kern w:val="0"/>
                <w:sz w:val="24"/>
                <w:szCs w:val="24"/>
              </w:rPr>
              <w:br w:type="textWrapping"/>
            </w:r>
            <w:r>
              <w:rPr>
                <w:rFonts w:hint="eastAsia" w:ascii="宋体" w:hAnsi="宋体" w:eastAsia="宋体" w:cs="仿宋"/>
                <w:kern w:val="0"/>
                <w:sz w:val="24"/>
                <w:szCs w:val="24"/>
              </w:rPr>
              <w:t>4.对所有的相关设备提供使用维护技巧、常见问题解答等服务。</w:t>
            </w:r>
          </w:p>
        </w:tc>
        <w:tc>
          <w:tcPr>
            <w:tcW w:w="1383" w:type="dxa"/>
            <w:tcBorders>
              <w:top w:val="nil"/>
              <w:left w:val="single" w:color="auto" w:sz="4" w:space="0"/>
              <w:bottom w:val="single" w:color="auto" w:sz="4" w:space="0"/>
              <w:right w:val="single" w:color="auto" w:sz="4" w:space="0"/>
            </w:tcBorders>
            <w:vAlign w:val="center"/>
          </w:tcPr>
          <w:p w14:paraId="71A80C56">
            <w:pPr>
              <w:widowControl/>
              <w:spacing w:line="300" w:lineRule="exact"/>
              <w:jc w:val="center"/>
              <w:rPr>
                <w:rFonts w:hint="eastAsia" w:ascii="宋体" w:hAnsi="宋体" w:eastAsia="宋体" w:cs="仿宋"/>
                <w:kern w:val="0"/>
                <w:sz w:val="24"/>
                <w:szCs w:val="24"/>
              </w:rPr>
            </w:pPr>
          </w:p>
        </w:tc>
      </w:tr>
      <w:tr w14:paraId="4AA91062">
        <w:tblPrEx>
          <w:tblCellMar>
            <w:top w:w="0" w:type="dxa"/>
            <w:left w:w="108" w:type="dxa"/>
            <w:bottom w:w="0" w:type="dxa"/>
            <w:right w:w="108" w:type="dxa"/>
          </w:tblCellMar>
        </w:tblPrEx>
        <w:trPr>
          <w:trHeight w:val="1930" w:hRule="atLeast"/>
          <w:jc w:val="center"/>
        </w:trPr>
        <w:tc>
          <w:tcPr>
            <w:tcW w:w="697" w:type="dxa"/>
            <w:vMerge w:val="continue"/>
            <w:tcBorders>
              <w:left w:val="single" w:color="auto" w:sz="4" w:space="0"/>
              <w:right w:val="single" w:color="auto" w:sz="4" w:space="0"/>
            </w:tcBorders>
            <w:vAlign w:val="center"/>
          </w:tcPr>
          <w:p w14:paraId="36BA9F74">
            <w:pPr>
              <w:widowControl/>
              <w:spacing w:line="300" w:lineRule="exact"/>
              <w:jc w:val="center"/>
              <w:rPr>
                <w:rFonts w:hint="eastAsia" w:ascii="宋体" w:hAnsi="宋体" w:eastAsia="宋体" w:cs="仿宋"/>
                <w:kern w:val="0"/>
                <w:sz w:val="24"/>
                <w:szCs w:val="24"/>
              </w:rPr>
            </w:pPr>
          </w:p>
        </w:tc>
        <w:tc>
          <w:tcPr>
            <w:tcW w:w="1200" w:type="dxa"/>
            <w:vMerge w:val="continue"/>
            <w:tcBorders>
              <w:left w:val="single" w:color="auto" w:sz="4" w:space="0"/>
              <w:right w:val="single" w:color="auto" w:sz="4" w:space="0"/>
            </w:tcBorders>
            <w:vAlign w:val="center"/>
          </w:tcPr>
          <w:p w14:paraId="4CDF9727">
            <w:pPr>
              <w:spacing w:line="300" w:lineRule="exact"/>
              <w:jc w:val="center"/>
              <w:rPr>
                <w:rFonts w:hint="eastAsia" w:ascii="宋体" w:hAnsi="宋体" w:eastAsia="宋体" w:cs="仿宋"/>
                <w:kern w:val="0"/>
                <w:sz w:val="24"/>
                <w:szCs w:val="24"/>
              </w:rPr>
            </w:pPr>
          </w:p>
        </w:tc>
        <w:tc>
          <w:tcPr>
            <w:tcW w:w="1222" w:type="dxa"/>
            <w:tcBorders>
              <w:top w:val="nil"/>
              <w:left w:val="single" w:color="auto" w:sz="4" w:space="0"/>
              <w:bottom w:val="single" w:color="auto" w:sz="4" w:space="0"/>
              <w:right w:val="single" w:color="auto" w:sz="4" w:space="0"/>
            </w:tcBorders>
            <w:vAlign w:val="center"/>
          </w:tcPr>
          <w:p w14:paraId="4646C8C1">
            <w:pPr>
              <w:widowControl/>
              <w:spacing w:line="300" w:lineRule="exact"/>
              <w:jc w:val="center"/>
              <w:rPr>
                <w:rFonts w:hint="eastAsia" w:ascii="宋体" w:hAnsi="宋体" w:eastAsia="宋体" w:cs="仿宋"/>
                <w:kern w:val="0"/>
                <w:sz w:val="24"/>
                <w:szCs w:val="24"/>
              </w:rPr>
            </w:pPr>
            <w:r>
              <w:rPr>
                <w:rFonts w:hint="eastAsia" w:ascii="宋体" w:hAnsi="宋体" w:eastAsia="宋体" w:cs="仿宋"/>
                <w:kern w:val="0"/>
                <w:sz w:val="24"/>
                <w:szCs w:val="24"/>
              </w:rPr>
              <w:t>系统维护手册和操作手册制作服务</w:t>
            </w:r>
          </w:p>
        </w:tc>
        <w:tc>
          <w:tcPr>
            <w:tcW w:w="5633" w:type="dxa"/>
            <w:tcBorders>
              <w:top w:val="nil"/>
              <w:left w:val="nil"/>
              <w:bottom w:val="single" w:color="auto" w:sz="4" w:space="0"/>
              <w:right w:val="nil"/>
            </w:tcBorders>
            <w:vAlign w:val="center"/>
          </w:tcPr>
          <w:p w14:paraId="56C35C72">
            <w:pPr>
              <w:spacing w:line="300" w:lineRule="exact"/>
              <w:rPr>
                <w:rFonts w:hint="eastAsia" w:ascii="宋体" w:hAnsi="宋体" w:eastAsia="宋体" w:cs="仿宋"/>
                <w:kern w:val="0"/>
                <w:sz w:val="24"/>
                <w:szCs w:val="24"/>
              </w:rPr>
            </w:pPr>
            <w:r>
              <w:rPr>
                <w:rFonts w:hint="eastAsia" w:ascii="宋体" w:hAnsi="宋体" w:eastAsia="宋体" w:cs="仿宋"/>
                <w:kern w:val="0"/>
                <w:sz w:val="24"/>
                <w:szCs w:val="24"/>
              </w:rPr>
              <w:t>1.系统维护手册和操作手册的策划、编制、修改、更新、存档等服务。</w:t>
            </w:r>
            <w:r>
              <w:rPr>
                <w:rFonts w:hint="eastAsia" w:ascii="宋体" w:hAnsi="宋体" w:eastAsia="宋体" w:cs="仿宋"/>
                <w:kern w:val="0"/>
                <w:sz w:val="24"/>
                <w:szCs w:val="24"/>
              </w:rPr>
              <w:br w:type="textWrapping"/>
            </w:r>
            <w:r>
              <w:rPr>
                <w:rFonts w:hint="eastAsia" w:ascii="宋体" w:hAnsi="宋体" w:eastAsia="宋体" w:cs="仿宋"/>
                <w:kern w:val="0"/>
                <w:sz w:val="24"/>
                <w:szCs w:val="24"/>
              </w:rPr>
              <w:t>2.设备维护手册和操作手册的策划、编制、修改、更新、存档等服务。</w:t>
            </w:r>
          </w:p>
        </w:tc>
        <w:tc>
          <w:tcPr>
            <w:tcW w:w="1383" w:type="dxa"/>
            <w:tcBorders>
              <w:top w:val="nil"/>
              <w:left w:val="single" w:color="auto" w:sz="4" w:space="0"/>
              <w:bottom w:val="single" w:color="auto" w:sz="4" w:space="0"/>
              <w:right w:val="single" w:color="auto" w:sz="4" w:space="0"/>
            </w:tcBorders>
            <w:vAlign w:val="center"/>
          </w:tcPr>
          <w:p w14:paraId="720569F7">
            <w:pPr>
              <w:spacing w:line="300" w:lineRule="exact"/>
              <w:jc w:val="left"/>
              <w:rPr>
                <w:rFonts w:hint="eastAsia" w:ascii="宋体" w:hAnsi="宋体" w:eastAsia="宋体" w:cs="仿宋"/>
                <w:kern w:val="0"/>
                <w:sz w:val="24"/>
                <w:szCs w:val="24"/>
              </w:rPr>
            </w:pPr>
            <w:r>
              <w:rPr>
                <w:rFonts w:hint="eastAsia" w:ascii="宋体" w:hAnsi="宋体" w:eastAsia="宋体" w:cs="仿宋"/>
                <w:kern w:val="0"/>
                <w:sz w:val="24"/>
                <w:szCs w:val="24"/>
              </w:rPr>
              <w:t>文档生成后的著作权和版权归乙方所有，采购人可在合同有效期间无偿使用。</w:t>
            </w:r>
          </w:p>
        </w:tc>
      </w:tr>
      <w:tr w14:paraId="1B47B697">
        <w:tblPrEx>
          <w:tblCellMar>
            <w:top w:w="0" w:type="dxa"/>
            <w:left w:w="108" w:type="dxa"/>
            <w:bottom w:w="0" w:type="dxa"/>
            <w:right w:w="108" w:type="dxa"/>
          </w:tblCellMar>
        </w:tblPrEx>
        <w:trPr>
          <w:trHeight w:val="1660" w:hRule="atLeast"/>
          <w:jc w:val="center"/>
        </w:trPr>
        <w:tc>
          <w:tcPr>
            <w:tcW w:w="697" w:type="dxa"/>
            <w:vMerge w:val="continue"/>
            <w:tcBorders>
              <w:left w:val="single" w:color="auto" w:sz="4" w:space="0"/>
              <w:right w:val="single" w:color="auto" w:sz="4" w:space="0"/>
            </w:tcBorders>
            <w:vAlign w:val="center"/>
          </w:tcPr>
          <w:p w14:paraId="27AACC56">
            <w:pPr>
              <w:widowControl/>
              <w:spacing w:line="300" w:lineRule="exact"/>
              <w:jc w:val="center"/>
              <w:rPr>
                <w:rFonts w:hint="eastAsia" w:ascii="宋体" w:hAnsi="宋体" w:eastAsia="宋体" w:cs="仿宋"/>
                <w:kern w:val="0"/>
                <w:sz w:val="24"/>
                <w:szCs w:val="24"/>
              </w:rPr>
            </w:pPr>
          </w:p>
        </w:tc>
        <w:tc>
          <w:tcPr>
            <w:tcW w:w="1200" w:type="dxa"/>
            <w:vMerge w:val="continue"/>
            <w:tcBorders>
              <w:left w:val="single" w:color="auto" w:sz="4" w:space="0"/>
              <w:right w:val="single" w:color="auto" w:sz="4" w:space="0"/>
            </w:tcBorders>
            <w:vAlign w:val="center"/>
          </w:tcPr>
          <w:p w14:paraId="549FE2A3">
            <w:pPr>
              <w:spacing w:line="300" w:lineRule="exact"/>
              <w:jc w:val="center"/>
              <w:rPr>
                <w:rFonts w:hint="eastAsia" w:ascii="宋体" w:hAnsi="宋体" w:eastAsia="宋体" w:cs="仿宋"/>
                <w:kern w:val="0"/>
                <w:sz w:val="24"/>
                <w:szCs w:val="24"/>
              </w:rPr>
            </w:pPr>
          </w:p>
        </w:tc>
        <w:tc>
          <w:tcPr>
            <w:tcW w:w="1222" w:type="dxa"/>
            <w:tcBorders>
              <w:top w:val="nil"/>
              <w:left w:val="single" w:color="auto" w:sz="4" w:space="0"/>
              <w:bottom w:val="single" w:color="auto" w:sz="4" w:space="0"/>
              <w:right w:val="single" w:color="auto" w:sz="4" w:space="0"/>
            </w:tcBorders>
            <w:vAlign w:val="center"/>
          </w:tcPr>
          <w:p w14:paraId="4CDF95F1">
            <w:pPr>
              <w:spacing w:line="300" w:lineRule="exact"/>
              <w:jc w:val="center"/>
              <w:rPr>
                <w:rFonts w:hint="eastAsia" w:ascii="宋体" w:hAnsi="宋体" w:eastAsia="宋体" w:cs="仿宋"/>
                <w:kern w:val="0"/>
                <w:sz w:val="24"/>
                <w:szCs w:val="24"/>
              </w:rPr>
            </w:pPr>
            <w:r>
              <w:rPr>
                <w:rFonts w:hint="eastAsia" w:ascii="宋体" w:hAnsi="宋体" w:eastAsia="宋体" w:cs="仿宋"/>
                <w:kern w:val="0"/>
                <w:sz w:val="24"/>
                <w:szCs w:val="24"/>
              </w:rPr>
              <w:t>政府保密专项检查服务</w:t>
            </w:r>
          </w:p>
        </w:tc>
        <w:tc>
          <w:tcPr>
            <w:tcW w:w="5633" w:type="dxa"/>
            <w:tcBorders>
              <w:top w:val="nil"/>
              <w:left w:val="nil"/>
              <w:bottom w:val="single" w:color="auto" w:sz="4" w:space="0"/>
              <w:right w:val="nil"/>
            </w:tcBorders>
            <w:vAlign w:val="center"/>
          </w:tcPr>
          <w:p w14:paraId="2FC89B03">
            <w:pPr>
              <w:spacing w:line="300" w:lineRule="exact"/>
              <w:rPr>
                <w:rFonts w:hint="eastAsia" w:ascii="宋体" w:hAnsi="宋体" w:eastAsia="宋体" w:cs="仿宋"/>
                <w:kern w:val="0"/>
                <w:sz w:val="24"/>
                <w:szCs w:val="24"/>
              </w:rPr>
            </w:pPr>
            <w:r>
              <w:rPr>
                <w:rFonts w:hint="eastAsia" w:ascii="宋体" w:hAnsi="宋体" w:eastAsia="宋体" w:cs="仿宋"/>
                <w:kern w:val="0"/>
                <w:sz w:val="24"/>
                <w:szCs w:val="24"/>
              </w:rPr>
              <w:t>1.按甲方要求对服务范围内的设备和对象进行保密合规性检查相关工作</w:t>
            </w:r>
          </w:p>
          <w:p w14:paraId="6987FEA2">
            <w:pPr>
              <w:pStyle w:val="75"/>
              <w:spacing w:line="300" w:lineRule="exact"/>
              <w:ind w:firstLine="0" w:firstLineChars="0"/>
              <w:rPr>
                <w:rFonts w:hint="eastAsia" w:ascii="宋体" w:hAnsi="宋体" w:eastAsia="宋体" w:cs="仿宋"/>
                <w:kern w:val="0"/>
                <w:sz w:val="24"/>
                <w:szCs w:val="24"/>
              </w:rPr>
            </w:pPr>
            <w:r>
              <w:rPr>
                <w:rFonts w:hint="eastAsia" w:ascii="宋体" w:hAnsi="宋体" w:eastAsia="宋体" w:cs="仿宋"/>
                <w:kern w:val="0"/>
                <w:sz w:val="24"/>
                <w:szCs w:val="24"/>
              </w:rPr>
              <w:t>2. 根据国家保密局制定的涉及国家秘密的信息系统分级保护保密标准、相关保密管理制度、和管理规范，进行涉密计算机信息系统的维护保障服务。</w:t>
            </w:r>
          </w:p>
        </w:tc>
        <w:tc>
          <w:tcPr>
            <w:tcW w:w="1383" w:type="dxa"/>
            <w:tcBorders>
              <w:top w:val="nil"/>
              <w:left w:val="single" w:color="auto" w:sz="4" w:space="0"/>
              <w:bottom w:val="single" w:color="auto" w:sz="4" w:space="0"/>
              <w:right w:val="single" w:color="auto" w:sz="4" w:space="0"/>
            </w:tcBorders>
            <w:vAlign w:val="center"/>
          </w:tcPr>
          <w:p w14:paraId="1CD0F346">
            <w:pPr>
              <w:widowControl/>
              <w:spacing w:line="300" w:lineRule="exact"/>
              <w:jc w:val="center"/>
              <w:rPr>
                <w:rFonts w:hint="eastAsia" w:ascii="宋体" w:hAnsi="宋体" w:eastAsia="宋体" w:cs="仿宋"/>
                <w:kern w:val="0"/>
                <w:sz w:val="24"/>
                <w:szCs w:val="24"/>
              </w:rPr>
            </w:pPr>
          </w:p>
        </w:tc>
      </w:tr>
      <w:tr w14:paraId="2AB79B15">
        <w:tblPrEx>
          <w:tblCellMar>
            <w:top w:w="0" w:type="dxa"/>
            <w:left w:w="108" w:type="dxa"/>
            <w:bottom w:w="0" w:type="dxa"/>
            <w:right w:w="108" w:type="dxa"/>
          </w:tblCellMar>
        </w:tblPrEx>
        <w:trPr>
          <w:trHeight w:val="1900" w:hRule="atLeast"/>
          <w:jc w:val="center"/>
        </w:trPr>
        <w:tc>
          <w:tcPr>
            <w:tcW w:w="697" w:type="dxa"/>
            <w:vMerge w:val="continue"/>
            <w:tcBorders>
              <w:left w:val="single" w:color="auto" w:sz="4" w:space="0"/>
              <w:right w:val="single" w:color="auto" w:sz="4" w:space="0"/>
            </w:tcBorders>
            <w:vAlign w:val="center"/>
          </w:tcPr>
          <w:p w14:paraId="23E018F7">
            <w:pPr>
              <w:widowControl/>
              <w:spacing w:line="300" w:lineRule="exact"/>
              <w:jc w:val="center"/>
              <w:rPr>
                <w:rFonts w:hint="eastAsia" w:ascii="宋体" w:hAnsi="宋体" w:eastAsia="宋体" w:cs="仿宋"/>
                <w:kern w:val="0"/>
                <w:sz w:val="24"/>
                <w:szCs w:val="24"/>
              </w:rPr>
            </w:pPr>
          </w:p>
        </w:tc>
        <w:tc>
          <w:tcPr>
            <w:tcW w:w="1200" w:type="dxa"/>
            <w:vMerge w:val="continue"/>
            <w:tcBorders>
              <w:left w:val="single" w:color="auto" w:sz="4" w:space="0"/>
              <w:right w:val="single" w:color="auto" w:sz="4" w:space="0"/>
            </w:tcBorders>
            <w:vAlign w:val="center"/>
          </w:tcPr>
          <w:p w14:paraId="292EFCB4">
            <w:pPr>
              <w:spacing w:line="300" w:lineRule="exact"/>
              <w:jc w:val="center"/>
              <w:rPr>
                <w:rFonts w:hint="eastAsia" w:ascii="宋体" w:hAnsi="宋体" w:eastAsia="宋体" w:cs="仿宋"/>
                <w:kern w:val="0"/>
                <w:sz w:val="24"/>
                <w:szCs w:val="24"/>
              </w:rPr>
            </w:pPr>
          </w:p>
        </w:tc>
        <w:tc>
          <w:tcPr>
            <w:tcW w:w="1222" w:type="dxa"/>
            <w:tcBorders>
              <w:top w:val="single" w:color="auto" w:sz="4" w:space="0"/>
              <w:left w:val="single" w:color="auto" w:sz="4" w:space="0"/>
              <w:bottom w:val="single" w:color="auto" w:sz="4" w:space="0"/>
              <w:right w:val="single" w:color="auto" w:sz="4" w:space="0"/>
            </w:tcBorders>
            <w:vAlign w:val="center"/>
          </w:tcPr>
          <w:p w14:paraId="7FCCBCE6">
            <w:pPr>
              <w:spacing w:line="300" w:lineRule="exact"/>
              <w:jc w:val="center"/>
              <w:rPr>
                <w:rFonts w:hint="eastAsia" w:ascii="宋体" w:hAnsi="宋体" w:eastAsia="宋体" w:cs="仿宋"/>
                <w:kern w:val="0"/>
                <w:sz w:val="24"/>
                <w:szCs w:val="24"/>
              </w:rPr>
            </w:pPr>
            <w:r>
              <w:rPr>
                <w:rFonts w:hint="eastAsia" w:ascii="宋体" w:hAnsi="宋体" w:eastAsia="宋体" w:cs="仿宋"/>
                <w:kern w:val="0"/>
                <w:sz w:val="24"/>
                <w:szCs w:val="24"/>
              </w:rPr>
              <w:t>网络安全及信息安全</w:t>
            </w:r>
          </w:p>
        </w:tc>
        <w:tc>
          <w:tcPr>
            <w:tcW w:w="5633" w:type="dxa"/>
            <w:tcBorders>
              <w:top w:val="single" w:color="auto" w:sz="4" w:space="0"/>
              <w:left w:val="nil"/>
              <w:bottom w:val="single" w:color="auto" w:sz="4" w:space="0"/>
              <w:right w:val="nil"/>
            </w:tcBorders>
            <w:vAlign w:val="center"/>
          </w:tcPr>
          <w:p w14:paraId="534B60B2">
            <w:pPr>
              <w:spacing w:line="300" w:lineRule="exact"/>
              <w:rPr>
                <w:rFonts w:hint="eastAsia" w:ascii="宋体" w:hAnsi="宋体" w:eastAsia="宋体" w:cs="仿宋"/>
                <w:kern w:val="0"/>
                <w:sz w:val="24"/>
                <w:szCs w:val="24"/>
              </w:rPr>
            </w:pPr>
            <w:r>
              <w:rPr>
                <w:rFonts w:hint="eastAsia" w:ascii="宋体" w:hAnsi="宋体" w:eastAsia="宋体" w:cs="仿宋"/>
                <w:kern w:val="0"/>
                <w:sz w:val="24"/>
                <w:szCs w:val="24"/>
              </w:rPr>
              <w:t>1.从涉及信息安全的人、管理、技术三个方面入手，建立完善细致的安全防护体系,保障政府网站、OA系统、以及其他应用平台系统等安全稳定运行。</w:t>
            </w:r>
          </w:p>
          <w:p w14:paraId="6C8A8F5B">
            <w:pPr>
              <w:pStyle w:val="75"/>
              <w:spacing w:line="300" w:lineRule="exact"/>
              <w:ind w:firstLine="0" w:firstLineChars="0"/>
              <w:rPr>
                <w:rFonts w:hint="eastAsia" w:ascii="宋体" w:hAnsi="宋体" w:eastAsia="宋体" w:cs="仿宋"/>
                <w:kern w:val="0"/>
                <w:sz w:val="24"/>
                <w:szCs w:val="24"/>
              </w:rPr>
            </w:pPr>
            <w:r>
              <w:rPr>
                <w:rFonts w:hint="eastAsia" w:ascii="宋体" w:hAnsi="宋体" w:eastAsia="宋体" w:cs="仿宋"/>
                <w:kern w:val="0"/>
                <w:sz w:val="24"/>
                <w:szCs w:val="24"/>
              </w:rPr>
              <w:t>2.协助采购人进行信息安全审查包括信息安全等级保护三级审查、关键信息基础设施审查等信息安全审查服务。</w:t>
            </w:r>
          </w:p>
        </w:tc>
        <w:tc>
          <w:tcPr>
            <w:tcW w:w="1383" w:type="dxa"/>
            <w:tcBorders>
              <w:top w:val="single" w:color="auto" w:sz="4" w:space="0"/>
              <w:left w:val="single" w:color="auto" w:sz="4" w:space="0"/>
              <w:bottom w:val="single" w:color="auto" w:sz="4" w:space="0"/>
              <w:right w:val="single" w:color="auto" w:sz="4" w:space="0"/>
            </w:tcBorders>
            <w:vAlign w:val="center"/>
          </w:tcPr>
          <w:p w14:paraId="301A711B">
            <w:pPr>
              <w:widowControl/>
              <w:spacing w:line="300" w:lineRule="exact"/>
              <w:jc w:val="center"/>
              <w:rPr>
                <w:rFonts w:hint="eastAsia" w:ascii="宋体" w:hAnsi="宋体" w:eastAsia="宋体" w:cs="仿宋"/>
                <w:kern w:val="0"/>
                <w:sz w:val="24"/>
                <w:szCs w:val="24"/>
              </w:rPr>
            </w:pPr>
          </w:p>
        </w:tc>
      </w:tr>
      <w:tr w14:paraId="0FAB40C4">
        <w:tblPrEx>
          <w:tblCellMar>
            <w:top w:w="0" w:type="dxa"/>
            <w:left w:w="108" w:type="dxa"/>
            <w:bottom w:w="0" w:type="dxa"/>
            <w:right w:w="108" w:type="dxa"/>
          </w:tblCellMar>
        </w:tblPrEx>
        <w:trPr>
          <w:trHeight w:val="1105" w:hRule="atLeast"/>
          <w:jc w:val="center"/>
        </w:trPr>
        <w:tc>
          <w:tcPr>
            <w:tcW w:w="697" w:type="dxa"/>
            <w:vMerge w:val="continue"/>
            <w:tcBorders>
              <w:left w:val="single" w:color="auto" w:sz="4" w:space="0"/>
              <w:bottom w:val="single" w:color="auto" w:sz="4" w:space="0"/>
              <w:right w:val="single" w:color="auto" w:sz="4" w:space="0"/>
            </w:tcBorders>
            <w:vAlign w:val="center"/>
          </w:tcPr>
          <w:p w14:paraId="16F6E63C">
            <w:pPr>
              <w:widowControl/>
              <w:spacing w:line="300" w:lineRule="exact"/>
              <w:jc w:val="center"/>
              <w:rPr>
                <w:rFonts w:hint="eastAsia" w:ascii="宋体" w:hAnsi="宋体" w:eastAsia="宋体" w:cs="仿宋"/>
                <w:kern w:val="0"/>
                <w:sz w:val="24"/>
                <w:szCs w:val="24"/>
              </w:rPr>
            </w:pPr>
          </w:p>
        </w:tc>
        <w:tc>
          <w:tcPr>
            <w:tcW w:w="1200" w:type="dxa"/>
            <w:vMerge w:val="continue"/>
            <w:tcBorders>
              <w:left w:val="single" w:color="auto" w:sz="4" w:space="0"/>
              <w:bottom w:val="single" w:color="auto" w:sz="4" w:space="0"/>
              <w:right w:val="single" w:color="auto" w:sz="4" w:space="0"/>
            </w:tcBorders>
            <w:vAlign w:val="center"/>
          </w:tcPr>
          <w:p w14:paraId="2F796929">
            <w:pPr>
              <w:widowControl/>
              <w:spacing w:line="300" w:lineRule="exact"/>
              <w:jc w:val="center"/>
              <w:rPr>
                <w:rFonts w:hint="eastAsia" w:ascii="宋体" w:hAnsi="宋体" w:eastAsia="宋体" w:cs="仿宋"/>
                <w:kern w:val="0"/>
                <w:sz w:val="24"/>
                <w:szCs w:val="24"/>
              </w:rPr>
            </w:pPr>
          </w:p>
        </w:tc>
        <w:tc>
          <w:tcPr>
            <w:tcW w:w="1222" w:type="dxa"/>
            <w:tcBorders>
              <w:top w:val="nil"/>
              <w:left w:val="single" w:color="auto" w:sz="4" w:space="0"/>
              <w:bottom w:val="single" w:color="auto" w:sz="4" w:space="0"/>
              <w:right w:val="single" w:color="auto" w:sz="4" w:space="0"/>
            </w:tcBorders>
            <w:vAlign w:val="center"/>
          </w:tcPr>
          <w:p w14:paraId="1141AA4D">
            <w:pPr>
              <w:pStyle w:val="75"/>
              <w:spacing w:line="300" w:lineRule="exact"/>
              <w:ind w:firstLine="0" w:firstLineChars="0"/>
              <w:jc w:val="center"/>
              <w:rPr>
                <w:rFonts w:hint="eastAsia" w:ascii="宋体" w:hAnsi="宋体" w:eastAsia="宋体" w:cs="仿宋"/>
                <w:kern w:val="0"/>
                <w:sz w:val="24"/>
                <w:szCs w:val="24"/>
              </w:rPr>
            </w:pPr>
            <w:r>
              <w:rPr>
                <w:rFonts w:hint="eastAsia" w:ascii="宋体" w:hAnsi="宋体" w:eastAsia="宋体" w:cs="仿宋"/>
                <w:kern w:val="0"/>
                <w:sz w:val="24"/>
                <w:szCs w:val="24"/>
              </w:rPr>
              <w:t>运维管理咨询相关服务</w:t>
            </w:r>
          </w:p>
        </w:tc>
        <w:tc>
          <w:tcPr>
            <w:tcW w:w="5633" w:type="dxa"/>
            <w:tcBorders>
              <w:top w:val="nil"/>
              <w:left w:val="nil"/>
              <w:bottom w:val="single" w:color="auto" w:sz="4" w:space="0"/>
              <w:right w:val="nil"/>
            </w:tcBorders>
            <w:vAlign w:val="center"/>
          </w:tcPr>
          <w:p w14:paraId="5981EE0B">
            <w:pPr>
              <w:pStyle w:val="75"/>
              <w:spacing w:line="300" w:lineRule="exact"/>
              <w:ind w:firstLine="0" w:firstLineChars="0"/>
              <w:rPr>
                <w:rFonts w:hint="eastAsia" w:ascii="宋体" w:hAnsi="宋体" w:eastAsia="宋体" w:cs="仿宋"/>
                <w:kern w:val="0"/>
                <w:sz w:val="24"/>
                <w:szCs w:val="24"/>
              </w:rPr>
            </w:pPr>
            <w:bookmarkStart w:id="11" w:name="OLE_LINK2"/>
            <w:r>
              <w:rPr>
                <w:rFonts w:hint="eastAsia" w:ascii="宋体" w:hAnsi="宋体" w:eastAsia="宋体" w:cs="仿宋"/>
                <w:kern w:val="0"/>
                <w:sz w:val="24"/>
                <w:szCs w:val="24"/>
              </w:rPr>
              <w:t>ISO9000</w:t>
            </w:r>
            <w:bookmarkEnd w:id="11"/>
            <w:r>
              <w:rPr>
                <w:rFonts w:hint="eastAsia" w:ascii="宋体" w:hAnsi="宋体" w:eastAsia="宋体" w:cs="仿宋"/>
                <w:kern w:val="0"/>
                <w:sz w:val="24"/>
                <w:szCs w:val="24"/>
              </w:rPr>
              <w:t>、ITIL、ITSS等体系管理服务。</w:t>
            </w:r>
          </w:p>
        </w:tc>
        <w:tc>
          <w:tcPr>
            <w:tcW w:w="1383" w:type="dxa"/>
            <w:tcBorders>
              <w:top w:val="nil"/>
              <w:left w:val="single" w:color="auto" w:sz="4" w:space="0"/>
              <w:bottom w:val="single" w:color="auto" w:sz="4" w:space="0"/>
              <w:right w:val="single" w:color="auto" w:sz="4" w:space="0"/>
            </w:tcBorders>
            <w:vAlign w:val="center"/>
          </w:tcPr>
          <w:p w14:paraId="255656B4">
            <w:pPr>
              <w:widowControl/>
              <w:spacing w:line="300" w:lineRule="exact"/>
              <w:jc w:val="center"/>
              <w:rPr>
                <w:rFonts w:hint="eastAsia" w:ascii="宋体" w:hAnsi="宋体" w:eastAsia="宋体" w:cs="仿宋"/>
                <w:kern w:val="0"/>
                <w:sz w:val="24"/>
                <w:szCs w:val="24"/>
              </w:rPr>
            </w:pPr>
          </w:p>
        </w:tc>
      </w:tr>
    </w:tbl>
    <w:p w14:paraId="36DB9ED8">
      <w:pPr>
        <w:spacing w:line="360" w:lineRule="auto"/>
        <w:rPr>
          <w:rFonts w:ascii="宋体" w:hAnsi="宋体" w:eastAsia="宋体"/>
          <w:bCs/>
          <w:sz w:val="24"/>
        </w:rPr>
      </w:pPr>
      <w:r>
        <w:rPr>
          <w:rFonts w:hint="eastAsia" w:ascii="宋体" w:hAnsi="宋体" w:eastAsia="宋体"/>
          <w:bCs/>
          <w:sz w:val="24"/>
        </w:rPr>
        <w:t>3.服务方式及标准</w:t>
      </w:r>
    </w:p>
    <w:tbl>
      <w:tblPr>
        <w:tblStyle w:val="19"/>
        <w:tblW w:w="101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42"/>
        <w:gridCol w:w="4200"/>
        <w:gridCol w:w="1374"/>
      </w:tblGrid>
      <w:tr w14:paraId="7D278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4542" w:type="dxa"/>
            <w:vAlign w:val="center"/>
          </w:tcPr>
          <w:p w14:paraId="09A76DE3">
            <w:pPr>
              <w:widowControl/>
              <w:spacing w:line="360" w:lineRule="auto"/>
              <w:jc w:val="center"/>
              <w:rPr>
                <w:rFonts w:hint="eastAsia" w:ascii="宋体" w:hAnsi="宋体" w:eastAsia="宋体" w:cs="仿宋"/>
                <w:bCs/>
                <w:kern w:val="0"/>
                <w:sz w:val="24"/>
                <w:szCs w:val="24"/>
              </w:rPr>
            </w:pPr>
            <w:r>
              <w:rPr>
                <w:rFonts w:hint="eastAsia" w:ascii="宋体" w:hAnsi="宋体" w:eastAsia="宋体" w:cs="仿宋"/>
                <w:kern w:val="0"/>
                <w:sz w:val="24"/>
                <w:szCs w:val="24"/>
              </w:rPr>
              <w:t>活动描述</w:t>
            </w:r>
          </w:p>
        </w:tc>
        <w:tc>
          <w:tcPr>
            <w:tcW w:w="4200" w:type="dxa"/>
            <w:vAlign w:val="center"/>
          </w:tcPr>
          <w:p w14:paraId="4B5CB272">
            <w:pPr>
              <w:widowControl/>
              <w:spacing w:line="360" w:lineRule="auto"/>
              <w:jc w:val="center"/>
              <w:rPr>
                <w:rFonts w:hint="eastAsia" w:ascii="宋体" w:hAnsi="宋体" w:eastAsia="宋体" w:cs="仿宋"/>
                <w:bCs/>
                <w:kern w:val="0"/>
                <w:sz w:val="24"/>
                <w:szCs w:val="24"/>
              </w:rPr>
            </w:pPr>
            <w:r>
              <w:rPr>
                <w:rFonts w:hint="eastAsia" w:ascii="宋体" w:hAnsi="宋体" w:eastAsia="宋体" w:cs="仿宋"/>
                <w:kern w:val="0"/>
                <w:sz w:val="24"/>
                <w:szCs w:val="24"/>
              </w:rPr>
              <w:t>服务支持时间</w:t>
            </w:r>
          </w:p>
        </w:tc>
        <w:tc>
          <w:tcPr>
            <w:tcW w:w="1374" w:type="dxa"/>
            <w:vAlign w:val="center"/>
          </w:tcPr>
          <w:p w14:paraId="7D500B27">
            <w:pPr>
              <w:widowControl/>
              <w:spacing w:line="360" w:lineRule="auto"/>
              <w:jc w:val="center"/>
              <w:rPr>
                <w:rFonts w:hint="eastAsia" w:ascii="宋体" w:hAnsi="宋体" w:eastAsia="宋体" w:cs="仿宋"/>
                <w:bCs/>
                <w:kern w:val="0"/>
                <w:sz w:val="24"/>
                <w:szCs w:val="24"/>
              </w:rPr>
            </w:pPr>
            <w:r>
              <w:rPr>
                <w:rFonts w:hint="eastAsia" w:ascii="宋体" w:hAnsi="宋体" w:eastAsia="宋体" w:cs="仿宋"/>
                <w:kern w:val="0"/>
                <w:sz w:val="24"/>
                <w:szCs w:val="24"/>
              </w:rPr>
              <w:t>服务方式</w:t>
            </w:r>
          </w:p>
        </w:tc>
      </w:tr>
      <w:tr w14:paraId="4EEB0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4542" w:type="dxa"/>
            <w:vAlign w:val="center"/>
          </w:tcPr>
          <w:p w14:paraId="507C6CE3">
            <w:pPr>
              <w:rPr>
                <w:rFonts w:hint="eastAsia" w:ascii="宋体" w:hAnsi="宋体" w:eastAsia="宋体" w:cs="仿宋"/>
                <w:kern w:val="0"/>
                <w:sz w:val="24"/>
                <w:szCs w:val="24"/>
              </w:rPr>
            </w:pPr>
            <w:r>
              <w:rPr>
                <w:rFonts w:hint="eastAsia" w:ascii="宋体" w:hAnsi="宋体" w:eastAsia="宋体" w:cs="仿宋"/>
                <w:kern w:val="0"/>
                <w:sz w:val="24"/>
                <w:szCs w:val="24"/>
              </w:rPr>
              <w:t>终端用户支持（桌面及外设）、电话系统技术维护、会议及视频会议系统技术支持</w:t>
            </w:r>
          </w:p>
        </w:tc>
        <w:tc>
          <w:tcPr>
            <w:tcW w:w="4200" w:type="dxa"/>
            <w:vAlign w:val="center"/>
          </w:tcPr>
          <w:p w14:paraId="1ABCA00E">
            <w:pPr>
              <w:rPr>
                <w:rFonts w:hint="eastAsia" w:ascii="宋体" w:hAnsi="宋体" w:eastAsia="宋体" w:cs="仿宋"/>
                <w:kern w:val="0"/>
                <w:sz w:val="24"/>
                <w:szCs w:val="24"/>
              </w:rPr>
            </w:pPr>
            <w:r>
              <w:rPr>
                <w:rFonts w:hint="eastAsia" w:ascii="宋体" w:hAnsi="宋体" w:eastAsia="宋体" w:cs="仿宋"/>
                <w:kern w:val="0"/>
                <w:sz w:val="24"/>
                <w:szCs w:val="24"/>
              </w:rPr>
              <w:t>5 x 8（星期一至星期五，上午 8：30 至下午 17:30 ，国家法定节假日除外）</w:t>
            </w:r>
          </w:p>
        </w:tc>
        <w:tc>
          <w:tcPr>
            <w:tcW w:w="1374" w:type="dxa"/>
            <w:vAlign w:val="center"/>
          </w:tcPr>
          <w:p w14:paraId="5568CAE6">
            <w:pPr>
              <w:jc w:val="center"/>
              <w:rPr>
                <w:rFonts w:hint="default" w:ascii="宋体" w:hAnsi="宋体" w:eastAsia="宋体" w:cs="仿宋"/>
                <w:kern w:val="0"/>
                <w:sz w:val="24"/>
                <w:szCs w:val="24"/>
                <w:lang w:val="en-US" w:eastAsia="zh-CN"/>
              </w:rPr>
            </w:pPr>
            <w:r>
              <w:rPr>
                <w:rFonts w:hint="eastAsia" w:ascii="宋体" w:hAnsi="宋体" w:eastAsia="宋体" w:cs="仿宋"/>
                <w:kern w:val="0"/>
                <w:sz w:val="24"/>
                <w:szCs w:val="24"/>
                <w:lang w:val="en-US" w:eastAsia="zh-CN"/>
              </w:rPr>
              <w:t>响应人数11人</w:t>
            </w:r>
          </w:p>
        </w:tc>
      </w:tr>
      <w:tr w14:paraId="4ECF6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4542" w:type="dxa"/>
            <w:vAlign w:val="center"/>
          </w:tcPr>
          <w:p w14:paraId="6F5596B6">
            <w:pPr>
              <w:rPr>
                <w:rFonts w:hint="eastAsia" w:ascii="宋体" w:hAnsi="宋体" w:eastAsia="宋体" w:cs="仿宋"/>
                <w:kern w:val="0"/>
                <w:sz w:val="24"/>
                <w:szCs w:val="24"/>
              </w:rPr>
            </w:pPr>
            <w:r>
              <w:rPr>
                <w:rFonts w:hint="eastAsia" w:ascii="宋体" w:hAnsi="宋体" w:eastAsia="宋体" w:cs="仿宋"/>
                <w:kern w:val="0"/>
                <w:sz w:val="24"/>
                <w:szCs w:val="24"/>
              </w:rPr>
              <w:t>核心业务（机房、网络、应用、服务器、存储等）运维服务</w:t>
            </w:r>
          </w:p>
        </w:tc>
        <w:tc>
          <w:tcPr>
            <w:tcW w:w="4200" w:type="dxa"/>
            <w:vAlign w:val="center"/>
          </w:tcPr>
          <w:p w14:paraId="4A7549C9">
            <w:pPr>
              <w:rPr>
                <w:rFonts w:hint="eastAsia" w:ascii="宋体" w:hAnsi="宋体" w:eastAsia="宋体" w:cs="仿宋"/>
                <w:kern w:val="0"/>
                <w:sz w:val="24"/>
                <w:szCs w:val="24"/>
              </w:rPr>
            </w:pPr>
            <w:r>
              <w:rPr>
                <w:rFonts w:hint="eastAsia" w:ascii="宋体" w:hAnsi="宋体" w:eastAsia="宋体" w:cs="仿宋"/>
                <w:kern w:val="0"/>
                <w:sz w:val="24"/>
                <w:szCs w:val="24"/>
              </w:rPr>
              <w:t>7x24 （包括国家法定节假日）</w:t>
            </w:r>
          </w:p>
        </w:tc>
        <w:tc>
          <w:tcPr>
            <w:tcW w:w="1374" w:type="dxa"/>
            <w:vAlign w:val="center"/>
          </w:tcPr>
          <w:p w14:paraId="19EBB45B">
            <w:pPr>
              <w:jc w:val="center"/>
              <w:rPr>
                <w:rFonts w:hint="default" w:ascii="宋体" w:hAnsi="宋体" w:eastAsia="宋体" w:cs="仿宋"/>
                <w:kern w:val="0"/>
                <w:sz w:val="24"/>
                <w:szCs w:val="24"/>
                <w:lang w:val="en-US" w:eastAsia="zh-CN"/>
              </w:rPr>
            </w:pPr>
            <w:r>
              <w:rPr>
                <w:rFonts w:hint="eastAsia" w:ascii="宋体" w:hAnsi="宋体" w:eastAsia="宋体" w:cs="仿宋"/>
                <w:kern w:val="0"/>
                <w:sz w:val="24"/>
                <w:szCs w:val="24"/>
                <w:lang w:val="en-US" w:eastAsia="zh-CN"/>
              </w:rPr>
              <w:t>响应人数9人</w:t>
            </w:r>
          </w:p>
        </w:tc>
      </w:tr>
      <w:tr w14:paraId="6808A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4542" w:type="dxa"/>
            <w:vAlign w:val="center"/>
          </w:tcPr>
          <w:p w14:paraId="53352667">
            <w:pPr>
              <w:rPr>
                <w:rFonts w:hint="eastAsia" w:ascii="宋体" w:hAnsi="宋体" w:eastAsia="宋体" w:cs="仿宋"/>
                <w:kern w:val="0"/>
                <w:sz w:val="24"/>
                <w:szCs w:val="24"/>
              </w:rPr>
            </w:pPr>
            <w:r>
              <w:rPr>
                <w:rFonts w:hint="eastAsia" w:ascii="宋体" w:hAnsi="宋体" w:eastAsia="宋体" w:cs="仿宋"/>
                <w:kern w:val="0"/>
                <w:sz w:val="24"/>
                <w:szCs w:val="24"/>
              </w:rPr>
              <w:t>临时任务（不计时长、不计次数）</w:t>
            </w:r>
          </w:p>
        </w:tc>
        <w:tc>
          <w:tcPr>
            <w:tcW w:w="4200" w:type="dxa"/>
            <w:vAlign w:val="center"/>
          </w:tcPr>
          <w:p w14:paraId="6F293EE6">
            <w:pPr>
              <w:rPr>
                <w:rFonts w:hint="eastAsia" w:ascii="宋体" w:hAnsi="宋体" w:eastAsia="宋体" w:cs="仿宋"/>
                <w:kern w:val="0"/>
                <w:sz w:val="24"/>
                <w:szCs w:val="24"/>
              </w:rPr>
            </w:pPr>
            <w:r>
              <w:rPr>
                <w:rFonts w:hint="eastAsia" w:ascii="宋体" w:hAnsi="宋体" w:eastAsia="宋体" w:cs="仿宋"/>
                <w:kern w:val="0"/>
                <w:sz w:val="24"/>
                <w:szCs w:val="24"/>
              </w:rPr>
              <w:t>30分钟之内提供现场服务</w:t>
            </w:r>
          </w:p>
        </w:tc>
        <w:tc>
          <w:tcPr>
            <w:tcW w:w="1374" w:type="dxa"/>
            <w:vAlign w:val="center"/>
          </w:tcPr>
          <w:p w14:paraId="54B6CF2C">
            <w:pPr>
              <w:jc w:val="center"/>
              <w:rPr>
                <w:rFonts w:hint="eastAsia" w:ascii="宋体" w:hAnsi="宋体" w:eastAsia="宋体" w:cs="仿宋"/>
                <w:kern w:val="0"/>
                <w:sz w:val="24"/>
                <w:szCs w:val="24"/>
              </w:rPr>
            </w:pPr>
            <w:r>
              <w:rPr>
                <w:rFonts w:hint="eastAsia" w:ascii="宋体" w:hAnsi="宋体" w:eastAsia="宋体" w:cs="仿宋"/>
                <w:kern w:val="0"/>
                <w:sz w:val="24"/>
                <w:szCs w:val="24"/>
              </w:rPr>
              <w:t>临时</w:t>
            </w:r>
          </w:p>
        </w:tc>
      </w:tr>
    </w:tbl>
    <w:p w14:paraId="3788AC2D">
      <w:pPr>
        <w:spacing w:line="360" w:lineRule="auto"/>
        <w:rPr>
          <w:rFonts w:ascii="宋体" w:hAnsi="宋体" w:eastAsia="宋体"/>
          <w:bCs/>
          <w:sz w:val="24"/>
        </w:rPr>
      </w:pPr>
      <w:r>
        <w:rPr>
          <w:rFonts w:hint="eastAsia" w:ascii="宋体" w:hAnsi="宋体" w:eastAsia="宋体"/>
          <w:bCs/>
          <w:sz w:val="24"/>
        </w:rPr>
        <w:t>4.服务级别</w:t>
      </w:r>
    </w:p>
    <w:tbl>
      <w:tblPr>
        <w:tblStyle w:val="19"/>
        <w:tblW w:w="10124" w:type="dxa"/>
        <w:jc w:val="center"/>
        <w:tblLayout w:type="fixed"/>
        <w:tblCellMar>
          <w:top w:w="0" w:type="dxa"/>
          <w:left w:w="108" w:type="dxa"/>
          <w:bottom w:w="0" w:type="dxa"/>
          <w:right w:w="108" w:type="dxa"/>
        </w:tblCellMar>
      </w:tblPr>
      <w:tblGrid>
        <w:gridCol w:w="744"/>
        <w:gridCol w:w="967"/>
        <w:gridCol w:w="6210"/>
        <w:gridCol w:w="1110"/>
        <w:gridCol w:w="1093"/>
      </w:tblGrid>
      <w:tr w14:paraId="7C4BEDA2">
        <w:tblPrEx>
          <w:tblCellMar>
            <w:top w:w="0" w:type="dxa"/>
            <w:left w:w="108" w:type="dxa"/>
            <w:bottom w:w="0" w:type="dxa"/>
            <w:right w:w="108" w:type="dxa"/>
          </w:tblCellMar>
        </w:tblPrEx>
        <w:trPr>
          <w:trHeight w:val="525" w:hRule="atLeast"/>
          <w:jc w:val="center"/>
        </w:trPr>
        <w:tc>
          <w:tcPr>
            <w:tcW w:w="744" w:type="dxa"/>
            <w:tcBorders>
              <w:top w:val="single" w:color="auto" w:sz="8" w:space="0"/>
              <w:left w:val="single" w:color="auto" w:sz="8" w:space="0"/>
              <w:bottom w:val="single" w:color="auto" w:sz="8" w:space="0"/>
              <w:right w:val="single" w:color="auto" w:sz="8" w:space="0"/>
            </w:tcBorders>
            <w:vAlign w:val="center"/>
          </w:tcPr>
          <w:p w14:paraId="68895A5E">
            <w:pPr>
              <w:widowControl/>
              <w:spacing w:line="360" w:lineRule="exact"/>
              <w:jc w:val="center"/>
              <w:rPr>
                <w:rFonts w:hint="eastAsia" w:ascii="宋体" w:hAnsi="宋体" w:eastAsia="宋体" w:cs="仿宋"/>
                <w:bCs/>
                <w:kern w:val="0"/>
                <w:sz w:val="24"/>
                <w:szCs w:val="24"/>
              </w:rPr>
            </w:pPr>
            <w:r>
              <w:rPr>
                <w:rFonts w:hint="eastAsia" w:ascii="宋体" w:hAnsi="宋体" w:eastAsia="宋体" w:cs="仿宋"/>
                <w:bCs/>
                <w:kern w:val="0"/>
                <w:sz w:val="24"/>
                <w:szCs w:val="24"/>
              </w:rPr>
              <w:t>编号</w:t>
            </w:r>
          </w:p>
        </w:tc>
        <w:tc>
          <w:tcPr>
            <w:tcW w:w="967" w:type="dxa"/>
            <w:tcBorders>
              <w:top w:val="single" w:color="auto" w:sz="8" w:space="0"/>
              <w:left w:val="nil"/>
              <w:bottom w:val="single" w:color="auto" w:sz="8" w:space="0"/>
              <w:right w:val="single" w:color="auto" w:sz="8" w:space="0"/>
            </w:tcBorders>
            <w:vAlign w:val="center"/>
          </w:tcPr>
          <w:p w14:paraId="2BE9F9BD">
            <w:pPr>
              <w:widowControl/>
              <w:spacing w:line="360" w:lineRule="exact"/>
              <w:jc w:val="center"/>
              <w:rPr>
                <w:rFonts w:hint="eastAsia" w:ascii="宋体" w:hAnsi="宋体" w:eastAsia="宋体" w:cs="仿宋"/>
                <w:bCs/>
                <w:kern w:val="0"/>
                <w:sz w:val="24"/>
                <w:szCs w:val="24"/>
              </w:rPr>
            </w:pPr>
            <w:r>
              <w:rPr>
                <w:rFonts w:hint="eastAsia" w:ascii="宋体" w:hAnsi="宋体" w:eastAsia="宋体" w:cs="仿宋"/>
                <w:bCs/>
                <w:kern w:val="0"/>
                <w:sz w:val="24"/>
                <w:szCs w:val="24"/>
              </w:rPr>
              <w:t>优先级代码</w:t>
            </w:r>
          </w:p>
        </w:tc>
        <w:tc>
          <w:tcPr>
            <w:tcW w:w="6210" w:type="dxa"/>
            <w:tcBorders>
              <w:top w:val="single" w:color="auto" w:sz="8" w:space="0"/>
              <w:left w:val="nil"/>
              <w:bottom w:val="single" w:color="auto" w:sz="8" w:space="0"/>
              <w:right w:val="single" w:color="auto" w:sz="8" w:space="0"/>
            </w:tcBorders>
            <w:vAlign w:val="center"/>
          </w:tcPr>
          <w:p w14:paraId="01EE78E8">
            <w:pPr>
              <w:widowControl/>
              <w:spacing w:line="360" w:lineRule="exact"/>
              <w:jc w:val="center"/>
              <w:rPr>
                <w:rFonts w:hint="eastAsia" w:ascii="宋体" w:hAnsi="宋体" w:eastAsia="宋体" w:cs="仿宋"/>
                <w:bCs/>
                <w:kern w:val="0"/>
                <w:sz w:val="24"/>
                <w:szCs w:val="24"/>
              </w:rPr>
            </w:pPr>
            <w:r>
              <w:rPr>
                <w:rFonts w:hint="eastAsia" w:ascii="宋体" w:hAnsi="宋体" w:eastAsia="宋体" w:cs="仿宋"/>
                <w:bCs/>
                <w:kern w:val="0"/>
                <w:sz w:val="24"/>
                <w:szCs w:val="24"/>
              </w:rPr>
              <w:t>定义</w:t>
            </w:r>
          </w:p>
        </w:tc>
        <w:tc>
          <w:tcPr>
            <w:tcW w:w="1110" w:type="dxa"/>
            <w:tcBorders>
              <w:top w:val="single" w:color="auto" w:sz="8" w:space="0"/>
              <w:left w:val="nil"/>
              <w:bottom w:val="single" w:color="auto" w:sz="8" w:space="0"/>
              <w:right w:val="single" w:color="auto" w:sz="8" w:space="0"/>
            </w:tcBorders>
            <w:vAlign w:val="center"/>
          </w:tcPr>
          <w:p w14:paraId="3D2F7A72">
            <w:pPr>
              <w:widowControl/>
              <w:spacing w:line="360" w:lineRule="exact"/>
              <w:jc w:val="center"/>
              <w:rPr>
                <w:rFonts w:hint="eastAsia" w:ascii="宋体" w:hAnsi="宋体" w:eastAsia="宋体" w:cs="仿宋"/>
                <w:bCs/>
                <w:kern w:val="0"/>
                <w:sz w:val="24"/>
                <w:szCs w:val="24"/>
              </w:rPr>
            </w:pPr>
            <w:r>
              <w:rPr>
                <w:rFonts w:hint="eastAsia" w:ascii="宋体" w:hAnsi="宋体" w:eastAsia="宋体" w:cs="仿宋"/>
                <w:bCs/>
                <w:kern w:val="0"/>
                <w:sz w:val="24"/>
                <w:szCs w:val="24"/>
              </w:rPr>
              <w:t>响应</w:t>
            </w:r>
          </w:p>
          <w:p w14:paraId="659E49FB">
            <w:pPr>
              <w:widowControl/>
              <w:spacing w:line="360" w:lineRule="exact"/>
              <w:jc w:val="center"/>
              <w:rPr>
                <w:rFonts w:hint="eastAsia" w:ascii="宋体" w:hAnsi="宋体" w:eastAsia="宋体" w:cs="仿宋"/>
                <w:bCs/>
                <w:kern w:val="0"/>
                <w:sz w:val="24"/>
                <w:szCs w:val="24"/>
              </w:rPr>
            </w:pPr>
            <w:r>
              <w:rPr>
                <w:rFonts w:hint="eastAsia" w:ascii="宋体" w:hAnsi="宋体" w:eastAsia="宋体" w:cs="仿宋"/>
                <w:bCs/>
                <w:kern w:val="0"/>
                <w:sz w:val="24"/>
                <w:szCs w:val="24"/>
              </w:rPr>
              <w:t>时间</w:t>
            </w:r>
          </w:p>
        </w:tc>
        <w:tc>
          <w:tcPr>
            <w:tcW w:w="1093" w:type="dxa"/>
            <w:tcBorders>
              <w:top w:val="single" w:color="auto" w:sz="8" w:space="0"/>
              <w:left w:val="nil"/>
              <w:bottom w:val="single" w:color="auto" w:sz="8" w:space="0"/>
              <w:right w:val="single" w:color="auto" w:sz="8" w:space="0"/>
            </w:tcBorders>
            <w:vAlign w:val="center"/>
          </w:tcPr>
          <w:p w14:paraId="70B985CA">
            <w:pPr>
              <w:widowControl/>
              <w:spacing w:line="360" w:lineRule="exact"/>
              <w:jc w:val="center"/>
              <w:rPr>
                <w:rFonts w:hint="eastAsia" w:ascii="宋体" w:hAnsi="宋体" w:eastAsia="宋体" w:cs="仿宋"/>
                <w:bCs/>
                <w:kern w:val="0"/>
                <w:sz w:val="24"/>
                <w:szCs w:val="24"/>
              </w:rPr>
            </w:pPr>
            <w:r>
              <w:rPr>
                <w:rFonts w:hint="eastAsia" w:ascii="宋体" w:hAnsi="宋体" w:eastAsia="宋体" w:cs="仿宋"/>
                <w:bCs/>
                <w:kern w:val="0"/>
                <w:sz w:val="24"/>
                <w:szCs w:val="24"/>
              </w:rPr>
              <w:t>最后解</w:t>
            </w:r>
          </w:p>
          <w:p w14:paraId="1B7EAE22">
            <w:pPr>
              <w:widowControl/>
              <w:spacing w:line="360" w:lineRule="exact"/>
              <w:jc w:val="center"/>
              <w:rPr>
                <w:rFonts w:hint="eastAsia" w:ascii="宋体" w:hAnsi="宋体" w:eastAsia="宋体" w:cs="仿宋"/>
                <w:bCs/>
                <w:kern w:val="0"/>
                <w:sz w:val="24"/>
                <w:szCs w:val="24"/>
              </w:rPr>
            </w:pPr>
            <w:r>
              <w:rPr>
                <w:rFonts w:hint="eastAsia" w:ascii="宋体" w:hAnsi="宋体" w:eastAsia="宋体" w:cs="仿宋"/>
                <w:bCs/>
                <w:kern w:val="0"/>
                <w:sz w:val="24"/>
                <w:szCs w:val="24"/>
              </w:rPr>
              <w:t>决时限</w:t>
            </w:r>
          </w:p>
        </w:tc>
      </w:tr>
      <w:tr w14:paraId="1A9093DD">
        <w:tblPrEx>
          <w:tblCellMar>
            <w:top w:w="0" w:type="dxa"/>
            <w:left w:w="108" w:type="dxa"/>
            <w:bottom w:w="0" w:type="dxa"/>
            <w:right w:w="108" w:type="dxa"/>
          </w:tblCellMar>
        </w:tblPrEx>
        <w:trPr>
          <w:trHeight w:val="398" w:hRule="atLeast"/>
          <w:jc w:val="center"/>
        </w:trPr>
        <w:tc>
          <w:tcPr>
            <w:tcW w:w="744" w:type="dxa"/>
            <w:vMerge w:val="restart"/>
            <w:tcBorders>
              <w:top w:val="nil"/>
              <w:left w:val="single" w:color="auto" w:sz="8" w:space="0"/>
              <w:bottom w:val="single" w:color="auto" w:sz="8" w:space="0"/>
              <w:right w:val="single" w:color="auto" w:sz="8" w:space="0"/>
            </w:tcBorders>
            <w:vAlign w:val="center"/>
          </w:tcPr>
          <w:p w14:paraId="1FE6A8CD">
            <w:pPr>
              <w:widowControl/>
              <w:spacing w:line="360" w:lineRule="exact"/>
              <w:jc w:val="center"/>
              <w:rPr>
                <w:rFonts w:hint="eastAsia" w:ascii="宋体" w:hAnsi="宋体" w:eastAsia="宋体" w:cs="仿宋"/>
                <w:kern w:val="0"/>
                <w:sz w:val="24"/>
                <w:szCs w:val="24"/>
              </w:rPr>
            </w:pPr>
            <w:r>
              <w:rPr>
                <w:rFonts w:hint="eastAsia" w:ascii="宋体" w:hAnsi="宋体" w:eastAsia="宋体" w:cs="仿宋"/>
                <w:kern w:val="0"/>
                <w:sz w:val="24"/>
                <w:szCs w:val="24"/>
              </w:rPr>
              <w:t>1</w:t>
            </w:r>
          </w:p>
        </w:tc>
        <w:tc>
          <w:tcPr>
            <w:tcW w:w="967" w:type="dxa"/>
            <w:vMerge w:val="restart"/>
            <w:tcBorders>
              <w:top w:val="nil"/>
              <w:left w:val="single" w:color="auto" w:sz="8" w:space="0"/>
              <w:bottom w:val="single" w:color="auto" w:sz="8" w:space="0"/>
              <w:right w:val="single" w:color="auto" w:sz="8" w:space="0"/>
            </w:tcBorders>
            <w:vAlign w:val="center"/>
          </w:tcPr>
          <w:p w14:paraId="18ED77E7">
            <w:pPr>
              <w:widowControl/>
              <w:spacing w:line="360" w:lineRule="exact"/>
              <w:jc w:val="center"/>
              <w:rPr>
                <w:rFonts w:hint="eastAsia" w:ascii="宋体" w:hAnsi="宋体" w:eastAsia="宋体" w:cs="仿宋"/>
                <w:kern w:val="0"/>
                <w:sz w:val="24"/>
                <w:szCs w:val="24"/>
              </w:rPr>
            </w:pPr>
            <w:r>
              <w:rPr>
                <w:rFonts w:hint="eastAsia" w:ascii="宋体" w:hAnsi="宋体" w:eastAsia="宋体" w:cs="仿宋"/>
                <w:kern w:val="0"/>
                <w:sz w:val="24"/>
                <w:szCs w:val="24"/>
              </w:rPr>
              <w:t>紧急</w:t>
            </w:r>
          </w:p>
        </w:tc>
        <w:tc>
          <w:tcPr>
            <w:tcW w:w="6210" w:type="dxa"/>
            <w:tcBorders>
              <w:top w:val="nil"/>
              <w:left w:val="nil"/>
              <w:bottom w:val="single" w:color="auto" w:sz="8" w:space="0"/>
              <w:right w:val="single" w:color="auto" w:sz="8" w:space="0"/>
            </w:tcBorders>
            <w:vAlign w:val="center"/>
          </w:tcPr>
          <w:p w14:paraId="7EE3672A">
            <w:pPr>
              <w:spacing w:line="360" w:lineRule="exact"/>
              <w:rPr>
                <w:rFonts w:hint="eastAsia" w:ascii="宋体" w:hAnsi="宋体" w:eastAsia="宋体" w:cs="仿宋"/>
                <w:kern w:val="0"/>
                <w:sz w:val="24"/>
                <w:szCs w:val="24"/>
              </w:rPr>
            </w:pPr>
            <w:r>
              <w:rPr>
                <w:rFonts w:hint="eastAsia" w:ascii="宋体" w:hAnsi="宋体" w:eastAsia="宋体" w:cs="仿宋"/>
                <w:kern w:val="0"/>
                <w:sz w:val="24"/>
                <w:szCs w:val="24"/>
              </w:rPr>
              <w:t>以下情况之一可定为 紧急：</w:t>
            </w:r>
          </w:p>
        </w:tc>
        <w:tc>
          <w:tcPr>
            <w:tcW w:w="1110" w:type="dxa"/>
            <w:vMerge w:val="restart"/>
            <w:tcBorders>
              <w:top w:val="nil"/>
              <w:left w:val="single" w:color="auto" w:sz="8" w:space="0"/>
              <w:bottom w:val="single" w:color="auto" w:sz="8" w:space="0"/>
              <w:right w:val="single" w:color="auto" w:sz="8" w:space="0"/>
            </w:tcBorders>
            <w:vAlign w:val="center"/>
          </w:tcPr>
          <w:p w14:paraId="337650D2">
            <w:pPr>
              <w:spacing w:line="360" w:lineRule="exact"/>
              <w:jc w:val="center"/>
              <w:rPr>
                <w:rFonts w:hint="eastAsia" w:ascii="宋体" w:hAnsi="宋体" w:eastAsia="宋体" w:cs="仿宋"/>
                <w:kern w:val="0"/>
                <w:sz w:val="24"/>
                <w:szCs w:val="24"/>
              </w:rPr>
            </w:pPr>
            <w:r>
              <w:rPr>
                <w:rFonts w:hint="eastAsia" w:ascii="宋体" w:hAnsi="宋体" w:eastAsia="宋体" w:cs="仿宋"/>
                <w:kern w:val="0"/>
                <w:sz w:val="24"/>
                <w:szCs w:val="24"/>
              </w:rPr>
              <w:t>20分钟</w:t>
            </w:r>
          </w:p>
        </w:tc>
        <w:tc>
          <w:tcPr>
            <w:tcW w:w="1093" w:type="dxa"/>
            <w:vMerge w:val="restart"/>
            <w:tcBorders>
              <w:top w:val="nil"/>
              <w:left w:val="single" w:color="auto" w:sz="8" w:space="0"/>
              <w:bottom w:val="single" w:color="auto" w:sz="8" w:space="0"/>
              <w:right w:val="single" w:color="auto" w:sz="8" w:space="0"/>
            </w:tcBorders>
            <w:vAlign w:val="center"/>
          </w:tcPr>
          <w:p w14:paraId="2CB250BA">
            <w:pPr>
              <w:spacing w:line="360" w:lineRule="exact"/>
              <w:jc w:val="center"/>
              <w:rPr>
                <w:rFonts w:hint="eastAsia" w:ascii="宋体" w:hAnsi="宋体" w:eastAsia="宋体" w:cs="仿宋"/>
                <w:kern w:val="0"/>
                <w:sz w:val="24"/>
                <w:szCs w:val="24"/>
              </w:rPr>
            </w:pPr>
            <w:r>
              <w:rPr>
                <w:rFonts w:hint="eastAsia" w:ascii="宋体" w:hAnsi="宋体" w:eastAsia="宋体" w:cs="仿宋"/>
                <w:kern w:val="0"/>
                <w:sz w:val="24"/>
                <w:szCs w:val="24"/>
              </w:rPr>
              <w:t>4H</w:t>
            </w:r>
          </w:p>
        </w:tc>
      </w:tr>
      <w:tr w14:paraId="6984B24E">
        <w:tblPrEx>
          <w:tblCellMar>
            <w:top w:w="0" w:type="dxa"/>
            <w:left w:w="108" w:type="dxa"/>
            <w:bottom w:w="0" w:type="dxa"/>
            <w:right w:w="108" w:type="dxa"/>
          </w:tblCellMar>
        </w:tblPrEx>
        <w:trPr>
          <w:trHeight w:val="395" w:hRule="atLeast"/>
          <w:jc w:val="center"/>
        </w:trPr>
        <w:tc>
          <w:tcPr>
            <w:tcW w:w="744" w:type="dxa"/>
            <w:vMerge w:val="continue"/>
            <w:tcBorders>
              <w:top w:val="nil"/>
              <w:left w:val="single" w:color="auto" w:sz="8" w:space="0"/>
              <w:bottom w:val="single" w:color="auto" w:sz="8" w:space="0"/>
              <w:right w:val="single" w:color="auto" w:sz="8" w:space="0"/>
            </w:tcBorders>
            <w:vAlign w:val="center"/>
          </w:tcPr>
          <w:p w14:paraId="43F2C2AC">
            <w:pPr>
              <w:widowControl/>
              <w:spacing w:line="360" w:lineRule="exact"/>
              <w:jc w:val="center"/>
              <w:rPr>
                <w:rFonts w:hint="eastAsia" w:ascii="宋体" w:hAnsi="宋体" w:eastAsia="宋体" w:cs="仿宋"/>
                <w:kern w:val="0"/>
                <w:sz w:val="24"/>
                <w:szCs w:val="24"/>
              </w:rPr>
            </w:pPr>
          </w:p>
        </w:tc>
        <w:tc>
          <w:tcPr>
            <w:tcW w:w="967" w:type="dxa"/>
            <w:vMerge w:val="continue"/>
            <w:tcBorders>
              <w:top w:val="nil"/>
              <w:left w:val="single" w:color="auto" w:sz="8" w:space="0"/>
              <w:bottom w:val="single" w:color="auto" w:sz="8" w:space="0"/>
              <w:right w:val="single" w:color="auto" w:sz="8" w:space="0"/>
            </w:tcBorders>
            <w:vAlign w:val="center"/>
          </w:tcPr>
          <w:p w14:paraId="33E84A0A">
            <w:pPr>
              <w:widowControl/>
              <w:spacing w:line="360" w:lineRule="exact"/>
              <w:jc w:val="center"/>
              <w:rPr>
                <w:rFonts w:hint="eastAsia" w:ascii="宋体" w:hAnsi="宋体" w:eastAsia="宋体" w:cs="仿宋"/>
                <w:kern w:val="0"/>
                <w:sz w:val="24"/>
                <w:szCs w:val="24"/>
              </w:rPr>
            </w:pPr>
          </w:p>
        </w:tc>
        <w:tc>
          <w:tcPr>
            <w:tcW w:w="6210" w:type="dxa"/>
            <w:tcBorders>
              <w:top w:val="nil"/>
              <w:left w:val="nil"/>
              <w:bottom w:val="single" w:color="auto" w:sz="8" w:space="0"/>
              <w:right w:val="single" w:color="auto" w:sz="8" w:space="0"/>
            </w:tcBorders>
            <w:vAlign w:val="center"/>
          </w:tcPr>
          <w:p w14:paraId="62EA8F48">
            <w:pPr>
              <w:spacing w:line="360" w:lineRule="exact"/>
              <w:rPr>
                <w:rFonts w:hint="eastAsia" w:ascii="宋体" w:hAnsi="宋体" w:eastAsia="宋体" w:cs="仿宋"/>
                <w:kern w:val="0"/>
                <w:sz w:val="24"/>
                <w:szCs w:val="24"/>
              </w:rPr>
            </w:pPr>
            <w:r>
              <w:rPr>
                <w:rFonts w:hint="eastAsia" w:ascii="宋体" w:hAnsi="宋体" w:eastAsia="宋体" w:cs="仿宋"/>
                <w:kern w:val="0"/>
                <w:sz w:val="24"/>
                <w:szCs w:val="24"/>
              </w:rPr>
              <w:t>系统瘫痪</w:t>
            </w:r>
          </w:p>
        </w:tc>
        <w:tc>
          <w:tcPr>
            <w:tcW w:w="1110" w:type="dxa"/>
            <w:vMerge w:val="continue"/>
            <w:tcBorders>
              <w:top w:val="nil"/>
              <w:left w:val="single" w:color="auto" w:sz="8" w:space="0"/>
              <w:bottom w:val="single" w:color="auto" w:sz="8" w:space="0"/>
              <w:right w:val="single" w:color="auto" w:sz="8" w:space="0"/>
            </w:tcBorders>
            <w:vAlign w:val="center"/>
          </w:tcPr>
          <w:p w14:paraId="1784ED4B">
            <w:pPr>
              <w:spacing w:line="360" w:lineRule="exact"/>
              <w:jc w:val="center"/>
              <w:rPr>
                <w:rFonts w:hint="eastAsia" w:ascii="宋体" w:hAnsi="宋体" w:eastAsia="宋体" w:cs="仿宋"/>
                <w:kern w:val="0"/>
                <w:sz w:val="24"/>
                <w:szCs w:val="24"/>
              </w:rPr>
            </w:pPr>
          </w:p>
        </w:tc>
        <w:tc>
          <w:tcPr>
            <w:tcW w:w="1093" w:type="dxa"/>
            <w:vMerge w:val="continue"/>
            <w:tcBorders>
              <w:top w:val="nil"/>
              <w:left w:val="single" w:color="auto" w:sz="8" w:space="0"/>
              <w:bottom w:val="single" w:color="auto" w:sz="8" w:space="0"/>
              <w:right w:val="single" w:color="auto" w:sz="8" w:space="0"/>
            </w:tcBorders>
            <w:vAlign w:val="center"/>
          </w:tcPr>
          <w:p w14:paraId="181CFE0D">
            <w:pPr>
              <w:spacing w:line="360" w:lineRule="exact"/>
              <w:jc w:val="center"/>
              <w:rPr>
                <w:rFonts w:hint="eastAsia" w:ascii="宋体" w:hAnsi="宋体" w:eastAsia="宋体" w:cs="仿宋"/>
                <w:kern w:val="0"/>
                <w:sz w:val="24"/>
                <w:szCs w:val="24"/>
              </w:rPr>
            </w:pPr>
          </w:p>
        </w:tc>
      </w:tr>
      <w:tr w14:paraId="62D8551E">
        <w:tblPrEx>
          <w:tblCellMar>
            <w:top w:w="0" w:type="dxa"/>
            <w:left w:w="108" w:type="dxa"/>
            <w:bottom w:w="0" w:type="dxa"/>
            <w:right w:w="108" w:type="dxa"/>
          </w:tblCellMar>
        </w:tblPrEx>
        <w:trPr>
          <w:trHeight w:val="285" w:hRule="atLeast"/>
          <w:jc w:val="center"/>
        </w:trPr>
        <w:tc>
          <w:tcPr>
            <w:tcW w:w="744" w:type="dxa"/>
            <w:vMerge w:val="continue"/>
            <w:tcBorders>
              <w:top w:val="nil"/>
              <w:left w:val="single" w:color="auto" w:sz="8" w:space="0"/>
              <w:bottom w:val="single" w:color="auto" w:sz="8" w:space="0"/>
              <w:right w:val="single" w:color="auto" w:sz="8" w:space="0"/>
            </w:tcBorders>
            <w:vAlign w:val="center"/>
          </w:tcPr>
          <w:p w14:paraId="43135659">
            <w:pPr>
              <w:widowControl/>
              <w:spacing w:line="360" w:lineRule="exact"/>
              <w:jc w:val="center"/>
              <w:rPr>
                <w:rFonts w:hint="eastAsia" w:ascii="宋体" w:hAnsi="宋体" w:eastAsia="宋体" w:cs="仿宋"/>
                <w:kern w:val="0"/>
                <w:sz w:val="24"/>
                <w:szCs w:val="24"/>
              </w:rPr>
            </w:pPr>
          </w:p>
        </w:tc>
        <w:tc>
          <w:tcPr>
            <w:tcW w:w="967" w:type="dxa"/>
            <w:vMerge w:val="continue"/>
            <w:tcBorders>
              <w:top w:val="nil"/>
              <w:left w:val="single" w:color="auto" w:sz="8" w:space="0"/>
              <w:bottom w:val="single" w:color="auto" w:sz="8" w:space="0"/>
              <w:right w:val="single" w:color="auto" w:sz="8" w:space="0"/>
            </w:tcBorders>
            <w:vAlign w:val="center"/>
          </w:tcPr>
          <w:p w14:paraId="4DCA71D6">
            <w:pPr>
              <w:widowControl/>
              <w:spacing w:line="360" w:lineRule="exact"/>
              <w:jc w:val="center"/>
              <w:rPr>
                <w:rFonts w:hint="eastAsia" w:ascii="宋体" w:hAnsi="宋体" w:eastAsia="宋体" w:cs="仿宋"/>
                <w:kern w:val="0"/>
                <w:sz w:val="24"/>
                <w:szCs w:val="24"/>
              </w:rPr>
            </w:pPr>
          </w:p>
        </w:tc>
        <w:tc>
          <w:tcPr>
            <w:tcW w:w="6210" w:type="dxa"/>
            <w:tcBorders>
              <w:top w:val="nil"/>
              <w:left w:val="nil"/>
              <w:bottom w:val="single" w:color="auto" w:sz="8" w:space="0"/>
              <w:right w:val="single" w:color="auto" w:sz="8" w:space="0"/>
            </w:tcBorders>
            <w:vAlign w:val="center"/>
          </w:tcPr>
          <w:p w14:paraId="3DC40322">
            <w:pPr>
              <w:spacing w:line="360" w:lineRule="exact"/>
              <w:rPr>
                <w:rFonts w:hint="eastAsia" w:ascii="宋体" w:hAnsi="宋体" w:eastAsia="宋体" w:cs="仿宋"/>
                <w:kern w:val="0"/>
                <w:sz w:val="24"/>
                <w:szCs w:val="24"/>
              </w:rPr>
            </w:pPr>
            <w:r>
              <w:rPr>
                <w:rFonts w:hint="eastAsia" w:ascii="宋体" w:hAnsi="宋体" w:eastAsia="宋体" w:cs="仿宋"/>
                <w:kern w:val="0"/>
                <w:sz w:val="24"/>
                <w:szCs w:val="24"/>
              </w:rPr>
              <w:t>全部业务中断</w:t>
            </w:r>
          </w:p>
        </w:tc>
        <w:tc>
          <w:tcPr>
            <w:tcW w:w="1110" w:type="dxa"/>
            <w:vMerge w:val="continue"/>
            <w:tcBorders>
              <w:top w:val="nil"/>
              <w:left w:val="single" w:color="auto" w:sz="8" w:space="0"/>
              <w:bottom w:val="single" w:color="auto" w:sz="8" w:space="0"/>
              <w:right w:val="single" w:color="auto" w:sz="8" w:space="0"/>
            </w:tcBorders>
            <w:vAlign w:val="center"/>
          </w:tcPr>
          <w:p w14:paraId="6CD4B3F3">
            <w:pPr>
              <w:spacing w:line="360" w:lineRule="exact"/>
              <w:jc w:val="center"/>
              <w:rPr>
                <w:rFonts w:hint="eastAsia" w:ascii="宋体" w:hAnsi="宋体" w:eastAsia="宋体" w:cs="仿宋"/>
                <w:kern w:val="0"/>
                <w:sz w:val="24"/>
                <w:szCs w:val="24"/>
              </w:rPr>
            </w:pPr>
          </w:p>
        </w:tc>
        <w:tc>
          <w:tcPr>
            <w:tcW w:w="1093" w:type="dxa"/>
            <w:vMerge w:val="continue"/>
            <w:tcBorders>
              <w:top w:val="nil"/>
              <w:left w:val="single" w:color="auto" w:sz="8" w:space="0"/>
              <w:bottom w:val="single" w:color="auto" w:sz="8" w:space="0"/>
              <w:right w:val="single" w:color="auto" w:sz="8" w:space="0"/>
            </w:tcBorders>
            <w:vAlign w:val="center"/>
          </w:tcPr>
          <w:p w14:paraId="2754C06A">
            <w:pPr>
              <w:spacing w:line="360" w:lineRule="exact"/>
              <w:jc w:val="center"/>
              <w:rPr>
                <w:rFonts w:hint="eastAsia" w:ascii="宋体" w:hAnsi="宋体" w:eastAsia="宋体" w:cs="仿宋"/>
                <w:kern w:val="0"/>
                <w:sz w:val="24"/>
                <w:szCs w:val="24"/>
              </w:rPr>
            </w:pPr>
          </w:p>
        </w:tc>
      </w:tr>
      <w:tr w14:paraId="65D548F7">
        <w:tblPrEx>
          <w:tblCellMar>
            <w:top w:w="0" w:type="dxa"/>
            <w:left w:w="108" w:type="dxa"/>
            <w:bottom w:w="0" w:type="dxa"/>
            <w:right w:w="108" w:type="dxa"/>
          </w:tblCellMar>
        </w:tblPrEx>
        <w:trPr>
          <w:trHeight w:val="285" w:hRule="atLeast"/>
          <w:jc w:val="center"/>
        </w:trPr>
        <w:tc>
          <w:tcPr>
            <w:tcW w:w="744" w:type="dxa"/>
            <w:vMerge w:val="continue"/>
            <w:tcBorders>
              <w:top w:val="nil"/>
              <w:left w:val="single" w:color="auto" w:sz="8" w:space="0"/>
              <w:bottom w:val="single" w:color="auto" w:sz="8" w:space="0"/>
              <w:right w:val="single" w:color="auto" w:sz="8" w:space="0"/>
            </w:tcBorders>
            <w:vAlign w:val="center"/>
          </w:tcPr>
          <w:p w14:paraId="0FADADD6">
            <w:pPr>
              <w:widowControl/>
              <w:spacing w:line="360" w:lineRule="exact"/>
              <w:jc w:val="center"/>
              <w:rPr>
                <w:rFonts w:hint="eastAsia" w:ascii="宋体" w:hAnsi="宋体" w:eastAsia="宋体" w:cs="仿宋"/>
                <w:kern w:val="0"/>
                <w:sz w:val="24"/>
                <w:szCs w:val="24"/>
              </w:rPr>
            </w:pPr>
          </w:p>
        </w:tc>
        <w:tc>
          <w:tcPr>
            <w:tcW w:w="967" w:type="dxa"/>
            <w:vMerge w:val="continue"/>
            <w:tcBorders>
              <w:top w:val="nil"/>
              <w:left w:val="single" w:color="auto" w:sz="8" w:space="0"/>
              <w:bottom w:val="single" w:color="auto" w:sz="8" w:space="0"/>
              <w:right w:val="single" w:color="auto" w:sz="8" w:space="0"/>
            </w:tcBorders>
            <w:vAlign w:val="center"/>
          </w:tcPr>
          <w:p w14:paraId="29B89294">
            <w:pPr>
              <w:widowControl/>
              <w:spacing w:line="360" w:lineRule="exact"/>
              <w:jc w:val="center"/>
              <w:rPr>
                <w:rFonts w:hint="eastAsia" w:ascii="宋体" w:hAnsi="宋体" w:eastAsia="宋体" w:cs="仿宋"/>
                <w:kern w:val="0"/>
                <w:sz w:val="24"/>
                <w:szCs w:val="24"/>
              </w:rPr>
            </w:pPr>
          </w:p>
        </w:tc>
        <w:tc>
          <w:tcPr>
            <w:tcW w:w="6210" w:type="dxa"/>
            <w:tcBorders>
              <w:top w:val="nil"/>
              <w:left w:val="nil"/>
              <w:bottom w:val="single" w:color="auto" w:sz="8" w:space="0"/>
              <w:right w:val="single" w:color="auto" w:sz="8" w:space="0"/>
            </w:tcBorders>
            <w:vAlign w:val="center"/>
          </w:tcPr>
          <w:p w14:paraId="70BF6B18">
            <w:pPr>
              <w:spacing w:line="360" w:lineRule="exact"/>
              <w:rPr>
                <w:rFonts w:hint="eastAsia" w:ascii="宋体" w:hAnsi="宋体" w:eastAsia="宋体" w:cs="仿宋"/>
                <w:kern w:val="0"/>
                <w:sz w:val="24"/>
                <w:szCs w:val="24"/>
              </w:rPr>
            </w:pPr>
            <w:r>
              <w:rPr>
                <w:rFonts w:hint="eastAsia" w:ascii="宋体" w:hAnsi="宋体" w:eastAsia="宋体" w:cs="仿宋"/>
                <w:kern w:val="0"/>
                <w:sz w:val="24"/>
                <w:szCs w:val="24"/>
              </w:rPr>
              <w:t>所有工作站不能正常工作</w:t>
            </w:r>
          </w:p>
        </w:tc>
        <w:tc>
          <w:tcPr>
            <w:tcW w:w="1110" w:type="dxa"/>
            <w:vMerge w:val="continue"/>
            <w:tcBorders>
              <w:top w:val="nil"/>
              <w:left w:val="single" w:color="auto" w:sz="8" w:space="0"/>
              <w:bottom w:val="single" w:color="auto" w:sz="8" w:space="0"/>
              <w:right w:val="single" w:color="auto" w:sz="8" w:space="0"/>
            </w:tcBorders>
            <w:vAlign w:val="center"/>
          </w:tcPr>
          <w:p w14:paraId="313D3DC9">
            <w:pPr>
              <w:spacing w:line="360" w:lineRule="exact"/>
              <w:jc w:val="center"/>
              <w:rPr>
                <w:rFonts w:hint="eastAsia" w:ascii="宋体" w:hAnsi="宋体" w:eastAsia="宋体" w:cs="仿宋"/>
                <w:kern w:val="0"/>
                <w:sz w:val="24"/>
                <w:szCs w:val="24"/>
              </w:rPr>
            </w:pPr>
          </w:p>
        </w:tc>
        <w:tc>
          <w:tcPr>
            <w:tcW w:w="1093" w:type="dxa"/>
            <w:vMerge w:val="continue"/>
            <w:tcBorders>
              <w:top w:val="nil"/>
              <w:left w:val="single" w:color="auto" w:sz="8" w:space="0"/>
              <w:bottom w:val="single" w:color="auto" w:sz="8" w:space="0"/>
              <w:right w:val="single" w:color="auto" w:sz="8" w:space="0"/>
            </w:tcBorders>
            <w:vAlign w:val="center"/>
          </w:tcPr>
          <w:p w14:paraId="3D8D5FC8">
            <w:pPr>
              <w:spacing w:line="360" w:lineRule="exact"/>
              <w:jc w:val="center"/>
              <w:rPr>
                <w:rFonts w:hint="eastAsia" w:ascii="宋体" w:hAnsi="宋体" w:eastAsia="宋体" w:cs="仿宋"/>
                <w:kern w:val="0"/>
                <w:sz w:val="24"/>
                <w:szCs w:val="24"/>
              </w:rPr>
            </w:pPr>
          </w:p>
        </w:tc>
      </w:tr>
      <w:tr w14:paraId="571BC7D2">
        <w:tblPrEx>
          <w:tblCellMar>
            <w:top w:w="0" w:type="dxa"/>
            <w:left w:w="108" w:type="dxa"/>
            <w:bottom w:w="0" w:type="dxa"/>
            <w:right w:w="108" w:type="dxa"/>
          </w:tblCellMar>
        </w:tblPrEx>
        <w:trPr>
          <w:trHeight w:val="285" w:hRule="atLeast"/>
          <w:jc w:val="center"/>
        </w:trPr>
        <w:tc>
          <w:tcPr>
            <w:tcW w:w="744" w:type="dxa"/>
            <w:vMerge w:val="continue"/>
            <w:tcBorders>
              <w:top w:val="nil"/>
              <w:left w:val="single" w:color="auto" w:sz="8" w:space="0"/>
              <w:bottom w:val="single" w:color="auto" w:sz="8" w:space="0"/>
              <w:right w:val="single" w:color="auto" w:sz="8" w:space="0"/>
            </w:tcBorders>
            <w:vAlign w:val="center"/>
          </w:tcPr>
          <w:p w14:paraId="1BA399D1">
            <w:pPr>
              <w:widowControl/>
              <w:spacing w:line="360" w:lineRule="exact"/>
              <w:jc w:val="center"/>
              <w:rPr>
                <w:rFonts w:hint="eastAsia" w:ascii="宋体" w:hAnsi="宋体" w:eastAsia="宋体" w:cs="仿宋"/>
                <w:kern w:val="0"/>
                <w:sz w:val="24"/>
                <w:szCs w:val="24"/>
              </w:rPr>
            </w:pPr>
          </w:p>
        </w:tc>
        <w:tc>
          <w:tcPr>
            <w:tcW w:w="967" w:type="dxa"/>
            <w:vMerge w:val="continue"/>
            <w:tcBorders>
              <w:top w:val="nil"/>
              <w:left w:val="single" w:color="auto" w:sz="8" w:space="0"/>
              <w:bottom w:val="single" w:color="auto" w:sz="8" w:space="0"/>
              <w:right w:val="single" w:color="auto" w:sz="8" w:space="0"/>
            </w:tcBorders>
            <w:vAlign w:val="center"/>
          </w:tcPr>
          <w:p w14:paraId="5FBC2402">
            <w:pPr>
              <w:widowControl/>
              <w:spacing w:line="360" w:lineRule="exact"/>
              <w:jc w:val="center"/>
              <w:rPr>
                <w:rFonts w:hint="eastAsia" w:ascii="宋体" w:hAnsi="宋体" w:eastAsia="宋体" w:cs="仿宋"/>
                <w:kern w:val="0"/>
                <w:sz w:val="24"/>
                <w:szCs w:val="24"/>
              </w:rPr>
            </w:pPr>
          </w:p>
        </w:tc>
        <w:tc>
          <w:tcPr>
            <w:tcW w:w="6210" w:type="dxa"/>
            <w:tcBorders>
              <w:top w:val="nil"/>
              <w:left w:val="nil"/>
              <w:bottom w:val="single" w:color="auto" w:sz="8" w:space="0"/>
              <w:right w:val="single" w:color="auto" w:sz="8" w:space="0"/>
            </w:tcBorders>
            <w:vAlign w:val="center"/>
          </w:tcPr>
          <w:p w14:paraId="472D1753">
            <w:pPr>
              <w:spacing w:line="360" w:lineRule="exact"/>
              <w:rPr>
                <w:rFonts w:hint="eastAsia" w:ascii="宋体" w:hAnsi="宋体" w:eastAsia="宋体" w:cs="仿宋"/>
                <w:kern w:val="0"/>
                <w:sz w:val="24"/>
                <w:szCs w:val="24"/>
              </w:rPr>
            </w:pPr>
            <w:r>
              <w:rPr>
                <w:rFonts w:hint="eastAsia" w:ascii="宋体" w:hAnsi="宋体" w:eastAsia="宋体" w:cs="仿宋"/>
                <w:kern w:val="0"/>
                <w:sz w:val="24"/>
                <w:szCs w:val="24"/>
              </w:rPr>
              <w:t>系统性能下降，严重影响业务使用</w:t>
            </w:r>
          </w:p>
        </w:tc>
        <w:tc>
          <w:tcPr>
            <w:tcW w:w="1110" w:type="dxa"/>
            <w:vMerge w:val="continue"/>
            <w:tcBorders>
              <w:top w:val="nil"/>
              <w:left w:val="single" w:color="auto" w:sz="8" w:space="0"/>
              <w:bottom w:val="single" w:color="auto" w:sz="8" w:space="0"/>
              <w:right w:val="single" w:color="auto" w:sz="8" w:space="0"/>
            </w:tcBorders>
            <w:vAlign w:val="center"/>
          </w:tcPr>
          <w:p w14:paraId="3B213D8F">
            <w:pPr>
              <w:spacing w:line="360" w:lineRule="exact"/>
              <w:jc w:val="center"/>
              <w:rPr>
                <w:rFonts w:hint="eastAsia" w:ascii="宋体" w:hAnsi="宋体" w:eastAsia="宋体" w:cs="仿宋"/>
                <w:kern w:val="0"/>
                <w:sz w:val="24"/>
                <w:szCs w:val="24"/>
              </w:rPr>
            </w:pPr>
          </w:p>
        </w:tc>
        <w:tc>
          <w:tcPr>
            <w:tcW w:w="1093" w:type="dxa"/>
            <w:vMerge w:val="continue"/>
            <w:tcBorders>
              <w:top w:val="nil"/>
              <w:left w:val="single" w:color="auto" w:sz="8" w:space="0"/>
              <w:bottom w:val="single" w:color="auto" w:sz="8" w:space="0"/>
              <w:right w:val="single" w:color="auto" w:sz="8" w:space="0"/>
            </w:tcBorders>
            <w:vAlign w:val="center"/>
          </w:tcPr>
          <w:p w14:paraId="716C3661">
            <w:pPr>
              <w:spacing w:line="360" w:lineRule="exact"/>
              <w:jc w:val="center"/>
              <w:rPr>
                <w:rFonts w:hint="eastAsia" w:ascii="宋体" w:hAnsi="宋体" w:eastAsia="宋体" w:cs="仿宋"/>
                <w:kern w:val="0"/>
                <w:sz w:val="24"/>
                <w:szCs w:val="24"/>
              </w:rPr>
            </w:pPr>
          </w:p>
        </w:tc>
      </w:tr>
      <w:tr w14:paraId="34930CAB">
        <w:tblPrEx>
          <w:tblCellMar>
            <w:top w:w="0" w:type="dxa"/>
            <w:left w:w="108" w:type="dxa"/>
            <w:bottom w:w="0" w:type="dxa"/>
            <w:right w:w="108" w:type="dxa"/>
          </w:tblCellMar>
        </w:tblPrEx>
        <w:trPr>
          <w:trHeight w:val="853" w:hRule="atLeast"/>
          <w:jc w:val="center"/>
        </w:trPr>
        <w:tc>
          <w:tcPr>
            <w:tcW w:w="744" w:type="dxa"/>
            <w:vMerge w:val="continue"/>
            <w:tcBorders>
              <w:top w:val="nil"/>
              <w:left w:val="single" w:color="auto" w:sz="8" w:space="0"/>
              <w:bottom w:val="single" w:color="auto" w:sz="8" w:space="0"/>
              <w:right w:val="single" w:color="auto" w:sz="8" w:space="0"/>
            </w:tcBorders>
            <w:vAlign w:val="center"/>
          </w:tcPr>
          <w:p w14:paraId="3DE1DFC3">
            <w:pPr>
              <w:widowControl/>
              <w:spacing w:line="360" w:lineRule="exact"/>
              <w:jc w:val="center"/>
              <w:rPr>
                <w:rFonts w:hint="eastAsia" w:ascii="宋体" w:hAnsi="宋体" w:eastAsia="宋体" w:cs="仿宋"/>
                <w:kern w:val="0"/>
                <w:sz w:val="24"/>
                <w:szCs w:val="24"/>
              </w:rPr>
            </w:pPr>
          </w:p>
        </w:tc>
        <w:tc>
          <w:tcPr>
            <w:tcW w:w="967" w:type="dxa"/>
            <w:vMerge w:val="continue"/>
            <w:tcBorders>
              <w:top w:val="nil"/>
              <w:left w:val="single" w:color="auto" w:sz="8" w:space="0"/>
              <w:bottom w:val="single" w:color="auto" w:sz="8" w:space="0"/>
              <w:right w:val="single" w:color="auto" w:sz="8" w:space="0"/>
            </w:tcBorders>
            <w:vAlign w:val="center"/>
          </w:tcPr>
          <w:p w14:paraId="0A1DE425">
            <w:pPr>
              <w:widowControl/>
              <w:spacing w:line="360" w:lineRule="exact"/>
              <w:jc w:val="center"/>
              <w:rPr>
                <w:rFonts w:hint="eastAsia" w:ascii="宋体" w:hAnsi="宋体" w:eastAsia="宋体" w:cs="仿宋"/>
                <w:kern w:val="0"/>
                <w:sz w:val="24"/>
                <w:szCs w:val="24"/>
              </w:rPr>
            </w:pPr>
          </w:p>
        </w:tc>
        <w:tc>
          <w:tcPr>
            <w:tcW w:w="6210" w:type="dxa"/>
            <w:tcBorders>
              <w:top w:val="nil"/>
              <w:left w:val="nil"/>
              <w:bottom w:val="single" w:color="auto" w:sz="8" w:space="0"/>
              <w:right w:val="single" w:color="auto" w:sz="8" w:space="0"/>
            </w:tcBorders>
            <w:vAlign w:val="center"/>
          </w:tcPr>
          <w:p w14:paraId="1ADCB3A4">
            <w:pPr>
              <w:spacing w:line="360" w:lineRule="exact"/>
              <w:rPr>
                <w:rFonts w:hint="eastAsia" w:ascii="宋体" w:hAnsi="宋体" w:eastAsia="宋体" w:cs="仿宋"/>
                <w:kern w:val="0"/>
                <w:sz w:val="24"/>
                <w:szCs w:val="24"/>
              </w:rPr>
            </w:pPr>
            <w:r>
              <w:rPr>
                <w:rFonts w:hint="eastAsia" w:ascii="宋体" w:hAnsi="宋体" w:eastAsia="宋体" w:cs="仿宋"/>
                <w:kern w:val="0"/>
                <w:sz w:val="24"/>
                <w:szCs w:val="24"/>
              </w:rPr>
              <w:t>系统软硬件及网络故障，严重影响业务使用持续时间超过1 小时，或造成严重后果</w:t>
            </w:r>
          </w:p>
        </w:tc>
        <w:tc>
          <w:tcPr>
            <w:tcW w:w="1110" w:type="dxa"/>
            <w:vMerge w:val="continue"/>
            <w:tcBorders>
              <w:top w:val="nil"/>
              <w:left w:val="single" w:color="auto" w:sz="8" w:space="0"/>
              <w:bottom w:val="single" w:color="auto" w:sz="8" w:space="0"/>
              <w:right w:val="single" w:color="auto" w:sz="8" w:space="0"/>
            </w:tcBorders>
            <w:vAlign w:val="center"/>
          </w:tcPr>
          <w:p w14:paraId="070DF35A">
            <w:pPr>
              <w:spacing w:line="360" w:lineRule="exact"/>
              <w:jc w:val="center"/>
              <w:rPr>
                <w:rFonts w:hint="eastAsia" w:ascii="宋体" w:hAnsi="宋体" w:eastAsia="宋体" w:cs="仿宋"/>
                <w:kern w:val="0"/>
                <w:sz w:val="24"/>
                <w:szCs w:val="24"/>
              </w:rPr>
            </w:pPr>
          </w:p>
        </w:tc>
        <w:tc>
          <w:tcPr>
            <w:tcW w:w="1093" w:type="dxa"/>
            <w:vMerge w:val="continue"/>
            <w:tcBorders>
              <w:top w:val="nil"/>
              <w:left w:val="single" w:color="auto" w:sz="8" w:space="0"/>
              <w:bottom w:val="single" w:color="auto" w:sz="8" w:space="0"/>
              <w:right w:val="single" w:color="auto" w:sz="8" w:space="0"/>
            </w:tcBorders>
            <w:vAlign w:val="center"/>
          </w:tcPr>
          <w:p w14:paraId="32E05252">
            <w:pPr>
              <w:spacing w:line="360" w:lineRule="exact"/>
              <w:jc w:val="center"/>
              <w:rPr>
                <w:rFonts w:hint="eastAsia" w:ascii="宋体" w:hAnsi="宋体" w:eastAsia="宋体" w:cs="仿宋"/>
                <w:kern w:val="0"/>
                <w:sz w:val="24"/>
                <w:szCs w:val="24"/>
              </w:rPr>
            </w:pPr>
          </w:p>
        </w:tc>
      </w:tr>
      <w:tr w14:paraId="2E0B48C5">
        <w:tblPrEx>
          <w:tblCellMar>
            <w:top w:w="0" w:type="dxa"/>
            <w:left w:w="108" w:type="dxa"/>
            <w:bottom w:w="0" w:type="dxa"/>
            <w:right w:w="108" w:type="dxa"/>
          </w:tblCellMar>
        </w:tblPrEx>
        <w:trPr>
          <w:trHeight w:val="914" w:hRule="atLeast"/>
          <w:jc w:val="center"/>
        </w:trPr>
        <w:tc>
          <w:tcPr>
            <w:tcW w:w="744" w:type="dxa"/>
            <w:vMerge w:val="continue"/>
            <w:tcBorders>
              <w:top w:val="nil"/>
              <w:left w:val="single" w:color="auto" w:sz="8" w:space="0"/>
              <w:bottom w:val="single" w:color="auto" w:sz="8" w:space="0"/>
              <w:right w:val="single" w:color="auto" w:sz="8" w:space="0"/>
            </w:tcBorders>
            <w:vAlign w:val="center"/>
          </w:tcPr>
          <w:p w14:paraId="27A95F8A">
            <w:pPr>
              <w:widowControl/>
              <w:spacing w:line="360" w:lineRule="exact"/>
              <w:jc w:val="center"/>
              <w:rPr>
                <w:rFonts w:hint="eastAsia" w:ascii="宋体" w:hAnsi="宋体" w:eastAsia="宋体" w:cs="仿宋"/>
                <w:kern w:val="0"/>
                <w:sz w:val="24"/>
                <w:szCs w:val="24"/>
              </w:rPr>
            </w:pPr>
          </w:p>
        </w:tc>
        <w:tc>
          <w:tcPr>
            <w:tcW w:w="967" w:type="dxa"/>
            <w:vMerge w:val="continue"/>
            <w:tcBorders>
              <w:top w:val="nil"/>
              <w:left w:val="single" w:color="auto" w:sz="8" w:space="0"/>
              <w:bottom w:val="single" w:color="auto" w:sz="8" w:space="0"/>
              <w:right w:val="single" w:color="auto" w:sz="8" w:space="0"/>
            </w:tcBorders>
            <w:vAlign w:val="center"/>
          </w:tcPr>
          <w:p w14:paraId="4826B7AC">
            <w:pPr>
              <w:widowControl/>
              <w:spacing w:line="360" w:lineRule="exact"/>
              <w:jc w:val="center"/>
              <w:rPr>
                <w:rFonts w:hint="eastAsia" w:ascii="宋体" w:hAnsi="宋体" w:eastAsia="宋体" w:cs="仿宋"/>
                <w:kern w:val="0"/>
                <w:sz w:val="24"/>
                <w:szCs w:val="24"/>
              </w:rPr>
            </w:pPr>
          </w:p>
        </w:tc>
        <w:tc>
          <w:tcPr>
            <w:tcW w:w="6210" w:type="dxa"/>
            <w:tcBorders>
              <w:top w:val="nil"/>
              <w:left w:val="nil"/>
              <w:bottom w:val="single" w:color="auto" w:sz="8" w:space="0"/>
              <w:right w:val="single" w:color="auto" w:sz="8" w:space="0"/>
            </w:tcBorders>
            <w:vAlign w:val="center"/>
          </w:tcPr>
          <w:p w14:paraId="0BB84C42">
            <w:pPr>
              <w:spacing w:line="360" w:lineRule="exact"/>
              <w:rPr>
                <w:rFonts w:hint="eastAsia" w:ascii="宋体" w:hAnsi="宋体" w:eastAsia="宋体" w:cs="仿宋"/>
                <w:kern w:val="0"/>
                <w:sz w:val="24"/>
                <w:szCs w:val="24"/>
              </w:rPr>
            </w:pPr>
            <w:r>
              <w:rPr>
                <w:rFonts w:hint="eastAsia" w:ascii="宋体" w:hAnsi="宋体" w:eastAsia="宋体" w:cs="仿宋"/>
                <w:kern w:val="0"/>
                <w:sz w:val="24"/>
                <w:szCs w:val="24"/>
              </w:rPr>
              <w:t>与其它系统接口故障，严重影响业务使用持续时间超过1 小时，或造成严重后果</w:t>
            </w:r>
          </w:p>
        </w:tc>
        <w:tc>
          <w:tcPr>
            <w:tcW w:w="1110" w:type="dxa"/>
            <w:vMerge w:val="continue"/>
            <w:tcBorders>
              <w:top w:val="nil"/>
              <w:left w:val="single" w:color="auto" w:sz="8" w:space="0"/>
              <w:bottom w:val="single" w:color="auto" w:sz="8" w:space="0"/>
              <w:right w:val="single" w:color="auto" w:sz="8" w:space="0"/>
            </w:tcBorders>
            <w:vAlign w:val="center"/>
          </w:tcPr>
          <w:p w14:paraId="069AF28A">
            <w:pPr>
              <w:spacing w:line="360" w:lineRule="exact"/>
              <w:jc w:val="center"/>
              <w:rPr>
                <w:rFonts w:hint="eastAsia" w:ascii="宋体" w:hAnsi="宋体" w:eastAsia="宋体" w:cs="仿宋"/>
                <w:kern w:val="0"/>
                <w:sz w:val="24"/>
                <w:szCs w:val="24"/>
              </w:rPr>
            </w:pPr>
          </w:p>
        </w:tc>
        <w:tc>
          <w:tcPr>
            <w:tcW w:w="1093" w:type="dxa"/>
            <w:vMerge w:val="continue"/>
            <w:tcBorders>
              <w:top w:val="nil"/>
              <w:left w:val="single" w:color="auto" w:sz="8" w:space="0"/>
              <w:bottom w:val="single" w:color="auto" w:sz="8" w:space="0"/>
              <w:right w:val="single" w:color="auto" w:sz="8" w:space="0"/>
            </w:tcBorders>
            <w:vAlign w:val="center"/>
          </w:tcPr>
          <w:p w14:paraId="3C561689">
            <w:pPr>
              <w:spacing w:line="360" w:lineRule="exact"/>
              <w:jc w:val="center"/>
              <w:rPr>
                <w:rFonts w:hint="eastAsia" w:ascii="宋体" w:hAnsi="宋体" w:eastAsia="宋体" w:cs="仿宋"/>
                <w:kern w:val="0"/>
                <w:sz w:val="24"/>
                <w:szCs w:val="24"/>
              </w:rPr>
            </w:pPr>
          </w:p>
        </w:tc>
      </w:tr>
      <w:tr w14:paraId="3AE4A7B8">
        <w:tblPrEx>
          <w:tblCellMar>
            <w:top w:w="0" w:type="dxa"/>
            <w:left w:w="108" w:type="dxa"/>
            <w:bottom w:w="0" w:type="dxa"/>
            <w:right w:w="108" w:type="dxa"/>
          </w:tblCellMar>
        </w:tblPrEx>
        <w:trPr>
          <w:trHeight w:val="898" w:hRule="atLeast"/>
          <w:jc w:val="center"/>
        </w:trPr>
        <w:tc>
          <w:tcPr>
            <w:tcW w:w="744" w:type="dxa"/>
            <w:vMerge w:val="continue"/>
            <w:tcBorders>
              <w:top w:val="nil"/>
              <w:left w:val="single" w:color="auto" w:sz="8" w:space="0"/>
              <w:bottom w:val="single" w:color="auto" w:sz="8" w:space="0"/>
              <w:right w:val="single" w:color="auto" w:sz="8" w:space="0"/>
            </w:tcBorders>
            <w:vAlign w:val="center"/>
          </w:tcPr>
          <w:p w14:paraId="3702F22D">
            <w:pPr>
              <w:widowControl/>
              <w:spacing w:line="360" w:lineRule="exact"/>
              <w:jc w:val="center"/>
              <w:rPr>
                <w:rFonts w:hint="eastAsia" w:ascii="宋体" w:hAnsi="宋体" w:eastAsia="宋体" w:cs="仿宋"/>
                <w:kern w:val="0"/>
                <w:sz w:val="24"/>
                <w:szCs w:val="24"/>
              </w:rPr>
            </w:pPr>
          </w:p>
        </w:tc>
        <w:tc>
          <w:tcPr>
            <w:tcW w:w="967" w:type="dxa"/>
            <w:vMerge w:val="continue"/>
            <w:tcBorders>
              <w:top w:val="nil"/>
              <w:left w:val="single" w:color="auto" w:sz="8" w:space="0"/>
              <w:bottom w:val="single" w:color="auto" w:sz="8" w:space="0"/>
              <w:right w:val="single" w:color="auto" w:sz="8" w:space="0"/>
            </w:tcBorders>
            <w:vAlign w:val="center"/>
          </w:tcPr>
          <w:p w14:paraId="3F528317">
            <w:pPr>
              <w:widowControl/>
              <w:spacing w:line="360" w:lineRule="exact"/>
              <w:jc w:val="center"/>
              <w:rPr>
                <w:rFonts w:hint="eastAsia" w:ascii="宋体" w:hAnsi="宋体" w:eastAsia="宋体" w:cs="仿宋"/>
                <w:kern w:val="0"/>
                <w:sz w:val="24"/>
                <w:szCs w:val="24"/>
              </w:rPr>
            </w:pPr>
          </w:p>
        </w:tc>
        <w:tc>
          <w:tcPr>
            <w:tcW w:w="6210" w:type="dxa"/>
            <w:tcBorders>
              <w:top w:val="nil"/>
              <w:left w:val="nil"/>
              <w:bottom w:val="single" w:color="auto" w:sz="8" w:space="0"/>
              <w:right w:val="single" w:color="auto" w:sz="8" w:space="0"/>
            </w:tcBorders>
            <w:vAlign w:val="center"/>
          </w:tcPr>
          <w:p w14:paraId="2B7E1E1D">
            <w:pPr>
              <w:spacing w:line="360" w:lineRule="exact"/>
              <w:rPr>
                <w:rFonts w:hint="eastAsia" w:ascii="宋体" w:hAnsi="宋体" w:eastAsia="宋体" w:cs="仿宋"/>
                <w:kern w:val="0"/>
                <w:sz w:val="24"/>
                <w:szCs w:val="24"/>
              </w:rPr>
            </w:pPr>
            <w:r>
              <w:rPr>
                <w:rFonts w:hint="eastAsia" w:ascii="宋体" w:hAnsi="宋体" w:eastAsia="宋体" w:cs="仿宋"/>
                <w:kern w:val="0"/>
                <w:sz w:val="24"/>
                <w:szCs w:val="24"/>
              </w:rPr>
              <w:t>由于操作失误等人为原因导致业务受到影响，造成严重后果；由于自身原因造成同其他业务系统连接中断</w:t>
            </w:r>
          </w:p>
        </w:tc>
        <w:tc>
          <w:tcPr>
            <w:tcW w:w="1110" w:type="dxa"/>
            <w:vMerge w:val="continue"/>
            <w:tcBorders>
              <w:top w:val="nil"/>
              <w:left w:val="single" w:color="auto" w:sz="8" w:space="0"/>
              <w:bottom w:val="single" w:color="auto" w:sz="8" w:space="0"/>
              <w:right w:val="single" w:color="auto" w:sz="8" w:space="0"/>
            </w:tcBorders>
            <w:vAlign w:val="center"/>
          </w:tcPr>
          <w:p w14:paraId="5CC5AC04">
            <w:pPr>
              <w:spacing w:line="360" w:lineRule="exact"/>
              <w:jc w:val="center"/>
              <w:rPr>
                <w:rFonts w:hint="eastAsia" w:ascii="宋体" w:hAnsi="宋体" w:eastAsia="宋体" w:cs="仿宋"/>
                <w:kern w:val="0"/>
                <w:sz w:val="24"/>
                <w:szCs w:val="24"/>
              </w:rPr>
            </w:pPr>
          </w:p>
        </w:tc>
        <w:tc>
          <w:tcPr>
            <w:tcW w:w="1093" w:type="dxa"/>
            <w:vMerge w:val="continue"/>
            <w:tcBorders>
              <w:top w:val="nil"/>
              <w:left w:val="single" w:color="auto" w:sz="8" w:space="0"/>
              <w:bottom w:val="single" w:color="auto" w:sz="8" w:space="0"/>
              <w:right w:val="single" w:color="auto" w:sz="8" w:space="0"/>
            </w:tcBorders>
            <w:vAlign w:val="center"/>
          </w:tcPr>
          <w:p w14:paraId="47FF79DF">
            <w:pPr>
              <w:spacing w:line="360" w:lineRule="exact"/>
              <w:jc w:val="center"/>
              <w:rPr>
                <w:rFonts w:hint="eastAsia" w:ascii="宋体" w:hAnsi="宋体" w:eastAsia="宋体" w:cs="仿宋"/>
                <w:kern w:val="0"/>
                <w:sz w:val="24"/>
                <w:szCs w:val="24"/>
              </w:rPr>
            </w:pPr>
          </w:p>
        </w:tc>
      </w:tr>
      <w:tr w14:paraId="1AF83150">
        <w:tblPrEx>
          <w:tblCellMar>
            <w:top w:w="0" w:type="dxa"/>
            <w:left w:w="108" w:type="dxa"/>
            <w:bottom w:w="0" w:type="dxa"/>
            <w:right w:w="108" w:type="dxa"/>
          </w:tblCellMar>
        </w:tblPrEx>
        <w:trPr>
          <w:trHeight w:val="265" w:hRule="atLeast"/>
          <w:jc w:val="center"/>
        </w:trPr>
        <w:tc>
          <w:tcPr>
            <w:tcW w:w="744" w:type="dxa"/>
            <w:vMerge w:val="restart"/>
            <w:tcBorders>
              <w:top w:val="nil"/>
              <w:left w:val="single" w:color="auto" w:sz="8" w:space="0"/>
              <w:bottom w:val="single" w:color="auto" w:sz="8" w:space="0"/>
              <w:right w:val="single" w:color="auto" w:sz="8" w:space="0"/>
            </w:tcBorders>
            <w:vAlign w:val="center"/>
          </w:tcPr>
          <w:p w14:paraId="4F71813C">
            <w:pPr>
              <w:widowControl/>
              <w:spacing w:line="360" w:lineRule="exact"/>
              <w:jc w:val="center"/>
              <w:rPr>
                <w:rFonts w:hint="eastAsia" w:ascii="宋体" w:hAnsi="宋体" w:eastAsia="宋体" w:cs="仿宋"/>
                <w:kern w:val="0"/>
                <w:sz w:val="24"/>
                <w:szCs w:val="24"/>
              </w:rPr>
            </w:pPr>
            <w:r>
              <w:rPr>
                <w:rFonts w:hint="eastAsia" w:ascii="宋体" w:hAnsi="宋体" w:eastAsia="宋体" w:cs="仿宋"/>
                <w:kern w:val="0"/>
                <w:sz w:val="24"/>
                <w:szCs w:val="24"/>
              </w:rPr>
              <w:t>2</w:t>
            </w:r>
          </w:p>
        </w:tc>
        <w:tc>
          <w:tcPr>
            <w:tcW w:w="967" w:type="dxa"/>
            <w:vMerge w:val="restart"/>
            <w:tcBorders>
              <w:top w:val="nil"/>
              <w:left w:val="single" w:color="auto" w:sz="8" w:space="0"/>
              <w:bottom w:val="single" w:color="auto" w:sz="8" w:space="0"/>
              <w:right w:val="single" w:color="auto" w:sz="8" w:space="0"/>
            </w:tcBorders>
            <w:vAlign w:val="center"/>
          </w:tcPr>
          <w:p w14:paraId="7F9B7197">
            <w:pPr>
              <w:widowControl/>
              <w:spacing w:line="360" w:lineRule="exact"/>
              <w:jc w:val="center"/>
              <w:rPr>
                <w:rFonts w:hint="eastAsia" w:ascii="宋体" w:hAnsi="宋体" w:eastAsia="宋体" w:cs="仿宋"/>
                <w:kern w:val="0"/>
                <w:sz w:val="24"/>
                <w:szCs w:val="24"/>
              </w:rPr>
            </w:pPr>
            <w:r>
              <w:rPr>
                <w:rFonts w:hint="eastAsia" w:ascii="宋体" w:hAnsi="宋体" w:eastAsia="宋体" w:cs="仿宋"/>
                <w:kern w:val="0"/>
                <w:sz w:val="24"/>
                <w:szCs w:val="24"/>
              </w:rPr>
              <w:t>高</w:t>
            </w:r>
          </w:p>
        </w:tc>
        <w:tc>
          <w:tcPr>
            <w:tcW w:w="6210" w:type="dxa"/>
            <w:tcBorders>
              <w:top w:val="nil"/>
              <w:left w:val="nil"/>
              <w:bottom w:val="single" w:color="auto" w:sz="8" w:space="0"/>
              <w:right w:val="single" w:color="auto" w:sz="8" w:space="0"/>
            </w:tcBorders>
            <w:vAlign w:val="center"/>
          </w:tcPr>
          <w:p w14:paraId="17D52C24">
            <w:pPr>
              <w:spacing w:line="360" w:lineRule="exact"/>
              <w:rPr>
                <w:rFonts w:hint="eastAsia" w:ascii="宋体" w:hAnsi="宋体" w:eastAsia="宋体" w:cs="仿宋"/>
                <w:kern w:val="0"/>
                <w:sz w:val="24"/>
                <w:szCs w:val="24"/>
              </w:rPr>
            </w:pPr>
            <w:r>
              <w:rPr>
                <w:rFonts w:hint="eastAsia" w:ascii="宋体" w:hAnsi="宋体" w:eastAsia="宋体" w:cs="仿宋"/>
                <w:kern w:val="0"/>
                <w:sz w:val="24"/>
                <w:szCs w:val="24"/>
              </w:rPr>
              <w:t>以下情况之一可定为 高：</w:t>
            </w:r>
          </w:p>
        </w:tc>
        <w:tc>
          <w:tcPr>
            <w:tcW w:w="1110" w:type="dxa"/>
            <w:vMerge w:val="restart"/>
            <w:tcBorders>
              <w:top w:val="nil"/>
              <w:left w:val="single" w:color="auto" w:sz="8" w:space="0"/>
              <w:bottom w:val="single" w:color="auto" w:sz="8" w:space="0"/>
              <w:right w:val="single" w:color="auto" w:sz="8" w:space="0"/>
            </w:tcBorders>
            <w:vAlign w:val="center"/>
          </w:tcPr>
          <w:p w14:paraId="20FD489A">
            <w:pPr>
              <w:spacing w:line="360" w:lineRule="exact"/>
              <w:jc w:val="center"/>
              <w:rPr>
                <w:rFonts w:hint="eastAsia" w:ascii="宋体" w:hAnsi="宋体" w:eastAsia="宋体" w:cs="仿宋"/>
                <w:kern w:val="0"/>
                <w:sz w:val="24"/>
                <w:szCs w:val="24"/>
              </w:rPr>
            </w:pPr>
            <w:r>
              <w:rPr>
                <w:rFonts w:hint="eastAsia" w:ascii="宋体" w:hAnsi="宋体" w:eastAsia="宋体" w:cs="仿宋"/>
                <w:kern w:val="0"/>
                <w:sz w:val="24"/>
                <w:szCs w:val="24"/>
              </w:rPr>
              <w:t>40分钟</w:t>
            </w:r>
          </w:p>
        </w:tc>
        <w:tc>
          <w:tcPr>
            <w:tcW w:w="1093" w:type="dxa"/>
            <w:vMerge w:val="restart"/>
            <w:tcBorders>
              <w:top w:val="nil"/>
              <w:left w:val="single" w:color="auto" w:sz="8" w:space="0"/>
              <w:bottom w:val="single" w:color="auto" w:sz="8" w:space="0"/>
              <w:right w:val="single" w:color="auto" w:sz="8" w:space="0"/>
            </w:tcBorders>
            <w:vAlign w:val="center"/>
          </w:tcPr>
          <w:p w14:paraId="7347F862">
            <w:pPr>
              <w:spacing w:line="360" w:lineRule="exact"/>
              <w:jc w:val="center"/>
              <w:rPr>
                <w:rFonts w:hint="eastAsia" w:ascii="宋体" w:hAnsi="宋体" w:eastAsia="宋体" w:cs="仿宋"/>
                <w:kern w:val="0"/>
                <w:sz w:val="24"/>
                <w:szCs w:val="24"/>
              </w:rPr>
            </w:pPr>
            <w:r>
              <w:rPr>
                <w:rFonts w:hint="eastAsia" w:ascii="宋体" w:hAnsi="宋体" w:eastAsia="宋体" w:cs="仿宋"/>
                <w:kern w:val="0"/>
                <w:sz w:val="24"/>
                <w:szCs w:val="24"/>
              </w:rPr>
              <w:t>8H</w:t>
            </w:r>
          </w:p>
        </w:tc>
      </w:tr>
      <w:tr w14:paraId="28ED7612">
        <w:tblPrEx>
          <w:tblCellMar>
            <w:top w:w="0" w:type="dxa"/>
            <w:left w:w="108" w:type="dxa"/>
            <w:bottom w:w="0" w:type="dxa"/>
            <w:right w:w="108" w:type="dxa"/>
          </w:tblCellMar>
        </w:tblPrEx>
        <w:trPr>
          <w:trHeight w:val="639" w:hRule="atLeast"/>
          <w:jc w:val="center"/>
        </w:trPr>
        <w:tc>
          <w:tcPr>
            <w:tcW w:w="744" w:type="dxa"/>
            <w:vMerge w:val="continue"/>
            <w:tcBorders>
              <w:top w:val="nil"/>
              <w:left w:val="single" w:color="auto" w:sz="8" w:space="0"/>
              <w:bottom w:val="single" w:color="auto" w:sz="8" w:space="0"/>
              <w:right w:val="single" w:color="auto" w:sz="8" w:space="0"/>
            </w:tcBorders>
            <w:vAlign w:val="center"/>
          </w:tcPr>
          <w:p w14:paraId="7EE3AB36">
            <w:pPr>
              <w:widowControl/>
              <w:spacing w:line="360" w:lineRule="exact"/>
              <w:jc w:val="center"/>
              <w:rPr>
                <w:rFonts w:hint="eastAsia" w:ascii="宋体" w:hAnsi="宋体" w:eastAsia="宋体" w:cs="仿宋"/>
                <w:kern w:val="0"/>
                <w:sz w:val="24"/>
                <w:szCs w:val="24"/>
              </w:rPr>
            </w:pPr>
          </w:p>
        </w:tc>
        <w:tc>
          <w:tcPr>
            <w:tcW w:w="967" w:type="dxa"/>
            <w:vMerge w:val="continue"/>
            <w:tcBorders>
              <w:top w:val="nil"/>
              <w:left w:val="single" w:color="auto" w:sz="8" w:space="0"/>
              <w:bottom w:val="single" w:color="auto" w:sz="8" w:space="0"/>
              <w:right w:val="single" w:color="auto" w:sz="8" w:space="0"/>
            </w:tcBorders>
            <w:vAlign w:val="center"/>
          </w:tcPr>
          <w:p w14:paraId="2086F367">
            <w:pPr>
              <w:widowControl/>
              <w:spacing w:line="360" w:lineRule="exact"/>
              <w:jc w:val="center"/>
              <w:rPr>
                <w:rFonts w:hint="eastAsia" w:ascii="宋体" w:hAnsi="宋体" w:eastAsia="宋体" w:cs="仿宋"/>
                <w:kern w:val="0"/>
                <w:sz w:val="24"/>
                <w:szCs w:val="24"/>
              </w:rPr>
            </w:pPr>
          </w:p>
        </w:tc>
        <w:tc>
          <w:tcPr>
            <w:tcW w:w="6210" w:type="dxa"/>
            <w:tcBorders>
              <w:top w:val="nil"/>
              <w:left w:val="nil"/>
              <w:bottom w:val="single" w:color="auto" w:sz="8" w:space="0"/>
              <w:right w:val="single" w:color="auto" w:sz="8" w:space="0"/>
            </w:tcBorders>
            <w:vAlign w:val="center"/>
          </w:tcPr>
          <w:p w14:paraId="5F969DE0">
            <w:pPr>
              <w:spacing w:line="360" w:lineRule="exact"/>
              <w:rPr>
                <w:rFonts w:hint="eastAsia" w:ascii="宋体" w:hAnsi="宋体" w:eastAsia="宋体" w:cs="仿宋"/>
                <w:kern w:val="0"/>
                <w:sz w:val="24"/>
                <w:szCs w:val="24"/>
              </w:rPr>
            </w:pPr>
            <w:r>
              <w:rPr>
                <w:rFonts w:hint="eastAsia" w:ascii="宋体" w:hAnsi="宋体" w:eastAsia="宋体" w:cs="仿宋"/>
                <w:kern w:val="0"/>
                <w:sz w:val="24"/>
                <w:szCs w:val="24"/>
              </w:rPr>
              <w:t>双机备份系统主机之一宕机、网络核心设备之一宕机，对业务系统不会造成中断；</w:t>
            </w:r>
          </w:p>
        </w:tc>
        <w:tc>
          <w:tcPr>
            <w:tcW w:w="1110" w:type="dxa"/>
            <w:vMerge w:val="continue"/>
            <w:tcBorders>
              <w:top w:val="nil"/>
              <w:left w:val="single" w:color="auto" w:sz="8" w:space="0"/>
              <w:bottom w:val="single" w:color="auto" w:sz="8" w:space="0"/>
              <w:right w:val="single" w:color="auto" w:sz="8" w:space="0"/>
            </w:tcBorders>
            <w:vAlign w:val="center"/>
          </w:tcPr>
          <w:p w14:paraId="21C92389">
            <w:pPr>
              <w:spacing w:line="360" w:lineRule="exact"/>
              <w:jc w:val="center"/>
              <w:rPr>
                <w:rFonts w:hint="eastAsia" w:ascii="宋体" w:hAnsi="宋体" w:eastAsia="宋体" w:cs="仿宋"/>
                <w:kern w:val="0"/>
                <w:sz w:val="24"/>
                <w:szCs w:val="24"/>
              </w:rPr>
            </w:pPr>
          </w:p>
        </w:tc>
        <w:tc>
          <w:tcPr>
            <w:tcW w:w="1093" w:type="dxa"/>
            <w:vMerge w:val="continue"/>
            <w:tcBorders>
              <w:top w:val="nil"/>
              <w:left w:val="single" w:color="auto" w:sz="8" w:space="0"/>
              <w:bottom w:val="single" w:color="auto" w:sz="8" w:space="0"/>
              <w:right w:val="single" w:color="auto" w:sz="8" w:space="0"/>
            </w:tcBorders>
            <w:vAlign w:val="center"/>
          </w:tcPr>
          <w:p w14:paraId="13A938A9">
            <w:pPr>
              <w:spacing w:line="360" w:lineRule="exact"/>
              <w:jc w:val="center"/>
              <w:rPr>
                <w:rFonts w:hint="eastAsia" w:ascii="宋体" w:hAnsi="宋体" w:eastAsia="宋体" w:cs="仿宋"/>
                <w:kern w:val="0"/>
                <w:sz w:val="24"/>
                <w:szCs w:val="24"/>
              </w:rPr>
            </w:pPr>
          </w:p>
        </w:tc>
      </w:tr>
      <w:tr w14:paraId="0C4951A9">
        <w:tblPrEx>
          <w:tblCellMar>
            <w:top w:w="0" w:type="dxa"/>
            <w:left w:w="108" w:type="dxa"/>
            <w:bottom w:w="0" w:type="dxa"/>
            <w:right w:w="108" w:type="dxa"/>
          </w:tblCellMar>
        </w:tblPrEx>
        <w:trPr>
          <w:trHeight w:val="420" w:hRule="atLeast"/>
          <w:jc w:val="center"/>
        </w:trPr>
        <w:tc>
          <w:tcPr>
            <w:tcW w:w="744" w:type="dxa"/>
            <w:vMerge w:val="continue"/>
            <w:tcBorders>
              <w:top w:val="nil"/>
              <w:left w:val="single" w:color="auto" w:sz="8" w:space="0"/>
              <w:bottom w:val="single" w:color="auto" w:sz="8" w:space="0"/>
              <w:right w:val="single" w:color="auto" w:sz="8" w:space="0"/>
            </w:tcBorders>
            <w:vAlign w:val="center"/>
          </w:tcPr>
          <w:p w14:paraId="41BF55E5">
            <w:pPr>
              <w:widowControl/>
              <w:spacing w:line="360" w:lineRule="exact"/>
              <w:jc w:val="center"/>
              <w:rPr>
                <w:rFonts w:hint="eastAsia" w:ascii="宋体" w:hAnsi="宋体" w:eastAsia="宋体" w:cs="仿宋"/>
                <w:kern w:val="0"/>
                <w:sz w:val="24"/>
                <w:szCs w:val="24"/>
              </w:rPr>
            </w:pPr>
          </w:p>
        </w:tc>
        <w:tc>
          <w:tcPr>
            <w:tcW w:w="967" w:type="dxa"/>
            <w:vMerge w:val="continue"/>
            <w:tcBorders>
              <w:top w:val="nil"/>
              <w:left w:val="single" w:color="auto" w:sz="8" w:space="0"/>
              <w:bottom w:val="single" w:color="auto" w:sz="8" w:space="0"/>
              <w:right w:val="single" w:color="auto" w:sz="8" w:space="0"/>
            </w:tcBorders>
            <w:vAlign w:val="center"/>
          </w:tcPr>
          <w:p w14:paraId="6D3E60FE">
            <w:pPr>
              <w:widowControl/>
              <w:spacing w:line="360" w:lineRule="exact"/>
              <w:jc w:val="center"/>
              <w:rPr>
                <w:rFonts w:hint="eastAsia" w:ascii="宋体" w:hAnsi="宋体" w:eastAsia="宋体" w:cs="仿宋"/>
                <w:kern w:val="0"/>
                <w:sz w:val="24"/>
                <w:szCs w:val="24"/>
              </w:rPr>
            </w:pPr>
          </w:p>
        </w:tc>
        <w:tc>
          <w:tcPr>
            <w:tcW w:w="6210" w:type="dxa"/>
            <w:tcBorders>
              <w:top w:val="nil"/>
              <w:left w:val="nil"/>
              <w:bottom w:val="single" w:color="auto" w:sz="8" w:space="0"/>
              <w:right w:val="single" w:color="auto" w:sz="8" w:space="0"/>
            </w:tcBorders>
            <w:vAlign w:val="center"/>
          </w:tcPr>
          <w:p w14:paraId="72BDBA98">
            <w:pPr>
              <w:spacing w:line="360" w:lineRule="exact"/>
              <w:rPr>
                <w:rFonts w:hint="eastAsia" w:ascii="宋体" w:hAnsi="宋体" w:eastAsia="宋体" w:cs="仿宋"/>
                <w:kern w:val="0"/>
                <w:sz w:val="24"/>
                <w:szCs w:val="24"/>
              </w:rPr>
            </w:pPr>
            <w:r>
              <w:rPr>
                <w:rFonts w:hint="eastAsia" w:ascii="宋体" w:hAnsi="宋体" w:eastAsia="宋体" w:cs="仿宋"/>
                <w:kern w:val="0"/>
                <w:sz w:val="24"/>
                <w:szCs w:val="24"/>
              </w:rPr>
              <w:t>系统性能下降，导致业务使用异常，并未造成严重后果</w:t>
            </w:r>
          </w:p>
        </w:tc>
        <w:tc>
          <w:tcPr>
            <w:tcW w:w="1110" w:type="dxa"/>
            <w:vMerge w:val="continue"/>
            <w:tcBorders>
              <w:top w:val="nil"/>
              <w:left w:val="single" w:color="auto" w:sz="8" w:space="0"/>
              <w:bottom w:val="single" w:color="auto" w:sz="8" w:space="0"/>
              <w:right w:val="single" w:color="auto" w:sz="8" w:space="0"/>
            </w:tcBorders>
            <w:vAlign w:val="center"/>
          </w:tcPr>
          <w:p w14:paraId="03651F92">
            <w:pPr>
              <w:spacing w:line="360" w:lineRule="exact"/>
              <w:jc w:val="center"/>
              <w:rPr>
                <w:rFonts w:hint="eastAsia" w:ascii="宋体" w:hAnsi="宋体" w:eastAsia="宋体" w:cs="仿宋"/>
                <w:kern w:val="0"/>
                <w:sz w:val="24"/>
                <w:szCs w:val="24"/>
              </w:rPr>
            </w:pPr>
          </w:p>
        </w:tc>
        <w:tc>
          <w:tcPr>
            <w:tcW w:w="1093" w:type="dxa"/>
            <w:vMerge w:val="continue"/>
            <w:tcBorders>
              <w:top w:val="nil"/>
              <w:left w:val="single" w:color="auto" w:sz="8" w:space="0"/>
              <w:bottom w:val="single" w:color="auto" w:sz="8" w:space="0"/>
              <w:right w:val="single" w:color="auto" w:sz="8" w:space="0"/>
            </w:tcBorders>
            <w:vAlign w:val="center"/>
          </w:tcPr>
          <w:p w14:paraId="0FAB6E4D">
            <w:pPr>
              <w:spacing w:line="360" w:lineRule="exact"/>
              <w:jc w:val="center"/>
              <w:rPr>
                <w:rFonts w:hint="eastAsia" w:ascii="宋体" w:hAnsi="宋体" w:eastAsia="宋体" w:cs="仿宋"/>
                <w:kern w:val="0"/>
                <w:sz w:val="24"/>
                <w:szCs w:val="24"/>
              </w:rPr>
            </w:pPr>
          </w:p>
        </w:tc>
      </w:tr>
      <w:tr w14:paraId="5BD4E519">
        <w:tblPrEx>
          <w:tblCellMar>
            <w:top w:w="0" w:type="dxa"/>
            <w:left w:w="108" w:type="dxa"/>
            <w:bottom w:w="0" w:type="dxa"/>
            <w:right w:w="108" w:type="dxa"/>
          </w:tblCellMar>
        </w:tblPrEx>
        <w:trPr>
          <w:trHeight w:val="750" w:hRule="atLeast"/>
          <w:jc w:val="center"/>
        </w:trPr>
        <w:tc>
          <w:tcPr>
            <w:tcW w:w="744" w:type="dxa"/>
            <w:vMerge w:val="continue"/>
            <w:tcBorders>
              <w:top w:val="nil"/>
              <w:left w:val="single" w:color="auto" w:sz="8" w:space="0"/>
              <w:bottom w:val="single" w:color="auto" w:sz="8" w:space="0"/>
              <w:right w:val="single" w:color="auto" w:sz="8" w:space="0"/>
            </w:tcBorders>
            <w:vAlign w:val="center"/>
          </w:tcPr>
          <w:p w14:paraId="0C89A7CE">
            <w:pPr>
              <w:widowControl/>
              <w:spacing w:line="360" w:lineRule="exact"/>
              <w:jc w:val="center"/>
              <w:rPr>
                <w:rFonts w:hint="eastAsia" w:ascii="宋体" w:hAnsi="宋体" w:eastAsia="宋体" w:cs="仿宋"/>
                <w:kern w:val="0"/>
                <w:sz w:val="24"/>
                <w:szCs w:val="24"/>
              </w:rPr>
            </w:pPr>
          </w:p>
        </w:tc>
        <w:tc>
          <w:tcPr>
            <w:tcW w:w="967" w:type="dxa"/>
            <w:vMerge w:val="continue"/>
            <w:tcBorders>
              <w:top w:val="nil"/>
              <w:left w:val="single" w:color="auto" w:sz="8" w:space="0"/>
              <w:bottom w:val="single" w:color="auto" w:sz="8" w:space="0"/>
              <w:right w:val="single" w:color="auto" w:sz="8" w:space="0"/>
            </w:tcBorders>
            <w:vAlign w:val="center"/>
          </w:tcPr>
          <w:p w14:paraId="43868BEB">
            <w:pPr>
              <w:widowControl/>
              <w:spacing w:line="360" w:lineRule="exact"/>
              <w:jc w:val="center"/>
              <w:rPr>
                <w:rFonts w:hint="eastAsia" w:ascii="宋体" w:hAnsi="宋体" w:eastAsia="宋体" w:cs="仿宋"/>
                <w:kern w:val="0"/>
                <w:sz w:val="24"/>
                <w:szCs w:val="24"/>
              </w:rPr>
            </w:pPr>
          </w:p>
        </w:tc>
        <w:tc>
          <w:tcPr>
            <w:tcW w:w="6210" w:type="dxa"/>
            <w:tcBorders>
              <w:top w:val="nil"/>
              <w:left w:val="nil"/>
              <w:bottom w:val="single" w:color="auto" w:sz="8" w:space="0"/>
              <w:right w:val="single" w:color="auto" w:sz="8" w:space="0"/>
            </w:tcBorders>
            <w:vAlign w:val="center"/>
          </w:tcPr>
          <w:p w14:paraId="31059FA1">
            <w:pPr>
              <w:spacing w:line="360" w:lineRule="exact"/>
              <w:rPr>
                <w:rFonts w:hint="eastAsia" w:ascii="宋体" w:hAnsi="宋体" w:eastAsia="宋体" w:cs="仿宋"/>
                <w:kern w:val="0"/>
                <w:sz w:val="24"/>
                <w:szCs w:val="24"/>
              </w:rPr>
            </w:pPr>
            <w:r>
              <w:rPr>
                <w:rFonts w:hint="eastAsia" w:ascii="宋体" w:hAnsi="宋体" w:eastAsia="宋体" w:cs="仿宋"/>
                <w:kern w:val="0"/>
                <w:sz w:val="24"/>
                <w:szCs w:val="24"/>
              </w:rPr>
              <w:t>系统软硬件及网络故障导致业务系统使用异常持续时间不超过1 小时，并未造成严重后果；</w:t>
            </w:r>
          </w:p>
        </w:tc>
        <w:tc>
          <w:tcPr>
            <w:tcW w:w="1110" w:type="dxa"/>
            <w:vMerge w:val="continue"/>
            <w:tcBorders>
              <w:top w:val="nil"/>
              <w:left w:val="single" w:color="auto" w:sz="8" w:space="0"/>
              <w:bottom w:val="single" w:color="auto" w:sz="8" w:space="0"/>
              <w:right w:val="single" w:color="auto" w:sz="8" w:space="0"/>
            </w:tcBorders>
            <w:vAlign w:val="center"/>
          </w:tcPr>
          <w:p w14:paraId="7A408253">
            <w:pPr>
              <w:spacing w:line="360" w:lineRule="exact"/>
              <w:jc w:val="center"/>
              <w:rPr>
                <w:rFonts w:hint="eastAsia" w:ascii="宋体" w:hAnsi="宋体" w:eastAsia="宋体" w:cs="仿宋"/>
                <w:kern w:val="0"/>
                <w:sz w:val="24"/>
                <w:szCs w:val="24"/>
              </w:rPr>
            </w:pPr>
          </w:p>
        </w:tc>
        <w:tc>
          <w:tcPr>
            <w:tcW w:w="1093" w:type="dxa"/>
            <w:vMerge w:val="continue"/>
            <w:tcBorders>
              <w:top w:val="nil"/>
              <w:left w:val="single" w:color="auto" w:sz="8" w:space="0"/>
              <w:bottom w:val="single" w:color="auto" w:sz="8" w:space="0"/>
              <w:right w:val="single" w:color="auto" w:sz="8" w:space="0"/>
            </w:tcBorders>
            <w:vAlign w:val="center"/>
          </w:tcPr>
          <w:p w14:paraId="190C3D8A">
            <w:pPr>
              <w:spacing w:line="360" w:lineRule="exact"/>
              <w:jc w:val="center"/>
              <w:rPr>
                <w:rFonts w:hint="eastAsia" w:ascii="宋体" w:hAnsi="宋体" w:eastAsia="宋体" w:cs="仿宋"/>
                <w:kern w:val="0"/>
                <w:sz w:val="24"/>
                <w:szCs w:val="24"/>
              </w:rPr>
            </w:pPr>
          </w:p>
        </w:tc>
      </w:tr>
      <w:tr w14:paraId="2FE49BAB">
        <w:tblPrEx>
          <w:tblCellMar>
            <w:top w:w="0" w:type="dxa"/>
            <w:left w:w="108" w:type="dxa"/>
            <w:bottom w:w="0" w:type="dxa"/>
            <w:right w:w="108" w:type="dxa"/>
          </w:tblCellMar>
        </w:tblPrEx>
        <w:trPr>
          <w:trHeight w:val="765" w:hRule="atLeast"/>
          <w:jc w:val="center"/>
        </w:trPr>
        <w:tc>
          <w:tcPr>
            <w:tcW w:w="744" w:type="dxa"/>
            <w:vMerge w:val="continue"/>
            <w:tcBorders>
              <w:top w:val="nil"/>
              <w:left w:val="single" w:color="auto" w:sz="8" w:space="0"/>
              <w:bottom w:val="single" w:color="auto" w:sz="8" w:space="0"/>
              <w:right w:val="single" w:color="auto" w:sz="8" w:space="0"/>
            </w:tcBorders>
            <w:vAlign w:val="center"/>
          </w:tcPr>
          <w:p w14:paraId="4B1512A4">
            <w:pPr>
              <w:widowControl/>
              <w:spacing w:line="360" w:lineRule="exact"/>
              <w:jc w:val="center"/>
              <w:rPr>
                <w:rFonts w:hint="eastAsia" w:ascii="宋体" w:hAnsi="宋体" w:eastAsia="宋体" w:cs="仿宋"/>
                <w:kern w:val="0"/>
                <w:sz w:val="24"/>
                <w:szCs w:val="24"/>
              </w:rPr>
            </w:pPr>
          </w:p>
        </w:tc>
        <w:tc>
          <w:tcPr>
            <w:tcW w:w="967" w:type="dxa"/>
            <w:vMerge w:val="continue"/>
            <w:tcBorders>
              <w:top w:val="nil"/>
              <w:left w:val="single" w:color="auto" w:sz="8" w:space="0"/>
              <w:bottom w:val="single" w:color="auto" w:sz="8" w:space="0"/>
              <w:right w:val="single" w:color="auto" w:sz="8" w:space="0"/>
            </w:tcBorders>
            <w:vAlign w:val="center"/>
          </w:tcPr>
          <w:p w14:paraId="7EF58D7F">
            <w:pPr>
              <w:widowControl/>
              <w:spacing w:line="360" w:lineRule="exact"/>
              <w:jc w:val="center"/>
              <w:rPr>
                <w:rFonts w:hint="eastAsia" w:ascii="宋体" w:hAnsi="宋体" w:eastAsia="宋体" w:cs="仿宋"/>
                <w:kern w:val="0"/>
                <w:sz w:val="24"/>
                <w:szCs w:val="24"/>
              </w:rPr>
            </w:pPr>
          </w:p>
        </w:tc>
        <w:tc>
          <w:tcPr>
            <w:tcW w:w="6210" w:type="dxa"/>
            <w:tcBorders>
              <w:top w:val="nil"/>
              <w:left w:val="nil"/>
              <w:bottom w:val="single" w:color="auto" w:sz="8" w:space="0"/>
              <w:right w:val="single" w:color="auto" w:sz="8" w:space="0"/>
            </w:tcBorders>
            <w:vAlign w:val="center"/>
          </w:tcPr>
          <w:p w14:paraId="1D60F765">
            <w:pPr>
              <w:spacing w:line="360" w:lineRule="exact"/>
              <w:rPr>
                <w:rFonts w:hint="eastAsia" w:ascii="宋体" w:hAnsi="宋体" w:eastAsia="宋体" w:cs="仿宋"/>
                <w:kern w:val="0"/>
                <w:sz w:val="24"/>
                <w:szCs w:val="24"/>
              </w:rPr>
            </w:pPr>
            <w:r>
              <w:rPr>
                <w:rFonts w:hint="eastAsia" w:ascii="宋体" w:hAnsi="宋体" w:eastAsia="宋体" w:cs="仿宋"/>
                <w:kern w:val="0"/>
                <w:sz w:val="24"/>
                <w:szCs w:val="24"/>
              </w:rPr>
              <w:t>与其它系统接口故障导致业务系统使用异常持续时间不超过1 小时，并未造成严重后果</w:t>
            </w:r>
          </w:p>
        </w:tc>
        <w:tc>
          <w:tcPr>
            <w:tcW w:w="1110" w:type="dxa"/>
            <w:vMerge w:val="continue"/>
            <w:tcBorders>
              <w:top w:val="nil"/>
              <w:left w:val="single" w:color="auto" w:sz="8" w:space="0"/>
              <w:bottom w:val="single" w:color="auto" w:sz="8" w:space="0"/>
              <w:right w:val="single" w:color="auto" w:sz="8" w:space="0"/>
            </w:tcBorders>
            <w:vAlign w:val="center"/>
          </w:tcPr>
          <w:p w14:paraId="08BBB46E">
            <w:pPr>
              <w:spacing w:line="360" w:lineRule="exact"/>
              <w:jc w:val="center"/>
              <w:rPr>
                <w:rFonts w:hint="eastAsia" w:ascii="宋体" w:hAnsi="宋体" w:eastAsia="宋体" w:cs="仿宋"/>
                <w:kern w:val="0"/>
                <w:sz w:val="24"/>
                <w:szCs w:val="24"/>
              </w:rPr>
            </w:pPr>
          </w:p>
        </w:tc>
        <w:tc>
          <w:tcPr>
            <w:tcW w:w="1093" w:type="dxa"/>
            <w:vMerge w:val="continue"/>
            <w:tcBorders>
              <w:top w:val="nil"/>
              <w:left w:val="single" w:color="auto" w:sz="8" w:space="0"/>
              <w:bottom w:val="single" w:color="auto" w:sz="8" w:space="0"/>
              <w:right w:val="single" w:color="auto" w:sz="8" w:space="0"/>
            </w:tcBorders>
            <w:vAlign w:val="center"/>
          </w:tcPr>
          <w:p w14:paraId="50DAB02B">
            <w:pPr>
              <w:spacing w:line="360" w:lineRule="exact"/>
              <w:jc w:val="center"/>
              <w:rPr>
                <w:rFonts w:hint="eastAsia" w:ascii="宋体" w:hAnsi="宋体" w:eastAsia="宋体" w:cs="仿宋"/>
                <w:kern w:val="0"/>
                <w:sz w:val="24"/>
                <w:szCs w:val="24"/>
              </w:rPr>
            </w:pPr>
          </w:p>
        </w:tc>
      </w:tr>
      <w:tr w14:paraId="166A08FC">
        <w:tblPrEx>
          <w:tblCellMar>
            <w:top w:w="0" w:type="dxa"/>
            <w:left w:w="108" w:type="dxa"/>
            <w:bottom w:w="0" w:type="dxa"/>
            <w:right w:w="108" w:type="dxa"/>
          </w:tblCellMar>
        </w:tblPrEx>
        <w:trPr>
          <w:trHeight w:val="450" w:hRule="atLeast"/>
          <w:jc w:val="center"/>
        </w:trPr>
        <w:tc>
          <w:tcPr>
            <w:tcW w:w="744" w:type="dxa"/>
            <w:vMerge w:val="continue"/>
            <w:tcBorders>
              <w:top w:val="nil"/>
              <w:left w:val="single" w:color="auto" w:sz="8" w:space="0"/>
              <w:bottom w:val="single" w:color="auto" w:sz="8" w:space="0"/>
              <w:right w:val="single" w:color="auto" w:sz="8" w:space="0"/>
            </w:tcBorders>
            <w:vAlign w:val="center"/>
          </w:tcPr>
          <w:p w14:paraId="6456EDB5">
            <w:pPr>
              <w:widowControl/>
              <w:spacing w:line="360" w:lineRule="exact"/>
              <w:jc w:val="center"/>
              <w:rPr>
                <w:rFonts w:hint="eastAsia" w:ascii="宋体" w:hAnsi="宋体" w:eastAsia="宋体" w:cs="仿宋"/>
                <w:kern w:val="0"/>
                <w:sz w:val="24"/>
                <w:szCs w:val="24"/>
              </w:rPr>
            </w:pPr>
          </w:p>
        </w:tc>
        <w:tc>
          <w:tcPr>
            <w:tcW w:w="967" w:type="dxa"/>
            <w:vMerge w:val="continue"/>
            <w:tcBorders>
              <w:top w:val="nil"/>
              <w:left w:val="single" w:color="auto" w:sz="8" w:space="0"/>
              <w:bottom w:val="single" w:color="auto" w:sz="8" w:space="0"/>
              <w:right w:val="single" w:color="auto" w:sz="8" w:space="0"/>
            </w:tcBorders>
            <w:vAlign w:val="center"/>
          </w:tcPr>
          <w:p w14:paraId="6932F204">
            <w:pPr>
              <w:widowControl/>
              <w:spacing w:line="360" w:lineRule="exact"/>
              <w:jc w:val="center"/>
              <w:rPr>
                <w:rFonts w:hint="eastAsia" w:ascii="宋体" w:hAnsi="宋体" w:eastAsia="宋体" w:cs="仿宋"/>
                <w:kern w:val="0"/>
                <w:sz w:val="24"/>
                <w:szCs w:val="24"/>
              </w:rPr>
            </w:pPr>
          </w:p>
        </w:tc>
        <w:tc>
          <w:tcPr>
            <w:tcW w:w="6210" w:type="dxa"/>
            <w:tcBorders>
              <w:top w:val="nil"/>
              <w:left w:val="nil"/>
              <w:bottom w:val="single" w:color="auto" w:sz="8" w:space="0"/>
              <w:right w:val="single" w:color="auto" w:sz="8" w:space="0"/>
            </w:tcBorders>
            <w:vAlign w:val="center"/>
          </w:tcPr>
          <w:p w14:paraId="66D47201">
            <w:pPr>
              <w:spacing w:line="360" w:lineRule="exact"/>
              <w:rPr>
                <w:rFonts w:hint="eastAsia" w:ascii="宋体" w:hAnsi="宋体" w:eastAsia="宋体" w:cs="仿宋"/>
                <w:kern w:val="0"/>
                <w:sz w:val="24"/>
                <w:szCs w:val="24"/>
              </w:rPr>
            </w:pPr>
            <w:r>
              <w:rPr>
                <w:rFonts w:hint="eastAsia" w:ascii="宋体" w:hAnsi="宋体" w:eastAsia="宋体" w:cs="仿宋"/>
                <w:kern w:val="0"/>
                <w:sz w:val="24"/>
                <w:szCs w:val="24"/>
              </w:rPr>
              <w:t>由于操作失误等人为原因导致业务使用异常并未造成严重后果</w:t>
            </w:r>
          </w:p>
        </w:tc>
        <w:tc>
          <w:tcPr>
            <w:tcW w:w="1110" w:type="dxa"/>
            <w:vMerge w:val="continue"/>
            <w:tcBorders>
              <w:top w:val="nil"/>
              <w:left w:val="single" w:color="auto" w:sz="8" w:space="0"/>
              <w:bottom w:val="single" w:color="auto" w:sz="8" w:space="0"/>
              <w:right w:val="single" w:color="auto" w:sz="8" w:space="0"/>
            </w:tcBorders>
            <w:vAlign w:val="center"/>
          </w:tcPr>
          <w:p w14:paraId="1E5B2FCE">
            <w:pPr>
              <w:spacing w:line="360" w:lineRule="exact"/>
              <w:jc w:val="center"/>
              <w:rPr>
                <w:rFonts w:hint="eastAsia" w:ascii="宋体" w:hAnsi="宋体" w:eastAsia="宋体" w:cs="仿宋"/>
                <w:kern w:val="0"/>
                <w:sz w:val="24"/>
                <w:szCs w:val="24"/>
              </w:rPr>
            </w:pPr>
          </w:p>
        </w:tc>
        <w:tc>
          <w:tcPr>
            <w:tcW w:w="1093" w:type="dxa"/>
            <w:vMerge w:val="continue"/>
            <w:tcBorders>
              <w:top w:val="nil"/>
              <w:left w:val="single" w:color="auto" w:sz="8" w:space="0"/>
              <w:bottom w:val="single" w:color="auto" w:sz="8" w:space="0"/>
              <w:right w:val="single" w:color="auto" w:sz="8" w:space="0"/>
            </w:tcBorders>
            <w:vAlign w:val="center"/>
          </w:tcPr>
          <w:p w14:paraId="42508C37">
            <w:pPr>
              <w:spacing w:line="360" w:lineRule="exact"/>
              <w:jc w:val="center"/>
              <w:rPr>
                <w:rFonts w:hint="eastAsia" w:ascii="宋体" w:hAnsi="宋体" w:eastAsia="宋体" w:cs="仿宋"/>
                <w:kern w:val="0"/>
                <w:sz w:val="24"/>
                <w:szCs w:val="24"/>
              </w:rPr>
            </w:pPr>
          </w:p>
        </w:tc>
      </w:tr>
      <w:tr w14:paraId="7B610568">
        <w:tblPrEx>
          <w:tblCellMar>
            <w:top w:w="0" w:type="dxa"/>
            <w:left w:w="108" w:type="dxa"/>
            <w:bottom w:w="0" w:type="dxa"/>
            <w:right w:w="108" w:type="dxa"/>
          </w:tblCellMar>
        </w:tblPrEx>
        <w:trPr>
          <w:trHeight w:val="795" w:hRule="atLeast"/>
          <w:jc w:val="center"/>
        </w:trPr>
        <w:tc>
          <w:tcPr>
            <w:tcW w:w="744" w:type="dxa"/>
            <w:tcBorders>
              <w:top w:val="nil"/>
              <w:left w:val="single" w:color="auto" w:sz="8" w:space="0"/>
              <w:bottom w:val="single" w:color="auto" w:sz="8" w:space="0"/>
              <w:right w:val="single" w:color="auto" w:sz="8" w:space="0"/>
            </w:tcBorders>
            <w:vAlign w:val="center"/>
          </w:tcPr>
          <w:p w14:paraId="1E0C2874">
            <w:pPr>
              <w:widowControl/>
              <w:spacing w:line="360" w:lineRule="exact"/>
              <w:jc w:val="center"/>
              <w:rPr>
                <w:rFonts w:hint="eastAsia" w:ascii="宋体" w:hAnsi="宋体" w:eastAsia="宋体" w:cs="仿宋"/>
                <w:kern w:val="0"/>
                <w:sz w:val="24"/>
                <w:szCs w:val="24"/>
              </w:rPr>
            </w:pPr>
            <w:r>
              <w:rPr>
                <w:rFonts w:hint="eastAsia" w:ascii="宋体" w:hAnsi="宋体" w:eastAsia="宋体" w:cs="仿宋"/>
                <w:kern w:val="0"/>
                <w:sz w:val="24"/>
                <w:szCs w:val="24"/>
              </w:rPr>
              <w:t>3</w:t>
            </w:r>
          </w:p>
        </w:tc>
        <w:tc>
          <w:tcPr>
            <w:tcW w:w="967" w:type="dxa"/>
            <w:tcBorders>
              <w:top w:val="nil"/>
              <w:left w:val="nil"/>
              <w:bottom w:val="single" w:color="auto" w:sz="8" w:space="0"/>
              <w:right w:val="single" w:color="auto" w:sz="8" w:space="0"/>
            </w:tcBorders>
            <w:vAlign w:val="center"/>
          </w:tcPr>
          <w:p w14:paraId="52D3A0E4">
            <w:pPr>
              <w:widowControl/>
              <w:spacing w:line="360" w:lineRule="exact"/>
              <w:jc w:val="center"/>
              <w:rPr>
                <w:rFonts w:hint="eastAsia" w:ascii="宋体" w:hAnsi="宋体" w:eastAsia="宋体" w:cs="仿宋"/>
                <w:kern w:val="0"/>
                <w:sz w:val="24"/>
                <w:szCs w:val="24"/>
              </w:rPr>
            </w:pPr>
            <w:r>
              <w:rPr>
                <w:rFonts w:hint="eastAsia" w:ascii="宋体" w:hAnsi="宋体" w:eastAsia="宋体" w:cs="仿宋"/>
                <w:kern w:val="0"/>
                <w:sz w:val="24"/>
                <w:szCs w:val="24"/>
              </w:rPr>
              <w:t>中</w:t>
            </w:r>
          </w:p>
        </w:tc>
        <w:tc>
          <w:tcPr>
            <w:tcW w:w="6210" w:type="dxa"/>
            <w:tcBorders>
              <w:top w:val="nil"/>
              <w:left w:val="nil"/>
              <w:bottom w:val="single" w:color="auto" w:sz="8" w:space="0"/>
              <w:right w:val="single" w:color="auto" w:sz="8" w:space="0"/>
            </w:tcBorders>
            <w:vAlign w:val="center"/>
          </w:tcPr>
          <w:p w14:paraId="311B2971">
            <w:pPr>
              <w:spacing w:line="360" w:lineRule="exact"/>
              <w:rPr>
                <w:rFonts w:hint="eastAsia" w:ascii="宋体" w:hAnsi="宋体" w:eastAsia="宋体" w:cs="仿宋"/>
                <w:kern w:val="0"/>
                <w:sz w:val="24"/>
                <w:szCs w:val="24"/>
              </w:rPr>
            </w:pPr>
            <w:r>
              <w:rPr>
                <w:rFonts w:hint="eastAsia" w:ascii="宋体" w:hAnsi="宋体" w:eastAsia="宋体" w:cs="仿宋"/>
                <w:kern w:val="0"/>
                <w:sz w:val="24"/>
                <w:szCs w:val="24"/>
              </w:rPr>
              <w:t>如主机、工作站、网络、外设工作不正常，但对系统正常工作没有大的影响，对业务也未产生大的影响。</w:t>
            </w:r>
          </w:p>
        </w:tc>
        <w:tc>
          <w:tcPr>
            <w:tcW w:w="1110" w:type="dxa"/>
            <w:tcBorders>
              <w:top w:val="nil"/>
              <w:left w:val="nil"/>
              <w:bottom w:val="single" w:color="auto" w:sz="8" w:space="0"/>
              <w:right w:val="single" w:color="auto" w:sz="8" w:space="0"/>
            </w:tcBorders>
            <w:vAlign w:val="center"/>
          </w:tcPr>
          <w:p w14:paraId="6F5D549D">
            <w:pPr>
              <w:spacing w:line="360" w:lineRule="exact"/>
              <w:jc w:val="center"/>
              <w:rPr>
                <w:rFonts w:hint="eastAsia" w:ascii="宋体" w:hAnsi="宋体" w:eastAsia="宋体" w:cs="仿宋"/>
                <w:kern w:val="0"/>
                <w:sz w:val="24"/>
                <w:szCs w:val="24"/>
              </w:rPr>
            </w:pPr>
            <w:r>
              <w:rPr>
                <w:rFonts w:hint="eastAsia" w:ascii="宋体" w:hAnsi="宋体" w:eastAsia="宋体" w:cs="仿宋"/>
                <w:kern w:val="0"/>
                <w:sz w:val="24"/>
                <w:szCs w:val="24"/>
              </w:rPr>
              <w:t>60分钟</w:t>
            </w:r>
          </w:p>
        </w:tc>
        <w:tc>
          <w:tcPr>
            <w:tcW w:w="1093" w:type="dxa"/>
            <w:tcBorders>
              <w:top w:val="nil"/>
              <w:left w:val="nil"/>
              <w:bottom w:val="single" w:color="auto" w:sz="8" w:space="0"/>
              <w:right w:val="single" w:color="auto" w:sz="8" w:space="0"/>
            </w:tcBorders>
            <w:vAlign w:val="center"/>
          </w:tcPr>
          <w:p w14:paraId="5567BF1C">
            <w:pPr>
              <w:spacing w:line="360" w:lineRule="exact"/>
              <w:jc w:val="center"/>
              <w:rPr>
                <w:rFonts w:hint="eastAsia" w:ascii="宋体" w:hAnsi="宋体" w:eastAsia="宋体" w:cs="仿宋"/>
                <w:kern w:val="0"/>
                <w:sz w:val="24"/>
                <w:szCs w:val="24"/>
              </w:rPr>
            </w:pPr>
            <w:r>
              <w:rPr>
                <w:rFonts w:hint="eastAsia" w:ascii="宋体" w:hAnsi="宋体" w:eastAsia="宋体" w:cs="仿宋"/>
                <w:kern w:val="0"/>
                <w:sz w:val="24"/>
                <w:szCs w:val="24"/>
              </w:rPr>
              <w:t>12H</w:t>
            </w:r>
          </w:p>
        </w:tc>
      </w:tr>
      <w:tr w14:paraId="784A2B98">
        <w:tblPrEx>
          <w:tblCellMar>
            <w:top w:w="0" w:type="dxa"/>
            <w:left w:w="108" w:type="dxa"/>
            <w:bottom w:w="0" w:type="dxa"/>
            <w:right w:w="108" w:type="dxa"/>
          </w:tblCellMar>
        </w:tblPrEx>
        <w:trPr>
          <w:trHeight w:val="500" w:hRule="atLeast"/>
          <w:jc w:val="center"/>
        </w:trPr>
        <w:tc>
          <w:tcPr>
            <w:tcW w:w="744" w:type="dxa"/>
            <w:tcBorders>
              <w:top w:val="nil"/>
              <w:left w:val="single" w:color="auto" w:sz="8" w:space="0"/>
              <w:bottom w:val="single" w:color="auto" w:sz="8" w:space="0"/>
              <w:right w:val="single" w:color="auto" w:sz="8" w:space="0"/>
            </w:tcBorders>
            <w:vAlign w:val="center"/>
          </w:tcPr>
          <w:p w14:paraId="18568371">
            <w:pPr>
              <w:widowControl/>
              <w:spacing w:line="360" w:lineRule="exact"/>
              <w:jc w:val="center"/>
              <w:rPr>
                <w:rFonts w:hint="eastAsia" w:ascii="宋体" w:hAnsi="宋体" w:eastAsia="宋体" w:cs="仿宋"/>
                <w:kern w:val="0"/>
                <w:sz w:val="24"/>
                <w:szCs w:val="24"/>
              </w:rPr>
            </w:pPr>
            <w:r>
              <w:rPr>
                <w:rFonts w:hint="eastAsia" w:ascii="宋体" w:hAnsi="宋体" w:eastAsia="宋体" w:cs="仿宋"/>
                <w:kern w:val="0"/>
                <w:sz w:val="24"/>
                <w:szCs w:val="24"/>
              </w:rPr>
              <w:t>4</w:t>
            </w:r>
          </w:p>
        </w:tc>
        <w:tc>
          <w:tcPr>
            <w:tcW w:w="967" w:type="dxa"/>
            <w:tcBorders>
              <w:top w:val="nil"/>
              <w:left w:val="nil"/>
              <w:bottom w:val="single" w:color="auto" w:sz="8" w:space="0"/>
              <w:right w:val="single" w:color="auto" w:sz="8" w:space="0"/>
            </w:tcBorders>
            <w:vAlign w:val="center"/>
          </w:tcPr>
          <w:p w14:paraId="459945AB">
            <w:pPr>
              <w:widowControl/>
              <w:spacing w:line="360" w:lineRule="exact"/>
              <w:jc w:val="center"/>
              <w:rPr>
                <w:rFonts w:hint="eastAsia" w:ascii="宋体" w:hAnsi="宋体" w:eastAsia="宋体" w:cs="仿宋"/>
                <w:kern w:val="0"/>
                <w:sz w:val="24"/>
                <w:szCs w:val="24"/>
              </w:rPr>
            </w:pPr>
            <w:r>
              <w:rPr>
                <w:rFonts w:hint="eastAsia" w:ascii="宋体" w:hAnsi="宋体" w:eastAsia="宋体" w:cs="仿宋"/>
                <w:kern w:val="0"/>
                <w:sz w:val="24"/>
                <w:szCs w:val="24"/>
              </w:rPr>
              <w:t>低</w:t>
            </w:r>
          </w:p>
        </w:tc>
        <w:tc>
          <w:tcPr>
            <w:tcW w:w="6210" w:type="dxa"/>
            <w:tcBorders>
              <w:top w:val="nil"/>
              <w:left w:val="nil"/>
              <w:bottom w:val="single" w:color="auto" w:sz="8" w:space="0"/>
              <w:right w:val="single" w:color="auto" w:sz="8" w:space="0"/>
            </w:tcBorders>
            <w:vAlign w:val="center"/>
          </w:tcPr>
          <w:p w14:paraId="1B400B6E">
            <w:pPr>
              <w:spacing w:line="360" w:lineRule="exact"/>
              <w:rPr>
                <w:rFonts w:hint="eastAsia" w:ascii="宋体" w:hAnsi="宋体" w:eastAsia="宋体" w:cs="仿宋"/>
                <w:kern w:val="0"/>
                <w:sz w:val="24"/>
                <w:szCs w:val="24"/>
              </w:rPr>
            </w:pPr>
            <w:r>
              <w:rPr>
                <w:rFonts w:hint="eastAsia" w:ascii="宋体" w:hAnsi="宋体" w:eastAsia="宋体" w:cs="仿宋"/>
                <w:kern w:val="0"/>
                <w:sz w:val="24"/>
                <w:szCs w:val="24"/>
              </w:rPr>
              <w:t>个人PC及外设的相关故障，对其他没有影响。</w:t>
            </w:r>
          </w:p>
        </w:tc>
        <w:tc>
          <w:tcPr>
            <w:tcW w:w="1110" w:type="dxa"/>
            <w:tcBorders>
              <w:top w:val="nil"/>
              <w:left w:val="nil"/>
              <w:bottom w:val="single" w:color="auto" w:sz="8" w:space="0"/>
              <w:right w:val="single" w:color="auto" w:sz="8" w:space="0"/>
            </w:tcBorders>
            <w:vAlign w:val="center"/>
          </w:tcPr>
          <w:p w14:paraId="5A6FAF1C">
            <w:pPr>
              <w:spacing w:line="360" w:lineRule="exact"/>
              <w:jc w:val="center"/>
              <w:rPr>
                <w:rFonts w:hint="eastAsia" w:ascii="宋体" w:hAnsi="宋体" w:eastAsia="宋体" w:cs="仿宋"/>
                <w:kern w:val="0"/>
                <w:sz w:val="24"/>
                <w:szCs w:val="24"/>
              </w:rPr>
            </w:pPr>
            <w:r>
              <w:rPr>
                <w:rFonts w:hint="eastAsia" w:ascii="宋体" w:hAnsi="宋体" w:eastAsia="宋体" w:cs="仿宋"/>
                <w:kern w:val="0"/>
                <w:sz w:val="24"/>
                <w:szCs w:val="24"/>
              </w:rPr>
              <w:t>60分钟</w:t>
            </w:r>
          </w:p>
        </w:tc>
        <w:tc>
          <w:tcPr>
            <w:tcW w:w="1093" w:type="dxa"/>
            <w:tcBorders>
              <w:top w:val="nil"/>
              <w:left w:val="nil"/>
              <w:bottom w:val="single" w:color="auto" w:sz="8" w:space="0"/>
              <w:right w:val="single" w:color="auto" w:sz="8" w:space="0"/>
            </w:tcBorders>
            <w:vAlign w:val="center"/>
          </w:tcPr>
          <w:p w14:paraId="08DF0664">
            <w:pPr>
              <w:spacing w:line="360" w:lineRule="exact"/>
              <w:jc w:val="center"/>
              <w:rPr>
                <w:rFonts w:hint="eastAsia" w:ascii="宋体" w:hAnsi="宋体" w:eastAsia="宋体" w:cs="仿宋"/>
                <w:kern w:val="0"/>
                <w:sz w:val="24"/>
                <w:szCs w:val="24"/>
              </w:rPr>
            </w:pPr>
            <w:r>
              <w:rPr>
                <w:rFonts w:hint="eastAsia" w:ascii="宋体" w:hAnsi="宋体" w:eastAsia="宋体" w:cs="仿宋"/>
                <w:kern w:val="0"/>
                <w:sz w:val="24"/>
                <w:szCs w:val="24"/>
              </w:rPr>
              <w:t>24H</w:t>
            </w:r>
          </w:p>
        </w:tc>
      </w:tr>
    </w:tbl>
    <w:p w14:paraId="3FA16AF5">
      <w:pPr>
        <w:numPr>
          <w:ilvl w:val="0"/>
          <w:numId w:val="4"/>
        </w:numPr>
        <w:spacing w:line="360" w:lineRule="auto"/>
        <w:ind w:left="0" w:firstLine="0"/>
        <w:rPr>
          <w:rFonts w:ascii="宋体" w:hAnsi="宋体" w:eastAsia="宋体"/>
          <w:bCs/>
          <w:sz w:val="24"/>
        </w:rPr>
      </w:pPr>
      <w:r>
        <w:rPr>
          <w:rFonts w:hint="eastAsia" w:ascii="宋体" w:hAnsi="宋体" w:eastAsia="宋体"/>
          <w:bCs/>
          <w:sz w:val="24"/>
        </w:rPr>
        <w:t>人员需求</w:t>
      </w:r>
    </w:p>
    <w:tbl>
      <w:tblPr>
        <w:tblStyle w:val="19"/>
        <w:tblW w:w="100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3"/>
        <w:gridCol w:w="1650"/>
        <w:gridCol w:w="2616"/>
        <w:gridCol w:w="3639"/>
        <w:gridCol w:w="1449"/>
      </w:tblGrid>
      <w:tr w14:paraId="306BE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3" w:hRule="atLeast"/>
          <w:jc w:val="center"/>
        </w:trPr>
        <w:tc>
          <w:tcPr>
            <w:tcW w:w="703" w:type="dxa"/>
            <w:tcBorders>
              <w:top w:val="single" w:color="auto" w:sz="4" w:space="0"/>
              <w:left w:val="single" w:color="auto" w:sz="4" w:space="0"/>
              <w:bottom w:val="single" w:color="auto" w:sz="4" w:space="0"/>
              <w:right w:val="single" w:color="auto" w:sz="4" w:space="0"/>
            </w:tcBorders>
            <w:vAlign w:val="center"/>
          </w:tcPr>
          <w:p w14:paraId="1E513DE0">
            <w:pPr>
              <w:spacing w:line="360" w:lineRule="exact"/>
              <w:jc w:val="center"/>
              <w:rPr>
                <w:rFonts w:hint="eastAsia" w:ascii="宋体" w:hAnsi="宋体" w:eastAsia="宋体" w:cs="仿宋"/>
                <w:sz w:val="24"/>
                <w:szCs w:val="24"/>
              </w:rPr>
            </w:pPr>
            <w:r>
              <w:rPr>
                <w:rFonts w:hint="eastAsia" w:ascii="宋体" w:hAnsi="宋体" w:eastAsia="宋体" w:cs="仿宋"/>
                <w:kern w:val="0"/>
                <w:sz w:val="24"/>
                <w:szCs w:val="24"/>
              </w:rPr>
              <w:t>序号</w:t>
            </w:r>
          </w:p>
        </w:tc>
        <w:tc>
          <w:tcPr>
            <w:tcW w:w="1650" w:type="dxa"/>
            <w:tcBorders>
              <w:top w:val="single" w:color="auto" w:sz="4" w:space="0"/>
              <w:left w:val="single" w:color="auto" w:sz="4" w:space="0"/>
              <w:bottom w:val="single" w:color="auto" w:sz="4" w:space="0"/>
              <w:right w:val="single" w:color="auto" w:sz="4" w:space="0"/>
            </w:tcBorders>
            <w:vAlign w:val="center"/>
          </w:tcPr>
          <w:p w14:paraId="2726C79A">
            <w:pPr>
              <w:spacing w:line="360" w:lineRule="exact"/>
              <w:jc w:val="center"/>
              <w:rPr>
                <w:rFonts w:hint="eastAsia" w:ascii="宋体" w:hAnsi="宋体" w:eastAsia="宋体" w:cs="仿宋"/>
                <w:sz w:val="24"/>
                <w:szCs w:val="24"/>
              </w:rPr>
            </w:pPr>
            <w:r>
              <w:rPr>
                <w:rFonts w:hint="eastAsia" w:ascii="宋体" w:hAnsi="宋体" w:eastAsia="宋体" w:cs="仿宋"/>
                <w:kern w:val="0"/>
                <w:sz w:val="24"/>
                <w:szCs w:val="24"/>
              </w:rPr>
              <w:t>岗位（角色）名称</w:t>
            </w:r>
          </w:p>
        </w:tc>
        <w:tc>
          <w:tcPr>
            <w:tcW w:w="2616" w:type="dxa"/>
            <w:tcBorders>
              <w:top w:val="single" w:color="auto" w:sz="4" w:space="0"/>
              <w:left w:val="single" w:color="auto" w:sz="4" w:space="0"/>
              <w:bottom w:val="single" w:color="auto" w:sz="4" w:space="0"/>
              <w:right w:val="single" w:color="auto" w:sz="4" w:space="0"/>
            </w:tcBorders>
            <w:vAlign w:val="center"/>
          </w:tcPr>
          <w:p w14:paraId="432AEB0B">
            <w:pPr>
              <w:spacing w:line="360" w:lineRule="exact"/>
              <w:jc w:val="center"/>
              <w:rPr>
                <w:rFonts w:hint="eastAsia" w:ascii="宋体" w:hAnsi="宋体" w:eastAsia="宋体" w:cs="仿宋"/>
                <w:sz w:val="24"/>
                <w:szCs w:val="24"/>
              </w:rPr>
            </w:pPr>
            <w:r>
              <w:rPr>
                <w:rFonts w:hint="eastAsia" w:ascii="宋体" w:hAnsi="宋体" w:eastAsia="宋体" w:cs="仿宋"/>
                <w:kern w:val="0"/>
                <w:sz w:val="24"/>
                <w:szCs w:val="24"/>
              </w:rPr>
              <w:t>主要职责</w:t>
            </w:r>
          </w:p>
        </w:tc>
        <w:tc>
          <w:tcPr>
            <w:tcW w:w="3639" w:type="dxa"/>
            <w:tcBorders>
              <w:top w:val="single" w:color="auto" w:sz="4" w:space="0"/>
              <w:left w:val="single" w:color="auto" w:sz="4" w:space="0"/>
              <w:bottom w:val="single" w:color="auto" w:sz="4" w:space="0"/>
              <w:right w:val="single" w:color="auto" w:sz="4" w:space="0"/>
            </w:tcBorders>
            <w:vAlign w:val="center"/>
          </w:tcPr>
          <w:p w14:paraId="0FF1D70C">
            <w:pPr>
              <w:spacing w:line="360" w:lineRule="exact"/>
              <w:jc w:val="center"/>
              <w:rPr>
                <w:rFonts w:hint="eastAsia" w:ascii="宋体" w:hAnsi="宋体" w:eastAsia="宋体" w:cs="仿宋"/>
                <w:kern w:val="0"/>
                <w:sz w:val="24"/>
                <w:szCs w:val="24"/>
              </w:rPr>
            </w:pPr>
            <w:r>
              <w:rPr>
                <w:rFonts w:hint="eastAsia" w:ascii="宋体" w:hAnsi="宋体" w:eastAsia="宋体" w:cs="仿宋"/>
                <w:bCs/>
                <w:kern w:val="0"/>
                <w:sz w:val="24"/>
                <w:szCs w:val="24"/>
              </w:rPr>
              <w:t>职位要求</w:t>
            </w:r>
          </w:p>
        </w:tc>
        <w:tc>
          <w:tcPr>
            <w:tcW w:w="1449" w:type="dxa"/>
            <w:tcBorders>
              <w:top w:val="single" w:color="auto" w:sz="4" w:space="0"/>
              <w:left w:val="single" w:color="auto" w:sz="4" w:space="0"/>
              <w:bottom w:val="single" w:color="auto" w:sz="4" w:space="0"/>
              <w:right w:val="single" w:color="auto" w:sz="4" w:space="0"/>
            </w:tcBorders>
            <w:vAlign w:val="center"/>
          </w:tcPr>
          <w:p w14:paraId="63B7E581">
            <w:pPr>
              <w:spacing w:line="360" w:lineRule="exact"/>
              <w:jc w:val="center"/>
              <w:rPr>
                <w:rFonts w:hint="eastAsia" w:ascii="宋体" w:hAnsi="宋体" w:eastAsia="宋体" w:cs="仿宋"/>
                <w:sz w:val="24"/>
                <w:szCs w:val="24"/>
              </w:rPr>
            </w:pPr>
            <w:r>
              <w:rPr>
                <w:rFonts w:hint="eastAsia" w:ascii="宋体" w:hAnsi="宋体" w:eastAsia="宋体" w:cs="仿宋"/>
                <w:kern w:val="0"/>
                <w:sz w:val="24"/>
                <w:szCs w:val="24"/>
              </w:rPr>
              <w:t>人数</w:t>
            </w:r>
          </w:p>
        </w:tc>
      </w:tr>
      <w:tr w14:paraId="5CE48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9" w:hRule="atLeast"/>
          <w:jc w:val="center"/>
        </w:trPr>
        <w:tc>
          <w:tcPr>
            <w:tcW w:w="703" w:type="dxa"/>
            <w:tcBorders>
              <w:top w:val="single" w:color="auto" w:sz="4" w:space="0"/>
              <w:left w:val="single" w:color="auto" w:sz="4" w:space="0"/>
              <w:bottom w:val="single" w:color="auto" w:sz="4" w:space="0"/>
              <w:right w:val="single" w:color="auto" w:sz="4" w:space="0"/>
            </w:tcBorders>
            <w:vAlign w:val="center"/>
          </w:tcPr>
          <w:p w14:paraId="7B83F1DA">
            <w:pPr>
              <w:spacing w:line="360" w:lineRule="auto"/>
              <w:jc w:val="center"/>
              <w:rPr>
                <w:rFonts w:hint="eastAsia" w:ascii="宋体" w:hAnsi="宋体" w:eastAsia="宋体" w:cs="仿宋"/>
                <w:sz w:val="24"/>
                <w:szCs w:val="24"/>
              </w:rPr>
            </w:pPr>
            <w:r>
              <w:rPr>
                <w:rFonts w:hint="eastAsia" w:ascii="宋体" w:hAnsi="宋体" w:eastAsia="宋体" w:cs="仿宋"/>
                <w:sz w:val="24"/>
                <w:szCs w:val="24"/>
              </w:rPr>
              <w:t>1</w:t>
            </w:r>
          </w:p>
        </w:tc>
        <w:tc>
          <w:tcPr>
            <w:tcW w:w="1650" w:type="dxa"/>
            <w:tcBorders>
              <w:top w:val="single" w:color="auto" w:sz="4" w:space="0"/>
              <w:left w:val="single" w:color="auto" w:sz="4" w:space="0"/>
              <w:bottom w:val="single" w:color="auto" w:sz="4" w:space="0"/>
              <w:right w:val="single" w:color="auto" w:sz="4" w:space="0"/>
            </w:tcBorders>
            <w:vAlign w:val="center"/>
          </w:tcPr>
          <w:p w14:paraId="7C620EA3">
            <w:pPr>
              <w:spacing w:line="360" w:lineRule="auto"/>
              <w:jc w:val="center"/>
              <w:rPr>
                <w:rFonts w:hint="eastAsia" w:ascii="宋体" w:hAnsi="宋体" w:eastAsia="宋体" w:cs="仿宋"/>
                <w:sz w:val="24"/>
                <w:szCs w:val="24"/>
              </w:rPr>
            </w:pPr>
            <w:r>
              <w:rPr>
                <w:rFonts w:hint="eastAsia" w:ascii="宋体" w:hAnsi="宋体" w:eastAsia="宋体" w:cs="仿宋"/>
                <w:sz w:val="24"/>
                <w:szCs w:val="24"/>
              </w:rPr>
              <w:t>运维经理</w:t>
            </w:r>
          </w:p>
        </w:tc>
        <w:tc>
          <w:tcPr>
            <w:tcW w:w="2616" w:type="dxa"/>
            <w:tcBorders>
              <w:top w:val="single" w:color="auto" w:sz="4" w:space="0"/>
              <w:left w:val="single" w:color="auto" w:sz="4" w:space="0"/>
              <w:bottom w:val="single" w:color="auto" w:sz="4" w:space="0"/>
              <w:right w:val="single" w:color="auto" w:sz="4" w:space="0"/>
            </w:tcBorders>
            <w:vAlign w:val="center"/>
          </w:tcPr>
          <w:p w14:paraId="031E4068">
            <w:pPr>
              <w:rPr>
                <w:rFonts w:hint="eastAsia" w:ascii="宋体" w:hAnsi="宋体" w:eastAsia="宋体" w:cs="仿宋"/>
                <w:kern w:val="0"/>
                <w:sz w:val="24"/>
                <w:szCs w:val="24"/>
              </w:rPr>
            </w:pPr>
            <w:r>
              <w:rPr>
                <w:rFonts w:hint="eastAsia" w:ascii="宋体" w:hAnsi="宋体" w:eastAsia="宋体" w:cs="仿宋"/>
                <w:kern w:val="0"/>
                <w:sz w:val="24"/>
                <w:szCs w:val="24"/>
              </w:rPr>
              <w:t>1.负责运维工作整体组织协调，协调各流程之间的衔接、负责协调人员、工具、资源、技术的分配等。</w:t>
            </w:r>
          </w:p>
          <w:p w14:paraId="1F4B1BA8">
            <w:pPr>
              <w:rPr>
                <w:rFonts w:hint="eastAsia" w:ascii="宋体" w:hAnsi="宋体" w:eastAsia="宋体" w:cs="仿宋"/>
                <w:kern w:val="0"/>
                <w:sz w:val="24"/>
                <w:szCs w:val="24"/>
              </w:rPr>
            </w:pPr>
            <w:r>
              <w:rPr>
                <w:rFonts w:hint="eastAsia" w:ascii="宋体" w:hAnsi="宋体" w:eastAsia="宋体" w:cs="仿宋"/>
                <w:kern w:val="0"/>
                <w:sz w:val="24"/>
                <w:szCs w:val="24"/>
              </w:rPr>
              <w:t>2.负责运维团队日常管理及服务管理相关工作。</w:t>
            </w:r>
          </w:p>
        </w:tc>
        <w:tc>
          <w:tcPr>
            <w:tcW w:w="3639" w:type="dxa"/>
            <w:tcBorders>
              <w:top w:val="single" w:color="auto" w:sz="4" w:space="0"/>
              <w:left w:val="single" w:color="auto" w:sz="4" w:space="0"/>
              <w:bottom w:val="single" w:color="auto" w:sz="4" w:space="0"/>
              <w:right w:val="single" w:color="auto" w:sz="4" w:space="0"/>
            </w:tcBorders>
            <w:vAlign w:val="center"/>
          </w:tcPr>
          <w:p w14:paraId="769E9CBD">
            <w:pPr>
              <w:rPr>
                <w:rFonts w:hint="eastAsia" w:ascii="宋体" w:hAnsi="宋体" w:eastAsia="宋体" w:cs="仿宋"/>
                <w:kern w:val="0"/>
                <w:sz w:val="24"/>
                <w:szCs w:val="24"/>
              </w:rPr>
            </w:pPr>
            <w:r>
              <w:rPr>
                <w:rFonts w:hint="eastAsia" w:ascii="宋体" w:hAnsi="宋体" w:eastAsia="宋体" w:cs="仿宋"/>
                <w:kern w:val="0"/>
                <w:sz w:val="24"/>
                <w:szCs w:val="24"/>
              </w:rPr>
              <w:t>1.本科及以上学历，具备IT类企业管理经验，从事IT运维服务行业工作年限不少于5年。</w:t>
            </w:r>
          </w:p>
          <w:p w14:paraId="52E79E0D">
            <w:pPr>
              <w:rPr>
                <w:rFonts w:hint="eastAsia" w:ascii="宋体" w:hAnsi="宋体" w:eastAsia="宋体" w:cs="仿宋"/>
                <w:kern w:val="0"/>
                <w:sz w:val="24"/>
                <w:szCs w:val="24"/>
              </w:rPr>
            </w:pPr>
            <w:r>
              <w:rPr>
                <w:rFonts w:hint="eastAsia" w:ascii="宋体" w:hAnsi="宋体" w:eastAsia="宋体" w:cs="仿宋"/>
                <w:kern w:val="0"/>
                <w:sz w:val="24"/>
                <w:szCs w:val="24"/>
              </w:rPr>
              <w:t>2.熟悉管理流程、工具，了解IT服务管理规范；</w:t>
            </w:r>
          </w:p>
          <w:p w14:paraId="2CBBAE47">
            <w:pPr>
              <w:rPr>
                <w:rFonts w:hint="eastAsia" w:ascii="宋体" w:hAnsi="宋体" w:eastAsia="宋体" w:cs="仿宋"/>
                <w:kern w:val="0"/>
                <w:sz w:val="24"/>
                <w:szCs w:val="24"/>
              </w:rPr>
            </w:pPr>
            <w:r>
              <w:rPr>
                <w:rFonts w:hint="eastAsia" w:ascii="宋体" w:hAnsi="宋体" w:eastAsia="宋体" w:cs="仿宋"/>
                <w:kern w:val="0"/>
                <w:sz w:val="24"/>
                <w:szCs w:val="24"/>
              </w:rPr>
              <w:t>3.充分理解ITSS管理体系通用要求。</w:t>
            </w:r>
          </w:p>
        </w:tc>
        <w:tc>
          <w:tcPr>
            <w:tcW w:w="1449" w:type="dxa"/>
            <w:tcBorders>
              <w:top w:val="single" w:color="auto" w:sz="4" w:space="0"/>
              <w:left w:val="single" w:color="auto" w:sz="4" w:space="0"/>
              <w:bottom w:val="single" w:color="auto" w:sz="4" w:space="0"/>
              <w:right w:val="single" w:color="auto" w:sz="4" w:space="0"/>
            </w:tcBorders>
            <w:vAlign w:val="center"/>
          </w:tcPr>
          <w:p w14:paraId="3C0BE6FE">
            <w:pPr>
              <w:jc w:val="center"/>
              <w:rPr>
                <w:rFonts w:hint="eastAsia" w:ascii="宋体" w:hAnsi="宋体" w:eastAsia="宋体" w:cs="仿宋"/>
                <w:kern w:val="0"/>
                <w:sz w:val="24"/>
                <w:szCs w:val="24"/>
              </w:rPr>
            </w:pPr>
            <w:r>
              <w:rPr>
                <w:rFonts w:hint="eastAsia" w:ascii="宋体" w:hAnsi="宋体" w:eastAsia="宋体" w:cs="仿宋"/>
                <w:kern w:val="0"/>
                <w:sz w:val="24"/>
                <w:szCs w:val="24"/>
              </w:rPr>
              <w:t>不少于1人</w:t>
            </w:r>
          </w:p>
        </w:tc>
      </w:tr>
      <w:tr w14:paraId="61FCE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8" w:hRule="atLeast"/>
          <w:jc w:val="center"/>
        </w:trPr>
        <w:tc>
          <w:tcPr>
            <w:tcW w:w="703" w:type="dxa"/>
            <w:tcBorders>
              <w:top w:val="single" w:color="auto" w:sz="4" w:space="0"/>
              <w:left w:val="single" w:color="auto" w:sz="4" w:space="0"/>
              <w:bottom w:val="single" w:color="auto" w:sz="4" w:space="0"/>
              <w:right w:val="single" w:color="auto" w:sz="4" w:space="0"/>
            </w:tcBorders>
            <w:vAlign w:val="center"/>
          </w:tcPr>
          <w:p w14:paraId="2FA6728B">
            <w:pPr>
              <w:spacing w:line="360" w:lineRule="auto"/>
              <w:jc w:val="center"/>
              <w:rPr>
                <w:rFonts w:hint="eastAsia" w:ascii="宋体" w:hAnsi="宋体" w:eastAsia="宋体" w:cs="仿宋"/>
                <w:sz w:val="24"/>
                <w:szCs w:val="24"/>
              </w:rPr>
            </w:pPr>
            <w:r>
              <w:rPr>
                <w:rFonts w:hint="eastAsia" w:ascii="宋体" w:hAnsi="宋体" w:eastAsia="宋体" w:cs="仿宋"/>
                <w:sz w:val="24"/>
                <w:szCs w:val="24"/>
              </w:rPr>
              <w:t>2</w:t>
            </w:r>
          </w:p>
        </w:tc>
        <w:tc>
          <w:tcPr>
            <w:tcW w:w="1650" w:type="dxa"/>
            <w:tcBorders>
              <w:top w:val="single" w:color="auto" w:sz="4" w:space="0"/>
              <w:left w:val="single" w:color="auto" w:sz="4" w:space="0"/>
              <w:bottom w:val="single" w:color="auto" w:sz="4" w:space="0"/>
              <w:right w:val="single" w:color="auto" w:sz="4" w:space="0"/>
            </w:tcBorders>
            <w:vAlign w:val="center"/>
          </w:tcPr>
          <w:p w14:paraId="7D6B9E92">
            <w:pPr>
              <w:spacing w:line="360" w:lineRule="auto"/>
              <w:jc w:val="center"/>
              <w:rPr>
                <w:rFonts w:hint="eastAsia" w:ascii="宋体" w:hAnsi="宋体" w:eastAsia="宋体" w:cs="仿宋"/>
                <w:sz w:val="24"/>
                <w:szCs w:val="24"/>
              </w:rPr>
            </w:pPr>
            <w:r>
              <w:rPr>
                <w:rFonts w:hint="eastAsia" w:ascii="宋体" w:hAnsi="宋体" w:eastAsia="宋体" w:cs="仿宋"/>
                <w:sz w:val="24"/>
                <w:szCs w:val="24"/>
              </w:rPr>
              <w:t>值班监控工程师</w:t>
            </w:r>
          </w:p>
        </w:tc>
        <w:tc>
          <w:tcPr>
            <w:tcW w:w="2616" w:type="dxa"/>
            <w:tcBorders>
              <w:top w:val="single" w:color="auto" w:sz="4" w:space="0"/>
              <w:left w:val="single" w:color="auto" w:sz="4" w:space="0"/>
              <w:bottom w:val="single" w:color="auto" w:sz="4" w:space="0"/>
              <w:right w:val="single" w:color="auto" w:sz="4" w:space="0"/>
            </w:tcBorders>
            <w:vAlign w:val="center"/>
          </w:tcPr>
          <w:p w14:paraId="016DCE8C">
            <w:pPr>
              <w:rPr>
                <w:rFonts w:hint="eastAsia" w:ascii="宋体" w:hAnsi="宋体" w:eastAsia="宋体" w:cs="仿宋"/>
                <w:kern w:val="0"/>
                <w:sz w:val="24"/>
                <w:szCs w:val="24"/>
              </w:rPr>
            </w:pPr>
            <w:r>
              <w:rPr>
                <w:rFonts w:hint="eastAsia" w:ascii="宋体" w:hAnsi="宋体" w:eastAsia="宋体" w:cs="仿宋"/>
                <w:kern w:val="0"/>
                <w:sz w:val="24"/>
                <w:szCs w:val="24"/>
              </w:rPr>
              <w:t>负责对机房和监控中心实行7*24小时监控，包含网络、电力以及人员设备的进出等；</w:t>
            </w:r>
          </w:p>
        </w:tc>
        <w:tc>
          <w:tcPr>
            <w:tcW w:w="3639" w:type="dxa"/>
            <w:tcBorders>
              <w:top w:val="single" w:color="auto" w:sz="4" w:space="0"/>
              <w:left w:val="single" w:color="auto" w:sz="4" w:space="0"/>
              <w:bottom w:val="single" w:color="auto" w:sz="4" w:space="0"/>
              <w:right w:val="single" w:color="auto" w:sz="4" w:space="0"/>
            </w:tcBorders>
            <w:vAlign w:val="center"/>
          </w:tcPr>
          <w:p w14:paraId="3B2DA6C8">
            <w:pPr>
              <w:rPr>
                <w:rFonts w:hint="eastAsia" w:ascii="宋体" w:hAnsi="宋体" w:eastAsia="宋体" w:cs="仿宋"/>
                <w:kern w:val="0"/>
                <w:sz w:val="24"/>
                <w:szCs w:val="24"/>
              </w:rPr>
            </w:pPr>
            <w:r>
              <w:rPr>
                <w:rFonts w:hint="eastAsia" w:ascii="宋体" w:hAnsi="宋体" w:eastAsia="宋体" w:cs="仿宋"/>
                <w:kern w:val="0"/>
                <w:sz w:val="24"/>
                <w:szCs w:val="24"/>
              </w:rPr>
              <w:t>中专职校或以上学历,计算机应用或网络维护相关专业；熟悉计算机和基本网络设备。</w:t>
            </w:r>
          </w:p>
        </w:tc>
        <w:tc>
          <w:tcPr>
            <w:tcW w:w="1449" w:type="dxa"/>
            <w:tcBorders>
              <w:top w:val="single" w:color="auto" w:sz="4" w:space="0"/>
              <w:left w:val="single" w:color="auto" w:sz="4" w:space="0"/>
              <w:bottom w:val="single" w:color="auto" w:sz="4" w:space="0"/>
              <w:right w:val="single" w:color="auto" w:sz="4" w:space="0"/>
            </w:tcBorders>
            <w:vAlign w:val="center"/>
          </w:tcPr>
          <w:p w14:paraId="49102BC1">
            <w:pPr>
              <w:spacing w:line="360" w:lineRule="auto"/>
              <w:jc w:val="center"/>
              <w:rPr>
                <w:rFonts w:hint="eastAsia" w:ascii="宋体" w:hAnsi="宋体" w:eastAsia="宋体" w:cs="仿宋"/>
                <w:sz w:val="24"/>
                <w:szCs w:val="24"/>
              </w:rPr>
            </w:pPr>
            <w:r>
              <w:rPr>
                <w:rFonts w:hint="eastAsia" w:ascii="宋体" w:hAnsi="宋体" w:eastAsia="宋体" w:cs="仿宋"/>
                <w:sz w:val="24"/>
                <w:szCs w:val="24"/>
              </w:rPr>
              <w:t>不少于3人</w:t>
            </w:r>
          </w:p>
        </w:tc>
      </w:tr>
      <w:tr w14:paraId="4D849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7" w:hRule="atLeast"/>
          <w:jc w:val="center"/>
        </w:trPr>
        <w:tc>
          <w:tcPr>
            <w:tcW w:w="703" w:type="dxa"/>
            <w:tcBorders>
              <w:top w:val="single" w:color="auto" w:sz="4" w:space="0"/>
              <w:left w:val="single" w:color="auto" w:sz="4" w:space="0"/>
              <w:bottom w:val="single" w:color="auto" w:sz="4" w:space="0"/>
              <w:right w:val="single" w:color="auto" w:sz="4" w:space="0"/>
            </w:tcBorders>
            <w:vAlign w:val="center"/>
          </w:tcPr>
          <w:p w14:paraId="59BF46FE">
            <w:pPr>
              <w:spacing w:line="360" w:lineRule="auto"/>
              <w:jc w:val="center"/>
              <w:rPr>
                <w:rFonts w:hint="eastAsia" w:ascii="宋体" w:hAnsi="宋体" w:eastAsia="宋体" w:cs="仿宋"/>
                <w:sz w:val="24"/>
                <w:szCs w:val="24"/>
              </w:rPr>
            </w:pPr>
            <w:r>
              <w:rPr>
                <w:rFonts w:hint="eastAsia" w:ascii="宋体" w:hAnsi="宋体" w:eastAsia="宋体" w:cs="仿宋"/>
                <w:sz w:val="24"/>
                <w:szCs w:val="24"/>
              </w:rPr>
              <w:t>3</w:t>
            </w:r>
          </w:p>
        </w:tc>
        <w:tc>
          <w:tcPr>
            <w:tcW w:w="1650" w:type="dxa"/>
            <w:tcBorders>
              <w:top w:val="single" w:color="auto" w:sz="4" w:space="0"/>
              <w:left w:val="single" w:color="auto" w:sz="4" w:space="0"/>
              <w:bottom w:val="single" w:color="auto" w:sz="4" w:space="0"/>
              <w:right w:val="single" w:color="auto" w:sz="4" w:space="0"/>
            </w:tcBorders>
            <w:vAlign w:val="center"/>
          </w:tcPr>
          <w:p w14:paraId="0E79402C">
            <w:pPr>
              <w:widowControl/>
              <w:jc w:val="center"/>
              <w:rPr>
                <w:rFonts w:hint="eastAsia" w:ascii="宋体" w:hAnsi="宋体" w:eastAsia="宋体" w:cs="仿宋"/>
                <w:kern w:val="0"/>
                <w:sz w:val="24"/>
                <w:szCs w:val="24"/>
              </w:rPr>
            </w:pPr>
            <w:r>
              <w:rPr>
                <w:rFonts w:hint="eastAsia" w:ascii="宋体" w:hAnsi="宋体" w:eastAsia="宋体" w:cs="仿宋"/>
                <w:kern w:val="0"/>
                <w:sz w:val="24"/>
                <w:szCs w:val="24"/>
              </w:rPr>
              <w:t>客户技术支持服务工程师（服务器工程师）</w:t>
            </w:r>
          </w:p>
        </w:tc>
        <w:tc>
          <w:tcPr>
            <w:tcW w:w="2616" w:type="dxa"/>
            <w:tcBorders>
              <w:top w:val="single" w:color="auto" w:sz="4" w:space="0"/>
              <w:left w:val="single" w:color="auto" w:sz="4" w:space="0"/>
              <w:bottom w:val="single" w:color="auto" w:sz="4" w:space="0"/>
              <w:right w:val="single" w:color="auto" w:sz="4" w:space="0"/>
            </w:tcBorders>
            <w:vAlign w:val="center"/>
          </w:tcPr>
          <w:p w14:paraId="6FAE8E29">
            <w:pPr>
              <w:widowControl/>
              <w:rPr>
                <w:rFonts w:hint="eastAsia" w:ascii="宋体" w:hAnsi="宋体" w:eastAsia="宋体" w:cs="仿宋"/>
                <w:kern w:val="0"/>
                <w:sz w:val="24"/>
                <w:szCs w:val="24"/>
              </w:rPr>
            </w:pPr>
            <w:r>
              <w:rPr>
                <w:rFonts w:hint="eastAsia" w:ascii="宋体" w:hAnsi="宋体" w:eastAsia="宋体" w:cs="仿宋"/>
                <w:kern w:val="0"/>
                <w:sz w:val="24"/>
                <w:szCs w:val="24"/>
              </w:rPr>
              <w:t>负责IT运营方面的技术支持工作</w:t>
            </w:r>
          </w:p>
        </w:tc>
        <w:tc>
          <w:tcPr>
            <w:tcW w:w="3639" w:type="dxa"/>
            <w:tcBorders>
              <w:top w:val="single" w:color="auto" w:sz="4" w:space="0"/>
              <w:left w:val="single" w:color="auto" w:sz="4" w:space="0"/>
              <w:bottom w:val="single" w:color="auto" w:sz="4" w:space="0"/>
              <w:right w:val="single" w:color="auto" w:sz="4" w:space="0"/>
            </w:tcBorders>
            <w:vAlign w:val="center"/>
          </w:tcPr>
          <w:p w14:paraId="48DFF43C">
            <w:pPr>
              <w:pStyle w:val="76"/>
              <w:widowControl/>
              <w:spacing w:before="100" w:beforeAutospacing="1" w:after="100" w:afterAutospacing="1"/>
              <w:ind w:firstLine="0" w:firstLineChars="0"/>
              <w:rPr>
                <w:rFonts w:hint="eastAsia" w:ascii="宋体" w:hAnsi="宋体" w:eastAsia="宋体" w:cs="仿宋"/>
                <w:kern w:val="0"/>
                <w:sz w:val="24"/>
                <w:szCs w:val="24"/>
              </w:rPr>
            </w:pPr>
            <w:r>
              <w:rPr>
                <w:rFonts w:hint="eastAsia" w:ascii="宋体" w:hAnsi="宋体" w:eastAsia="宋体" w:cs="仿宋"/>
                <w:kern w:val="0"/>
                <w:sz w:val="24"/>
                <w:szCs w:val="24"/>
              </w:rPr>
              <w:t>本科以上学历，计算机或电子相关专业；5年以上IT技术支持工作经验，具有IT技术的综合知识体系，对以下一个或多个技术领域有深入的了解：网络规划、系统集成、信息安全、数据备份，操作系统、电子邮件系统、文件服务系统等；熟悉主要IT厂商的软硬件（包含国产化主流服务器厂商）；熟悉Microsoft、Linux、麒麟、统信等服务器操作系统；</w:t>
            </w:r>
          </w:p>
        </w:tc>
        <w:tc>
          <w:tcPr>
            <w:tcW w:w="1449" w:type="dxa"/>
            <w:tcBorders>
              <w:top w:val="single" w:color="auto" w:sz="4" w:space="0"/>
              <w:left w:val="single" w:color="auto" w:sz="4" w:space="0"/>
              <w:bottom w:val="single" w:color="auto" w:sz="4" w:space="0"/>
              <w:right w:val="single" w:color="auto" w:sz="4" w:space="0"/>
            </w:tcBorders>
            <w:vAlign w:val="center"/>
          </w:tcPr>
          <w:p w14:paraId="3383D07C">
            <w:pPr>
              <w:spacing w:line="360" w:lineRule="auto"/>
              <w:jc w:val="center"/>
              <w:rPr>
                <w:rFonts w:hint="eastAsia" w:ascii="宋体" w:hAnsi="宋体" w:eastAsia="宋体" w:cs="仿宋"/>
                <w:sz w:val="24"/>
                <w:szCs w:val="24"/>
              </w:rPr>
            </w:pPr>
            <w:r>
              <w:rPr>
                <w:rFonts w:hint="eastAsia" w:ascii="宋体" w:hAnsi="宋体" w:eastAsia="宋体" w:cs="仿宋"/>
                <w:sz w:val="24"/>
                <w:szCs w:val="24"/>
              </w:rPr>
              <w:t>不少于1人</w:t>
            </w:r>
          </w:p>
        </w:tc>
      </w:tr>
      <w:tr w14:paraId="7F98C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3" w:hRule="atLeast"/>
          <w:jc w:val="center"/>
        </w:trPr>
        <w:tc>
          <w:tcPr>
            <w:tcW w:w="703" w:type="dxa"/>
            <w:tcBorders>
              <w:top w:val="single" w:color="auto" w:sz="4" w:space="0"/>
              <w:left w:val="single" w:color="auto" w:sz="4" w:space="0"/>
              <w:bottom w:val="single" w:color="auto" w:sz="4" w:space="0"/>
              <w:right w:val="single" w:color="auto" w:sz="4" w:space="0"/>
            </w:tcBorders>
            <w:vAlign w:val="center"/>
          </w:tcPr>
          <w:p w14:paraId="688EA037">
            <w:pPr>
              <w:spacing w:line="360" w:lineRule="auto"/>
              <w:jc w:val="center"/>
              <w:rPr>
                <w:rFonts w:hint="eastAsia" w:ascii="宋体" w:hAnsi="宋体" w:eastAsia="宋体" w:cs="仿宋"/>
                <w:sz w:val="24"/>
                <w:szCs w:val="24"/>
              </w:rPr>
            </w:pPr>
            <w:r>
              <w:rPr>
                <w:rFonts w:hint="eastAsia" w:ascii="宋体" w:hAnsi="宋体" w:eastAsia="宋体" w:cs="仿宋"/>
                <w:sz w:val="24"/>
                <w:szCs w:val="24"/>
              </w:rPr>
              <w:t>4</w:t>
            </w:r>
          </w:p>
        </w:tc>
        <w:tc>
          <w:tcPr>
            <w:tcW w:w="1650" w:type="dxa"/>
            <w:tcBorders>
              <w:top w:val="single" w:color="auto" w:sz="4" w:space="0"/>
              <w:left w:val="single" w:color="auto" w:sz="4" w:space="0"/>
              <w:bottom w:val="single" w:color="auto" w:sz="4" w:space="0"/>
              <w:right w:val="single" w:color="auto" w:sz="4" w:space="0"/>
            </w:tcBorders>
            <w:vAlign w:val="center"/>
          </w:tcPr>
          <w:p w14:paraId="313BD8DF">
            <w:pPr>
              <w:spacing w:line="360" w:lineRule="auto"/>
              <w:jc w:val="center"/>
              <w:rPr>
                <w:rFonts w:hint="eastAsia" w:ascii="宋体" w:hAnsi="宋体" w:eastAsia="宋体" w:cs="仿宋"/>
                <w:sz w:val="24"/>
                <w:szCs w:val="24"/>
              </w:rPr>
            </w:pPr>
            <w:r>
              <w:rPr>
                <w:rFonts w:hint="eastAsia" w:ascii="宋体" w:hAnsi="宋体" w:eastAsia="宋体" w:cs="仿宋"/>
                <w:sz w:val="24"/>
                <w:szCs w:val="24"/>
              </w:rPr>
              <w:t>网络服务工程师</w:t>
            </w:r>
          </w:p>
        </w:tc>
        <w:tc>
          <w:tcPr>
            <w:tcW w:w="2616" w:type="dxa"/>
            <w:tcBorders>
              <w:top w:val="single" w:color="auto" w:sz="4" w:space="0"/>
              <w:left w:val="single" w:color="auto" w:sz="4" w:space="0"/>
              <w:bottom w:val="single" w:color="auto" w:sz="4" w:space="0"/>
              <w:right w:val="single" w:color="auto" w:sz="4" w:space="0"/>
            </w:tcBorders>
            <w:vAlign w:val="center"/>
          </w:tcPr>
          <w:p w14:paraId="48050228">
            <w:pPr>
              <w:widowControl/>
              <w:spacing w:line="360" w:lineRule="auto"/>
              <w:rPr>
                <w:rFonts w:hint="eastAsia" w:ascii="宋体" w:hAnsi="宋体" w:eastAsia="宋体" w:cs="仿宋"/>
                <w:sz w:val="24"/>
                <w:szCs w:val="24"/>
              </w:rPr>
            </w:pPr>
            <w:r>
              <w:rPr>
                <w:rFonts w:hint="eastAsia" w:ascii="宋体" w:hAnsi="宋体" w:eastAsia="宋体" w:cs="仿宋"/>
                <w:sz w:val="24"/>
                <w:szCs w:val="24"/>
              </w:rPr>
              <w:t>负责IT运营方面的网络维护工作</w:t>
            </w:r>
          </w:p>
        </w:tc>
        <w:tc>
          <w:tcPr>
            <w:tcW w:w="3639" w:type="dxa"/>
            <w:tcBorders>
              <w:top w:val="single" w:color="auto" w:sz="4" w:space="0"/>
              <w:left w:val="single" w:color="auto" w:sz="4" w:space="0"/>
              <w:bottom w:val="single" w:color="auto" w:sz="4" w:space="0"/>
              <w:right w:val="single" w:color="auto" w:sz="4" w:space="0"/>
            </w:tcBorders>
            <w:vAlign w:val="center"/>
          </w:tcPr>
          <w:p w14:paraId="39ECE2C0">
            <w:pPr>
              <w:pStyle w:val="76"/>
              <w:widowControl/>
              <w:spacing w:before="100" w:beforeAutospacing="1" w:after="100" w:afterAutospacing="1"/>
              <w:ind w:firstLine="0" w:firstLineChars="0"/>
              <w:rPr>
                <w:rFonts w:hint="eastAsia" w:ascii="宋体" w:hAnsi="宋体" w:eastAsia="宋体" w:cs="仿宋"/>
                <w:sz w:val="24"/>
                <w:szCs w:val="24"/>
              </w:rPr>
            </w:pPr>
            <w:r>
              <w:rPr>
                <w:rFonts w:hint="eastAsia" w:ascii="宋体" w:hAnsi="宋体" w:eastAsia="宋体" w:cs="仿宋"/>
                <w:kern w:val="0"/>
                <w:sz w:val="24"/>
                <w:szCs w:val="24"/>
              </w:rPr>
              <w:t>计算机及相关专业，2年以上局域网、广域网的建设与维护管理工作经验；精通TCP/IP等协议，能够熟练配置常用的网络设备并具有一定的网络规划能力；精通IOS，熟悉Cisco、华为、华三、锐捷、天融信等厂商的相关网络设备。精通网络，熟悉安全、系统管理。</w:t>
            </w:r>
          </w:p>
        </w:tc>
        <w:tc>
          <w:tcPr>
            <w:tcW w:w="1449" w:type="dxa"/>
            <w:tcBorders>
              <w:top w:val="single" w:color="auto" w:sz="4" w:space="0"/>
              <w:left w:val="single" w:color="auto" w:sz="4" w:space="0"/>
              <w:bottom w:val="single" w:color="auto" w:sz="4" w:space="0"/>
              <w:right w:val="single" w:color="auto" w:sz="4" w:space="0"/>
            </w:tcBorders>
            <w:vAlign w:val="center"/>
          </w:tcPr>
          <w:p w14:paraId="1DB351C4">
            <w:pPr>
              <w:spacing w:line="360" w:lineRule="auto"/>
              <w:jc w:val="center"/>
              <w:rPr>
                <w:rFonts w:hint="eastAsia" w:ascii="宋体" w:hAnsi="宋体" w:eastAsia="宋体" w:cs="仿宋"/>
                <w:sz w:val="24"/>
                <w:szCs w:val="24"/>
              </w:rPr>
            </w:pPr>
            <w:r>
              <w:rPr>
                <w:rFonts w:hint="eastAsia" w:ascii="宋体" w:hAnsi="宋体" w:eastAsia="宋体" w:cs="仿宋"/>
                <w:sz w:val="24"/>
                <w:szCs w:val="24"/>
              </w:rPr>
              <w:t>不少于1人</w:t>
            </w:r>
          </w:p>
        </w:tc>
      </w:tr>
      <w:tr w14:paraId="52B51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0" w:hRule="atLeast"/>
          <w:jc w:val="center"/>
        </w:trPr>
        <w:tc>
          <w:tcPr>
            <w:tcW w:w="703" w:type="dxa"/>
            <w:tcBorders>
              <w:top w:val="single" w:color="auto" w:sz="4" w:space="0"/>
              <w:left w:val="single" w:color="auto" w:sz="4" w:space="0"/>
              <w:bottom w:val="single" w:color="auto" w:sz="4" w:space="0"/>
              <w:right w:val="single" w:color="auto" w:sz="4" w:space="0"/>
            </w:tcBorders>
            <w:vAlign w:val="center"/>
          </w:tcPr>
          <w:p w14:paraId="5CBFF2D5">
            <w:pPr>
              <w:spacing w:line="360" w:lineRule="auto"/>
              <w:jc w:val="center"/>
              <w:rPr>
                <w:rFonts w:hint="eastAsia" w:ascii="宋体" w:hAnsi="宋体" w:eastAsia="宋体" w:cs="仿宋"/>
                <w:sz w:val="24"/>
                <w:szCs w:val="24"/>
              </w:rPr>
            </w:pPr>
            <w:r>
              <w:rPr>
                <w:rFonts w:hint="eastAsia" w:ascii="宋体" w:hAnsi="宋体" w:eastAsia="宋体" w:cs="仿宋"/>
                <w:sz w:val="24"/>
                <w:szCs w:val="24"/>
              </w:rPr>
              <w:t>5</w:t>
            </w:r>
          </w:p>
        </w:tc>
        <w:tc>
          <w:tcPr>
            <w:tcW w:w="1650" w:type="dxa"/>
            <w:tcBorders>
              <w:top w:val="single" w:color="auto" w:sz="4" w:space="0"/>
              <w:left w:val="single" w:color="auto" w:sz="4" w:space="0"/>
              <w:bottom w:val="single" w:color="auto" w:sz="4" w:space="0"/>
              <w:right w:val="single" w:color="auto" w:sz="4" w:space="0"/>
            </w:tcBorders>
            <w:vAlign w:val="center"/>
          </w:tcPr>
          <w:p w14:paraId="6B4D114D">
            <w:pPr>
              <w:spacing w:line="360" w:lineRule="auto"/>
              <w:jc w:val="center"/>
              <w:rPr>
                <w:rFonts w:hint="eastAsia" w:ascii="宋体" w:hAnsi="宋体" w:eastAsia="宋体" w:cs="仿宋"/>
                <w:sz w:val="24"/>
                <w:szCs w:val="24"/>
              </w:rPr>
            </w:pPr>
            <w:r>
              <w:rPr>
                <w:rFonts w:hint="eastAsia" w:ascii="宋体" w:hAnsi="宋体" w:eastAsia="宋体" w:cs="仿宋"/>
                <w:sz w:val="24"/>
                <w:szCs w:val="24"/>
              </w:rPr>
              <w:t>安全管理工程师</w:t>
            </w:r>
          </w:p>
        </w:tc>
        <w:tc>
          <w:tcPr>
            <w:tcW w:w="2616" w:type="dxa"/>
            <w:tcBorders>
              <w:top w:val="single" w:color="auto" w:sz="4" w:space="0"/>
              <w:left w:val="single" w:color="auto" w:sz="4" w:space="0"/>
              <w:bottom w:val="single" w:color="auto" w:sz="4" w:space="0"/>
              <w:right w:val="single" w:color="auto" w:sz="4" w:space="0"/>
            </w:tcBorders>
            <w:vAlign w:val="center"/>
          </w:tcPr>
          <w:p w14:paraId="122623DB">
            <w:pPr>
              <w:widowControl/>
              <w:spacing w:line="360" w:lineRule="auto"/>
              <w:rPr>
                <w:rFonts w:hint="eastAsia" w:ascii="宋体" w:hAnsi="宋体" w:eastAsia="宋体" w:cs="仿宋"/>
                <w:sz w:val="24"/>
                <w:szCs w:val="24"/>
              </w:rPr>
            </w:pPr>
            <w:r>
              <w:rPr>
                <w:rFonts w:hint="eastAsia" w:ascii="宋体" w:hAnsi="宋体" w:eastAsia="宋体" w:cs="仿宋"/>
                <w:sz w:val="24"/>
                <w:szCs w:val="24"/>
              </w:rPr>
              <w:t>负责系统技术安全支持及保障工作</w:t>
            </w:r>
          </w:p>
        </w:tc>
        <w:tc>
          <w:tcPr>
            <w:tcW w:w="3639" w:type="dxa"/>
            <w:tcBorders>
              <w:top w:val="single" w:color="auto" w:sz="4" w:space="0"/>
              <w:left w:val="single" w:color="auto" w:sz="4" w:space="0"/>
              <w:bottom w:val="single" w:color="auto" w:sz="4" w:space="0"/>
              <w:right w:val="single" w:color="auto" w:sz="4" w:space="0"/>
            </w:tcBorders>
            <w:vAlign w:val="center"/>
          </w:tcPr>
          <w:p w14:paraId="396D5534">
            <w:pPr>
              <w:pStyle w:val="76"/>
              <w:widowControl/>
              <w:spacing w:before="100" w:beforeAutospacing="1" w:after="100" w:afterAutospacing="1"/>
              <w:ind w:firstLine="0" w:firstLineChars="0"/>
              <w:rPr>
                <w:rFonts w:hint="eastAsia" w:ascii="宋体" w:hAnsi="宋体" w:eastAsia="宋体" w:cs="仿宋"/>
                <w:sz w:val="24"/>
                <w:szCs w:val="24"/>
              </w:rPr>
            </w:pPr>
            <w:r>
              <w:rPr>
                <w:rFonts w:hint="eastAsia" w:ascii="宋体" w:hAnsi="宋体" w:eastAsia="宋体" w:cs="仿宋"/>
                <w:kern w:val="0"/>
                <w:sz w:val="24"/>
                <w:szCs w:val="24"/>
              </w:rPr>
              <w:t>本科以上学历，计算机或相关专业；具有相关的国家信息安全证书；5年以上相关工作经验；熟悉国内外安全标准和规范，熟练掌握有关安全处理、步骤及系统的定义、设计和执行方面的知识，熟悉在不同安全系统领域中的相关技术支持、安全策略、安全风险评估、安全优化等；精通网络和系统相关安全知识；</w:t>
            </w:r>
          </w:p>
        </w:tc>
        <w:tc>
          <w:tcPr>
            <w:tcW w:w="1449" w:type="dxa"/>
            <w:tcBorders>
              <w:top w:val="single" w:color="auto" w:sz="4" w:space="0"/>
              <w:left w:val="single" w:color="auto" w:sz="4" w:space="0"/>
              <w:bottom w:val="single" w:color="auto" w:sz="4" w:space="0"/>
              <w:right w:val="single" w:color="auto" w:sz="4" w:space="0"/>
            </w:tcBorders>
            <w:vAlign w:val="center"/>
          </w:tcPr>
          <w:p w14:paraId="2850D612">
            <w:pPr>
              <w:spacing w:line="360" w:lineRule="auto"/>
              <w:jc w:val="center"/>
              <w:rPr>
                <w:rFonts w:hint="eastAsia" w:ascii="宋体" w:hAnsi="宋体" w:eastAsia="宋体" w:cs="仿宋"/>
                <w:sz w:val="24"/>
                <w:szCs w:val="24"/>
              </w:rPr>
            </w:pPr>
            <w:r>
              <w:rPr>
                <w:rFonts w:hint="eastAsia" w:ascii="宋体" w:hAnsi="宋体" w:eastAsia="宋体" w:cs="仿宋"/>
                <w:sz w:val="24"/>
                <w:szCs w:val="24"/>
              </w:rPr>
              <w:t>不少于1人</w:t>
            </w:r>
          </w:p>
        </w:tc>
      </w:tr>
      <w:tr w14:paraId="048BF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0" w:hRule="atLeast"/>
          <w:jc w:val="center"/>
        </w:trPr>
        <w:tc>
          <w:tcPr>
            <w:tcW w:w="703" w:type="dxa"/>
            <w:tcBorders>
              <w:top w:val="single" w:color="auto" w:sz="4" w:space="0"/>
              <w:left w:val="single" w:color="auto" w:sz="4" w:space="0"/>
              <w:bottom w:val="single" w:color="auto" w:sz="4" w:space="0"/>
              <w:right w:val="single" w:color="auto" w:sz="4" w:space="0"/>
            </w:tcBorders>
            <w:vAlign w:val="center"/>
          </w:tcPr>
          <w:p w14:paraId="3DE29689">
            <w:pPr>
              <w:pStyle w:val="76"/>
              <w:widowControl/>
              <w:spacing w:before="100" w:beforeAutospacing="1" w:after="100" w:afterAutospacing="1"/>
              <w:ind w:firstLine="0" w:firstLineChars="0"/>
              <w:jc w:val="center"/>
              <w:rPr>
                <w:rFonts w:hint="eastAsia" w:ascii="宋体" w:hAnsi="宋体" w:eastAsia="宋体" w:cs="仿宋"/>
                <w:sz w:val="24"/>
                <w:szCs w:val="24"/>
              </w:rPr>
            </w:pPr>
            <w:r>
              <w:rPr>
                <w:rFonts w:hint="eastAsia" w:ascii="宋体" w:hAnsi="宋体" w:eastAsia="宋体" w:cs="仿宋"/>
                <w:kern w:val="0"/>
                <w:sz w:val="24"/>
                <w:szCs w:val="24"/>
              </w:rPr>
              <w:t>6</w:t>
            </w:r>
          </w:p>
        </w:tc>
        <w:tc>
          <w:tcPr>
            <w:tcW w:w="1650" w:type="dxa"/>
            <w:tcBorders>
              <w:top w:val="single" w:color="auto" w:sz="4" w:space="0"/>
              <w:left w:val="single" w:color="auto" w:sz="4" w:space="0"/>
              <w:bottom w:val="single" w:color="auto" w:sz="4" w:space="0"/>
              <w:right w:val="single" w:color="auto" w:sz="4" w:space="0"/>
            </w:tcBorders>
            <w:vAlign w:val="center"/>
          </w:tcPr>
          <w:p w14:paraId="6D3E7F41">
            <w:pPr>
              <w:pStyle w:val="76"/>
              <w:widowControl/>
              <w:spacing w:before="100" w:beforeAutospacing="1" w:after="100" w:afterAutospacing="1"/>
              <w:ind w:firstLine="0" w:firstLineChars="0"/>
              <w:jc w:val="center"/>
              <w:rPr>
                <w:rFonts w:hint="eastAsia" w:ascii="宋体" w:hAnsi="宋体" w:eastAsia="宋体" w:cs="仿宋"/>
                <w:kern w:val="0"/>
                <w:sz w:val="24"/>
                <w:szCs w:val="24"/>
              </w:rPr>
            </w:pPr>
            <w:r>
              <w:rPr>
                <w:rFonts w:hint="eastAsia" w:ascii="宋体" w:hAnsi="宋体" w:eastAsia="宋体" w:cs="仿宋"/>
                <w:kern w:val="0"/>
                <w:sz w:val="24"/>
                <w:szCs w:val="24"/>
              </w:rPr>
              <w:t>虚拟化平台工程师</w:t>
            </w:r>
          </w:p>
        </w:tc>
        <w:tc>
          <w:tcPr>
            <w:tcW w:w="2616" w:type="dxa"/>
            <w:tcBorders>
              <w:top w:val="single" w:color="auto" w:sz="4" w:space="0"/>
              <w:left w:val="single" w:color="auto" w:sz="4" w:space="0"/>
              <w:bottom w:val="single" w:color="auto" w:sz="4" w:space="0"/>
              <w:right w:val="single" w:color="auto" w:sz="4" w:space="0"/>
            </w:tcBorders>
            <w:vAlign w:val="center"/>
          </w:tcPr>
          <w:p w14:paraId="79177BAE">
            <w:pPr>
              <w:pStyle w:val="76"/>
              <w:widowControl/>
              <w:spacing w:before="100" w:beforeAutospacing="1" w:after="100" w:afterAutospacing="1"/>
              <w:ind w:firstLine="0" w:firstLineChars="0"/>
              <w:rPr>
                <w:rFonts w:hint="eastAsia" w:ascii="宋体" w:hAnsi="宋体" w:eastAsia="宋体" w:cs="仿宋"/>
                <w:kern w:val="0"/>
                <w:sz w:val="24"/>
                <w:szCs w:val="24"/>
              </w:rPr>
            </w:pPr>
            <w:r>
              <w:rPr>
                <w:rFonts w:hint="eastAsia" w:ascii="宋体" w:hAnsi="宋体" w:eastAsia="宋体" w:cs="仿宋"/>
                <w:kern w:val="0"/>
                <w:sz w:val="24"/>
                <w:szCs w:val="24"/>
              </w:rPr>
              <w:t>负责虚拟化平台日常维护、操作工作,负责调优和故障处理相关工作</w:t>
            </w:r>
          </w:p>
        </w:tc>
        <w:tc>
          <w:tcPr>
            <w:tcW w:w="3639" w:type="dxa"/>
            <w:tcBorders>
              <w:top w:val="single" w:color="auto" w:sz="4" w:space="0"/>
              <w:left w:val="single" w:color="auto" w:sz="4" w:space="0"/>
              <w:bottom w:val="single" w:color="auto" w:sz="4" w:space="0"/>
              <w:right w:val="single" w:color="auto" w:sz="4" w:space="0"/>
            </w:tcBorders>
            <w:vAlign w:val="center"/>
          </w:tcPr>
          <w:p w14:paraId="4E893281">
            <w:pPr>
              <w:pStyle w:val="76"/>
              <w:widowControl/>
              <w:spacing w:before="100" w:beforeAutospacing="1" w:after="100" w:afterAutospacing="1"/>
              <w:ind w:firstLine="0" w:firstLineChars="0"/>
              <w:rPr>
                <w:rFonts w:hint="eastAsia" w:ascii="宋体" w:hAnsi="宋体" w:eastAsia="宋体" w:cs="仿宋"/>
                <w:kern w:val="0"/>
                <w:sz w:val="24"/>
                <w:szCs w:val="24"/>
              </w:rPr>
            </w:pPr>
            <w:r>
              <w:rPr>
                <w:rFonts w:hint="eastAsia" w:ascii="宋体" w:hAnsi="宋体" w:eastAsia="宋体" w:cs="仿宋"/>
                <w:kern w:val="0"/>
                <w:sz w:val="24"/>
                <w:szCs w:val="24"/>
              </w:rPr>
              <w:t>本科以上学历，计算机或相关专业；2年以上IT系统维护相关工作经验；熟悉vmware、华为、H3C、深信服、浪潮的虚拟化平台相关操作及使用；</w:t>
            </w:r>
          </w:p>
        </w:tc>
        <w:tc>
          <w:tcPr>
            <w:tcW w:w="1449" w:type="dxa"/>
            <w:tcBorders>
              <w:top w:val="single" w:color="auto" w:sz="4" w:space="0"/>
              <w:left w:val="single" w:color="auto" w:sz="4" w:space="0"/>
              <w:bottom w:val="single" w:color="auto" w:sz="4" w:space="0"/>
              <w:right w:val="single" w:color="auto" w:sz="4" w:space="0"/>
            </w:tcBorders>
            <w:vAlign w:val="center"/>
          </w:tcPr>
          <w:p w14:paraId="7A810870">
            <w:pPr>
              <w:spacing w:line="360" w:lineRule="auto"/>
              <w:jc w:val="center"/>
              <w:rPr>
                <w:rFonts w:hint="eastAsia" w:ascii="宋体" w:hAnsi="宋体" w:eastAsia="宋体" w:cs="仿宋"/>
                <w:kern w:val="0"/>
                <w:sz w:val="24"/>
                <w:szCs w:val="24"/>
              </w:rPr>
            </w:pPr>
            <w:r>
              <w:rPr>
                <w:rFonts w:hint="eastAsia" w:ascii="宋体" w:hAnsi="宋体" w:eastAsia="宋体" w:cs="仿宋"/>
                <w:sz w:val="24"/>
                <w:szCs w:val="24"/>
              </w:rPr>
              <w:t>不少于1人</w:t>
            </w:r>
          </w:p>
        </w:tc>
      </w:tr>
      <w:tr w14:paraId="29310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8" w:hRule="atLeast"/>
          <w:jc w:val="center"/>
        </w:trPr>
        <w:tc>
          <w:tcPr>
            <w:tcW w:w="703" w:type="dxa"/>
            <w:tcBorders>
              <w:top w:val="single" w:color="auto" w:sz="4" w:space="0"/>
              <w:left w:val="single" w:color="auto" w:sz="4" w:space="0"/>
              <w:bottom w:val="single" w:color="auto" w:sz="4" w:space="0"/>
              <w:right w:val="single" w:color="auto" w:sz="4" w:space="0"/>
            </w:tcBorders>
            <w:vAlign w:val="center"/>
          </w:tcPr>
          <w:p w14:paraId="39BAE331">
            <w:pPr>
              <w:pStyle w:val="76"/>
              <w:widowControl/>
              <w:spacing w:before="100" w:beforeAutospacing="1" w:after="100" w:afterAutospacing="1"/>
              <w:ind w:firstLine="0" w:firstLineChars="0"/>
              <w:jc w:val="center"/>
              <w:rPr>
                <w:rFonts w:hint="eastAsia" w:ascii="宋体" w:hAnsi="宋体" w:eastAsia="宋体" w:cs="仿宋"/>
                <w:kern w:val="0"/>
                <w:sz w:val="24"/>
                <w:szCs w:val="24"/>
              </w:rPr>
            </w:pPr>
            <w:r>
              <w:rPr>
                <w:rFonts w:hint="eastAsia" w:ascii="宋体" w:hAnsi="宋体" w:eastAsia="宋体" w:cs="仿宋"/>
                <w:kern w:val="0"/>
                <w:sz w:val="24"/>
                <w:szCs w:val="24"/>
              </w:rPr>
              <w:t>7</w:t>
            </w:r>
          </w:p>
        </w:tc>
        <w:tc>
          <w:tcPr>
            <w:tcW w:w="1650" w:type="dxa"/>
            <w:tcBorders>
              <w:top w:val="single" w:color="auto" w:sz="4" w:space="0"/>
              <w:left w:val="single" w:color="auto" w:sz="4" w:space="0"/>
              <w:bottom w:val="single" w:color="auto" w:sz="4" w:space="0"/>
              <w:right w:val="single" w:color="auto" w:sz="4" w:space="0"/>
            </w:tcBorders>
            <w:vAlign w:val="center"/>
          </w:tcPr>
          <w:p w14:paraId="78700404">
            <w:pPr>
              <w:pStyle w:val="76"/>
              <w:widowControl/>
              <w:spacing w:before="100" w:beforeAutospacing="1" w:after="100" w:afterAutospacing="1"/>
              <w:ind w:firstLine="0" w:firstLineChars="0"/>
              <w:jc w:val="center"/>
              <w:rPr>
                <w:rFonts w:hint="eastAsia" w:ascii="宋体" w:hAnsi="宋体" w:eastAsia="宋体" w:cs="仿宋"/>
                <w:kern w:val="0"/>
                <w:sz w:val="24"/>
                <w:szCs w:val="24"/>
              </w:rPr>
            </w:pPr>
            <w:r>
              <w:rPr>
                <w:rFonts w:hint="eastAsia" w:ascii="宋体" w:hAnsi="宋体" w:eastAsia="宋体" w:cs="仿宋"/>
                <w:kern w:val="0"/>
                <w:sz w:val="24"/>
                <w:szCs w:val="24"/>
              </w:rPr>
              <w:t>技术热线服务代表</w:t>
            </w:r>
          </w:p>
        </w:tc>
        <w:tc>
          <w:tcPr>
            <w:tcW w:w="2616" w:type="dxa"/>
            <w:tcBorders>
              <w:top w:val="single" w:color="auto" w:sz="4" w:space="0"/>
              <w:left w:val="single" w:color="auto" w:sz="4" w:space="0"/>
              <w:bottom w:val="single" w:color="auto" w:sz="4" w:space="0"/>
              <w:right w:val="single" w:color="auto" w:sz="4" w:space="0"/>
            </w:tcBorders>
            <w:vAlign w:val="center"/>
          </w:tcPr>
          <w:p w14:paraId="0B148E3D">
            <w:pPr>
              <w:pStyle w:val="76"/>
              <w:widowControl/>
              <w:spacing w:before="100" w:beforeAutospacing="1" w:after="100" w:afterAutospacing="1"/>
              <w:ind w:firstLine="0" w:firstLineChars="0"/>
              <w:rPr>
                <w:rFonts w:hint="eastAsia" w:ascii="宋体" w:hAnsi="宋体" w:eastAsia="宋体" w:cs="仿宋"/>
                <w:kern w:val="0"/>
                <w:sz w:val="24"/>
                <w:szCs w:val="24"/>
              </w:rPr>
            </w:pPr>
            <w:r>
              <w:rPr>
                <w:rFonts w:hint="eastAsia" w:ascii="宋体" w:hAnsi="宋体" w:eastAsia="宋体" w:cs="仿宋"/>
                <w:kern w:val="0"/>
                <w:sz w:val="24"/>
                <w:szCs w:val="24"/>
              </w:rPr>
              <w:t>受理客户服务咨询、技术支持、服务调度和投诉,对客户报修的事件进行记录和分类并调度相关技术人员，及时调整和改善事件支持流程，处理投诉和大影响面事件。</w:t>
            </w:r>
          </w:p>
        </w:tc>
        <w:tc>
          <w:tcPr>
            <w:tcW w:w="3639" w:type="dxa"/>
            <w:tcBorders>
              <w:top w:val="single" w:color="auto" w:sz="4" w:space="0"/>
              <w:left w:val="single" w:color="auto" w:sz="4" w:space="0"/>
              <w:bottom w:val="single" w:color="auto" w:sz="4" w:space="0"/>
              <w:right w:val="single" w:color="auto" w:sz="4" w:space="0"/>
            </w:tcBorders>
            <w:vAlign w:val="center"/>
          </w:tcPr>
          <w:p w14:paraId="75655AEB">
            <w:pPr>
              <w:pStyle w:val="76"/>
              <w:widowControl/>
              <w:spacing w:before="100" w:beforeAutospacing="1" w:after="100" w:afterAutospacing="1"/>
              <w:ind w:firstLine="0" w:firstLineChars="0"/>
              <w:rPr>
                <w:rFonts w:hint="eastAsia" w:ascii="宋体" w:hAnsi="宋体" w:eastAsia="宋体" w:cs="仿宋"/>
                <w:kern w:val="0"/>
                <w:sz w:val="24"/>
                <w:szCs w:val="24"/>
              </w:rPr>
            </w:pPr>
            <w:r>
              <w:rPr>
                <w:rFonts w:hint="eastAsia" w:ascii="宋体" w:hAnsi="宋体" w:eastAsia="宋体" w:cs="仿宋"/>
                <w:kern w:val="0"/>
                <w:sz w:val="24"/>
                <w:szCs w:val="24"/>
              </w:rPr>
              <w:t>普通话标准流利，语言表达能力和与人沟通能力强；较强的电话沟通表达能力和书面记录能力，熟悉WINDOWS操作系统和以OFFICE为主的办公软件；熟悉国产机、国产操作系统和相关常用办公软件；具有计算机和基本网络设备知识；具有良好的职业素质和服务意识</w:t>
            </w:r>
          </w:p>
        </w:tc>
        <w:tc>
          <w:tcPr>
            <w:tcW w:w="1449" w:type="dxa"/>
            <w:tcBorders>
              <w:top w:val="single" w:color="auto" w:sz="4" w:space="0"/>
              <w:left w:val="single" w:color="auto" w:sz="4" w:space="0"/>
              <w:bottom w:val="single" w:color="auto" w:sz="4" w:space="0"/>
              <w:right w:val="single" w:color="auto" w:sz="4" w:space="0"/>
            </w:tcBorders>
            <w:vAlign w:val="center"/>
          </w:tcPr>
          <w:p w14:paraId="1719BE8A">
            <w:pPr>
              <w:spacing w:line="360" w:lineRule="auto"/>
              <w:jc w:val="center"/>
              <w:rPr>
                <w:rFonts w:hint="eastAsia" w:ascii="宋体" w:hAnsi="宋体" w:eastAsia="宋体" w:cs="仿宋"/>
                <w:sz w:val="24"/>
                <w:szCs w:val="24"/>
              </w:rPr>
            </w:pPr>
            <w:r>
              <w:rPr>
                <w:rFonts w:hint="eastAsia" w:ascii="宋体" w:hAnsi="宋体" w:eastAsia="宋体" w:cs="仿宋"/>
                <w:sz w:val="24"/>
                <w:szCs w:val="24"/>
              </w:rPr>
              <w:t>不少于1人</w:t>
            </w:r>
          </w:p>
        </w:tc>
      </w:tr>
      <w:tr w14:paraId="3D065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3" w:hRule="atLeast"/>
          <w:jc w:val="center"/>
        </w:trPr>
        <w:tc>
          <w:tcPr>
            <w:tcW w:w="703" w:type="dxa"/>
            <w:tcBorders>
              <w:top w:val="single" w:color="auto" w:sz="4" w:space="0"/>
              <w:left w:val="single" w:color="auto" w:sz="4" w:space="0"/>
              <w:bottom w:val="single" w:color="auto" w:sz="4" w:space="0"/>
              <w:right w:val="single" w:color="auto" w:sz="4" w:space="0"/>
            </w:tcBorders>
            <w:vAlign w:val="center"/>
          </w:tcPr>
          <w:p w14:paraId="709FEDD6">
            <w:pPr>
              <w:pStyle w:val="76"/>
              <w:widowControl/>
              <w:spacing w:before="100" w:beforeAutospacing="1" w:after="100" w:afterAutospacing="1"/>
              <w:ind w:firstLine="0" w:firstLineChars="0"/>
              <w:jc w:val="center"/>
              <w:rPr>
                <w:rFonts w:hint="eastAsia" w:ascii="宋体" w:hAnsi="宋体" w:eastAsia="宋体" w:cs="仿宋"/>
                <w:kern w:val="0"/>
                <w:sz w:val="24"/>
                <w:szCs w:val="24"/>
              </w:rPr>
            </w:pPr>
            <w:r>
              <w:rPr>
                <w:rFonts w:hint="eastAsia" w:ascii="宋体" w:hAnsi="宋体" w:eastAsia="宋体" w:cs="仿宋"/>
                <w:kern w:val="0"/>
                <w:sz w:val="24"/>
                <w:szCs w:val="24"/>
              </w:rPr>
              <w:t>8</w:t>
            </w:r>
          </w:p>
        </w:tc>
        <w:tc>
          <w:tcPr>
            <w:tcW w:w="1650" w:type="dxa"/>
            <w:tcBorders>
              <w:top w:val="single" w:color="auto" w:sz="4" w:space="0"/>
              <w:left w:val="single" w:color="auto" w:sz="4" w:space="0"/>
              <w:bottom w:val="single" w:color="auto" w:sz="4" w:space="0"/>
              <w:right w:val="single" w:color="auto" w:sz="4" w:space="0"/>
            </w:tcBorders>
            <w:vAlign w:val="center"/>
          </w:tcPr>
          <w:p w14:paraId="0A728E41">
            <w:pPr>
              <w:pStyle w:val="76"/>
              <w:widowControl/>
              <w:spacing w:before="100" w:beforeAutospacing="1" w:after="100" w:afterAutospacing="1"/>
              <w:ind w:firstLine="0" w:firstLineChars="0"/>
              <w:jc w:val="center"/>
              <w:rPr>
                <w:rFonts w:hint="eastAsia" w:ascii="宋体" w:hAnsi="宋体" w:eastAsia="宋体" w:cs="仿宋"/>
                <w:kern w:val="0"/>
                <w:sz w:val="24"/>
                <w:szCs w:val="24"/>
              </w:rPr>
            </w:pPr>
            <w:r>
              <w:rPr>
                <w:rFonts w:hint="eastAsia" w:ascii="宋体" w:hAnsi="宋体" w:eastAsia="宋体" w:cs="仿宋"/>
                <w:kern w:val="0"/>
                <w:sz w:val="24"/>
                <w:szCs w:val="24"/>
              </w:rPr>
              <w:t>桌面支持服务工程师</w:t>
            </w:r>
          </w:p>
        </w:tc>
        <w:tc>
          <w:tcPr>
            <w:tcW w:w="2616" w:type="dxa"/>
            <w:tcBorders>
              <w:top w:val="single" w:color="auto" w:sz="4" w:space="0"/>
              <w:left w:val="single" w:color="auto" w:sz="4" w:space="0"/>
              <w:bottom w:val="single" w:color="auto" w:sz="4" w:space="0"/>
              <w:right w:val="single" w:color="auto" w:sz="4" w:space="0"/>
            </w:tcBorders>
            <w:vAlign w:val="center"/>
          </w:tcPr>
          <w:p w14:paraId="696B0D01">
            <w:pPr>
              <w:pStyle w:val="76"/>
              <w:widowControl/>
              <w:spacing w:before="100" w:beforeAutospacing="1" w:after="100" w:afterAutospacing="1"/>
              <w:ind w:firstLine="0" w:firstLineChars="0"/>
              <w:rPr>
                <w:rFonts w:hint="eastAsia" w:ascii="宋体" w:hAnsi="宋体" w:eastAsia="宋体" w:cs="仿宋"/>
                <w:kern w:val="0"/>
                <w:sz w:val="24"/>
                <w:szCs w:val="24"/>
              </w:rPr>
            </w:pPr>
            <w:r>
              <w:rPr>
                <w:rFonts w:hint="eastAsia" w:ascii="宋体" w:hAnsi="宋体" w:eastAsia="宋体" w:cs="仿宋"/>
                <w:kern w:val="0"/>
                <w:sz w:val="24"/>
                <w:szCs w:val="24"/>
              </w:rPr>
              <w:t>Windows、Office等软件的技术支持，负责电脑、打印机等桌面终端设备及外设相关设备的硬件维护和技术支持；</w:t>
            </w:r>
          </w:p>
        </w:tc>
        <w:tc>
          <w:tcPr>
            <w:tcW w:w="3639" w:type="dxa"/>
            <w:tcBorders>
              <w:top w:val="single" w:color="auto" w:sz="4" w:space="0"/>
              <w:left w:val="single" w:color="auto" w:sz="4" w:space="0"/>
              <w:bottom w:val="single" w:color="auto" w:sz="4" w:space="0"/>
              <w:right w:val="single" w:color="auto" w:sz="4" w:space="0"/>
            </w:tcBorders>
            <w:vAlign w:val="center"/>
          </w:tcPr>
          <w:p w14:paraId="49368281">
            <w:pPr>
              <w:pStyle w:val="76"/>
              <w:widowControl/>
              <w:spacing w:before="100" w:beforeAutospacing="1" w:after="100" w:afterAutospacing="1"/>
              <w:ind w:firstLine="0" w:firstLineChars="0"/>
              <w:rPr>
                <w:rFonts w:hint="eastAsia" w:ascii="宋体" w:hAnsi="宋体" w:eastAsia="宋体" w:cs="仿宋"/>
                <w:kern w:val="0"/>
                <w:sz w:val="24"/>
                <w:szCs w:val="24"/>
              </w:rPr>
            </w:pPr>
            <w:r>
              <w:rPr>
                <w:rFonts w:hint="eastAsia" w:ascii="宋体" w:hAnsi="宋体" w:eastAsia="宋体" w:cs="仿宋"/>
                <w:kern w:val="0"/>
                <w:sz w:val="24"/>
                <w:szCs w:val="24"/>
              </w:rPr>
              <w:t>计算机或相关专业；熟悉电脑、打印机、投影机、扫描仪等相关设备；熟悉Windows、Office、Ghost，Antivirus等软件；熟悉国产机、国产操作系统和相关常用办公软件；具有独立工作的能力并具备较强的分析、判断和解决问题的能力；具有良好的沟通能力、客户服务意识；</w:t>
            </w:r>
          </w:p>
        </w:tc>
        <w:tc>
          <w:tcPr>
            <w:tcW w:w="1449" w:type="dxa"/>
            <w:tcBorders>
              <w:top w:val="single" w:color="auto" w:sz="4" w:space="0"/>
              <w:left w:val="single" w:color="auto" w:sz="4" w:space="0"/>
              <w:bottom w:val="single" w:color="auto" w:sz="4" w:space="0"/>
              <w:right w:val="single" w:color="auto" w:sz="4" w:space="0"/>
            </w:tcBorders>
            <w:vAlign w:val="center"/>
          </w:tcPr>
          <w:p w14:paraId="4E15BA1C">
            <w:pPr>
              <w:spacing w:line="360" w:lineRule="auto"/>
              <w:jc w:val="center"/>
              <w:rPr>
                <w:rFonts w:hint="eastAsia" w:ascii="宋体" w:hAnsi="宋体" w:eastAsia="宋体" w:cs="仿宋"/>
                <w:sz w:val="24"/>
                <w:szCs w:val="24"/>
              </w:rPr>
            </w:pPr>
            <w:r>
              <w:rPr>
                <w:rFonts w:hint="eastAsia" w:ascii="宋体" w:hAnsi="宋体" w:eastAsia="宋体" w:cs="仿宋"/>
                <w:sz w:val="24"/>
                <w:szCs w:val="24"/>
              </w:rPr>
              <w:t>不少于6人</w:t>
            </w:r>
          </w:p>
        </w:tc>
      </w:tr>
      <w:tr w14:paraId="1423D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4" w:hRule="atLeast"/>
          <w:jc w:val="center"/>
        </w:trPr>
        <w:tc>
          <w:tcPr>
            <w:tcW w:w="703" w:type="dxa"/>
            <w:tcBorders>
              <w:top w:val="single" w:color="auto" w:sz="4" w:space="0"/>
              <w:left w:val="single" w:color="auto" w:sz="4" w:space="0"/>
              <w:bottom w:val="single" w:color="auto" w:sz="4" w:space="0"/>
              <w:right w:val="single" w:color="auto" w:sz="4" w:space="0"/>
            </w:tcBorders>
            <w:vAlign w:val="center"/>
          </w:tcPr>
          <w:p w14:paraId="7028CAD4">
            <w:pPr>
              <w:spacing w:line="360" w:lineRule="auto"/>
              <w:jc w:val="center"/>
              <w:rPr>
                <w:rFonts w:hint="eastAsia" w:ascii="宋体" w:hAnsi="宋体" w:eastAsia="宋体" w:cs="仿宋"/>
                <w:sz w:val="24"/>
                <w:szCs w:val="24"/>
              </w:rPr>
            </w:pPr>
            <w:r>
              <w:rPr>
                <w:rFonts w:hint="eastAsia" w:ascii="宋体" w:hAnsi="宋体" w:eastAsia="宋体" w:cs="仿宋"/>
                <w:sz w:val="24"/>
                <w:szCs w:val="24"/>
              </w:rPr>
              <w:t>9</w:t>
            </w:r>
          </w:p>
        </w:tc>
        <w:tc>
          <w:tcPr>
            <w:tcW w:w="1650" w:type="dxa"/>
            <w:tcBorders>
              <w:top w:val="single" w:color="auto" w:sz="4" w:space="0"/>
              <w:left w:val="single" w:color="auto" w:sz="4" w:space="0"/>
              <w:bottom w:val="single" w:color="auto" w:sz="4" w:space="0"/>
              <w:right w:val="single" w:color="auto" w:sz="4" w:space="0"/>
            </w:tcBorders>
            <w:vAlign w:val="center"/>
          </w:tcPr>
          <w:p w14:paraId="4D03F042">
            <w:pPr>
              <w:pStyle w:val="76"/>
              <w:widowControl/>
              <w:spacing w:before="100" w:beforeAutospacing="1" w:after="100" w:afterAutospacing="1"/>
              <w:ind w:firstLine="0" w:firstLineChars="0"/>
              <w:jc w:val="center"/>
              <w:rPr>
                <w:rFonts w:hint="eastAsia" w:ascii="宋体" w:hAnsi="宋体" w:eastAsia="宋体" w:cs="仿宋"/>
                <w:kern w:val="0"/>
                <w:sz w:val="24"/>
                <w:szCs w:val="24"/>
              </w:rPr>
            </w:pPr>
            <w:r>
              <w:rPr>
                <w:rFonts w:hint="eastAsia" w:ascii="宋体" w:hAnsi="宋体" w:eastAsia="宋体" w:cs="仿宋"/>
                <w:kern w:val="0"/>
                <w:sz w:val="24"/>
                <w:szCs w:val="24"/>
              </w:rPr>
              <w:t>电话系统维护工程师</w:t>
            </w:r>
          </w:p>
        </w:tc>
        <w:tc>
          <w:tcPr>
            <w:tcW w:w="2616" w:type="dxa"/>
            <w:tcBorders>
              <w:top w:val="single" w:color="auto" w:sz="4" w:space="0"/>
              <w:left w:val="single" w:color="auto" w:sz="4" w:space="0"/>
              <w:bottom w:val="single" w:color="auto" w:sz="4" w:space="0"/>
              <w:right w:val="single" w:color="auto" w:sz="4" w:space="0"/>
            </w:tcBorders>
            <w:vAlign w:val="center"/>
          </w:tcPr>
          <w:p w14:paraId="5DEC1CB8">
            <w:pPr>
              <w:pStyle w:val="76"/>
              <w:widowControl/>
              <w:spacing w:before="100" w:beforeAutospacing="1" w:after="100" w:afterAutospacing="1"/>
              <w:ind w:firstLine="0" w:firstLineChars="0"/>
              <w:rPr>
                <w:rFonts w:hint="eastAsia" w:ascii="宋体" w:hAnsi="宋体" w:eastAsia="宋体" w:cs="仿宋"/>
                <w:kern w:val="0"/>
                <w:sz w:val="24"/>
                <w:szCs w:val="24"/>
              </w:rPr>
            </w:pPr>
            <w:r>
              <w:rPr>
                <w:rFonts w:hint="eastAsia" w:ascii="宋体" w:hAnsi="宋体" w:eastAsia="宋体" w:cs="仿宋"/>
                <w:kern w:val="0"/>
                <w:sz w:val="24"/>
                <w:szCs w:val="24"/>
              </w:rPr>
              <w:t>负责电话交换系统及话机的运行维护工作，主要包括机务维护和线务维护服务</w:t>
            </w:r>
          </w:p>
        </w:tc>
        <w:tc>
          <w:tcPr>
            <w:tcW w:w="3639" w:type="dxa"/>
            <w:tcBorders>
              <w:top w:val="single" w:color="auto" w:sz="4" w:space="0"/>
              <w:left w:val="single" w:color="auto" w:sz="4" w:space="0"/>
              <w:bottom w:val="single" w:color="auto" w:sz="4" w:space="0"/>
              <w:right w:val="single" w:color="auto" w:sz="4" w:space="0"/>
            </w:tcBorders>
            <w:vAlign w:val="center"/>
          </w:tcPr>
          <w:p w14:paraId="40EDC402">
            <w:pPr>
              <w:pStyle w:val="76"/>
              <w:widowControl/>
              <w:spacing w:before="100" w:beforeAutospacing="1" w:after="100" w:afterAutospacing="1"/>
              <w:ind w:firstLine="0" w:firstLineChars="0"/>
              <w:rPr>
                <w:rFonts w:hint="eastAsia" w:ascii="宋体" w:hAnsi="宋体" w:eastAsia="宋体" w:cs="仿宋"/>
                <w:kern w:val="0"/>
                <w:sz w:val="24"/>
                <w:szCs w:val="24"/>
              </w:rPr>
            </w:pPr>
            <w:r>
              <w:rPr>
                <w:rFonts w:hint="eastAsia" w:ascii="宋体" w:hAnsi="宋体" w:eastAsia="宋体" w:cs="仿宋"/>
                <w:kern w:val="0"/>
                <w:sz w:val="24"/>
                <w:szCs w:val="24"/>
              </w:rPr>
              <w:t>熟悉通信系统，程控交换，传输、计算机硬件、网络等相关知识，具备Unify（ 西门子）和华为交换机操作能力。</w:t>
            </w:r>
          </w:p>
        </w:tc>
        <w:tc>
          <w:tcPr>
            <w:tcW w:w="1449" w:type="dxa"/>
            <w:tcBorders>
              <w:top w:val="single" w:color="auto" w:sz="4" w:space="0"/>
              <w:left w:val="single" w:color="auto" w:sz="4" w:space="0"/>
              <w:bottom w:val="single" w:color="auto" w:sz="4" w:space="0"/>
              <w:right w:val="single" w:color="auto" w:sz="4" w:space="0"/>
            </w:tcBorders>
            <w:vAlign w:val="center"/>
          </w:tcPr>
          <w:p w14:paraId="42679B6C">
            <w:pPr>
              <w:spacing w:line="360" w:lineRule="auto"/>
              <w:jc w:val="center"/>
              <w:rPr>
                <w:rFonts w:hint="eastAsia" w:ascii="宋体" w:hAnsi="宋体" w:eastAsia="宋体" w:cs="仿宋"/>
                <w:sz w:val="24"/>
                <w:szCs w:val="24"/>
              </w:rPr>
            </w:pPr>
            <w:r>
              <w:rPr>
                <w:rFonts w:hint="eastAsia" w:ascii="宋体" w:hAnsi="宋体" w:eastAsia="宋体" w:cs="仿宋"/>
                <w:sz w:val="24"/>
                <w:szCs w:val="24"/>
              </w:rPr>
              <w:t>不少于1人</w:t>
            </w:r>
          </w:p>
        </w:tc>
      </w:tr>
      <w:tr w14:paraId="36D27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4" w:hRule="atLeast"/>
          <w:jc w:val="center"/>
        </w:trPr>
        <w:tc>
          <w:tcPr>
            <w:tcW w:w="703" w:type="dxa"/>
            <w:tcBorders>
              <w:top w:val="single" w:color="auto" w:sz="4" w:space="0"/>
              <w:left w:val="single" w:color="auto" w:sz="4" w:space="0"/>
              <w:bottom w:val="single" w:color="auto" w:sz="4" w:space="0"/>
              <w:right w:val="single" w:color="auto" w:sz="4" w:space="0"/>
            </w:tcBorders>
            <w:vAlign w:val="center"/>
          </w:tcPr>
          <w:p w14:paraId="7252BD34">
            <w:pPr>
              <w:spacing w:line="360" w:lineRule="auto"/>
              <w:jc w:val="center"/>
              <w:rPr>
                <w:rFonts w:hint="eastAsia" w:ascii="宋体" w:hAnsi="宋体" w:eastAsia="宋体" w:cs="仿宋"/>
                <w:sz w:val="24"/>
                <w:szCs w:val="24"/>
              </w:rPr>
            </w:pPr>
            <w:r>
              <w:rPr>
                <w:rFonts w:hint="eastAsia" w:ascii="宋体" w:hAnsi="宋体" w:eastAsia="宋体" w:cs="仿宋"/>
                <w:sz w:val="24"/>
                <w:szCs w:val="24"/>
              </w:rPr>
              <w:t>10</w:t>
            </w:r>
          </w:p>
        </w:tc>
        <w:tc>
          <w:tcPr>
            <w:tcW w:w="1650" w:type="dxa"/>
            <w:tcBorders>
              <w:top w:val="single" w:color="auto" w:sz="4" w:space="0"/>
              <w:left w:val="single" w:color="auto" w:sz="4" w:space="0"/>
              <w:bottom w:val="single" w:color="auto" w:sz="4" w:space="0"/>
              <w:right w:val="single" w:color="auto" w:sz="4" w:space="0"/>
            </w:tcBorders>
            <w:vAlign w:val="center"/>
          </w:tcPr>
          <w:p w14:paraId="3AB220F8">
            <w:pPr>
              <w:pStyle w:val="76"/>
              <w:widowControl/>
              <w:spacing w:before="100" w:beforeAutospacing="1" w:after="100" w:afterAutospacing="1"/>
              <w:ind w:firstLine="0" w:firstLineChars="0"/>
              <w:jc w:val="center"/>
              <w:rPr>
                <w:rFonts w:hint="eastAsia" w:ascii="宋体" w:hAnsi="宋体" w:eastAsia="宋体" w:cs="仿宋"/>
                <w:kern w:val="0"/>
                <w:sz w:val="24"/>
                <w:szCs w:val="24"/>
              </w:rPr>
            </w:pPr>
            <w:r>
              <w:rPr>
                <w:rFonts w:hint="eastAsia" w:ascii="宋体" w:hAnsi="宋体" w:eastAsia="宋体" w:cs="仿宋"/>
                <w:kern w:val="0"/>
                <w:sz w:val="24"/>
                <w:szCs w:val="24"/>
              </w:rPr>
              <w:t>会议音响视频工程师</w:t>
            </w:r>
          </w:p>
        </w:tc>
        <w:tc>
          <w:tcPr>
            <w:tcW w:w="2616" w:type="dxa"/>
            <w:tcBorders>
              <w:top w:val="single" w:color="auto" w:sz="4" w:space="0"/>
              <w:left w:val="single" w:color="auto" w:sz="4" w:space="0"/>
              <w:bottom w:val="single" w:color="auto" w:sz="4" w:space="0"/>
              <w:right w:val="single" w:color="auto" w:sz="4" w:space="0"/>
            </w:tcBorders>
            <w:vAlign w:val="center"/>
          </w:tcPr>
          <w:p w14:paraId="373AB64A">
            <w:pPr>
              <w:pStyle w:val="76"/>
              <w:widowControl/>
              <w:spacing w:before="100" w:beforeAutospacing="1" w:after="100" w:afterAutospacing="1"/>
              <w:ind w:firstLine="0" w:firstLineChars="0"/>
              <w:rPr>
                <w:rFonts w:hint="eastAsia" w:ascii="宋体" w:hAnsi="宋体" w:eastAsia="宋体" w:cs="仿宋"/>
                <w:kern w:val="0"/>
                <w:sz w:val="24"/>
                <w:szCs w:val="24"/>
              </w:rPr>
            </w:pPr>
            <w:r>
              <w:rPr>
                <w:rFonts w:hint="eastAsia" w:ascii="宋体" w:hAnsi="宋体" w:eastAsia="宋体" w:cs="仿宋"/>
                <w:kern w:val="0"/>
                <w:sz w:val="24"/>
                <w:szCs w:val="24"/>
              </w:rPr>
              <w:t>负责会议室视、音频设备的运行保障工作，负责视频会议技术保障及跟会技术支持服务，定期对会议设备进行巡检，及时进行故障排查。</w:t>
            </w:r>
          </w:p>
        </w:tc>
        <w:tc>
          <w:tcPr>
            <w:tcW w:w="3639" w:type="dxa"/>
            <w:tcBorders>
              <w:top w:val="single" w:color="auto" w:sz="4" w:space="0"/>
              <w:left w:val="single" w:color="auto" w:sz="4" w:space="0"/>
              <w:bottom w:val="single" w:color="auto" w:sz="4" w:space="0"/>
              <w:right w:val="single" w:color="auto" w:sz="4" w:space="0"/>
            </w:tcBorders>
            <w:vAlign w:val="center"/>
          </w:tcPr>
          <w:p w14:paraId="281A89B5">
            <w:pPr>
              <w:pStyle w:val="76"/>
              <w:widowControl/>
              <w:spacing w:before="100" w:beforeAutospacing="1" w:after="100" w:afterAutospacing="1"/>
              <w:ind w:firstLine="0" w:firstLineChars="0"/>
              <w:rPr>
                <w:rFonts w:hint="eastAsia" w:ascii="宋体" w:hAnsi="宋体" w:eastAsia="宋体" w:cs="仿宋"/>
                <w:kern w:val="0"/>
                <w:sz w:val="24"/>
                <w:szCs w:val="24"/>
              </w:rPr>
            </w:pPr>
            <w:r>
              <w:rPr>
                <w:rFonts w:hint="eastAsia" w:ascii="宋体" w:hAnsi="宋体" w:eastAsia="宋体" w:cs="仿宋"/>
                <w:kern w:val="0"/>
                <w:sz w:val="24"/>
                <w:szCs w:val="24"/>
              </w:rPr>
              <w:t>了解音、视频相关设备的基本特性，基本掌握音视频会议系统的工作原理，掌握线路和各种器材的接驳方式，能够处理各种安装头、线缆和器材的连接问题。具备视频会议设备配置、故障排查及解决能力。</w:t>
            </w:r>
          </w:p>
        </w:tc>
        <w:tc>
          <w:tcPr>
            <w:tcW w:w="1449" w:type="dxa"/>
            <w:tcBorders>
              <w:top w:val="single" w:color="auto" w:sz="4" w:space="0"/>
              <w:left w:val="single" w:color="auto" w:sz="4" w:space="0"/>
              <w:bottom w:val="single" w:color="auto" w:sz="4" w:space="0"/>
              <w:right w:val="single" w:color="auto" w:sz="4" w:space="0"/>
            </w:tcBorders>
            <w:vAlign w:val="center"/>
          </w:tcPr>
          <w:p w14:paraId="4CABF79C">
            <w:pPr>
              <w:spacing w:line="360" w:lineRule="auto"/>
              <w:jc w:val="center"/>
              <w:rPr>
                <w:rFonts w:hint="eastAsia" w:ascii="宋体" w:hAnsi="宋体" w:eastAsia="宋体" w:cs="仿宋"/>
                <w:sz w:val="24"/>
                <w:szCs w:val="24"/>
              </w:rPr>
            </w:pPr>
            <w:r>
              <w:rPr>
                <w:rFonts w:hint="eastAsia" w:ascii="宋体" w:hAnsi="宋体" w:eastAsia="宋体" w:cs="仿宋"/>
                <w:sz w:val="24"/>
                <w:szCs w:val="24"/>
              </w:rPr>
              <w:t>不少于2人</w:t>
            </w:r>
          </w:p>
        </w:tc>
      </w:tr>
      <w:tr w14:paraId="42C8E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8608" w:type="dxa"/>
            <w:gridSpan w:val="4"/>
            <w:tcBorders>
              <w:top w:val="single" w:color="auto" w:sz="4" w:space="0"/>
              <w:left w:val="single" w:color="auto" w:sz="4" w:space="0"/>
              <w:bottom w:val="single" w:color="auto" w:sz="4" w:space="0"/>
              <w:right w:val="single" w:color="auto" w:sz="4" w:space="0"/>
            </w:tcBorders>
            <w:vAlign w:val="center"/>
          </w:tcPr>
          <w:p w14:paraId="4C7FCB17">
            <w:pPr>
              <w:spacing w:line="360" w:lineRule="auto"/>
              <w:ind w:firstLine="964" w:firstLineChars="400"/>
              <w:rPr>
                <w:rFonts w:hint="eastAsia" w:ascii="宋体" w:hAnsi="宋体" w:eastAsia="宋体" w:cs="仿宋"/>
                <w:b/>
                <w:sz w:val="24"/>
                <w:szCs w:val="24"/>
              </w:rPr>
            </w:pPr>
            <w:r>
              <w:rPr>
                <w:rFonts w:hint="eastAsia" w:ascii="宋体" w:hAnsi="宋体" w:eastAsia="宋体" w:cs="仿宋"/>
                <w:b/>
                <w:sz w:val="24"/>
                <w:szCs w:val="24"/>
              </w:rPr>
              <w:t>合计</w:t>
            </w:r>
          </w:p>
        </w:tc>
        <w:tc>
          <w:tcPr>
            <w:tcW w:w="1449" w:type="dxa"/>
            <w:tcBorders>
              <w:top w:val="single" w:color="auto" w:sz="4" w:space="0"/>
              <w:left w:val="single" w:color="auto" w:sz="4" w:space="0"/>
              <w:bottom w:val="single" w:color="auto" w:sz="4" w:space="0"/>
              <w:right w:val="single" w:color="auto" w:sz="4" w:space="0"/>
            </w:tcBorders>
            <w:vAlign w:val="center"/>
          </w:tcPr>
          <w:p w14:paraId="4097C958">
            <w:pPr>
              <w:spacing w:line="360" w:lineRule="auto"/>
              <w:jc w:val="center"/>
              <w:rPr>
                <w:rFonts w:hint="eastAsia" w:ascii="宋体" w:hAnsi="宋体" w:eastAsia="宋体" w:cs="仿宋"/>
                <w:b/>
                <w:sz w:val="24"/>
                <w:szCs w:val="24"/>
              </w:rPr>
            </w:pPr>
            <w:r>
              <w:rPr>
                <w:rFonts w:hint="eastAsia" w:ascii="宋体" w:hAnsi="宋体" w:eastAsia="宋体" w:cs="仿宋"/>
                <w:b/>
                <w:sz w:val="24"/>
                <w:szCs w:val="24"/>
              </w:rPr>
              <w:t>不少于18人</w:t>
            </w:r>
          </w:p>
        </w:tc>
      </w:tr>
    </w:tbl>
    <w:p w14:paraId="595C60B7">
      <w:pPr>
        <w:spacing w:line="360" w:lineRule="auto"/>
        <w:rPr>
          <w:bCs/>
          <w:sz w:val="24"/>
        </w:rPr>
      </w:pPr>
    </w:p>
    <w:p w14:paraId="0BD99CE2">
      <w:pPr>
        <w:spacing w:line="360" w:lineRule="auto"/>
        <w:ind w:firstLine="482" w:firstLineChars="200"/>
        <w:rPr>
          <w:b/>
          <w:sz w:val="24"/>
        </w:rPr>
      </w:pPr>
      <w:r>
        <w:rPr>
          <w:rFonts w:hint="eastAsia"/>
          <w:b/>
          <w:sz w:val="24"/>
          <w:lang w:eastAsia="zh-CN"/>
        </w:rPr>
        <w:t>三</w:t>
      </w:r>
      <w:r>
        <w:rPr>
          <w:rFonts w:hint="eastAsia"/>
          <w:b/>
          <w:sz w:val="24"/>
        </w:rPr>
        <w:t>、验收标准</w:t>
      </w:r>
    </w:p>
    <w:p w14:paraId="210F57D2">
      <w:pPr>
        <w:spacing w:line="360" w:lineRule="auto"/>
        <w:ind w:firstLine="480" w:firstLineChars="200"/>
        <w:rPr>
          <w:rFonts w:hint="eastAsia"/>
          <w:bCs/>
          <w:sz w:val="24"/>
        </w:rPr>
      </w:pPr>
      <w:r>
        <w:rPr>
          <w:rFonts w:hint="eastAsia"/>
          <w:bCs/>
          <w:sz w:val="24"/>
        </w:rPr>
        <w:t>1、履约验收时间</w:t>
      </w:r>
    </w:p>
    <w:p w14:paraId="64A8DF6A">
      <w:pPr>
        <w:spacing w:line="360" w:lineRule="auto"/>
        <w:ind w:firstLine="480" w:firstLineChars="200"/>
        <w:rPr>
          <w:rFonts w:hint="eastAsia"/>
          <w:bCs/>
          <w:sz w:val="24"/>
        </w:rPr>
      </w:pPr>
      <w:r>
        <w:rPr>
          <w:rFonts w:hint="eastAsia"/>
          <w:bCs/>
          <w:sz w:val="24"/>
        </w:rPr>
        <w:t xml:space="preserve">    每次付款前和合同履行结束后                      </w:t>
      </w:r>
    </w:p>
    <w:p w14:paraId="3D8FD454">
      <w:pPr>
        <w:spacing w:line="360" w:lineRule="auto"/>
        <w:ind w:firstLine="480" w:firstLineChars="200"/>
        <w:rPr>
          <w:rFonts w:hint="eastAsia"/>
          <w:bCs/>
          <w:sz w:val="24"/>
        </w:rPr>
      </w:pPr>
      <w:r>
        <w:rPr>
          <w:rFonts w:hint="eastAsia"/>
          <w:bCs/>
          <w:sz w:val="24"/>
        </w:rPr>
        <w:t>2、履约验收方式</w:t>
      </w:r>
    </w:p>
    <w:p w14:paraId="51D166CB">
      <w:pPr>
        <w:spacing w:line="360" w:lineRule="auto"/>
        <w:ind w:firstLine="480" w:firstLineChars="200"/>
        <w:rPr>
          <w:rFonts w:hint="eastAsia"/>
          <w:bCs/>
          <w:sz w:val="24"/>
        </w:rPr>
      </w:pPr>
      <w:r>
        <w:rPr>
          <w:rFonts w:hint="eastAsia"/>
          <w:bCs/>
          <w:sz w:val="24"/>
        </w:rPr>
        <w:t xml:space="preserve">    采购人根据项目完成情况填写验收报告并经审核后盖章    </w:t>
      </w:r>
    </w:p>
    <w:p w14:paraId="69615023">
      <w:pPr>
        <w:spacing w:line="360" w:lineRule="auto"/>
        <w:ind w:firstLine="480" w:firstLineChars="200"/>
        <w:rPr>
          <w:rFonts w:hint="eastAsia"/>
          <w:bCs/>
          <w:sz w:val="24"/>
        </w:rPr>
      </w:pPr>
      <w:r>
        <w:rPr>
          <w:rFonts w:hint="eastAsia"/>
          <w:bCs/>
          <w:sz w:val="24"/>
        </w:rPr>
        <w:t>3、履约验收程序</w:t>
      </w:r>
    </w:p>
    <w:p w14:paraId="554C391D">
      <w:pPr>
        <w:spacing w:line="360" w:lineRule="auto"/>
        <w:ind w:firstLine="480" w:firstLineChars="200"/>
        <w:rPr>
          <w:rFonts w:hint="eastAsia"/>
          <w:bCs/>
          <w:sz w:val="24"/>
        </w:rPr>
      </w:pPr>
      <w:r>
        <w:rPr>
          <w:rFonts w:hint="eastAsia"/>
          <w:bCs/>
          <w:sz w:val="24"/>
        </w:rPr>
        <w:t xml:space="preserve">    每次付款前采购人会同成交供应商根据项目完成情况填写验收报告并经采购人审核盖章，合同履行结束后由采购人保存全部验收资料及手续文件。             </w:t>
      </w:r>
    </w:p>
    <w:p w14:paraId="6837E4AD">
      <w:pPr>
        <w:spacing w:line="360" w:lineRule="auto"/>
        <w:ind w:firstLine="480" w:firstLineChars="200"/>
        <w:rPr>
          <w:rFonts w:hint="eastAsia"/>
          <w:bCs/>
          <w:sz w:val="24"/>
        </w:rPr>
      </w:pPr>
      <w:r>
        <w:rPr>
          <w:rFonts w:hint="eastAsia"/>
          <w:bCs/>
          <w:sz w:val="24"/>
        </w:rPr>
        <w:t>4、履约验收内容</w:t>
      </w:r>
    </w:p>
    <w:p w14:paraId="434CA434">
      <w:pPr>
        <w:spacing w:line="360" w:lineRule="auto"/>
        <w:ind w:firstLine="480" w:firstLineChars="200"/>
        <w:rPr>
          <w:rFonts w:hint="eastAsia"/>
          <w:bCs/>
          <w:sz w:val="24"/>
        </w:rPr>
      </w:pPr>
      <w:r>
        <w:rPr>
          <w:rFonts w:hint="eastAsia"/>
          <w:bCs/>
          <w:sz w:val="24"/>
        </w:rPr>
        <w:t xml:space="preserve">    本项目全部运维内容及拟派人员情况。         </w:t>
      </w:r>
    </w:p>
    <w:p w14:paraId="6E44332F">
      <w:pPr>
        <w:spacing w:line="360" w:lineRule="auto"/>
        <w:ind w:firstLine="480" w:firstLineChars="200"/>
        <w:rPr>
          <w:rFonts w:hint="eastAsia"/>
          <w:bCs/>
          <w:sz w:val="24"/>
        </w:rPr>
      </w:pPr>
      <w:r>
        <w:rPr>
          <w:rFonts w:hint="eastAsia"/>
          <w:bCs/>
          <w:sz w:val="24"/>
        </w:rPr>
        <w:t>5、履约验收验收标准</w:t>
      </w:r>
    </w:p>
    <w:p w14:paraId="58D2965F">
      <w:pPr>
        <w:spacing w:line="360" w:lineRule="auto"/>
        <w:ind w:firstLine="480" w:firstLineChars="200"/>
        <w:rPr>
          <w:rFonts w:ascii="Times New Roman" w:hAnsi="Times New Roman" w:cs="Times New Roman"/>
          <w:sz w:val="24"/>
        </w:rPr>
        <w:sectPr>
          <w:headerReference r:id="rId3" w:type="default"/>
          <w:pgSz w:w="11906" w:h="16838"/>
          <w:pgMar w:top="1440" w:right="1800" w:bottom="1440" w:left="1800" w:header="851" w:footer="992" w:gutter="0"/>
          <w:cols w:space="425" w:num="1"/>
          <w:docGrid w:type="lines" w:linePitch="312" w:charSpace="0"/>
        </w:sectPr>
      </w:pPr>
      <w:r>
        <w:rPr>
          <w:rFonts w:hint="eastAsia"/>
          <w:bCs/>
          <w:sz w:val="24"/>
        </w:rPr>
        <w:t>按照采购合同的约定和现行国家标准、行业标准、地方标准进行验收，包括所有客观、量化指标。</w:t>
      </w:r>
    </w:p>
    <w:p w14:paraId="19C272CB">
      <w:pPr>
        <w:spacing w:line="240" w:lineRule="auto"/>
        <w:rPr>
          <w:rFonts w:hint="eastAsia" w:ascii="Times New Roman" w:hAnsi="Times New Roman" w:cs="Times New Roman"/>
          <w:sz w:val="24"/>
        </w:rPr>
      </w:pPr>
    </w:p>
    <w:p w14:paraId="46A4D68A">
      <w:pPr>
        <w:widowControl/>
        <w:jc w:val="left"/>
        <w:rPr>
          <w:sz w:val="24"/>
        </w:rPr>
      </w:pPr>
    </w:p>
    <w:p w14:paraId="6CBB784F">
      <w:pPr>
        <w:pStyle w:val="15"/>
        <w:rPr>
          <w:rFonts w:ascii="Times New Roman" w:hAnsi="Times New Roman"/>
        </w:rPr>
      </w:pPr>
      <w:r>
        <w:rPr>
          <w:rFonts w:ascii="Times New Roman" w:hAnsiTheme="minorEastAsia"/>
        </w:rPr>
        <w:t>第三部分投标须知</w:t>
      </w:r>
    </w:p>
    <w:p w14:paraId="085D0013">
      <w:pPr>
        <w:pStyle w:val="31"/>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 xml:space="preserve">A  </w:t>
      </w:r>
      <w:r>
        <w:rPr>
          <w:rFonts w:ascii="Times New Roman" w:eastAsia="宋体" w:cs="Times New Roman" w:hAnsiTheme="minorEastAsia"/>
          <w:color w:val="auto"/>
        </w:rPr>
        <w:t>说明</w:t>
      </w:r>
    </w:p>
    <w:p w14:paraId="06C63F8D">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1. </w:t>
      </w:r>
      <w:r>
        <w:rPr>
          <w:rFonts w:ascii="Times New Roman" w:eastAsia="宋体" w:cs="Times New Roman" w:hAnsiTheme="minorEastAsia"/>
          <w:color w:val="auto"/>
        </w:rPr>
        <w:t>概述</w:t>
      </w:r>
    </w:p>
    <w:p w14:paraId="55293972">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1.1 </w:t>
      </w:r>
      <w:r>
        <w:rPr>
          <w:rFonts w:ascii="Times New Roman" w:eastAsia="宋体" w:cs="Times New Roman" w:hAnsiTheme="minorEastAsia"/>
          <w:color w:val="auto"/>
        </w:rPr>
        <w:t>根据《中华人民共和国政府采购法》、《中华人民共和国政府采购法实施条例》《中华人民共和国招标投标法》等有关法律、法规和规章的规定，本采购项目已具备招标条件。</w:t>
      </w:r>
    </w:p>
    <w:p w14:paraId="5B936427">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1.2 </w:t>
      </w:r>
      <w:r>
        <w:rPr>
          <w:rFonts w:ascii="Times New Roman" w:eastAsia="宋体" w:cs="Times New Roman" w:hAnsiTheme="minorEastAsia"/>
          <w:color w:val="auto"/>
        </w:rPr>
        <w:t>本招标文件仅适用于投标邀请函中所叙述项目货物和服务的采购。</w:t>
      </w:r>
    </w:p>
    <w:p w14:paraId="35D313F9">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1.3 </w:t>
      </w:r>
      <w:r>
        <w:rPr>
          <w:rFonts w:ascii="Times New Roman" w:eastAsia="宋体" w:cs="Times New Roman" w:hAnsiTheme="minorEastAsia"/>
          <w:color w:val="auto"/>
        </w:rPr>
        <w:t>参与招标投标活动的所有各方，对在参与招标投标过程中获悉的国家、商业和技术秘密以及其它依法应当保密的内容，均负有保密义务，违者应对由此造成的后果承担全部法律责任。</w:t>
      </w:r>
    </w:p>
    <w:p w14:paraId="78B365D5">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2. </w:t>
      </w:r>
      <w:r>
        <w:rPr>
          <w:rFonts w:ascii="Times New Roman" w:eastAsia="宋体" w:cs="Times New Roman" w:hAnsiTheme="minorEastAsia"/>
          <w:color w:val="auto"/>
        </w:rPr>
        <w:t>定义</w:t>
      </w:r>
    </w:p>
    <w:p w14:paraId="791917B0">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2.1 “</w:t>
      </w:r>
      <w:r>
        <w:rPr>
          <w:rFonts w:ascii="Times New Roman" w:eastAsia="宋体" w:cs="Times New Roman" w:hAnsiTheme="minorEastAsia"/>
          <w:color w:val="auto"/>
        </w:rPr>
        <w:t>采购人</w:t>
      </w:r>
      <w:r>
        <w:rPr>
          <w:rFonts w:ascii="Times New Roman" w:hAnsi="Times New Roman" w:eastAsia="宋体" w:cs="Times New Roman"/>
          <w:color w:val="auto"/>
        </w:rPr>
        <w:t>”</w:t>
      </w:r>
      <w:r>
        <w:rPr>
          <w:rFonts w:ascii="Times New Roman" w:eastAsia="宋体" w:cs="Times New Roman" w:hAnsiTheme="minorEastAsia"/>
          <w:color w:val="auto"/>
        </w:rPr>
        <w:t>和</w:t>
      </w:r>
      <w:r>
        <w:rPr>
          <w:rFonts w:ascii="Times New Roman" w:hAnsi="Times New Roman" w:eastAsia="宋体" w:cs="Times New Roman"/>
          <w:color w:val="auto"/>
        </w:rPr>
        <w:t>“</w:t>
      </w:r>
      <w:r>
        <w:rPr>
          <w:rFonts w:ascii="Times New Roman" w:eastAsia="宋体" w:cs="Times New Roman" w:hAnsiTheme="minorEastAsia"/>
          <w:color w:val="auto"/>
        </w:rPr>
        <w:t>招标人</w:t>
      </w:r>
      <w:r>
        <w:rPr>
          <w:rFonts w:ascii="Times New Roman" w:hAnsi="Times New Roman" w:eastAsia="宋体" w:cs="Times New Roman"/>
          <w:color w:val="auto"/>
        </w:rPr>
        <w:t>”</w:t>
      </w:r>
      <w:r>
        <w:rPr>
          <w:rFonts w:ascii="Times New Roman" w:eastAsia="宋体" w:cs="Times New Roman" w:hAnsiTheme="minorEastAsia"/>
          <w:color w:val="auto"/>
        </w:rPr>
        <w:t>系指本次招标活动的采购单位。</w:t>
      </w:r>
      <w:r>
        <w:rPr>
          <w:rFonts w:ascii="Times New Roman" w:hAnsi="Times New Roman" w:eastAsia="宋体" w:cs="Times New Roman"/>
          <w:color w:val="auto"/>
        </w:rPr>
        <w:t>“</w:t>
      </w:r>
      <w:r>
        <w:rPr>
          <w:rFonts w:ascii="Times New Roman" w:eastAsia="宋体" w:cs="Times New Roman" w:hAnsiTheme="minorEastAsia"/>
          <w:color w:val="auto"/>
        </w:rPr>
        <w:t>采购代理机构</w:t>
      </w:r>
      <w:r>
        <w:rPr>
          <w:rFonts w:ascii="Times New Roman" w:hAnsi="Times New Roman" w:eastAsia="宋体" w:cs="Times New Roman"/>
          <w:color w:val="auto"/>
        </w:rPr>
        <w:t>”</w:t>
      </w:r>
      <w:r>
        <w:rPr>
          <w:rFonts w:ascii="Times New Roman" w:eastAsia="宋体" w:cs="Times New Roman" w:hAnsiTheme="minorEastAsia"/>
          <w:color w:val="auto"/>
        </w:rPr>
        <w:t>系指组织本次招标活动的机构，即</w:t>
      </w:r>
      <w:r>
        <w:rPr>
          <w:rFonts w:ascii="Times New Roman" w:hAnsi="Times New Roman" w:eastAsia="宋体" w:cs="Times New Roman"/>
          <w:color w:val="auto"/>
        </w:rPr>
        <w:t>“</w:t>
      </w:r>
      <w:r>
        <w:rPr>
          <w:rFonts w:ascii="Times New Roman" w:eastAsia="宋体" w:cs="Times New Roman" w:hAnsiTheme="minorEastAsia"/>
          <w:color w:val="auto"/>
        </w:rPr>
        <w:t>天津市滨海新区政府采购中心</w:t>
      </w:r>
      <w:r>
        <w:rPr>
          <w:rFonts w:ascii="Times New Roman" w:hAnsi="Times New Roman" w:eastAsia="宋体" w:cs="Times New Roman"/>
          <w:color w:val="auto"/>
        </w:rPr>
        <w:t>”</w:t>
      </w:r>
      <w:r>
        <w:rPr>
          <w:rFonts w:ascii="Times New Roman" w:eastAsia="宋体" w:cs="Times New Roman" w:hAnsiTheme="minorEastAsia"/>
          <w:color w:val="auto"/>
        </w:rPr>
        <w:t>。</w:t>
      </w:r>
    </w:p>
    <w:p w14:paraId="6357F5E7">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2.2 “</w:t>
      </w:r>
      <w:r>
        <w:rPr>
          <w:rFonts w:ascii="Times New Roman" w:eastAsia="宋体" w:cs="Times New Roman" w:hAnsiTheme="minorEastAsia"/>
          <w:color w:val="auto"/>
        </w:rPr>
        <w:t>投标人</w:t>
      </w:r>
      <w:r>
        <w:rPr>
          <w:rFonts w:ascii="Times New Roman" w:hAnsi="Times New Roman" w:eastAsia="宋体" w:cs="Times New Roman"/>
          <w:color w:val="auto"/>
        </w:rPr>
        <w:t>”</w:t>
      </w:r>
      <w:r>
        <w:rPr>
          <w:rFonts w:ascii="Times New Roman" w:eastAsia="宋体" w:cs="Times New Roman" w:hAnsiTheme="minorEastAsia"/>
          <w:color w:val="auto"/>
        </w:rPr>
        <w:t>系指</w:t>
      </w:r>
      <w:r>
        <w:rPr>
          <w:rFonts w:hint="eastAsia" w:ascii="Times New Roman" w:eastAsia="宋体" w:cs="Times New Roman" w:hAnsiTheme="minorEastAsia"/>
          <w:color w:val="auto"/>
        </w:rPr>
        <w:t>响应招标、参加投标竞争的法人、其他组织或者自然人。</w:t>
      </w:r>
    </w:p>
    <w:p w14:paraId="765D7E8F">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2.3 “</w:t>
      </w:r>
      <w:r>
        <w:rPr>
          <w:rFonts w:ascii="Times New Roman" w:eastAsia="宋体" w:cs="Times New Roman" w:hAnsiTheme="minorEastAsia"/>
          <w:color w:val="auto"/>
        </w:rPr>
        <w:t>服务</w:t>
      </w:r>
      <w:r>
        <w:rPr>
          <w:rFonts w:ascii="Times New Roman" w:hAnsi="Times New Roman" w:eastAsia="宋体" w:cs="Times New Roman"/>
          <w:color w:val="auto"/>
        </w:rPr>
        <w:t>”</w:t>
      </w:r>
      <w:r>
        <w:rPr>
          <w:rFonts w:ascii="Times New Roman" w:eastAsia="宋体" w:cs="Times New Roman" w:hAnsiTheme="minorEastAsia"/>
          <w:color w:val="auto"/>
          <w:szCs w:val="21"/>
        </w:rPr>
        <w:t>系指招标文件规定的投标人为完成采购项目所需承担的全部义务。</w:t>
      </w:r>
    </w:p>
    <w:p w14:paraId="35695744">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3. </w:t>
      </w:r>
      <w:r>
        <w:rPr>
          <w:rFonts w:ascii="Times New Roman" w:eastAsia="宋体" w:cs="Times New Roman" w:hAnsiTheme="minorEastAsia"/>
          <w:color w:val="auto"/>
        </w:rPr>
        <w:t>解释权</w:t>
      </w:r>
    </w:p>
    <w:p w14:paraId="13657527">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3.1 </w:t>
      </w:r>
      <w:r>
        <w:rPr>
          <w:rFonts w:ascii="Times New Roman" w:eastAsia="宋体" w:cs="Times New Roman" w:hAnsiTheme="minorEastAsia"/>
          <w:color w:val="auto"/>
        </w:rPr>
        <w:t>本次招投标的最终解释权归为采购人、采购代理机构。</w:t>
      </w:r>
    </w:p>
    <w:p w14:paraId="67AA6988">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3.2 </w:t>
      </w:r>
      <w:r>
        <w:rPr>
          <w:rFonts w:ascii="Times New Roman" w:eastAsia="宋体" w:cs="Times New Roman" w:hAnsiTheme="minorEastAsia"/>
          <w:color w:val="auto"/>
        </w:rPr>
        <w:t>本文件未作须知明示，而又有相关法律、法规规定的，采购人、采购代理机构将对此解释为依据有关法律、法规的规定。</w:t>
      </w:r>
    </w:p>
    <w:p w14:paraId="6D672E8C">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4. </w:t>
      </w:r>
      <w:r>
        <w:rPr>
          <w:rFonts w:ascii="Times New Roman" w:eastAsia="宋体" w:cs="Times New Roman" w:hAnsiTheme="minorEastAsia"/>
          <w:color w:val="auto"/>
        </w:rPr>
        <w:t>合格的投标人</w:t>
      </w:r>
    </w:p>
    <w:p w14:paraId="30F71106">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4.1 </w:t>
      </w:r>
      <w:r>
        <w:rPr>
          <w:rFonts w:ascii="Times New Roman" w:eastAsia="宋体" w:cs="Times New Roman" w:hAnsiTheme="minorEastAsia"/>
          <w:color w:val="auto"/>
        </w:rPr>
        <w:t>符合《中华人民共和国政府采购法》第二十二条供应商参加政府采购活动应当具备的条件及其他有关法律、法规关于供应商的有关规定，有能力提供招标采购服务的供应商。</w:t>
      </w:r>
    </w:p>
    <w:p w14:paraId="5062F36B">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4.2 </w:t>
      </w:r>
      <w:r>
        <w:rPr>
          <w:rFonts w:ascii="Times New Roman" w:eastAsia="宋体" w:cs="Times New Roman" w:hAnsiTheme="minorEastAsia"/>
          <w:color w:val="auto"/>
        </w:rPr>
        <w:t>符合《投标邀请函》中关于供应商资格要求（实质性要求）的规定。</w:t>
      </w:r>
    </w:p>
    <w:p w14:paraId="457E54E6">
      <w:pPr>
        <w:pStyle w:val="31"/>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 xml:space="preserve">4.3 </w:t>
      </w:r>
      <w:r>
        <w:rPr>
          <w:rFonts w:ascii="Times New Roman" w:eastAsia="宋体" w:cs="Times New Roman" w:hAnsiTheme="minorEastAsia"/>
          <w:color w:val="auto"/>
        </w:rPr>
        <w:t>关于联合体投标</w:t>
      </w:r>
    </w:p>
    <w:p w14:paraId="0046EEF4">
      <w:pPr>
        <w:pStyle w:val="31"/>
        <w:spacing w:line="360" w:lineRule="auto"/>
        <w:ind w:firstLine="448" w:firstLineChars="200"/>
        <w:rPr>
          <w:rFonts w:ascii="Times New Roman" w:hAnsi="Times New Roman" w:eastAsia="宋体" w:cs="Times New Roman"/>
          <w:color w:val="auto"/>
        </w:rPr>
      </w:pPr>
      <w:r>
        <w:rPr>
          <w:rFonts w:hint="eastAsia" w:ascii="Times New Roman" w:eastAsia="宋体" w:cs="Times New Roman" w:hAnsiTheme="minorEastAsia"/>
          <w:color w:val="auto"/>
        </w:rPr>
        <w:t>若</w:t>
      </w:r>
      <w:r>
        <w:rPr>
          <w:rFonts w:ascii="Times New Roman" w:eastAsia="宋体" w:cs="Times New Roman" w:hAnsiTheme="minorEastAsia"/>
          <w:color w:val="auto"/>
        </w:rPr>
        <w:t>《投标邀请函》接受联合体投标的：</w:t>
      </w:r>
    </w:p>
    <w:p w14:paraId="514A52CB">
      <w:pPr>
        <w:pStyle w:val="31"/>
        <w:spacing w:line="360" w:lineRule="auto"/>
        <w:ind w:firstLine="448" w:firstLineChars="200"/>
        <w:rPr>
          <w:rFonts w:ascii="Times New Roman" w:hAnsi="Times New Roman" w:eastAsia="宋体" w:cs="Times New Roman"/>
          <w:color w:val="auto"/>
        </w:rPr>
      </w:pPr>
      <w:r>
        <w:rPr>
          <w:rFonts w:ascii="Times New Roman" w:eastAsia="宋体" w:cs="Times New Roman" w:hAnsiTheme="minorEastAsia"/>
          <w:color w:val="auto"/>
        </w:rPr>
        <w:t>（</w:t>
      </w:r>
      <w:r>
        <w:rPr>
          <w:rFonts w:ascii="Times New Roman" w:hAnsi="Times New Roman" w:eastAsia="宋体" w:cs="Times New Roman"/>
          <w:color w:val="auto"/>
        </w:rPr>
        <w:t>1</w:t>
      </w:r>
      <w:r>
        <w:rPr>
          <w:rFonts w:ascii="Times New Roman" w:eastAsia="宋体" w:cs="Times New Roman" w:hAnsiTheme="minorEastAsia"/>
          <w:color w:val="auto"/>
        </w:rPr>
        <w:t>）两个以上的自然人、法人或者其他组织可以组成一个联合体，以一个供应商的身份共同参加政府采购。</w:t>
      </w:r>
    </w:p>
    <w:p w14:paraId="50B871AC">
      <w:pPr>
        <w:pStyle w:val="31"/>
        <w:spacing w:line="360" w:lineRule="auto"/>
        <w:ind w:firstLine="448" w:firstLineChars="200"/>
        <w:rPr>
          <w:rFonts w:ascii="Times New Roman" w:hAnsi="Times New Roman" w:eastAsia="宋体" w:cs="Times New Roman"/>
          <w:color w:val="auto"/>
        </w:rPr>
      </w:pPr>
      <w:r>
        <w:rPr>
          <w:rFonts w:ascii="Times New Roman" w:eastAsia="宋体" w:cs="Times New Roman" w:hAnsiTheme="minorEastAsia"/>
          <w:color w:val="auto"/>
        </w:rPr>
        <w:t>（</w:t>
      </w:r>
      <w:r>
        <w:rPr>
          <w:rFonts w:ascii="Times New Roman" w:hAnsi="Times New Roman" w:eastAsia="宋体" w:cs="Times New Roman"/>
          <w:color w:val="auto"/>
        </w:rPr>
        <w:t>2</w:t>
      </w:r>
      <w:r>
        <w:rPr>
          <w:rFonts w:ascii="Times New Roman" w:eastAsia="宋体" w:cs="Times New Roman" w:hAnsiTheme="minorEastAsia"/>
          <w:color w:val="auto"/>
        </w:rPr>
        <w:t>）联合体各方均应当符合《政府采购法》第二十二条第一款规定的条件，根据采购项目的特殊要求规定投标人特定条件的，联合体各方中至少应当有一方符合《投标邀请函》规定的供应商资格条件（实质性</w:t>
      </w:r>
      <w:r>
        <w:rPr>
          <w:rFonts w:hint="eastAsia" w:ascii="Times New Roman" w:eastAsia="宋体" w:cs="Times New Roman" w:hAnsiTheme="minorEastAsia"/>
          <w:color w:val="auto"/>
        </w:rPr>
        <w:t>要求</w:t>
      </w:r>
      <w:r>
        <w:rPr>
          <w:rFonts w:ascii="Times New Roman" w:eastAsia="宋体" w:cs="Times New Roman" w:hAnsiTheme="minorEastAsia"/>
          <w:color w:val="auto"/>
        </w:rPr>
        <w:t>）。</w:t>
      </w:r>
    </w:p>
    <w:p w14:paraId="42B94742">
      <w:pPr>
        <w:pStyle w:val="31"/>
        <w:spacing w:line="360" w:lineRule="auto"/>
        <w:ind w:firstLine="448" w:firstLineChars="200"/>
        <w:rPr>
          <w:rFonts w:ascii="Times New Roman" w:eastAsia="宋体" w:cs="Times New Roman" w:hAnsiTheme="minorEastAsia"/>
          <w:color w:val="auto"/>
        </w:rPr>
      </w:pPr>
      <w:r>
        <w:rPr>
          <w:rFonts w:ascii="Times New Roman" w:eastAsia="宋体" w:cs="Times New Roman" w:hAnsiTheme="minorEastAsia"/>
          <w:color w:val="auto"/>
        </w:rPr>
        <w:t>（</w:t>
      </w:r>
      <w:r>
        <w:rPr>
          <w:rFonts w:ascii="Times New Roman" w:hAnsi="Times New Roman" w:eastAsia="宋体" w:cs="Times New Roman"/>
          <w:color w:val="auto"/>
        </w:rPr>
        <w:t>3</w:t>
      </w:r>
      <w:r>
        <w:rPr>
          <w:rFonts w:ascii="Times New Roman" w:eastAsia="宋体" w:cs="Times New Roman" w:hAnsiTheme="minorEastAsia"/>
          <w:color w:val="auto"/>
        </w:rPr>
        <w:t>）联合体各方之间应当签订共同投标协议并在投标文件内提交，明确约定联合体主体及联合体各方承担的工作和相应的责任。</w:t>
      </w:r>
      <w:r>
        <w:rPr>
          <w:rFonts w:hint="eastAsia" w:ascii="Times New Roman" w:eastAsia="宋体" w:cs="Times New Roman" w:hAnsiTheme="minorEastAsia"/>
          <w:color w:val="auto"/>
        </w:rPr>
        <w:t>联合体各方签订共同投标协议后，</w:t>
      </w:r>
      <w:r>
        <w:rPr>
          <w:rFonts w:ascii="Times New Roman" w:eastAsia="宋体" w:cs="Times New Roman" w:hAnsiTheme="minorEastAsia"/>
          <w:color w:val="auto"/>
        </w:rPr>
        <w:t>不得再以自己名义单独在</w:t>
      </w:r>
      <w:r>
        <w:rPr>
          <w:rFonts w:hint="eastAsia" w:ascii="Times New Roman" w:eastAsia="宋体" w:cs="Times New Roman" w:hAnsiTheme="minorEastAsia"/>
          <w:color w:val="auto"/>
        </w:rPr>
        <w:t>同一合同项下</w:t>
      </w:r>
      <w:r>
        <w:rPr>
          <w:rFonts w:ascii="Times New Roman" w:eastAsia="宋体" w:cs="Times New Roman" w:hAnsiTheme="minorEastAsia"/>
          <w:color w:val="auto"/>
        </w:rPr>
        <w:t>投标，也不得组成新的联合体参加同一</w:t>
      </w:r>
      <w:r>
        <w:rPr>
          <w:rFonts w:hint="eastAsia" w:ascii="Times New Roman" w:eastAsia="宋体" w:cs="Times New Roman" w:hAnsiTheme="minorEastAsia"/>
          <w:color w:val="auto"/>
        </w:rPr>
        <w:t>合同</w:t>
      </w:r>
      <w:r>
        <w:rPr>
          <w:rFonts w:ascii="Times New Roman" w:eastAsia="宋体" w:cs="Times New Roman" w:hAnsiTheme="minorEastAsia"/>
          <w:color w:val="auto"/>
        </w:rPr>
        <w:t>项下的投标。</w:t>
      </w:r>
    </w:p>
    <w:p w14:paraId="01DFC444">
      <w:pPr>
        <w:pStyle w:val="31"/>
        <w:spacing w:line="360" w:lineRule="auto"/>
        <w:ind w:firstLine="448" w:firstLineChars="200"/>
        <w:rPr>
          <w:rFonts w:ascii="Times New Roman" w:hAnsi="Times New Roman" w:eastAsia="宋体" w:cs="Times New Roman"/>
          <w:color w:val="auto"/>
        </w:rPr>
      </w:pPr>
      <w:r>
        <w:rPr>
          <w:rFonts w:ascii="Times New Roman" w:eastAsia="宋体" w:cs="Times New Roman" w:hAnsiTheme="minorEastAsia"/>
          <w:color w:val="auto"/>
        </w:rPr>
        <w:t>（</w:t>
      </w:r>
      <w:r>
        <w:rPr>
          <w:rFonts w:ascii="Times New Roman" w:hAnsi="Times New Roman" w:eastAsia="宋体" w:cs="Times New Roman"/>
          <w:color w:val="auto"/>
        </w:rPr>
        <w:t>4</w:t>
      </w:r>
      <w:r>
        <w:rPr>
          <w:rFonts w:ascii="Times New Roman" w:eastAsia="宋体" w:cs="Times New Roman" w:hAnsiTheme="minorEastAsia"/>
          <w:color w:val="auto"/>
        </w:rPr>
        <w:t>）</w:t>
      </w:r>
      <w:r>
        <w:rPr>
          <w:rFonts w:hint="eastAsia" w:ascii="Times New Roman" w:eastAsia="宋体" w:hAnsiTheme="minorEastAsia"/>
          <w:color w:val="auto"/>
        </w:rPr>
        <w:t>下载招标文件</w:t>
      </w:r>
      <w:r>
        <w:rPr>
          <w:rFonts w:ascii="Times New Roman" w:eastAsia="宋体" w:hAnsiTheme="minorEastAsia"/>
          <w:color w:val="auto"/>
        </w:rPr>
        <w:t>时，应以联合体协议中确定的主体方名义</w:t>
      </w:r>
      <w:r>
        <w:rPr>
          <w:rFonts w:hint="eastAsia" w:ascii="Times New Roman" w:eastAsia="宋体" w:hAnsiTheme="minorEastAsia"/>
          <w:color w:val="auto"/>
        </w:rPr>
        <w:t>下载</w:t>
      </w:r>
      <w:r>
        <w:rPr>
          <w:rFonts w:ascii="Times New Roman" w:eastAsia="宋体" w:hAnsiTheme="minorEastAsia"/>
          <w:color w:val="auto"/>
        </w:rPr>
        <w:t>。</w:t>
      </w:r>
    </w:p>
    <w:p w14:paraId="3FE64201">
      <w:pPr>
        <w:pStyle w:val="31"/>
        <w:spacing w:line="360" w:lineRule="auto"/>
        <w:ind w:firstLine="448" w:firstLineChars="200"/>
        <w:rPr>
          <w:rFonts w:ascii="Times New Roman" w:hAnsi="Times New Roman" w:eastAsia="宋体" w:cs="Times New Roman"/>
          <w:color w:val="auto"/>
        </w:rPr>
      </w:pPr>
      <w:r>
        <w:rPr>
          <w:rFonts w:ascii="Times New Roman" w:eastAsia="宋体" w:cs="Times New Roman" w:hAnsiTheme="minorEastAsia"/>
          <w:color w:val="auto"/>
        </w:rPr>
        <w:t>（</w:t>
      </w:r>
      <w:r>
        <w:rPr>
          <w:rFonts w:ascii="Times New Roman" w:hAnsi="Times New Roman" w:eastAsia="宋体" w:cs="Times New Roman"/>
          <w:color w:val="auto"/>
        </w:rPr>
        <w:t>5</w:t>
      </w:r>
      <w:r>
        <w:rPr>
          <w:rFonts w:ascii="Times New Roman" w:eastAsia="宋体" w:cs="Times New Roman" w:hAnsiTheme="minorEastAsia"/>
          <w:color w:val="auto"/>
        </w:rPr>
        <w:t>）联合体投标的，应以主体方名义提交投标保证金（如有），对联合体各方均具有约束力。</w:t>
      </w:r>
    </w:p>
    <w:p w14:paraId="3500F5D5">
      <w:pPr>
        <w:pStyle w:val="31"/>
        <w:spacing w:line="360" w:lineRule="auto"/>
        <w:ind w:firstLine="448" w:firstLineChars="200"/>
        <w:rPr>
          <w:rFonts w:ascii="Times New Roman" w:hAnsi="Times New Roman" w:eastAsia="宋体" w:cs="Times New Roman"/>
          <w:color w:val="auto"/>
        </w:rPr>
      </w:pPr>
      <w:r>
        <w:rPr>
          <w:rFonts w:ascii="Times New Roman" w:eastAsia="宋体" w:cs="Times New Roman" w:hAnsiTheme="minorEastAsia"/>
          <w:color w:val="auto"/>
        </w:rPr>
        <w:t>（</w:t>
      </w:r>
      <w:r>
        <w:rPr>
          <w:rFonts w:ascii="Times New Roman" w:hAnsi="Times New Roman" w:eastAsia="宋体" w:cs="Times New Roman"/>
          <w:color w:val="auto"/>
        </w:rPr>
        <w:t>6</w:t>
      </w:r>
      <w:r>
        <w:rPr>
          <w:rFonts w:ascii="Times New Roman" w:eastAsia="宋体" w:cs="Times New Roman" w:hAnsiTheme="minorEastAsia"/>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对应哪一方的打分内容按主体方打分。</w:t>
      </w:r>
    </w:p>
    <w:p w14:paraId="7D78C610">
      <w:pPr>
        <w:pStyle w:val="31"/>
        <w:spacing w:line="360" w:lineRule="auto"/>
        <w:ind w:firstLine="448" w:firstLineChars="200"/>
        <w:rPr>
          <w:rFonts w:ascii="Times New Roman" w:eastAsia="宋体" w:cs="Times New Roman" w:hAnsiTheme="minorEastAsia"/>
          <w:color w:val="auto"/>
        </w:rPr>
      </w:pPr>
      <w:r>
        <w:rPr>
          <w:rFonts w:hint="eastAsia" w:ascii="Times New Roman" w:eastAsia="宋体" w:cs="Times New Roman" w:hAnsiTheme="minorEastAsia"/>
          <w:color w:val="auto"/>
        </w:rPr>
        <w:t>（7）联合体中任意一方为中小企业的，该方应提供《中小企业声明函》。</w:t>
      </w:r>
    </w:p>
    <w:p w14:paraId="6A4FBC3B">
      <w:pPr>
        <w:pStyle w:val="31"/>
        <w:spacing w:line="360" w:lineRule="auto"/>
        <w:ind w:firstLine="448" w:firstLineChars="200"/>
        <w:rPr>
          <w:rFonts w:ascii="Times New Roman" w:hAnsi="Times New Roman" w:eastAsia="宋体" w:cs="Times New Roman"/>
          <w:color w:val="auto"/>
        </w:rPr>
      </w:pPr>
      <w:r>
        <w:rPr>
          <w:rFonts w:ascii="Times New Roman" w:eastAsia="宋体" w:cs="Times New Roman" w:hAnsiTheme="minorEastAsia"/>
          <w:color w:val="auto"/>
        </w:rPr>
        <w:t>（</w:t>
      </w:r>
      <w:r>
        <w:rPr>
          <w:rFonts w:ascii="Times New Roman" w:hAnsi="Times New Roman" w:eastAsia="宋体" w:cs="Times New Roman"/>
          <w:color w:val="auto"/>
        </w:rPr>
        <w:t>8</w:t>
      </w:r>
      <w:r>
        <w:rPr>
          <w:rFonts w:ascii="Times New Roman" w:eastAsia="宋体" w:cs="Times New Roman" w:hAnsiTheme="minorEastAsia"/>
          <w:color w:val="auto"/>
        </w:rPr>
        <w:t>）联合体各方应当共同与采购人签订采购合同，就采购合同约定的事项对采购人承担连带责任。</w:t>
      </w:r>
    </w:p>
    <w:p w14:paraId="2ECAC74B">
      <w:pPr>
        <w:pStyle w:val="31"/>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 xml:space="preserve">4.4 </w:t>
      </w:r>
      <w:r>
        <w:rPr>
          <w:rFonts w:ascii="Times New Roman" w:eastAsia="宋体" w:cs="Times New Roman" w:hAnsiTheme="minorEastAsia"/>
          <w:color w:val="auto"/>
        </w:rPr>
        <w:t>关于关联企业</w:t>
      </w:r>
    </w:p>
    <w:p w14:paraId="445E4992">
      <w:pPr>
        <w:pStyle w:val="31"/>
        <w:spacing w:line="360" w:lineRule="auto"/>
        <w:ind w:firstLine="448" w:firstLineChars="200"/>
        <w:rPr>
          <w:rFonts w:ascii="Times New Roman" w:hAnsi="Times New Roman" w:eastAsia="宋体" w:cs="Times New Roman"/>
          <w:color w:val="auto"/>
        </w:rPr>
      </w:pPr>
      <w:r>
        <w:rPr>
          <w:rFonts w:ascii="Times New Roman" w:eastAsia="宋体" w:cs="Times New Roman" w:hAnsiTheme="minorEastAsia"/>
          <w:color w:val="auto"/>
        </w:rPr>
        <w:t>除联合体外，法定代表人或单位负责人为同一个人或者存在直接控股、管理关系的不同供应商，不得同时参加同一项目或同一子项目的投标。如同时参加，则评审时将同时被拒绝。</w:t>
      </w:r>
    </w:p>
    <w:p w14:paraId="7F55E0AD">
      <w:pPr>
        <w:pStyle w:val="31"/>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 xml:space="preserve">4.5 </w:t>
      </w:r>
      <w:r>
        <w:rPr>
          <w:rFonts w:ascii="Times New Roman" w:eastAsia="宋体" w:cs="Times New Roman" w:hAnsiTheme="minorEastAsia"/>
          <w:color w:val="auto"/>
        </w:rPr>
        <w:t>关于中小微企业投标</w:t>
      </w:r>
    </w:p>
    <w:p w14:paraId="3A9D9E2E">
      <w:pPr>
        <w:pStyle w:val="31"/>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中小微企业是指符合《政府采购促进中小企业发展管理办法》（财库</w:t>
      </w:r>
      <w:r>
        <w:rPr>
          <w:rFonts w:ascii="Times New Roman" w:hAnsi="Times New Roman" w:eastAsia="宋体" w:cs="Times New Roman"/>
          <w:color w:val="auto"/>
        </w:rPr>
        <w:t>[2020]46</w:t>
      </w:r>
      <w:r>
        <w:rPr>
          <w:rFonts w:hint="eastAsia" w:ascii="Times New Roman" w:hAnsi="Times New Roman" w:eastAsia="宋体" w:cs="Times New Roman"/>
          <w:color w:val="auto"/>
        </w:rPr>
        <w:t>号）规定的供应商。中小微企业参与投标应提供《中小企业声明函》。</w:t>
      </w:r>
    </w:p>
    <w:p w14:paraId="311D4607">
      <w:pPr>
        <w:pStyle w:val="31"/>
        <w:spacing w:line="360" w:lineRule="auto"/>
        <w:ind w:firstLine="448" w:firstLineChars="200"/>
        <w:jc w:val="both"/>
        <w:rPr>
          <w:rFonts w:ascii="Times New Roman" w:hAnsi="Times New Roman" w:eastAsia="宋体" w:cs="Times New Roman"/>
          <w:color w:val="auto"/>
        </w:rPr>
      </w:pPr>
      <w:r>
        <w:rPr>
          <w:rFonts w:ascii="Times New Roman" w:eastAsia="宋体" w:cs="Times New Roman" w:hAnsiTheme="minorEastAsia"/>
          <w:color w:val="auto"/>
        </w:rPr>
        <w:t>根据财库〔</w:t>
      </w:r>
      <w:r>
        <w:rPr>
          <w:rFonts w:ascii="Times New Roman" w:hAnsi="Times New Roman" w:eastAsia="宋体" w:cs="Times New Roman"/>
          <w:color w:val="auto"/>
        </w:rPr>
        <w:t>2014</w:t>
      </w:r>
      <w:r>
        <w:rPr>
          <w:rFonts w:ascii="Times New Roman" w:eastAsia="宋体" w:cs="Times New Roman" w:hAnsiTheme="minorEastAsia"/>
          <w:color w:val="auto"/>
        </w:rPr>
        <w:t>〕</w:t>
      </w:r>
      <w:r>
        <w:rPr>
          <w:rFonts w:ascii="Times New Roman" w:hAnsi="Times New Roman" w:eastAsia="宋体" w:cs="Times New Roman"/>
          <w:color w:val="auto"/>
        </w:rPr>
        <w:t>68</w:t>
      </w:r>
      <w:r>
        <w:rPr>
          <w:rFonts w:ascii="Times New Roman" w:eastAsia="宋体" w:cs="Times New Roman" w:hAnsiTheme="minorEastAsia"/>
          <w:color w:val="auto"/>
        </w:rPr>
        <w:t>号《财政部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Pr>
          <w:rFonts w:ascii="Times New Roman" w:hAnsi="Times New Roman" w:eastAsia="宋体" w:cs="Times New Roman"/>
          <w:color w:val="auto"/>
        </w:rPr>
        <w:t>(</w:t>
      </w:r>
      <w:r>
        <w:rPr>
          <w:rFonts w:ascii="Times New Roman" w:eastAsia="宋体" w:cs="Times New Roman" w:hAnsiTheme="minorEastAsia"/>
          <w:color w:val="auto"/>
        </w:rPr>
        <w:t>设区的市</w:t>
      </w:r>
      <w:r>
        <w:rPr>
          <w:rFonts w:ascii="Times New Roman" w:hAnsi="Times New Roman" w:eastAsia="宋体" w:cs="Times New Roman"/>
          <w:color w:val="auto"/>
        </w:rPr>
        <w:t>)</w:t>
      </w:r>
      <w:r>
        <w:rPr>
          <w:rFonts w:ascii="Times New Roman" w:eastAsia="宋体" w:cs="Times New Roman" w:hAnsiTheme="minorEastAsia"/>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14:paraId="04C04CF8">
      <w:pPr>
        <w:pStyle w:val="31"/>
        <w:spacing w:line="360" w:lineRule="auto"/>
        <w:ind w:firstLine="448" w:firstLineChars="200"/>
        <w:jc w:val="both"/>
        <w:rPr>
          <w:rFonts w:ascii="Times New Roman" w:hAnsi="Times New Roman" w:eastAsia="宋体" w:cs="Times New Roman"/>
          <w:color w:val="auto"/>
        </w:rPr>
      </w:pPr>
      <w:r>
        <w:rPr>
          <w:rFonts w:ascii="Times New Roman" w:eastAsia="宋体" w:cs="Times New Roman" w:hAnsiTheme="minorEastAsia"/>
          <w:color w:val="auto"/>
          <w:szCs w:val="21"/>
        </w:rPr>
        <w:t>根据《财政部民政部中国残疾人联合会关于促进残疾人就业政府采购政策的通知》（财库〔</w:t>
      </w:r>
      <w:r>
        <w:rPr>
          <w:rFonts w:ascii="Times New Roman" w:hAnsi="Times New Roman" w:eastAsia="宋体" w:cs="Times New Roman"/>
          <w:color w:val="auto"/>
          <w:szCs w:val="21"/>
        </w:rPr>
        <w:t>2017</w:t>
      </w:r>
      <w:r>
        <w:rPr>
          <w:rFonts w:ascii="Times New Roman" w:eastAsia="宋体" w:cs="Times New Roman" w:hAnsiTheme="minorEastAsia"/>
          <w:color w:val="auto"/>
          <w:szCs w:val="21"/>
        </w:rPr>
        <w:t>〕</w:t>
      </w:r>
      <w:r>
        <w:rPr>
          <w:rFonts w:ascii="Times New Roman" w:hAnsi="Times New Roman" w:eastAsia="宋体" w:cs="Times New Roman"/>
          <w:color w:val="auto"/>
          <w:szCs w:val="21"/>
        </w:rPr>
        <w:t>141</w:t>
      </w:r>
      <w:r>
        <w:rPr>
          <w:rFonts w:ascii="Times New Roman" w:eastAsia="宋体" w:cs="Times New Roman" w:hAnsiTheme="minorEastAsia"/>
          <w:color w:val="auto"/>
          <w:szCs w:val="21"/>
        </w:rPr>
        <w:t>号）的规定，残疾人福利性单位视同为小型、微型企业。</w:t>
      </w:r>
    </w:p>
    <w:p w14:paraId="7A00362C">
      <w:pPr>
        <w:pStyle w:val="31"/>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4.6</w:t>
      </w:r>
      <w:r>
        <w:rPr>
          <w:rFonts w:hint="eastAsia" w:ascii="Times New Roman" w:eastAsia="宋体" w:cs="Times New Roman" w:hAnsiTheme="minorEastAsia"/>
          <w:color w:val="auto"/>
        </w:rPr>
        <w:t>关于分公司投标</w:t>
      </w:r>
    </w:p>
    <w:p w14:paraId="7B08D33B">
      <w:pPr>
        <w:pStyle w:val="31"/>
        <w:spacing w:line="360" w:lineRule="auto"/>
        <w:ind w:firstLine="448" w:firstLineChars="200"/>
        <w:rPr>
          <w:rFonts w:ascii="Times New Roman" w:hAnsi="Times New Roman" w:eastAsia="宋体" w:cs="Times New Roman"/>
          <w:color w:val="auto"/>
        </w:rPr>
      </w:pPr>
      <w:r>
        <w:rPr>
          <w:rFonts w:hint="eastAsia" w:ascii="Times New Roman" w:eastAsia="宋体" w:cs="Times New Roman" w:hAnsiTheme="minorEastAsia"/>
          <w:color w:val="auto"/>
        </w:rPr>
        <w:t>分公司作为投标人参与本项目政府采购活动的，应提供具有法人资格的总公司的营业执照副本电子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14:paraId="42ADB6AE">
      <w:pPr>
        <w:pStyle w:val="31"/>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4.7</w:t>
      </w:r>
      <w:r>
        <w:rPr>
          <w:rFonts w:hint="eastAsia" w:ascii="Times New Roman" w:eastAsia="宋体" w:cs="Times New Roman" w:hAnsiTheme="minorEastAsia"/>
          <w:color w:val="auto"/>
        </w:rPr>
        <w:t>关于提供前期服务的供应商</w:t>
      </w:r>
    </w:p>
    <w:p w14:paraId="3A1E594B">
      <w:pPr>
        <w:pStyle w:val="31"/>
        <w:spacing w:line="360" w:lineRule="auto"/>
        <w:ind w:firstLine="448" w:firstLineChars="200"/>
        <w:rPr>
          <w:rFonts w:ascii="Times New Roman" w:hAnsi="Times New Roman" w:eastAsia="宋体" w:cs="Times New Roman"/>
          <w:color w:val="auto"/>
        </w:rPr>
      </w:pPr>
      <w:r>
        <w:rPr>
          <w:rFonts w:hint="eastAsia" w:ascii="Times New Roman" w:eastAsia="宋体" w:cs="Times New Roman" w:hAnsiTheme="minorEastAsia"/>
          <w:color w:val="auto"/>
        </w:rPr>
        <w:t>为采购项目提供整体设计、规范编制或者项目管理、监理、检测等服务的供应商，不得再参加该采购项目的其他采购活动。</w:t>
      </w:r>
    </w:p>
    <w:p w14:paraId="6FE0B25A">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5. </w:t>
      </w:r>
      <w:r>
        <w:rPr>
          <w:rFonts w:ascii="Times New Roman" w:eastAsia="宋体" w:cs="Times New Roman" w:hAnsiTheme="minorEastAsia"/>
          <w:color w:val="auto"/>
        </w:rPr>
        <w:t>合格的服务</w:t>
      </w:r>
    </w:p>
    <w:p w14:paraId="1EAEFF32">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5.1 </w:t>
      </w:r>
      <w:r>
        <w:rPr>
          <w:rFonts w:ascii="Times New Roman" w:eastAsia="宋体" w:cs="Times New Roman" w:hAnsiTheme="minorEastAsia"/>
          <w:color w:val="auto"/>
        </w:rPr>
        <w:t>投标人所提供的服务应当没有侵犯任何第三方的知识产权、技术秘密等合法权利。</w:t>
      </w:r>
    </w:p>
    <w:p w14:paraId="5E5F7AAC">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5.2 </w:t>
      </w:r>
      <w:r>
        <w:rPr>
          <w:rFonts w:ascii="Times New Roman" w:eastAsia="宋体" w:cs="Times New Roman" w:hAnsiTheme="minorEastAsia"/>
          <w:color w:val="auto"/>
        </w:rPr>
        <w:t>投标人提供的服务应当符合招标文件的要求，并且其质量完全符合国家标准、行业标准或地方标准。</w:t>
      </w:r>
    </w:p>
    <w:p w14:paraId="32359A84">
      <w:pPr>
        <w:pStyle w:val="31"/>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5.3</w:t>
      </w:r>
      <w:r>
        <w:rPr>
          <w:rFonts w:hint="eastAsia" w:ascii="Times New Roman" w:eastAsia="宋体" w:cs="Times New Roman" w:hAnsiTheme="minorEastAsia"/>
          <w:color w:val="auto"/>
        </w:rPr>
        <w:t>系统软件、通用软件必须是具有在中国境内的合法使用权或版权的正版软件，涉及到第三方提出侵权或知识产权的起诉及支付版税等费用由投标人承担所有责任及费用。</w:t>
      </w:r>
    </w:p>
    <w:p w14:paraId="4AF3D684">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6. </w:t>
      </w:r>
      <w:r>
        <w:rPr>
          <w:rFonts w:ascii="Times New Roman" w:eastAsia="宋体" w:cs="Times New Roman" w:hAnsiTheme="minorEastAsia"/>
          <w:color w:val="auto"/>
        </w:rPr>
        <w:t>投标费用</w:t>
      </w:r>
    </w:p>
    <w:p w14:paraId="70131FF3">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6.1 </w:t>
      </w:r>
      <w:r>
        <w:rPr>
          <w:rFonts w:ascii="Times New Roman" w:eastAsia="宋体" w:cs="Times New Roman" w:hAnsiTheme="minorEastAsia"/>
          <w:color w:val="auto"/>
        </w:rPr>
        <w:t>本项目不收取招标代理服务费。</w:t>
      </w:r>
    </w:p>
    <w:p w14:paraId="541B8D31">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6.2 </w:t>
      </w:r>
      <w:r>
        <w:rPr>
          <w:rFonts w:ascii="Times New Roman" w:eastAsia="宋体" w:cs="Times New Roman" w:hAnsiTheme="minorEastAsia"/>
          <w:color w:val="auto"/>
        </w:rPr>
        <w:t>无论投标过程中的做法和结果如何，投标人自行承担所有与参加投标有关的费用。</w:t>
      </w:r>
    </w:p>
    <w:p w14:paraId="7155EDA8">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7. </w:t>
      </w:r>
      <w:r>
        <w:rPr>
          <w:rFonts w:ascii="Times New Roman" w:eastAsia="宋体" w:cs="Times New Roman" w:hAnsiTheme="minorEastAsia"/>
          <w:color w:val="auto"/>
        </w:rPr>
        <w:t>信息发布</w:t>
      </w:r>
    </w:p>
    <w:p w14:paraId="6F28B136">
      <w:pPr>
        <w:pStyle w:val="31"/>
        <w:spacing w:line="360" w:lineRule="auto"/>
        <w:ind w:firstLine="448" w:firstLineChars="200"/>
        <w:jc w:val="both"/>
        <w:rPr>
          <w:rFonts w:ascii="Times New Roman" w:hAnsi="Times New Roman" w:eastAsia="宋体" w:cs="Times New Roman"/>
          <w:color w:val="auto"/>
        </w:rPr>
      </w:pPr>
      <w:r>
        <w:rPr>
          <w:rFonts w:ascii="Times New Roman" w:eastAsia="宋体" w:cs="Times New Roman" w:hAnsiTheme="minorEastAsia"/>
          <w:color w:val="auto"/>
        </w:rPr>
        <w:t>本项目需要公开的有关信息，包括招标公告、更正公告、中标公告、终止公告等与招标活动有关的通知，采购人、采购代理机构均将通过</w:t>
      </w:r>
      <w:r>
        <w:rPr>
          <w:rFonts w:ascii="Times New Roman" w:hAnsi="Times New Roman" w:eastAsia="宋体" w:cs="Times New Roman"/>
          <w:color w:val="auto"/>
        </w:rPr>
        <w:t>“</w:t>
      </w:r>
      <w:r>
        <w:rPr>
          <w:rFonts w:ascii="Times New Roman" w:eastAsia="宋体" w:cs="Times New Roman" w:hAnsiTheme="minorEastAsia"/>
          <w:color w:val="auto"/>
        </w:rPr>
        <w:t>天津政府采购网（</w:t>
      </w:r>
      <w:r>
        <w:fldChar w:fldCharType="begin"/>
      </w:r>
      <w:r>
        <w:instrText xml:space="preserve"> HYPERLINK "http://tjgp.cz.tj.gov.cn" </w:instrText>
      </w:r>
      <w:r>
        <w:fldChar w:fldCharType="separate"/>
      </w:r>
      <w:r>
        <w:rPr>
          <w:rStyle w:val="25"/>
          <w:rFonts w:ascii="Times New Roman" w:hAnsi="Times New Roman" w:eastAsia="宋体" w:cs="Times New Roman"/>
        </w:rPr>
        <w:t>http://tjgp.cz.tj.gov.cn</w:t>
      </w:r>
      <w:r>
        <w:rPr>
          <w:rStyle w:val="25"/>
          <w:rFonts w:ascii="Times New Roman" w:hAnsi="Times New Roman" w:eastAsia="宋体" w:cs="Times New Roman"/>
        </w:rPr>
        <w:fldChar w:fldCharType="end"/>
      </w:r>
      <w:r>
        <w:rPr>
          <w:rFonts w:ascii="Times New Roman" w:eastAsia="宋体" w:cs="Times New Roman" w:hAnsiTheme="minorEastAsia"/>
          <w:color w:val="auto"/>
        </w:rPr>
        <w:t>）</w:t>
      </w:r>
      <w:r>
        <w:rPr>
          <w:rFonts w:ascii="Times New Roman" w:hAnsi="Times New Roman" w:eastAsia="宋体" w:cs="Times New Roman"/>
          <w:color w:val="auto"/>
        </w:rPr>
        <w:t>”</w:t>
      </w:r>
      <w:r>
        <w:rPr>
          <w:rFonts w:ascii="Times New Roman" w:eastAsia="宋体" w:cs="Times New Roman" w:hAnsiTheme="minorEastAsia"/>
          <w:color w:val="auto"/>
        </w:rPr>
        <w:t>和</w:t>
      </w:r>
      <w:r>
        <w:rPr>
          <w:rFonts w:ascii="Times New Roman" w:hAnsi="Times New Roman" w:eastAsia="宋体" w:cs="Times New Roman"/>
          <w:color w:val="auto"/>
        </w:rPr>
        <w:t>“</w:t>
      </w:r>
      <w:r>
        <w:rPr>
          <w:rFonts w:ascii="Times New Roman" w:eastAsia="宋体" w:cs="Times New Roman" w:hAnsiTheme="minorEastAsia"/>
          <w:color w:val="auto"/>
        </w:rPr>
        <w:t>天津政府采购中心网（</w:t>
      </w:r>
      <w:r>
        <w:fldChar w:fldCharType="begin"/>
      </w:r>
      <w:r>
        <w:instrText xml:space="preserve"> HYPERLINK "http://tjgpc.cz.tj.gov.cn" </w:instrText>
      </w:r>
      <w:r>
        <w:fldChar w:fldCharType="separate"/>
      </w:r>
      <w:r>
        <w:rPr>
          <w:rStyle w:val="25"/>
          <w:rFonts w:ascii="Times New Roman" w:hAnsi="Times New Roman" w:eastAsia="宋体"/>
        </w:rPr>
        <w:t>http://tjgpc.cz.tj.gov.cn</w:t>
      </w:r>
      <w:r>
        <w:rPr>
          <w:rStyle w:val="25"/>
          <w:rFonts w:ascii="Times New Roman" w:hAnsi="Times New Roman" w:eastAsia="宋体"/>
        </w:rPr>
        <w:fldChar w:fldCharType="end"/>
      </w:r>
      <w:r>
        <w:rPr>
          <w:rFonts w:ascii="Times New Roman" w:eastAsia="宋体" w:cs="Times New Roman" w:hAnsiTheme="minorEastAsia"/>
          <w:color w:val="auto"/>
        </w:rPr>
        <w:t>）</w:t>
      </w:r>
      <w:r>
        <w:rPr>
          <w:rFonts w:ascii="Times New Roman" w:hAnsi="Times New Roman" w:eastAsia="宋体" w:cs="Times New Roman"/>
          <w:color w:val="auto"/>
        </w:rPr>
        <w:t>”</w:t>
      </w:r>
      <w:r>
        <w:rPr>
          <w:rFonts w:ascii="Times New Roman" w:eastAsia="宋体" w:cs="Times New Roman" w:hAnsiTheme="minorEastAsia"/>
          <w:color w:val="auto"/>
        </w:rPr>
        <w:t>公开发布。投标人在参与本采购项目招投标活动期间，请及时关注上述媒体和天津市政府采购中心招投标系统</w:t>
      </w:r>
      <w:r>
        <w:rPr>
          <w:rFonts w:ascii="Times New Roman" w:hAnsi="Times New Roman" w:eastAsia="宋体" w:cs="Times New Roman"/>
          <w:color w:val="auto"/>
        </w:rPr>
        <w:t>“</w:t>
      </w:r>
      <w:r>
        <w:rPr>
          <w:rFonts w:ascii="Times New Roman" w:eastAsia="宋体" w:cs="Times New Roman" w:hAnsiTheme="minorEastAsia"/>
          <w:color w:val="auto"/>
        </w:rPr>
        <w:t>查看项目文件</w:t>
      </w:r>
      <w:r>
        <w:rPr>
          <w:rFonts w:ascii="Times New Roman" w:hAnsi="Times New Roman" w:eastAsia="宋体" w:cs="Times New Roman"/>
          <w:color w:val="auto"/>
        </w:rPr>
        <w:t>”</w:t>
      </w:r>
      <w:r>
        <w:rPr>
          <w:rFonts w:ascii="Times New Roman" w:eastAsia="宋体" w:cs="Times New Roman" w:hAnsiTheme="minorEastAsia"/>
          <w:color w:val="auto"/>
        </w:rPr>
        <w:t>的相关信息。因没有及时关注而未能如期获取相关信息，投标人自行承担由此可能产生的风险。</w:t>
      </w:r>
    </w:p>
    <w:p w14:paraId="2FB27838">
      <w:pPr>
        <w:pStyle w:val="31"/>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8. </w:t>
      </w:r>
      <w:r>
        <w:rPr>
          <w:rFonts w:hint="eastAsia" w:ascii="Times New Roman" w:eastAsia="宋体" w:cs="Times New Roman" w:hAnsiTheme="minorEastAsia"/>
          <w:color w:val="auto"/>
        </w:rPr>
        <w:t>询问与质疑</w:t>
      </w:r>
    </w:p>
    <w:p w14:paraId="15742A04">
      <w:pPr>
        <w:pStyle w:val="31"/>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8.1 根据《政府采购质疑和投诉办法》（财政部令第94号）、《天津市财政局关于转发&lt;财政部关于进一步加强政府采购需求和履约验收管理的指导意见&gt;的通知》（津财采[2017]4号）的要求及委托代理协议的授权范围，针对采购文件的询问、质疑应当向采购人提出；针对采购过程、采购结果的询问、质疑应当向天津市滨海新区政府采购中心提出。</w:t>
      </w:r>
    </w:p>
    <w:p w14:paraId="26FC8832">
      <w:pPr>
        <w:pStyle w:val="31"/>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 xml:space="preserve">8.2 </w:t>
      </w:r>
      <w:r>
        <w:rPr>
          <w:rFonts w:hint="eastAsia" w:ascii="Times New Roman" w:eastAsia="宋体" w:cs="Times New Roman" w:hAnsiTheme="minorEastAsia"/>
          <w:color w:val="auto"/>
        </w:rPr>
        <w:t>询问</w:t>
      </w:r>
    </w:p>
    <w:p w14:paraId="38CE16D5">
      <w:pPr>
        <w:pStyle w:val="31"/>
        <w:spacing w:line="360" w:lineRule="auto"/>
        <w:ind w:firstLine="448" w:firstLineChars="200"/>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1</w:t>
      </w:r>
      <w:r>
        <w:rPr>
          <w:rFonts w:hint="eastAsia" w:ascii="Times New Roman" w:eastAsia="宋体" w:cs="Times New Roman" w:hAnsiTheme="minorEastAsia"/>
          <w:color w:val="auto"/>
        </w:rPr>
        <w:t>）询问可以采取电话、当面或书面等形式。</w:t>
      </w:r>
    </w:p>
    <w:p w14:paraId="5AA6EFA5">
      <w:pPr>
        <w:pStyle w:val="31"/>
        <w:spacing w:line="360" w:lineRule="auto"/>
        <w:ind w:firstLine="448" w:firstLineChars="200"/>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2</w:t>
      </w:r>
      <w:r>
        <w:rPr>
          <w:rFonts w:hint="eastAsia" w:ascii="Times New Roman" w:eastAsia="宋体" w:cs="Times New Roman" w:hAnsiTheme="minorEastAsia"/>
          <w:color w:val="auto"/>
        </w:rPr>
        <w:t>）采购人应当自收到供应商询问之日起</w:t>
      </w:r>
      <w:r>
        <w:rPr>
          <w:rFonts w:hint="eastAsia" w:ascii="Times New Roman" w:hAnsi="Times New Roman" w:eastAsia="宋体" w:cs="Times New Roman"/>
          <w:color w:val="auto"/>
        </w:rPr>
        <w:t>3</w:t>
      </w:r>
      <w:r>
        <w:rPr>
          <w:rFonts w:hint="eastAsia" w:ascii="Times New Roman" w:eastAsia="宋体" w:cs="Times New Roman" w:hAnsiTheme="minorEastAsia"/>
          <w:color w:val="auto"/>
        </w:rPr>
        <w:t>个工作日内作出答复，但答复的内容不得涉及商业秘密或者依法应当保密的内容。</w:t>
      </w:r>
    </w:p>
    <w:p w14:paraId="63A49655">
      <w:pPr>
        <w:pStyle w:val="31"/>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 xml:space="preserve">8.3 </w:t>
      </w:r>
      <w:r>
        <w:rPr>
          <w:rFonts w:hint="eastAsia" w:ascii="Times New Roman" w:eastAsia="宋体" w:cs="Times New Roman" w:hAnsiTheme="minorEastAsia"/>
          <w:color w:val="auto"/>
        </w:rPr>
        <w:t>质疑</w:t>
      </w:r>
    </w:p>
    <w:p w14:paraId="26718B01">
      <w:pPr>
        <w:pStyle w:val="31"/>
        <w:spacing w:line="360" w:lineRule="auto"/>
        <w:ind w:firstLine="448" w:firstLineChars="200"/>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1</w:t>
      </w:r>
      <w:r>
        <w:rPr>
          <w:rFonts w:hint="eastAsia" w:ascii="Times New Roman" w:eastAsia="宋体" w:cs="Times New Roman" w:hAnsiTheme="minorEastAsia"/>
          <w:color w:val="auto"/>
        </w:rPr>
        <w:t>）提出质疑的供应商应当是参与所质疑项目采购活动的供应商。</w:t>
      </w:r>
    </w:p>
    <w:p w14:paraId="4CA1DD70">
      <w:pPr>
        <w:pStyle w:val="31"/>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供应商认为采购文件、采购过程和采购结果使自己的权益受到损害的，可以在知道或者应知其权益受到损害之日起七个工作日内，以书面原件形式针对同一采购程序环节一次性向采购人提出质疑，否则不予受理。</w:t>
      </w:r>
    </w:p>
    <w:p w14:paraId="771112DD">
      <w:pPr>
        <w:pStyle w:val="31"/>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针对采购结果的质疑，供应商可通过天津市政府采购中心招投标系统“质疑”模块在线提出。</w:t>
      </w:r>
    </w:p>
    <w:p w14:paraId="68967FBF">
      <w:pPr>
        <w:pStyle w:val="31"/>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（3）质疑函应当符合《政府采购质疑和投诉办法》（财政部令第94号）第十二条的规定，并按照统一格式提出（具体格式可参照天津市政府采购网（</w:t>
      </w:r>
      <w:r>
        <w:fldChar w:fldCharType="begin"/>
      </w:r>
      <w:r>
        <w:instrText xml:space="preserve"> HYPERLINK "http://tjgp.cz.tj.gov.cn" </w:instrText>
      </w:r>
      <w:r>
        <w:fldChar w:fldCharType="separate"/>
      </w:r>
      <w:r>
        <w:rPr>
          <w:rStyle w:val="25"/>
          <w:rFonts w:hint="eastAsia" w:ascii="Times New Roman" w:hAnsi="Times New Roman" w:eastAsia="宋体" w:cs="Times New Roman"/>
        </w:rPr>
        <w:t>http://tjgp.cz.tj.gov.cn</w:t>
      </w:r>
      <w:r>
        <w:rPr>
          <w:rStyle w:val="25"/>
          <w:rFonts w:ascii="Times New Roman" w:hAnsi="Times New Roman" w:eastAsia="宋体" w:cs="Times New Roman"/>
        </w:rPr>
        <w:fldChar w:fldCharType="end"/>
      </w:r>
      <w:r>
        <w:rPr>
          <w:rFonts w:hint="eastAsia" w:ascii="Times New Roman" w:hAnsi="Times New Roman" w:eastAsia="宋体" w:cs="Times New Roman"/>
          <w:color w:val="auto"/>
        </w:rPr>
        <w:t>）“下载专区”中的“质疑函格式文本”）。质疑函应当明确阐述采购文件、采购过程、采购结果使自己的合法权益受到损害的法律依据、事实依据、相关证明材料及证据来源，以便于有关单位调查、答复和处理。</w:t>
      </w:r>
    </w:p>
    <w:p w14:paraId="7393D5C2">
      <w:pPr>
        <w:pStyle w:val="31"/>
        <w:spacing w:line="360" w:lineRule="auto"/>
        <w:ind w:firstLine="448" w:firstLineChars="200"/>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4</w:t>
      </w:r>
      <w:r>
        <w:rPr>
          <w:rFonts w:hint="eastAsia" w:ascii="Times New Roman" w:eastAsia="宋体" w:cs="Times New Roman" w:hAnsiTheme="minor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采购人或天津市滨海新区政府采购中心有权将质疑函转发质疑事项各关联方，请其作出解释说明。对捏造事实、滥用维权扰乱采购秩序的恶意质疑者，将上报天津市滨海新区财政局政府采购办公室依法处理。</w:t>
      </w:r>
    </w:p>
    <w:p w14:paraId="69ADF21B">
      <w:pPr>
        <w:pStyle w:val="31"/>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8.4 </w:t>
      </w:r>
      <w:r>
        <w:rPr>
          <w:rFonts w:hint="eastAsia" w:ascii="Times New Roman" w:eastAsia="宋体" w:cs="Times New Roman" w:hAnsiTheme="minorEastAsia"/>
          <w:color w:val="auto"/>
        </w:rPr>
        <w:t>针对询问或质疑的答复内容需要修改采购文件的，其修改内容应当以天津市政府采购网发布的更正公告为准。</w:t>
      </w:r>
    </w:p>
    <w:p w14:paraId="4BB36F76">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9. </w:t>
      </w:r>
      <w:r>
        <w:rPr>
          <w:rFonts w:ascii="Times New Roman" w:eastAsia="宋体" w:cs="Times New Roman" w:hAnsiTheme="minorEastAsia"/>
          <w:color w:val="auto"/>
        </w:rPr>
        <w:t>其他</w:t>
      </w:r>
    </w:p>
    <w:p w14:paraId="057EF72F">
      <w:pPr>
        <w:pStyle w:val="31"/>
        <w:spacing w:line="360" w:lineRule="auto"/>
        <w:ind w:firstLine="448" w:firstLineChars="200"/>
        <w:jc w:val="both"/>
        <w:rPr>
          <w:rFonts w:ascii="Times New Roman" w:hAnsi="Times New Roman" w:eastAsia="宋体" w:cs="Times New Roman"/>
          <w:color w:val="auto"/>
        </w:rPr>
      </w:pPr>
      <w:r>
        <w:rPr>
          <w:rFonts w:ascii="Times New Roman" w:eastAsia="宋体" w:cs="Times New Roman" w:hAnsiTheme="minorEastAsia"/>
          <w:color w:val="auto"/>
        </w:rPr>
        <w:t>本《投标须知》的条款如与《投标邀请函》、《招标项目需求》就同一内容的表述不一致的，以《投标邀请函》、《招标项目需求》中规定的内容为准。</w:t>
      </w:r>
    </w:p>
    <w:p w14:paraId="0E1783CC">
      <w:pPr>
        <w:pStyle w:val="31"/>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 xml:space="preserve">B  </w:t>
      </w:r>
      <w:r>
        <w:rPr>
          <w:rFonts w:ascii="Times New Roman" w:eastAsia="宋体" w:cs="Times New Roman" w:hAnsiTheme="minorEastAsia"/>
          <w:color w:val="auto"/>
        </w:rPr>
        <w:t>招标文件说明</w:t>
      </w:r>
    </w:p>
    <w:p w14:paraId="7E1F1559">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10. </w:t>
      </w:r>
      <w:r>
        <w:rPr>
          <w:rFonts w:ascii="Times New Roman" w:eastAsia="宋体" w:cs="Times New Roman" w:hAnsiTheme="minorEastAsia"/>
          <w:color w:val="auto"/>
        </w:rPr>
        <w:t>招标文件的构成</w:t>
      </w:r>
    </w:p>
    <w:p w14:paraId="6F71F3CB">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10.1</w:t>
      </w:r>
      <w:r>
        <w:rPr>
          <w:rFonts w:ascii="Times New Roman" w:eastAsia="宋体" w:cs="Times New Roman" w:hAnsiTheme="minorEastAsia"/>
          <w:color w:val="auto"/>
        </w:rPr>
        <w:t>招标文件由下述部分组成：</w:t>
      </w:r>
    </w:p>
    <w:p w14:paraId="543101C8">
      <w:pPr>
        <w:pStyle w:val="31"/>
        <w:spacing w:line="360" w:lineRule="auto"/>
        <w:ind w:firstLine="448" w:firstLineChars="200"/>
        <w:jc w:val="both"/>
        <w:rPr>
          <w:rFonts w:ascii="Times New Roman" w:hAnsi="Times New Roman" w:eastAsia="宋体" w:cs="Times New Roman"/>
          <w:color w:val="auto"/>
        </w:rPr>
      </w:pPr>
      <w:r>
        <w:rPr>
          <w:rFonts w:ascii="Times New Roman" w:eastAsia="宋体" w:cs="Times New Roman" w:hAnsiTheme="minorEastAsia"/>
          <w:color w:val="auto"/>
        </w:rPr>
        <w:t>（</w:t>
      </w:r>
      <w:r>
        <w:rPr>
          <w:rFonts w:ascii="Times New Roman" w:hAnsi="Times New Roman" w:eastAsia="宋体" w:cs="Times New Roman"/>
          <w:color w:val="auto"/>
        </w:rPr>
        <w:t>1</w:t>
      </w:r>
      <w:r>
        <w:rPr>
          <w:rFonts w:ascii="Times New Roman" w:eastAsia="宋体" w:cs="Times New Roman" w:hAnsiTheme="minorEastAsia"/>
          <w:color w:val="auto"/>
        </w:rPr>
        <w:t>）投标邀请函</w:t>
      </w:r>
    </w:p>
    <w:p w14:paraId="437C804F">
      <w:pPr>
        <w:pStyle w:val="31"/>
        <w:spacing w:line="360" w:lineRule="auto"/>
        <w:ind w:firstLine="448" w:firstLineChars="200"/>
        <w:jc w:val="both"/>
        <w:rPr>
          <w:rFonts w:ascii="Times New Roman" w:hAnsi="Times New Roman" w:eastAsia="宋体" w:cs="Times New Roman"/>
          <w:color w:val="auto"/>
        </w:rPr>
      </w:pPr>
      <w:r>
        <w:rPr>
          <w:rFonts w:ascii="Times New Roman" w:eastAsia="宋体" w:cs="Times New Roman" w:hAnsiTheme="minorEastAsia"/>
          <w:color w:val="auto"/>
        </w:rPr>
        <w:t>（</w:t>
      </w:r>
      <w:r>
        <w:rPr>
          <w:rFonts w:ascii="Times New Roman" w:hAnsi="Times New Roman" w:eastAsia="宋体" w:cs="Times New Roman"/>
          <w:color w:val="auto"/>
        </w:rPr>
        <w:t>2</w:t>
      </w:r>
      <w:r>
        <w:rPr>
          <w:rFonts w:ascii="Times New Roman" w:eastAsia="宋体" w:cs="Times New Roman" w:hAnsiTheme="minorEastAsia"/>
          <w:color w:val="auto"/>
        </w:rPr>
        <w:t>）招标项目需求</w:t>
      </w:r>
    </w:p>
    <w:p w14:paraId="66B4E283">
      <w:pPr>
        <w:pStyle w:val="31"/>
        <w:spacing w:line="360" w:lineRule="auto"/>
        <w:ind w:firstLine="448" w:firstLineChars="200"/>
        <w:jc w:val="both"/>
        <w:rPr>
          <w:rFonts w:ascii="Times New Roman" w:hAnsi="Times New Roman" w:eastAsia="宋体" w:cs="Times New Roman"/>
          <w:color w:val="auto"/>
        </w:rPr>
      </w:pPr>
      <w:r>
        <w:rPr>
          <w:rFonts w:ascii="Times New Roman" w:eastAsia="宋体" w:cs="Times New Roman" w:hAnsiTheme="minorEastAsia"/>
          <w:color w:val="auto"/>
        </w:rPr>
        <w:t>（</w:t>
      </w:r>
      <w:r>
        <w:rPr>
          <w:rFonts w:ascii="Times New Roman" w:hAnsi="Times New Roman" w:eastAsia="宋体" w:cs="Times New Roman"/>
          <w:color w:val="auto"/>
        </w:rPr>
        <w:t>3</w:t>
      </w:r>
      <w:r>
        <w:rPr>
          <w:rFonts w:ascii="Times New Roman" w:eastAsia="宋体" w:cs="Times New Roman" w:hAnsiTheme="minorEastAsia"/>
          <w:color w:val="auto"/>
        </w:rPr>
        <w:t>）投标须知</w:t>
      </w:r>
    </w:p>
    <w:p w14:paraId="3FB5B075">
      <w:pPr>
        <w:pStyle w:val="31"/>
        <w:spacing w:line="360" w:lineRule="auto"/>
        <w:ind w:firstLine="448" w:firstLineChars="200"/>
        <w:jc w:val="both"/>
        <w:rPr>
          <w:rFonts w:ascii="Times New Roman" w:hAnsi="Times New Roman" w:eastAsia="宋体" w:cs="Times New Roman"/>
          <w:color w:val="auto"/>
        </w:rPr>
      </w:pPr>
      <w:r>
        <w:rPr>
          <w:rFonts w:ascii="Times New Roman" w:eastAsia="宋体" w:cs="Times New Roman" w:hAnsiTheme="minorEastAsia"/>
          <w:color w:val="auto"/>
        </w:rPr>
        <w:t>（</w:t>
      </w:r>
      <w:r>
        <w:rPr>
          <w:rFonts w:ascii="Times New Roman" w:hAnsi="Times New Roman" w:eastAsia="宋体" w:cs="Times New Roman"/>
          <w:color w:val="auto"/>
        </w:rPr>
        <w:t>4</w:t>
      </w:r>
      <w:r>
        <w:rPr>
          <w:rFonts w:ascii="Times New Roman" w:eastAsia="宋体" w:cs="Times New Roman" w:hAnsiTheme="minorEastAsia"/>
          <w:color w:val="auto"/>
        </w:rPr>
        <w:t>）合同条款</w:t>
      </w:r>
    </w:p>
    <w:p w14:paraId="0C205BDC">
      <w:pPr>
        <w:pStyle w:val="31"/>
        <w:spacing w:line="360" w:lineRule="auto"/>
        <w:ind w:firstLine="448" w:firstLineChars="200"/>
        <w:jc w:val="both"/>
        <w:rPr>
          <w:rFonts w:ascii="Times New Roman" w:hAnsi="Times New Roman" w:eastAsia="宋体" w:cs="Times New Roman"/>
          <w:color w:val="auto"/>
        </w:rPr>
      </w:pPr>
      <w:r>
        <w:rPr>
          <w:rFonts w:ascii="Times New Roman" w:eastAsia="宋体" w:cs="Times New Roman" w:hAnsiTheme="minorEastAsia"/>
          <w:color w:val="auto"/>
        </w:rPr>
        <w:t>（</w:t>
      </w:r>
      <w:r>
        <w:rPr>
          <w:rFonts w:ascii="Times New Roman" w:hAnsi="Times New Roman" w:eastAsia="宋体" w:cs="Times New Roman"/>
          <w:color w:val="auto"/>
        </w:rPr>
        <w:t>5</w:t>
      </w:r>
      <w:r>
        <w:rPr>
          <w:rFonts w:ascii="Times New Roman" w:eastAsia="宋体" w:cs="Times New Roman" w:hAnsiTheme="minorEastAsia"/>
          <w:color w:val="auto"/>
        </w:rPr>
        <w:t>）投标文件格式</w:t>
      </w:r>
    </w:p>
    <w:p w14:paraId="331682E9">
      <w:pPr>
        <w:pStyle w:val="31"/>
        <w:spacing w:line="360" w:lineRule="auto"/>
        <w:ind w:firstLine="448" w:firstLineChars="200"/>
        <w:jc w:val="both"/>
        <w:rPr>
          <w:rFonts w:ascii="Times New Roman" w:hAnsi="Times New Roman" w:eastAsia="宋体" w:cs="Times New Roman"/>
          <w:color w:val="auto"/>
        </w:rPr>
      </w:pPr>
      <w:r>
        <w:rPr>
          <w:rFonts w:ascii="Times New Roman" w:eastAsia="宋体" w:cs="Times New Roman" w:hAnsiTheme="minorEastAsia"/>
          <w:color w:val="auto"/>
        </w:rPr>
        <w:t>（</w:t>
      </w:r>
      <w:r>
        <w:rPr>
          <w:rFonts w:ascii="Times New Roman" w:hAnsi="Times New Roman" w:eastAsia="宋体" w:cs="Times New Roman"/>
          <w:color w:val="auto"/>
        </w:rPr>
        <w:t>6</w:t>
      </w:r>
      <w:r>
        <w:rPr>
          <w:rFonts w:ascii="Times New Roman" w:eastAsia="宋体" w:cs="Times New Roman" w:hAnsiTheme="minorEastAsia"/>
          <w:color w:val="auto"/>
        </w:rPr>
        <w:t>）本项目招标文件的更正公告内容（如有）</w:t>
      </w:r>
    </w:p>
    <w:p w14:paraId="313C4E74">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10.2 </w:t>
      </w:r>
      <w:r>
        <w:rPr>
          <w:rFonts w:ascii="Times New Roman" w:eastAsia="宋体" w:cs="Times New Roman" w:hAnsiTheme="minorEastAsia"/>
          <w:color w:val="auto"/>
        </w:rPr>
        <w:t>除非有特殊要求，招标文件不单独提供招标项目使用地的自然环境、气候条件、公用设施等情况，投标人被视为熟悉上述与履行合同有关的一切情况。</w:t>
      </w:r>
    </w:p>
    <w:p w14:paraId="4832A255">
      <w:pPr>
        <w:pStyle w:val="31"/>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10.3</w:t>
      </w:r>
      <w:r>
        <w:rPr>
          <w:rFonts w:hint="eastAsia" w:ascii="Times New Roman" w:eastAsia="宋体" w:cs="Times New Roman" w:hAnsiTheme="minorEastAsia"/>
          <w:color w:val="auto"/>
        </w:rPr>
        <w:t>加注</w:t>
      </w:r>
      <w:r>
        <w:rPr>
          <w:rFonts w:hint="eastAsia" w:ascii="Times New Roman" w:hAnsi="Times New Roman" w:eastAsia="宋体" w:cs="Times New Roman"/>
          <w:color w:val="auto"/>
        </w:rPr>
        <w:t>“</w:t>
      </w:r>
      <w:r>
        <w:rPr>
          <w:rFonts w:hint="eastAsia" w:ascii="Times New Roman" w:eastAsia="宋体" w:cs="Times New Roman" w:hAnsiTheme="minorEastAsia"/>
          <w:color w:val="auto"/>
        </w:rPr>
        <w:t>★</w:t>
      </w:r>
      <w:r>
        <w:rPr>
          <w:rFonts w:hint="eastAsia" w:ascii="Times New Roman" w:hAnsi="Times New Roman" w:eastAsia="宋体" w:cs="Times New Roman"/>
          <w:color w:val="auto"/>
        </w:rPr>
        <w:t>”</w:t>
      </w:r>
      <w:r>
        <w:rPr>
          <w:rFonts w:hint="eastAsia" w:ascii="Times New Roman" w:eastAsia="宋体" w:cs="Times New Roman" w:hAnsiTheme="minorEastAsia"/>
          <w:color w:val="auto"/>
        </w:rPr>
        <w:t>号条款为实质性条款，不得出现负偏离，发生负偏离即做无效标处理。</w:t>
      </w:r>
    </w:p>
    <w:p w14:paraId="32279C61">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10.4 </w:t>
      </w:r>
      <w:r>
        <w:rPr>
          <w:rFonts w:ascii="Times New Roman" w:eastAsia="宋体" w:cs="Times New Roman" w:hAnsiTheme="minorEastAsia"/>
          <w:color w:val="auto"/>
        </w:rPr>
        <w:t>招标文件中涉及的参照品牌、型号仅起说明作用，并没有任何限制性，投标人在投标中可以选用其他替代品牌或型号，但这些替代要实质上优于或相当于招标要求。</w:t>
      </w:r>
    </w:p>
    <w:p w14:paraId="60724C19">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11. </w:t>
      </w:r>
      <w:r>
        <w:rPr>
          <w:rFonts w:ascii="Times New Roman" w:eastAsia="宋体" w:cs="Times New Roman" w:hAnsiTheme="minorEastAsia"/>
          <w:color w:val="auto"/>
        </w:rPr>
        <w:t>招标文件的澄清和修改</w:t>
      </w:r>
    </w:p>
    <w:p w14:paraId="745D85C6">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11.1 </w:t>
      </w:r>
      <w:r>
        <w:rPr>
          <w:rFonts w:ascii="Times New Roman" w:eastAsia="宋体" w:cs="Times New Roman" w:hAnsiTheme="minorEastAsia"/>
          <w:color w:val="auto"/>
        </w:rPr>
        <w:t>投标截止前，采购人、采购代理机构需要对招标文件进行补充或修改的，采购人、采购代理机构将会通过</w:t>
      </w:r>
      <w:r>
        <w:rPr>
          <w:rFonts w:ascii="Times New Roman" w:hAnsi="Times New Roman" w:eastAsia="宋体" w:cs="Times New Roman"/>
          <w:color w:val="auto"/>
        </w:rPr>
        <w:t>“</w:t>
      </w:r>
      <w:r>
        <w:rPr>
          <w:rFonts w:ascii="Times New Roman" w:eastAsia="宋体" w:cs="Times New Roman" w:hAnsiTheme="minorEastAsia"/>
          <w:color w:val="auto"/>
        </w:rPr>
        <w:t>天津市政府采购网</w:t>
      </w:r>
      <w:r>
        <w:rPr>
          <w:rFonts w:ascii="Times New Roman" w:hAnsi="Times New Roman" w:eastAsia="宋体" w:cs="Times New Roman"/>
          <w:color w:val="auto"/>
        </w:rPr>
        <w:t>”</w:t>
      </w:r>
      <w:r>
        <w:rPr>
          <w:rFonts w:ascii="Times New Roman" w:eastAsia="宋体" w:cs="Times New Roman" w:hAnsiTheme="minorEastAsia"/>
          <w:color w:val="auto"/>
        </w:rPr>
        <w:t>、</w:t>
      </w:r>
      <w:r>
        <w:rPr>
          <w:rFonts w:ascii="Times New Roman" w:hAnsi="Times New Roman" w:eastAsia="宋体" w:cs="Times New Roman"/>
          <w:color w:val="auto"/>
        </w:rPr>
        <w:t>“</w:t>
      </w:r>
      <w:r>
        <w:rPr>
          <w:rFonts w:ascii="Times New Roman" w:eastAsia="宋体" w:cs="Times New Roman" w:hAnsiTheme="minorEastAsia"/>
          <w:color w:val="auto"/>
        </w:rPr>
        <w:t>天津市政府采购中心网</w:t>
      </w:r>
      <w:r>
        <w:rPr>
          <w:rFonts w:ascii="Times New Roman" w:hAnsi="Times New Roman" w:eastAsia="宋体" w:cs="Times New Roman"/>
          <w:color w:val="auto"/>
        </w:rPr>
        <w:t>”</w:t>
      </w:r>
      <w:r>
        <w:rPr>
          <w:rFonts w:ascii="Times New Roman" w:eastAsia="宋体" w:cs="Times New Roman" w:hAnsiTheme="minorEastAsia"/>
          <w:color w:val="auto"/>
        </w:rPr>
        <w:t>以更正公告形式发布。</w:t>
      </w:r>
    </w:p>
    <w:p w14:paraId="522AA481">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11.2 </w:t>
      </w:r>
      <w:r>
        <w:rPr>
          <w:rFonts w:ascii="Times New Roman" w:eastAsia="宋体" w:cs="Times New Roman" w:hAnsiTheme="minorEastAsia"/>
          <w:color w:val="auto"/>
        </w:rPr>
        <w:t>更正公告一经在</w:t>
      </w:r>
      <w:r>
        <w:rPr>
          <w:rFonts w:ascii="Times New Roman" w:hAnsi="Times New Roman" w:eastAsia="宋体" w:cs="Times New Roman"/>
          <w:color w:val="auto"/>
        </w:rPr>
        <w:t>“</w:t>
      </w:r>
      <w:r>
        <w:rPr>
          <w:rFonts w:ascii="Times New Roman" w:eastAsia="宋体" w:cs="Times New Roman" w:hAnsiTheme="minorEastAsia"/>
          <w:color w:val="auto"/>
        </w:rPr>
        <w:t>天津市政府采购网</w:t>
      </w:r>
      <w:r>
        <w:rPr>
          <w:rFonts w:ascii="Times New Roman" w:hAnsi="Times New Roman" w:eastAsia="宋体" w:cs="Times New Roman"/>
          <w:color w:val="auto"/>
        </w:rPr>
        <w:t>”</w:t>
      </w:r>
      <w:r>
        <w:rPr>
          <w:rFonts w:ascii="Times New Roman" w:eastAsia="宋体" w:cs="Times New Roman" w:hAnsiTheme="minorEastAsia"/>
          <w:color w:val="auto"/>
        </w:rPr>
        <w:t>、</w:t>
      </w:r>
      <w:r>
        <w:rPr>
          <w:rFonts w:ascii="Times New Roman" w:hAnsi="Times New Roman" w:eastAsia="宋体" w:cs="Times New Roman"/>
          <w:color w:val="auto"/>
        </w:rPr>
        <w:t>“</w:t>
      </w:r>
      <w:r>
        <w:rPr>
          <w:rFonts w:ascii="Times New Roman" w:eastAsia="宋体" w:cs="Times New Roman" w:hAnsiTheme="minorEastAsia"/>
          <w:color w:val="auto"/>
        </w:rPr>
        <w:t>天津市政府采购中心网</w:t>
      </w:r>
      <w:r>
        <w:rPr>
          <w:rFonts w:ascii="Times New Roman" w:hAnsi="Times New Roman" w:eastAsia="宋体" w:cs="Times New Roman"/>
          <w:color w:val="auto"/>
        </w:rPr>
        <w:t>”</w:t>
      </w:r>
      <w:r>
        <w:rPr>
          <w:rFonts w:ascii="Times New Roman" w:eastAsia="宋体" w:cs="Times New Roman" w:hAnsiTheme="minorEastAsia"/>
          <w:color w:val="auto"/>
        </w:rPr>
        <w:t>发布，天津市政府采购中心招投标系统将自动发送通知至已报名供应商的</w:t>
      </w:r>
      <w:r>
        <w:rPr>
          <w:rFonts w:ascii="Times New Roman" w:hAnsi="Times New Roman" w:eastAsia="宋体" w:cs="Times New Roman"/>
          <w:color w:val="auto"/>
        </w:rPr>
        <w:t>“</w:t>
      </w:r>
      <w:r>
        <w:rPr>
          <w:rFonts w:ascii="Times New Roman" w:eastAsia="宋体" w:cs="Times New Roman" w:hAnsiTheme="minorEastAsia"/>
          <w:color w:val="auto"/>
        </w:rPr>
        <w:t>查看项目文件</w:t>
      </w:r>
      <w:r>
        <w:rPr>
          <w:rFonts w:ascii="Times New Roman" w:hAnsi="Times New Roman" w:eastAsia="宋体" w:cs="Times New Roman"/>
          <w:color w:val="auto"/>
        </w:rPr>
        <w:t>”</w:t>
      </w:r>
      <w:r>
        <w:rPr>
          <w:rFonts w:ascii="Times New Roman" w:eastAsia="宋体" w:cs="Times New Roman" w:hAnsiTheme="minorEastAsia"/>
          <w:color w:val="auto"/>
        </w:rPr>
        <w:t>，视同已书面通知所有招标文件的收受人。请参与项目的供应商及时关注更正公告，由此导致的风险由投标人自行承担，采购人、采购代理机构不承担任何责任。</w:t>
      </w:r>
    </w:p>
    <w:p w14:paraId="721FDB4B">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11.3 </w:t>
      </w:r>
      <w:r>
        <w:rPr>
          <w:rFonts w:ascii="Times New Roman" w:eastAsia="宋体" w:cs="Times New Roman" w:hAnsiTheme="minorEastAsia"/>
          <w:color w:val="auto"/>
        </w:rPr>
        <w:t>更正公告的内容为招标文件的组成部分。当招标文件与更正公告就同一内容的表述不一致时，以最后发出的更正公告内容为准。</w:t>
      </w:r>
    </w:p>
    <w:p w14:paraId="35E94D89">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11.4 </w:t>
      </w:r>
      <w:r>
        <w:rPr>
          <w:rFonts w:ascii="Times New Roman" w:eastAsia="宋体" w:cs="Times New Roman" w:hAnsiTheme="minorEastAsia"/>
          <w:color w:val="auto"/>
        </w:rPr>
        <w:t>招标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14:paraId="267AC2B9">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12. </w:t>
      </w:r>
      <w:r>
        <w:rPr>
          <w:rFonts w:ascii="Times New Roman" w:eastAsia="宋体" w:cs="Times New Roman" w:hAnsiTheme="minorEastAsia"/>
          <w:color w:val="auto"/>
        </w:rPr>
        <w:t>答疑会和踏勘现场</w:t>
      </w:r>
    </w:p>
    <w:p w14:paraId="52C8F595">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12.1 </w:t>
      </w:r>
      <w:r>
        <w:rPr>
          <w:rFonts w:ascii="Times New Roman" w:eastAsia="宋体" w:cs="Times New Roman" w:hAnsiTheme="minorEastAsia"/>
          <w:color w:val="auto"/>
        </w:rPr>
        <w:t>采购人、采购代理机构召开答疑会的，所有投标人应按《投标邀请函》规定的时间、地点参加答疑会。投标人如不参加，其风险由投标人自行承担，采购人、采购代理机构不承担任何责任。</w:t>
      </w:r>
    </w:p>
    <w:p w14:paraId="4AF7BB43">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12.2 </w:t>
      </w:r>
      <w:r>
        <w:rPr>
          <w:rFonts w:ascii="Times New Roman" w:eastAsia="宋体" w:cs="Times New Roman" w:hAnsiTheme="minorEastAsia"/>
          <w:color w:val="auto"/>
        </w:rPr>
        <w:t>采购人、采购代理机构组织踏勘现场的，所有投标人按《投标邀请函》规定的时间、地点参加踏勘现场活动。投标人如不参加，其风险由投标人自行承担，采购人、采购代理机构不承担任何责任。</w:t>
      </w:r>
    </w:p>
    <w:p w14:paraId="2A98E11A">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12.3 </w:t>
      </w:r>
      <w:r>
        <w:rPr>
          <w:rFonts w:ascii="Times New Roman" w:eastAsia="宋体" w:cs="Times New Roman" w:hAnsiTheme="minorEastAsia"/>
          <w:color w:val="auto"/>
        </w:rPr>
        <w:t>采购人、采购代理机构在答疑会或踏勘现场中口头介绍的情况，除经</w:t>
      </w:r>
      <w:r>
        <w:rPr>
          <w:rFonts w:ascii="Times New Roman" w:hAnsi="Times New Roman" w:eastAsia="宋体" w:cs="Times New Roman"/>
          <w:color w:val="auto"/>
        </w:rPr>
        <w:t>“</w:t>
      </w:r>
      <w:r>
        <w:rPr>
          <w:rFonts w:ascii="Times New Roman" w:eastAsia="宋体" w:cs="Times New Roman" w:hAnsiTheme="minorEastAsia"/>
          <w:color w:val="auto"/>
        </w:rPr>
        <w:t>天津市政府采购网</w:t>
      </w:r>
      <w:r>
        <w:rPr>
          <w:rFonts w:ascii="Times New Roman" w:hAnsi="Times New Roman" w:eastAsia="宋体" w:cs="Times New Roman"/>
          <w:color w:val="auto"/>
        </w:rPr>
        <w:t>”</w:t>
      </w:r>
      <w:r>
        <w:rPr>
          <w:rFonts w:ascii="Times New Roman" w:eastAsia="宋体" w:cs="Times New Roman" w:hAnsiTheme="minorEastAsia"/>
          <w:color w:val="auto"/>
        </w:rPr>
        <w:t>、</w:t>
      </w:r>
      <w:r>
        <w:rPr>
          <w:rFonts w:ascii="Times New Roman" w:hAnsi="Times New Roman" w:eastAsia="宋体" w:cs="Times New Roman"/>
          <w:color w:val="auto"/>
        </w:rPr>
        <w:t>“</w:t>
      </w:r>
      <w:r>
        <w:rPr>
          <w:rFonts w:ascii="Times New Roman" w:eastAsia="宋体" w:cs="Times New Roman" w:hAnsiTheme="minorEastAsia"/>
          <w:color w:val="auto"/>
        </w:rPr>
        <w:t>天津市政府采购中心网</w:t>
      </w:r>
      <w:r>
        <w:rPr>
          <w:rFonts w:ascii="Times New Roman" w:hAnsi="Times New Roman" w:eastAsia="宋体" w:cs="Times New Roman"/>
          <w:color w:val="auto"/>
        </w:rPr>
        <w:t>”</w:t>
      </w:r>
      <w:r>
        <w:rPr>
          <w:rFonts w:ascii="Times New Roman" w:eastAsia="宋体" w:cs="Times New Roman" w:hAnsiTheme="minorEastAsia"/>
          <w:color w:val="auto"/>
        </w:rPr>
        <w:t>以更正公告的形式发布外，不构成对招标文件的修改，不作为投标人编制投标文件的依据。</w:t>
      </w:r>
    </w:p>
    <w:p w14:paraId="709CDDCD">
      <w:pPr>
        <w:pStyle w:val="31"/>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 xml:space="preserve">C  </w:t>
      </w:r>
      <w:r>
        <w:rPr>
          <w:rFonts w:ascii="Times New Roman" w:eastAsia="宋体" w:cs="Times New Roman" w:hAnsiTheme="minorEastAsia"/>
          <w:color w:val="auto"/>
        </w:rPr>
        <w:t>投标文件的编制</w:t>
      </w:r>
    </w:p>
    <w:p w14:paraId="5575C8D8">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13. </w:t>
      </w:r>
      <w:r>
        <w:rPr>
          <w:rFonts w:ascii="Times New Roman" w:eastAsia="宋体" w:cs="Times New Roman" w:hAnsiTheme="minorEastAsia"/>
          <w:color w:val="auto"/>
        </w:rPr>
        <w:t>要求</w:t>
      </w:r>
    </w:p>
    <w:p w14:paraId="54C3EC95">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13.1 </w:t>
      </w:r>
      <w:r>
        <w:rPr>
          <w:rFonts w:ascii="Times New Roman" w:eastAsia="宋体" w:cs="Times New Roman" w:hAnsiTheme="minorEastAsia"/>
          <w:color w:val="auto"/>
        </w:rPr>
        <w:t>投标人应仔细阅读招标文件的所有内容，按招标文件要求编制投标文件，以使其投标对招标文件做出实质性响应。否则，其投标文件可能被拒绝，投标人须自行承担由此引起的风险和责任。</w:t>
      </w:r>
    </w:p>
    <w:p w14:paraId="4D214C9A">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13.2 </w:t>
      </w:r>
      <w:r>
        <w:rPr>
          <w:rFonts w:ascii="Times New Roman" w:eastAsia="宋体" w:cs="Times New Roman" w:hAnsiTheme="minorEastAsia"/>
          <w:color w:val="auto"/>
        </w:rPr>
        <w:t>投标人应根据招标项目需求和投标文件格式编制投标文件，保证其真实有效，并承担相应的法律责任。</w:t>
      </w:r>
    </w:p>
    <w:p w14:paraId="57812DB3">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13.3 </w:t>
      </w:r>
      <w:r>
        <w:rPr>
          <w:rFonts w:ascii="Times New Roman" w:eastAsia="宋体" w:cs="Times New Roman" w:hAnsiTheme="minorEastAsia"/>
          <w:color w:val="auto"/>
        </w:rPr>
        <w:t>投标人应对投标文件所提供的全部资料的真实性承担法律责任，并无条件接受采购人、采购代理机构对其中任何资料进行核实（核对原件）的要求。采购人、采购代理机构核对发现有不一致或供应商无正当理由不按时提供原件的，按有关规定执行。</w:t>
      </w:r>
    </w:p>
    <w:p w14:paraId="0FCC3736">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14. </w:t>
      </w:r>
      <w:r>
        <w:rPr>
          <w:rFonts w:ascii="Times New Roman" w:eastAsia="宋体" w:cs="Times New Roman" w:hAnsiTheme="minorEastAsia"/>
          <w:color w:val="auto"/>
        </w:rPr>
        <w:t>投标语言及计量单位</w:t>
      </w:r>
    </w:p>
    <w:p w14:paraId="15396073">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14.1 </w:t>
      </w:r>
      <w:r>
        <w:rPr>
          <w:rFonts w:ascii="Times New Roman" w:eastAsia="宋体" w:cs="Times New Roman" w:hAnsiTheme="minorEastAsia"/>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审委员会有权拒绝其投标。</w:t>
      </w:r>
    </w:p>
    <w:p w14:paraId="797F3F92">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14.2 </w:t>
      </w:r>
      <w:r>
        <w:rPr>
          <w:rFonts w:ascii="Times New Roman" w:eastAsia="宋体" w:cs="Times New Roman" w:hAnsiTheme="minorEastAsia"/>
          <w:color w:val="auto"/>
        </w:rPr>
        <w:t>除在招标文件中另有规定，投标文件所使用的计量单位均应使用中华人民共和国法定计量单位。</w:t>
      </w:r>
    </w:p>
    <w:p w14:paraId="25BBE411">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15. </w:t>
      </w:r>
      <w:r>
        <w:rPr>
          <w:rFonts w:ascii="Times New Roman" w:eastAsia="宋体" w:cs="Times New Roman" w:hAnsiTheme="minorEastAsia"/>
          <w:color w:val="auto"/>
        </w:rPr>
        <w:t>投标文件格式</w:t>
      </w:r>
    </w:p>
    <w:p w14:paraId="55AC9B6B">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15.1 </w:t>
      </w:r>
      <w:r>
        <w:rPr>
          <w:rFonts w:ascii="Times New Roman" w:eastAsia="宋体" w:cs="Times New Roman" w:hAnsiTheme="minorEastAsia"/>
          <w:color w:val="auto"/>
        </w:rPr>
        <w:t>投标人应按招标文件中提供的投标文件格式完整填写。因不按要求编制而引起系统无法检索、读取相关信息时，其后果由投标人自行承担。</w:t>
      </w:r>
    </w:p>
    <w:p w14:paraId="0A8050E1">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15.2 </w:t>
      </w:r>
      <w:r>
        <w:rPr>
          <w:rFonts w:ascii="Times New Roman" w:eastAsia="宋体" w:cs="Times New Roman" w:hAnsiTheme="minorEastAsia"/>
          <w:color w:val="auto"/>
        </w:rPr>
        <w:t>投标人可对本招标文件</w:t>
      </w:r>
      <w:r>
        <w:rPr>
          <w:rFonts w:ascii="Times New Roman" w:hAnsi="Times New Roman" w:eastAsia="宋体" w:cs="Times New Roman"/>
          <w:color w:val="auto"/>
        </w:rPr>
        <w:t>“</w:t>
      </w:r>
      <w:r>
        <w:rPr>
          <w:rFonts w:ascii="Times New Roman" w:eastAsia="宋体" w:cs="Times New Roman" w:hAnsiTheme="minorEastAsia"/>
          <w:color w:val="auto"/>
        </w:rPr>
        <w:t>招标项目要求</w:t>
      </w:r>
      <w:r>
        <w:rPr>
          <w:rFonts w:ascii="Times New Roman" w:hAnsi="Times New Roman" w:eastAsia="宋体" w:cs="Times New Roman"/>
          <w:color w:val="auto"/>
        </w:rPr>
        <w:t>”</w:t>
      </w:r>
      <w:r>
        <w:rPr>
          <w:rFonts w:ascii="Times New Roman" w:eastAsia="宋体" w:cs="Times New Roman" w:hAnsiTheme="minorEastAsia"/>
          <w:color w:val="auto"/>
        </w:rPr>
        <w:t>所列的所有服务进行投标，也可只对其中一包或几包的服务投标；若无特殊说明，每一包的内容不得分项投标，采购人原则上按照整包确定中标供应商。</w:t>
      </w:r>
    </w:p>
    <w:p w14:paraId="1F9B4C2C">
      <w:pPr>
        <w:pStyle w:val="31"/>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15.3 </w:t>
      </w:r>
      <w:r>
        <w:rPr>
          <w:rFonts w:hint="eastAsia" w:ascii="Times New Roman" w:eastAsia="宋体" w:cs="Times New Roman" w:hAnsiTheme="minorEastAsia"/>
          <w:color w:val="auto"/>
        </w:rPr>
        <w:t>投标人根据招标文件的规定和采购项目的实际情况，拟在中标后将中标项目的非主体、非关键性工作分包的，应当在投标文件中载明分包承担主体，分包承担主体应当具备相应资质条件且不得再次分包。</w:t>
      </w:r>
    </w:p>
    <w:p w14:paraId="1493AAFF">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15.</w:t>
      </w:r>
      <w:r>
        <w:rPr>
          <w:rFonts w:hint="eastAsia" w:ascii="Times New Roman" w:hAnsi="Times New Roman" w:eastAsia="宋体" w:cs="Times New Roman"/>
          <w:color w:val="auto"/>
        </w:rPr>
        <w:t>4</w:t>
      </w:r>
      <w:r>
        <w:rPr>
          <w:rFonts w:ascii="Times New Roman" w:eastAsia="宋体" w:cs="Times New Roman" w:hAnsiTheme="minorEastAsia"/>
          <w:color w:val="auto"/>
        </w:rPr>
        <w:t>如投标多个包的，要求按包分别独立制作投标文件。</w:t>
      </w:r>
    </w:p>
    <w:p w14:paraId="638E567D">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15.</w:t>
      </w:r>
      <w:r>
        <w:rPr>
          <w:rFonts w:hint="eastAsia" w:ascii="Times New Roman" w:hAnsi="Times New Roman" w:eastAsia="宋体" w:cs="Times New Roman"/>
          <w:color w:val="auto"/>
        </w:rPr>
        <w:t>5</w:t>
      </w:r>
      <w:r>
        <w:rPr>
          <w:rFonts w:ascii="Times New Roman" w:eastAsia="宋体" w:cs="Times New Roman" w:hAnsiTheme="minorEastAsia"/>
          <w:color w:val="auto"/>
        </w:rPr>
        <w:t>投标文件（包括封面和目录）的每一页，从封面开始按阿拉伯数字</w:t>
      </w:r>
      <w:r>
        <w:rPr>
          <w:rFonts w:ascii="Times New Roman" w:hAnsi="Times New Roman" w:eastAsia="宋体" w:cs="Times New Roman"/>
          <w:color w:val="auto"/>
        </w:rPr>
        <w:t>1</w:t>
      </w:r>
      <w:r>
        <w:rPr>
          <w:rFonts w:ascii="Times New Roman" w:eastAsia="宋体" w:cs="Times New Roman" w:hAnsiTheme="minorEastAsia"/>
          <w:color w:val="auto"/>
        </w:rPr>
        <w:t>、</w:t>
      </w:r>
      <w:r>
        <w:rPr>
          <w:rFonts w:ascii="Times New Roman" w:hAnsi="Times New Roman" w:eastAsia="宋体" w:cs="Times New Roman"/>
          <w:color w:val="auto"/>
        </w:rPr>
        <w:t>2</w:t>
      </w:r>
      <w:r>
        <w:rPr>
          <w:rFonts w:ascii="Times New Roman" w:eastAsia="宋体" w:cs="Times New Roman" w:hAnsiTheme="minorEastAsia"/>
          <w:color w:val="auto"/>
        </w:rPr>
        <w:t>、</w:t>
      </w:r>
      <w:r>
        <w:rPr>
          <w:rFonts w:ascii="Times New Roman" w:hAnsi="Times New Roman" w:eastAsia="宋体" w:cs="Times New Roman"/>
          <w:color w:val="auto"/>
        </w:rPr>
        <w:t>3…</w:t>
      </w:r>
      <w:r>
        <w:rPr>
          <w:rFonts w:ascii="Times New Roman" w:eastAsia="宋体" w:cs="Times New Roman" w:hAnsiTheme="minorEastAsia"/>
          <w:color w:val="auto"/>
        </w:rPr>
        <w:t>顺序编制页码。</w:t>
      </w:r>
    </w:p>
    <w:p w14:paraId="5CED6B94">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16. </w:t>
      </w:r>
      <w:r>
        <w:rPr>
          <w:rFonts w:ascii="Times New Roman" w:eastAsia="宋体" w:cs="Times New Roman" w:hAnsiTheme="minorEastAsia"/>
          <w:color w:val="auto"/>
        </w:rPr>
        <w:t>投标报价</w:t>
      </w:r>
    </w:p>
    <w:p w14:paraId="2E1904BF">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16.1 </w:t>
      </w:r>
      <w:r>
        <w:rPr>
          <w:rFonts w:ascii="Times New Roman" w:eastAsia="宋体" w:cs="Times New Roman" w:hAnsiTheme="minorEastAsia"/>
          <w:color w:val="auto"/>
        </w:rPr>
        <w:t>投标书、开标一览表等各表中的报价，若无特殊说明应采用人民币填报。</w:t>
      </w:r>
    </w:p>
    <w:p w14:paraId="30B083AF">
      <w:pPr>
        <w:pStyle w:val="31"/>
        <w:ind w:firstLine="446"/>
        <w:rPr>
          <w:rFonts w:ascii="Times New Roman" w:hAnsi="Times New Roman" w:eastAsia="宋体"/>
        </w:rPr>
      </w:pPr>
      <w:r>
        <w:rPr>
          <w:rFonts w:ascii="Times New Roman" w:hAnsi="Times New Roman" w:eastAsia="宋体" w:cs="Times New Roman"/>
          <w:color w:val="auto"/>
        </w:rPr>
        <w:t>16.2</w:t>
      </w:r>
      <w:r>
        <w:rPr>
          <w:rFonts w:ascii="Times New Roman" w:eastAsia="宋体" w:hAnsiTheme="minorEastAsia"/>
        </w:rPr>
        <w:t>投标报价是为完成招标文件规定的一切工作所需的全部费用的最终优惠价格。</w:t>
      </w:r>
    </w:p>
    <w:p w14:paraId="19E692DB">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16.3 </w:t>
      </w:r>
      <w:r>
        <w:rPr>
          <w:rFonts w:ascii="Times New Roman" w:eastAsia="宋体" w:cs="Times New Roman" w:hAnsiTheme="minorEastAsia"/>
          <w:color w:val="auto"/>
        </w:rPr>
        <w:t>除《招标项目需求》中说明并允许外，投标的每一个货物、服务的单项报价以及采购项目的投标总价均只允许有一个报价，任何有选择的报价，采购人、采购代理机构均将予以拒绝。</w:t>
      </w:r>
    </w:p>
    <w:p w14:paraId="7B506443">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17. </w:t>
      </w:r>
      <w:r>
        <w:rPr>
          <w:rFonts w:ascii="Times New Roman" w:eastAsia="宋体" w:cs="Times New Roman" w:hAnsiTheme="minorEastAsia"/>
          <w:color w:val="auto"/>
        </w:rPr>
        <w:t>投标人资格证明文件</w:t>
      </w:r>
    </w:p>
    <w:p w14:paraId="7F232900">
      <w:pPr>
        <w:pStyle w:val="31"/>
        <w:spacing w:line="360" w:lineRule="auto"/>
        <w:ind w:firstLine="448" w:firstLineChars="200"/>
        <w:jc w:val="both"/>
        <w:rPr>
          <w:rFonts w:ascii="Times New Roman" w:hAnsi="Times New Roman" w:eastAsia="宋体" w:cs="Times New Roman"/>
          <w:color w:val="auto"/>
        </w:rPr>
      </w:pPr>
      <w:r>
        <w:rPr>
          <w:rFonts w:ascii="Times New Roman" w:eastAsia="宋体" w:cs="Times New Roman" w:hAnsiTheme="minorEastAsia"/>
          <w:color w:val="auto"/>
        </w:rPr>
        <w:t>投标人必须提交证明其有资格进行投标和有能力履行合同的文件，作为投标文件的一部分。</w:t>
      </w:r>
    </w:p>
    <w:p w14:paraId="206D9C00">
      <w:pPr>
        <w:pStyle w:val="31"/>
        <w:spacing w:line="360" w:lineRule="auto"/>
        <w:ind w:firstLine="448" w:firstLineChars="200"/>
        <w:jc w:val="both"/>
        <w:rPr>
          <w:rFonts w:ascii="Times New Roman" w:hAnsi="Times New Roman" w:eastAsia="宋体" w:cs="Times New Roman"/>
          <w:color w:val="auto"/>
        </w:rPr>
      </w:pPr>
      <w:r>
        <w:rPr>
          <w:rFonts w:ascii="Times New Roman" w:eastAsia="宋体" w:cs="Times New Roman" w:hAnsiTheme="minorEastAsia"/>
          <w:color w:val="auto"/>
        </w:rPr>
        <w:t>（</w:t>
      </w:r>
      <w:r>
        <w:rPr>
          <w:rFonts w:ascii="Times New Roman" w:hAnsi="Times New Roman" w:eastAsia="宋体" w:cs="Times New Roman"/>
          <w:color w:val="auto"/>
        </w:rPr>
        <w:t>1</w:t>
      </w:r>
      <w:r>
        <w:rPr>
          <w:rFonts w:ascii="Times New Roman" w:eastAsia="宋体" w:cs="Times New Roman" w:hAnsiTheme="minorEastAsia"/>
          <w:color w:val="auto"/>
        </w:rPr>
        <w:t>）《投标邀请函》中规定的供应商资格要求（实质性要求）证明文件；</w:t>
      </w:r>
    </w:p>
    <w:p w14:paraId="4EB97CCE">
      <w:pPr>
        <w:pStyle w:val="31"/>
        <w:spacing w:line="360" w:lineRule="auto"/>
        <w:ind w:firstLine="448" w:firstLineChars="200"/>
        <w:jc w:val="both"/>
        <w:rPr>
          <w:rFonts w:ascii="Times New Roman" w:hAnsi="Times New Roman" w:eastAsia="宋体" w:cs="Times New Roman"/>
          <w:color w:val="auto"/>
        </w:rPr>
      </w:pPr>
      <w:r>
        <w:rPr>
          <w:rFonts w:ascii="Times New Roman" w:eastAsia="宋体" w:cs="Times New Roman" w:hAnsiTheme="minorEastAsia"/>
          <w:color w:val="auto"/>
        </w:rPr>
        <w:t>（</w:t>
      </w:r>
      <w:r>
        <w:rPr>
          <w:rFonts w:ascii="Times New Roman" w:hAnsi="Times New Roman" w:eastAsia="宋体" w:cs="Times New Roman"/>
          <w:color w:val="auto"/>
        </w:rPr>
        <w:t>2</w:t>
      </w:r>
      <w:r>
        <w:rPr>
          <w:rFonts w:ascii="Times New Roman" w:eastAsia="宋体" w:cs="Times New Roman" w:hAnsiTheme="minorEastAsia"/>
          <w:color w:val="auto"/>
        </w:rPr>
        <w:t>）若国家及行业对投标项目有特殊资格要求的，还须提供特殊资格证明文件；</w:t>
      </w:r>
    </w:p>
    <w:p w14:paraId="5554A0C5">
      <w:pPr>
        <w:pStyle w:val="31"/>
        <w:spacing w:line="360" w:lineRule="auto"/>
        <w:ind w:firstLine="448" w:firstLineChars="200"/>
        <w:jc w:val="both"/>
        <w:rPr>
          <w:rFonts w:ascii="Times New Roman" w:hAnsi="Times New Roman" w:eastAsia="宋体" w:cs="Times New Roman"/>
          <w:color w:val="auto"/>
        </w:rPr>
      </w:pPr>
      <w:r>
        <w:rPr>
          <w:rFonts w:ascii="Times New Roman" w:eastAsia="宋体" w:cs="Times New Roman" w:hAnsiTheme="minorEastAsia"/>
          <w:color w:val="auto"/>
        </w:rPr>
        <w:t>（</w:t>
      </w:r>
      <w:r>
        <w:rPr>
          <w:rFonts w:ascii="Times New Roman" w:hAnsi="Times New Roman" w:eastAsia="宋体" w:cs="Times New Roman"/>
          <w:color w:val="auto"/>
        </w:rPr>
        <w:t>3</w:t>
      </w:r>
      <w:r>
        <w:rPr>
          <w:rFonts w:ascii="Times New Roman" w:eastAsia="宋体" w:cs="Times New Roman" w:hAnsiTheme="minorEastAsia"/>
          <w:color w:val="auto"/>
        </w:rPr>
        <w:t>）涉及本须知中</w:t>
      </w:r>
      <w:r>
        <w:rPr>
          <w:rFonts w:ascii="Times New Roman" w:hAnsi="Times New Roman" w:eastAsia="宋体" w:cs="Times New Roman"/>
          <w:color w:val="auto"/>
        </w:rPr>
        <w:t xml:space="preserve">“4. </w:t>
      </w:r>
      <w:r>
        <w:rPr>
          <w:rFonts w:ascii="Times New Roman" w:eastAsia="宋体" w:cs="Times New Roman" w:hAnsiTheme="minorEastAsia"/>
          <w:color w:val="auto"/>
        </w:rPr>
        <w:t>合格的投标人</w:t>
      </w:r>
      <w:r>
        <w:rPr>
          <w:rFonts w:ascii="Times New Roman" w:hAnsi="Times New Roman" w:eastAsia="宋体" w:cs="Times New Roman"/>
          <w:color w:val="auto"/>
        </w:rPr>
        <w:t>”</w:t>
      </w:r>
      <w:r>
        <w:rPr>
          <w:rFonts w:ascii="Times New Roman" w:eastAsia="宋体" w:cs="Times New Roman" w:hAnsiTheme="minorEastAsia"/>
          <w:color w:val="auto"/>
        </w:rPr>
        <w:t>相关要求的，按其要求执行。</w:t>
      </w:r>
    </w:p>
    <w:p w14:paraId="24B545A0">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18. </w:t>
      </w:r>
      <w:r>
        <w:rPr>
          <w:rFonts w:ascii="Times New Roman" w:eastAsia="宋体" w:cs="Times New Roman" w:hAnsiTheme="minorEastAsia"/>
          <w:color w:val="auto"/>
        </w:rPr>
        <w:t>技术响应文件</w:t>
      </w:r>
    </w:p>
    <w:p w14:paraId="247E6020">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18.1 </w:t>
      </w:r>
      <w:r>
        <w:rPr>
          <w:rFonts w:ascii="Times New Roman" w:eastAsia="宋体" w:cs="Times New Roman" w:hAnsiTheme="minorEastAsia"/>
          <w:color w:val="auto"/>
        </w:rPr>
        <w:t>投标人须提交证明其拟提供的服务符合招标文件规定的技术响应文件，作为投标文件的一部分。</w:t>
      </w:r>
    </w:p>
    <w:p w14:paraId="32355B21">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18.2 </w:t>
      </w:r>
      <w:r>
        <w:rPr>
          <w:rFonts w:ascii="Times New Roman" w:eastAsia="宋体" w:cs="Times New Roman" w:hAnsiTheme="minorEastAsia"/>
          <w:color w:val="auto"/>
        </w:rPr>
        <w:t>上述技术响应文件可以是文字资料、图纸或数据，</w:t>
      </w:r>
      <w:r>
        <w:rPr>
          <w:rFonts w:ascii="Times New Roman" w:eastAsia="宋体" w:cs="Times New Roman" w:hAnsiTheme="minorEastAsia"/>
          <w:color w:val="auto"/>
          <w:szCs w:val="21"/>
        </w:rPr>
        <w:t>其内容应包括但不限于人力、物力等资源的投入以及服务内容、方式、手段、措施、质量保证及建议等。</w:t>
      </w:r>
    </w:p>
    <w:p w14:paraId="28C72294">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19. </w:t>
      </w:r>
      <w:r>
        <w:rPr>
          <w:rFonts w:ascii="Times New Roman" w:eastAsia="宋体" w:cs="Times New Roman" w:hAnsiTheme="minorEastAsia"/>
          <w:color w:val="auto"/>
        </w:rPr>
        <w:t>投标保证金</w:t>
      </w:r>
    </w:p>
    <w:p w14:paraId="48490FE9">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19.1 </w:t>
      </w:r>
      <w:r>
        <w:rPr>
          <w:rFonts w:ascii="Times New Roman" w:eastAsia="宋体" w:cs="Times New Roman" w:hAnsiTheme="minorEastAsia"/>
          <w:color w:val="auto"/>
        </w:rPr>
        <w:t>按照《招标项目要求》要求执行。</w:t>
      </w:r>
    </w:p>
    <w:p w14:paraId="0B3B9270">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19.2 </w:t>
      </w:r>
      <w:r>
        <w:rPr>
          <w:rFonts w:ascii="Times New Roman" w:eastAsia="宋体" w:cs="Times New Roman" w:hAnsiTheme="minorEastAsia"/>
          <w:color w:val="auto"/>
        </w:rPr>
        <w:t>符合《政府采购货物和服务招标投标管理办法》和《政府采购法实施条例》相关规定。</w:t>
      </w:r>
    </w:p>
    <w:p w14:paraId="51BCECC4">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20. </w:t>
      </w:r>
      <w:r>
        <w:rPr>
          <w:rFonts w:ascii="Times New Roman" w:eastAsia="宋体" w:cs="Times New Roman" w:hAnsiTheme="minorEastAsia"/>
          <w:color w:val="auto"/>
        </w:rPr>
        <w:t>投标有效期</w:t>
      </w:r>
    </w:p>
    <w:p w14:paraId="25F982BF">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20.1 </w:t>
      </w:r>
      <w:r>
        <w:rPr>
          <w:rFonts w:ascii="Times New Roman" w:eastAsia="宋体" w:cs="Times New Roman" w:hAnsiTheme="minorEastAsia"/>
          <w:color w:val="auto"/>
        </w:rPr>
        <w:t>投标有效期为</w:t>
      </w:r>
      <w:r>
        <w:rPr>
          <w:rFonts w:hint="eastAsia" w:ascii="Times New Roman" w:eastAsia="宋体" w:cs="Times New Roman" w:hAnsiTheme="minorEastAsia"/>
          <w:color w:val="auto"/>
        </w:rPr>
        <w:t>提交投标文件的截止之日</w:t>
      </w:r>
      <w:r>
        <w:rPr>
          <w:rFonts w:ascii="Times New Roman" w:eastAsia="宋体" w:cs="Times New Roman" w:hAnsiTheme="minorEastAsia"/>
          <w:color w:val="auto"/>
        </w:rPr>
        <w:t>起</w:t>
      </w:r>
      <w:r>
        <w:rPr>
          <w:rFonts w:ascii="Times New Roman" w:hAnsi="Times New Roman" w:eastAsia="宋体" w:cs="Times New Roman"/>
          <w:color w:val="auto"/>
        </w:rPr>
        <w:t>60</w:t>
      </w:r>
      <w:r>
        <w:rPr>
          <w:rFonts w:ascii="Times New Roman" w:eastAsia="宋体" w:cs="Times New Roman" w:hAnsiTheme="minorEastAsia"/>
          <w:color w:val="auto"/>
        </w:rPr>
        <w:t>天。投标书中规定的有效期短于招标文件规定的，其投标将被拒绝。</w:t>
      </w:r>
    </w:p>
    <w:p w14:paraId="7B1098B6">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20.2 </w:t>
      </w:r>
      <w:r>
        <w:rPr>
          <w:rFonts w:ascii="Times New Roman" w:eastAsia="宋体" w:cs="Times New Roman" w:hAnsiTheme="minorEastAsia"/>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14:paraId="29C80DD9">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21. </w:t>
      </w:r>
      <w:r>
        <w:rPr>
          <w:rFonts w:ascii="Times New Roman" w:eastAsia="宋体" w:cs="Times New Roman" w:hAnsiTheme="minorEastAsia"/>
          <w:color w:val="auto"/>
        </w:rPr>
        <w:t>投标文件的签署及规定</w:t>
      </w:r>
    </w:p>
    <w:p w14:paraId="3FE66C47">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21.1 </w:t>
      </w:r>
      <w:r>
        <w:rPr>
          <w:rFonts w:ascii="Times New Roman" w:eastAsia="宋体" w:cs="Times New Roman" w:hAnsiTheme="minorEastAsia"/>
          <w:color w:val="auto"/>
        </w:rPr>
        <w:t>投标文件应按《招标项目要求》和《投标文件格式》如实编写，未尽事宜可自行补充。投标文件内容不完整、格式不符合导致投标文件被误读、漏读或者查找不到相关内容的，投标人自行承担由此产生的风险。</w:t>
      </w:r>
    </w:p>
    <w:p w14:paraId="5B47F876">
      <w:pPr>
        <w:pStyle w:val="31"/>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21.2 </w:t>
      </w:r>
      <w:r>
        <w:rPr>
          <w:rFonts w:hint="eastAsia" w:ascii="Times New Roman" w:eastAsia="宋体" w:cs="Times New Roman" w:hAnsiTheme="minorEastAsia"/>
          <w:color w:val="auto"/>
        </w:rPr>
        <w:t>投标人按照《投标邀请函》的要求提交网上应答并</w:t>
      </w:r>
      <w:r>
        <w:rPr>
          <w:rFonts w:hint="eastAsia" w:ascii="Times New Roman" w:eastAsia="宋体" w:cs="Times New Roman" w:hAnsiTheme="minorEastAsia"/>
          <w:color w:val="auto"/>
          <w:szCs w:val="32"/>
        </w:rPr>
        <w:t>上传</w:t>
      </w:r>
      <w:r>
        <w:rPr>
          <w:rFonts w:hint="eastAsia" w:ascii="Times New Roman" w:eastAsia="宋体" w:cs="Times New Roman" w:hAnsiTheme="minorEastAsia"/>
          <w:color w:val="auto"/>
        </w:rPr>
        <w:t>加盖投标人电子签章的电子投标文件（以通过天津公共资源电子签章客户端正确读取签章信息为准）。上传的电子投标文件应与网上应答填报内容一致，当出现上传的电子投标文件报价与网上应答报价不一致时，以网上应答为准。</w:t>
      </w:r>
    </w:p>
    <w:p w14:paraId="74C76C55">
      <w:pPr>
        <w:pStyle w:val="31"/>
        <w:spacing w:line="360" w:lineRule="auto"/>
        <w:ind w:firstLine="448" w:firstLineChars="200"/>
        <w:jc w:val="both"/>
        <w:rPr>
          <w:rFonts w:ascii="Times New Roman" w:eastAsia="宋体" w:cs="Times New Roman" w:hAnsiTheme="minorEastAsia"/>
          <w:color w:val="auto"/>
        </w:rPr>
      </w:pPr>
      <w:r>
        <w:rPr>
          <w:rFonts w:ascii="Times New Roman" w:hAnsi="Times New Roman" w:eastAsia="宋体" w:cs="Times New Roman"/>
          <w:color w:val="auto"/>
        </w:rPr>
        <w:t xml:space="preserve">21.3 </w:t>
      </w:r>
      <w:r>
        <w:rPr>
          <w:rFonts w:ascii="Times New Roman" w:eastAsia="宋体" w:cs="Times New Roman" w:hAnsiTheme="minorEastAsia"/>
          <w:color w:val="auto"/>
        </w:rPr>
        <w:t>若有修改须于规定时间内重新提交电子投标文件。投标文件因模糊不清或表达不清所引起的后果由投标人自负。</w:t>
      </w:r>
    </w:p>
    <w:p w14:paraId="5123EB4B">
      <w:pPr>
        <w:widowControl/>
        <w:autoSpaceDE w:val="0"/>
        <w:autoSpaceDN w:val="0"/>
        <w:adjustRightInd w:val="0"/>
        <w:spacing w:line="360" w:lineRule="auto"/>
        <w:ind w:firstLine="448" w:firstLineChars="200"/>
        <w:rPr>
          <w:rFonts w:cs="......."/>
          <w:kern w:val="0"/>
          <w:sz w:val="24"/>
          <w:szCs w:val="24"/>
        </w:rPr>
      </w:pPr>
      <w:r>
        <w:rPr>
          <w:kern w:val="0"/>
          <w:sz w:val="24"/>
          <w:szCs w:val="24"/>
        </w:rPr>
        <w:t>21.4</w:t>
      </w:r>
      <w:r>
        <w:rPr>
          <w:rFonts w:hint="eastAsia"/>
          <w:kern w:val="0"/>
          <w:sz w:val="24"/>
          <w:szCs w:val="24"/>
        </w:rPr>
        <w:t xml:space="preserve"> 文件中的电子件指扫描件、电子证照、照片等形式电子文件；要求第三方出具的盖章件原件（如联合协议、分包意向协议、制造商授权书等），投标文件中应使用原件的电子件。</w:t>
      </w:r>
    </w:p>
    <w:p w14:paraId="795A0E28">
      <w:pPr>
        <w:pStyle w:val="31"/>
        <w:spacing w:line="360" w:lineRule="auto"/>
        <w:ind w:firstLine="448" w:firstLineChars="200"/>
        <w:jc w:val="both"/>
        <w:rPr>
          <w:rFonts w:ascii="Times New Roman" w:hAnsi="Times New Roman" w:eastAsia="宋体" w:cs="Times New Roman"/>
          <w:color w:val="auto"/>
        </w:rPr>
      </w:pPr>
    </w:p>
    <w:p w14:paraId="20E5E053">
      <w:pPr>
        <w:pStyle w:val="31"/>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 xml:space="preserve">D  </w:t>
      </w:r>
      <w:r>
        <w:rPr>
          <w:rFonts w:ascii="Times New Roman" w:eastAsia="宋体" w:cs="Times New Roman" w:hAnsiTheme="minorEastAsia"/>
          <w:color w:val="auto"/>
        </w:rPr>
        <w:t>投标文件的网上应答和提交</w:t>
      </w:r>
    </w:p>
    <w:p w14:paraId="752801C4">
      <w:pPr>
        <w:pStyle w:val="31"/>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22. </w:t>
      </w:r>
      <w:r>
        <w:rPr>
          <w:rFonts w:hint="eastAsia" w:ascii="Times New Roman" w:eastAsia="宋体" w:cs="Times New Roman" w:hAnsiTheme="minorEastAsia"/>
          <w:color w:val="auto"/>
        </w:rPr>
        <w:t>投标人须按《投标邀请函》规定提交网上应答并上传加盖投标人电子签章的电子投标文件（以通过天津公共资源电子签章客户端正确读取签章信息为准）。具体方式：</w:t>
      </w:r>
      <w:r>
        <w:rPr>
          <w:rFonts w:ascii="Times New Roman" w:eastAsia="宋体" w:cs="Times New Roman" w:hAnsiTheme="minorEastAsia"/>
          <w:color w:val="auto"/>
        </w:rPr>
        <w:t>使用天津数字认证有限公司发出的CA数字证书（原天津市电子认证中心发出尚在有效期内的CA数字证书仍可使用）登陆</w:t>
      </w:r>
      <w:r>
        <w:rPr>
          <w:rFonts w:hint="eastAsia" w:ascii="Times New Roman" w:eastAsia="宋体" w:cs="Times New Roman" w:hAnsiTheme="minorEastAsia"/>
          <w:color w:val="auto"/>
        </w:rPr>
        <w:t>天津市政府采购中心网（网址：</w:t>
      </w:r>
      <w:r>
        <w:fldChar w:fldCharType="begin"/>
      </w:r>
      <w:r>
        <w:instrText xml:space="preserve"> HYPERLINK "http://tjgpc.cz.tj.gov.cn/" </w:instrText>
      </w:r>
      <w:r>
        <w:fldChar w:fldCharType="separate"/>
      </w:r>
      <w:r>
        <w:rPr>
          <w:rStyle w:val="25"/>
          <w:rFonts w:ascii="Times New Roman" w:hAnsi="Times New Roman" w:eastAsia="宋体" w:cs="Times New Roman"/>
        </w:rPr>
        <w:t>http://tjgpc.zwfwb.tj.gov.cn/</w:t>
      </w:r>
      <w:r>
        <w:rPr>
          <w:rStyle w:val="25"/>
          <w:rFonts w:ascii="Times New Roman" w:hAnsi="Times New Roman" w:eastAsia="宋体" w:cs="Times New Roman"/>
        </w:rPr>
        <w:fldChar w:fldCharType="end"/>
      </w:r>
      <w:r>
        <w:rPr>
          <w:rFonts w:hint="eastAsia" w:ascii="Times New Roman" w:eastAsia="宋体" w:cs="Times New Roman" w:hAnsiTheme="minorEastAsia"/>
          <w:color w:val="auto"/>
        </w:rPr>
        <w:t>）</w:t>
      </w:r>
      <w:r>
        <w:rPr>
          <w:rFonts w:hint="eastAsia" w:ascii="Times New Roman" w:hAnsi="Times New Roman" w:eastAsia="宋体" w:cs="Times New Roman"/>
          <w:color w:val="auto"/>
        </w:rPr>
        <w:t>-“</w:t>
      </w:r>
      <w:r>
        <w:rPr>
          <w:rFonts w:hint="eastAsia" w:ascii="Times New Roman" w:eastAsia="宋体" w:cs="Times New Roman" w:hAnsiTheme="minorEastAsia"/>
          <w:color w:val="auto"/>
        </w:rPr>
        <w:t>网上招投标”-“供应商登录”-“区级集采机构入口”提交网上应答并上传加盖投标人电子签章的电子投标文件（以通过天津公共资源电子签章客户端正确读取签章信息为准）。如有需要，投标人可于工作时间且在招标文件规定的截止时间前到天津市河东区红星路</w:t>
      </w:r>
      <w:r>
        <w:rPr>
          <w:rFonts w:hint="eastAsia" w:ascii="Times New Roman" w:hAnsi="Times New Roman" w:eastAsia="宋体" w:cs="Times New Roman"/>
          <w:color w:val="auto"/>
        </w:rPr>
        <w:t>79</w:t>
      </w:r>
      <w:r>
        <w:rPr>
          <w:rFonts w:hint="eastAsia" w:ascii="Times New Roman" w:eastAsia="宋体" w:cs="Times New Roman" w:hAnsiTheme="minorEastAsia"/>
          <w:color w:val="auto"/>
        </w:rPr>
        <w:t>号天津市政府采购中心窗口完成上述操作。</w:t>
      </w:r>
    </w:p>
    <w:p w14:paraId="7CF68D63">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23. </w:t>
      </w:r>
      <w:r>
        <w:rPr>
          <w:rFonts w:hint="eastAsia" w:ascii="Times New Roman" w:eastAsia="宋体" w:cs="Times New Roman" w:hAnsiTheme="minorEastAsia"/>
          <w:color w:val="auto"/>
        </w:rPr>
        <w:t>制作和上传电子投标文件要求</w:t>
      </w:r>
    </w:p>
    <w:p w14:paraId="42A475BA">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23.1 </w:t>
      </w:r>
      <w:r>
        <w:rPr>
          <w:rFonts w:hint="eastAsia" w:ascii="Times New Roman" w:eastAsia="宋体" w:cs="Times New Roman" w:hAnsiTheme="minorEastAsia"/>
          <w:color w:val="auto"/>
        </w:rPr>
        <w:t>投标人须下载天津市政府采购中心网</w:t>
      </w:r>
      <w:r>
        <w:rPr>
          <w:rFonts w:ascii="Times New Roman" w:hAnsi="Times New Roman" w:eastAsia="宋体" w:cs="Times New Roman"/>
          <w:color w:val="auto"/>
        </w:rPr>
        <w:t>-</w:t>
      </w:r>
      <w:r>
        <w:rPr>
          <w:rFonts w:hint="eastAsia" w:ascii="Times New Roman" w:eastAsia="宋体" w:cs="Times New Roman" w:hAnsiTheme="minorEastAsia"/>
          <w:color w:val="auto"/>
        </w:rPr>
        <w:t>下载中心</w:t>
      </w:r>
      <w:r>
        <w:rPr>
          <w:rFonts w:ascii="Times New Roman" w:hAnsi="Times New Roman" w:eastAsia="宋体" w:cs="Times New Roman"/>
          <w:color w:val="auto"/>
        </w:rPr>
        <w:t>-</w:t>
      </w:r>
      <w:r>
        <w:rPr>
          <w:rFonts w:hint="eastAsia" w:ascii="Times New Roman" w:hAnsi="Times New Roman" w:eastAsia="宋体" w:cs="Times New Roman"/>
          <w:color w:val="auto"/>
        </w:rPr>
        <w:t>《天津公共资源电子签章客户端安装包及使用说明》</w:t>
      </w:r>
      <w:r>
        <w:rPr>
          <w:rFonts w:hint="eastAsia" w:ascii="Times New Roman" w:eastAsia="宋体" w:cs="Times New Roman" w:hAnsiTheme="minorEastAsia"/>
          <w:color w:val="auto"/>
        </w:rPr>
        <w:t>。</w:t>
      </w:r>
    </w:p>
    <w:p w14:paraId="579EAC93">
      <w:pPr>
        <w:pStyle w:val="31"/>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 xml:space="preserve">23.2 </w:t>
      </w:r>
      <w:r>
        <w:rPr>
          <w:rFonts w:hint="eastAsia" w:ascii="Times New Roman" w:eastAsia="宋体" w:cs="Times New Roman" w:hAnsiTheme="minorEastAsia"/>
          <w:color w:val="auto"/>
        </w:rPr>
        <w:t>投标人须按照招标文件的规定制作电子投标文件，对所需提供的一切纸质材料进行扫描后加入电子投标文件，按照《天津公共资源电子签章客户端安装包及使用说明》规定的要求制作加盖投标人电子签章的电子投标文件（以通过天津公共资源电子签章客户端正确读取签章信息为准），并于投标截止时间前上传至天津市政府采购中心招投标系统。</w:t>
      </w:r>
    </w:p>
    <w:p w14:paraId="0923786F">
      <w:pPr>
        <w:pStyle w:val="31"/>
        <w:spacing w:line="360" w:lineRule="auto"/>
        <w:ind w:firstLine="448" w:firstLineChars="200"/>
        <w:rPr>
          <w:rFonts w:ascii="Times New Roman" w:hAnsi="Times New Roman" w:eastAsia="宋体" w:cs="Times New Roman"/>
          <w:color w:val="auto"/>
        </w:rPr>
      </w:pPr>
      <w:r>
        <w:rPr>
          <w:rFonts w:hint="eastAsia" w:ascii="Times New Roman" w:eastAsia="宋体" w:cs="Times New Roman" w:hAnsiTheme="minorEastAsia"/>
          <w:color w:val="auto"/>
        </w:rPr>
        <w:t>特别提醒：</w:t>
      </w:r>
    </w:p>
    <w:p w14:paraId="005F0F94">
      <w:pPr>
        <w:pStyle w:val="31"/>
        <w:spacing w:line="360" w:lineRule="auto"/>
        <w:ind w:firstLine="448" w:firstLineChars="200"/>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1）由于投标人网络接入速率不可控等网络传输风险，建议投标人在网上应答上传加盖电子签章的电子投标文件后，对上传文件进行下载，核对文件完整性，如是否缺页少页、图片是否显示完整、签章是否有效等，并按照《天津公共资源电子签章客户端安装包及使用说明》要求的文件检查方法进行检查，确保投标文件上传准确、有效。</w:t>
      </w:r>
    </w:p>
    <w:p w14:paraId="1D2D3125">
      <w:pPr>
        <w:pStyle w:val="31"/>
        <w:spacing w:line="360" w:lineRule="auto"/>
        <w:ind w:firstLine="448" w:firstLineChars="200"/>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2）投标人应当按照天津公共资源电子签章客户端使用说明的要求使用电子签章客户端软件。不按本使用说明使用电子签章客户端软件，或使用word等其它软件进行签章工作，将会造成天津公共资源电子签章客户端无法读取签章信息，并导致投标无效。</w:t>
      </w:r>
    </w:p>
    <w:p w14:paraId="6EEF286E">
      <w:pPr>
        <w:pStyle w:val="31"/>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 xml:space="preserve">23.3 </w:t>
      </w:r>
      <w:r>
        <w:rPr>
          <w:rFonts w:hint="eastAsia" w:ascii="Times New Roman" w:eastAsia="宋体" w:cs="Times New Roman" w:hAnsiTheme="minorEastAsia"/>
          <w:color w:val="auto"/>
        </w:rPr>
        <w:t>投标人须保证电子投标文件清晰，便于识别，如因上传、扫描、格式等原因导致评审时受到影响，由投标人自行承担相应责任。</w:t>
      </w:r>
    </w:p>
    <w:p w14:paraId="25485074">
      <w:pPr>
        <w:pStyle w:val="31"/>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 xml:space="preserve">24. </w:t>
      </w:r>
      <w:r>
        <w:rPr>
          <w:rFonts w:ascii="Times New Roman" w:eastAsia="宋体" w:cs="Times New Roman" w:hAnsiTheme="minorEastAsia"/>
          <w:color w:val="auto"/>
        </w:rPr>
        <w:t>投标人须承诺接受电子投标的方式，并自行承担由此带来的废标、无效投标的风险。</w:t>
      </w:r>
    </w:p>
    <w:p w14:paraId="5803AAAE">
      <w:pPr>
        <w:pStyle w:val="31"/>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25. </w:t>
      </w:r>
      <w:r>
        <w:rPr>
          <w:rFonts w:hint="eastAsia" w:ascii="Times New Roman" w:eastAsia="宋体" w:cs="Times New Roman" w:hAnsiTheme="minorEastAsia"/>
          <w:color w:val="auto"/>
        </w:rPr>
        <w:t>未按招标文件的规定提交网上应答和上传加盖投标人电子签章的电子投标文件（以通过天津公共资源电子签章客户端正确读取签章信息为准）的投标将被拒绝。</w:t>
      </w:r>
    </w:p>
    <w:p w14:paraId="36FDAA0F">
      <w:pPr>
        <w:pStyle w:val="31"/>
        <w:spacing w:line="360" w:lineRule="auto"/>
        <w:ind w:firstLine="448" w:firstLineChars="200"/>
        <w:jc w:val="both"/>
        <w:rPr>
          <w:rFonts w:ascii="Times New Roman" w:hAnsi="Times New Roman" w:eastAsia="宋体" w:cs="Times New Roman"/>
          <w:color w:val="auto"/>
        </w:rPr>
      </w:pPr>
    </w:p>
    <w:p w14:paraId="0B312E4F">
      <w:pPr>
        <w:pStyle w:val="31"/>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 xml:space="preserve">E  </w:t>
      </w:r>
      <w:r>
        <w:rPr>
          <w:rFonts w:ascii="Times New Roman" w:eastAsia="宋体" w:cs="Times New Roman" w:hAnsiTheme="minorEastAsia"/>
          <w:color w:val="auto"/>
        </w:rPr>
        <w:t>开标和评标</w:t>
      </w:r>
    </w:p>
    <w:p w14:paraId="1AA97EA0">
      <w:pPr>
        <w:pStyle w:val="31"/>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26. </w:t>
      </w:r>
      <w:r>
        <w:rPr>
          <w:rFonts w:hint="eastAsia" w:ascii="Times New Roman" w:eastAsia="宋体" w:cs="Times New Roman" w:hAnsiTheme="minorEastAsia"/>
          <w:color w:val="auto"/>
        </w:rPr>
        <w:t>开标解密和资格审查</w:t>
      </w:r>
    </w:p>
    <w:p w14:paraId="1111A9DD">
      <w:pPr>
        <w:pStyle w:val="31"/>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26.1 </w:t>
      </w:r>
      <w:r>
        <w:rPr>
          <w:rFonts w:hint="eastAsia" w:ascii="Times New Roman" w:eastAsia="宋体" w:cs="Times New Roman" w:hAnsiTheme="minorEastAsia"/>
          <w:color w:val="auto"/>
        </w:rPr>
        <w:t>投标人须于《投标邀请函》中规定的时间内使用天津数字认证有限公司发出的CA数字证书（原天津市电子认证中心发出尚在有效期内的CA数字证书仍可使用）登陆天津市政府采购中心网（网址：</w:t>
      </w:r>
      <w:r>
        <w:fldChar w:fldCharType="begin"/>
      </w:r>
      <w:r>
        <w:instrText xml:space="preserve"> HYPERLINK "http://tjgpc.cz.tj.gov.cn/" </w:instrText>
      </w:r>
      <w:r>
        <w:fldChar w:fldCharType="separate"/>
      </w:r>
      <w:r>
        <w:rPr>
          <w:rStyle w:val="25"/>
          <w:rFonts w:ascii="Times New Roman" w:hAnsi="Times New Roman" w:eastAsia="宋体" w:cs="Times New Roman"/>
        </w:rPr>
        <w:t>http://tjgpc.zwfwb.tj.gov.cn/</w:t>
      </w:r>
      <w:r>
        <w:rPr>
          <w:rStyle w:val="25"/>
          <w:rFonts w:ascii="Times New Roman" w:hAnsi="Times New Roman" w:eastAsia="宋体" w:cs="Times New Roman"/>
        </w:rPr>
        <w:fldChar w:fldCharType="end"/>
      </w:r>
      <w:r>
        <w:rPr>
          <w:rFonts w:hint="eastAsia" w:ascii="Times New Roman" w:eastAsia="宋体" w:cs="Times New Roman" w:hAnsiTheme="minorEastAsia"/>
          <w:color w:val="auto"/>
        </w:rPr>
        <w:t>）</w:t>
      </w:r>
      <w:r>
        <w:rPr>
          <w:rFonts w:hint="eastAsia" w:ascii="Times New Roman" w:hAnsi="Times New Roman" w:eastAsia="宋体" w:cs="Times New Roman"/>
          <w:color w:val="auto"/>
        </w:rPr>
        <w:t>-“</w:t>
      </w:r>
      <w:r>
        <w:rPr>
          <w:rFonts w:hint="eastAsia" w:ascii="Times New Roman" w:eastAsia="宋体" w:cs="Times New Roman" w:hAnsiTheme="minorEastAsia"/>
          <w:color w:val="auto"/>
        </w:rPr>
        <w:t>网上招投标”-“供应商登录”-“区级集采机构入口”完成开标解密。</w:t>
      </w:r>
    </w:p>
    <w:p w14:paraId="2136E87A">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26.2 </w:t>
      </w:r>
      <w:r>
        <w:rPr>
          <w:rFonts w:ascii="Times New Roman" w:eastAsia="宋体" w:cs="Times New Roman" w:hAnsiTheme="minorEastAsia"/>
          <w:color w:val="auto"/>
        </w:rPr>
        <w:t>由于投标人原因，没有在规定时间内进行网上开标解密，视为无效投标。</w:t>
      </w:r>
    </w:p>
    <w:p w14:paraId="51591C7A">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26.3 </w:t>
      </w:r>
      <w:r>
        <w:rPr>
          <w:rFonts w:ascii="Times New Roman" w:eastAsia="宋体" w:cs="Times New Roman" w:hAnsiTheme="minorEastAsia"/>
          <w:color w:val="auto"/>
        </w:rPr>
        <w:t>开标解密后，对开标结果进行网上公示，投标人报价为空、为零的将被视为无效投标。</w:t>
      </w:r>
    </w:p>
    <w:p w14:paraId="046AFCE8">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26.4 </w:t>
      </w:r>
      <w:r>
        <w:rPr>
          <w:rFonts w:ascii="Times New Roman" w:eastAsia="宋体" w:cs="Times New Roman" w:hAnsiTheme="minorEastAsia"/>
          <w:color w:val="auto"/>
        </w:rPr>
        <w:t>开标解密后，投标代表人应保持电话畅通并具备相应的网络环境，随时准备接受评委的网上询标。</w:t>
      </w:r>
    </w:p>
    <w:p w14:paraId="0112FA99">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26.5 </w:t>
      </w:r>
      <w:r>
        <w:rPr>
          <w:rFonts w:ascii="Times New Roman" w:eastAsia="宋体" w:cs="Times New Roman" w:hAnsiTheme="minorEastAsia"/>
          <w:color w:val="auto"/>
        </w:rPr>
        <w:t>投标人须于规定时间内通过天津市政府采购中心招投标系统</w:t>
      </w:r>
      <w:r>
        <w:rPr>
          <w:rFonts w:ascii="Times New Roman" w:hAnsi="Times New Roman" w:eastAsia="宋体" w:cs="Times New Roman"/>
          <w:color w:val="auto"/>
        </w:rPr>
        <w:t>“</w:t>
      </w:r>
      <w:r>
        <w:rPr>
          <w:rFonts w:ascii="Times New Roman" w:eastAsia="宋体" w:cs="Times New Roman" w:hAnsiTheme="minorEastAsia"/>
          <w:color w:val="auto"/>
        </w:rPr>
        <w:t>询标解答</w:t>
      </w:r>
      <w:r>
        <w:rPr>
          <w:rFonts w:ascii="Times New Roman" w:hAnsi="Times New Roman" w:eastAsia="宋体" w:cs="Times New Roman"/>
          <w:color w:val="auto"/>
        </w:rPr>
        <w:t>”</w:t>
      </w:r>
      <w:r>
        <w:rPr>
          <w:rFonts w:ascii="Times New Roman" w:eastAsia="宋体" w:cs="Times New Roman" w:hAnsiTheme="minorEastAsia"/>
          <w:color w:val="auto"/>
        </w:rPr>
        <w:t>对评委的网上询标予以解答。如投标代表人被要求到评审现场答疑时，须携带身份证等有效证件原件，以备查验。</w:t>
      </w:r>
    </w:p>
    <w:p w14:paraId="18A353F1">
      <w:pPr>
        <w:pStyle w:val="31"/>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26.6 </w:t>
      </w:r>
      <w:r>
        <w:rPr>
          <w:rFonts w:hint="eastAsia" w:ascii="Times New Roman" w:eastAsia="宋体" w:cs="Times New Roman" w:hAnsiTheme="minorEastAsia"/>
          <w:color w:val="auto"/>
        </w:rPr>
        <w:t>投标截止时间后，投标人不足</w:t>
      </w:r>
      <w:r>
        <w:rPr>
          <w:rFonts w:hint="eastAsia" w:ascii="Times New Roman" w:hAnsi="Times New Roman" w:eastAsia="宋体" w:cs="Times New Roman"/>
          <w:color w:val="auto"/>
        </w:rPr>
        <w:t>3</w:t>
      </w:r>
      <w:r>
        <w:rPr>
          <w:rFonts w:hint="eastAsia" w:ascii="Times New Roman" w:eastAsia="宋体" w:cs="Times New Roman" w:hAnsiTheme="minorEastAsia"/>
          <w:color w:val="auto"/>
        </w:rPr>
        <w:t>家的，不得开标。</w:t>
      </w:r>
    </w:p>
    <w:p w14:paraId="6388444A">
      <w:pPr>
        <w:pStyle w:val="31"/>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26.7 </w:t>
      </w:r>
      <w:r>
        <w:rPr>
          <w:rFonts w:hint="eastAsia" w:ascii="Times New Roman" w:eastAsia="宋体" w:cs="Times New Roman" w:hAnsiTheme="minorEastAsia"/>
          <w:color w:val="auto"/>
        </w:rPr>
        <w:t>开标解密后，采购人或采购代理机构应当依法对投标人的资格进行审查。资格审查合格的投标人不足</w:t>
      </w:r>
      <w:r>
        <w:rPr>
          <w:rFonts w:hint="eastAsia" w:ascii="Times New Roman" w:hAnsi="Times New Roman" w:eastAsia="宋体" w:cs="Times New Roman"/>
          <w:color w:val="auto"/>
        </w:rPr>
        <w:t>3</w:t>
      </w:r>
      <w:r>
        <w:rPr>
          <w:rFonts w:hint="eastAsia" w:ascii="Times New Roman" w:eastAsia="宋体" w:cs="Times New Roman" w:hAnsiTheme="minorEastAsia"/>
          <w:color w:val="auto"/>
        </w:rPr>
        <w:t>家的，不得评标。</w:t>
      </w:r>
    </w:p>
    <w:p w14:paraId="6458C27E">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27. </w:t>
      </w:r>
      <w:r>
        <w:rPr>
          <w:rFonts w:ascii="Times New Roman" w:eastAsia="宋体" w:cs="Times New Roman" w:hAnsiTheme="minorEastAsia"/>
          <w:color w:val="auto"/>
        </w:rPr>
        <w:t>评审委员会</w:t>
      </w:r>
    </w:p>
    <w:p w14:paraId="72816889">
      <w:pPr>
        <w:pStyle w:val="31"/>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27.1 </w:t>
      </w:r>
      <w:r>
        <w:rPr>
          <w:rFonts w:hint="eastAsia" w:ascii="Times New Roman" w:eastAsia="宋体" w:cs="Times New Roman" w:hAnsiTheme="minorEastAsia"/>
          <w:color w:val="auto"/>
        </w:rPr>
        <w:t>评审委员会成员由采购人代表和评审专家组成，成员人数应当为</w:t>
      </w:r>
      <w:r>
        <w:rPr>
          <w:rFonts w:hint="eastAsia" w:ascii="Times New Roman" w:hAnsi="Times New Roman" w:eastAsia="宋体" w:cs="Times New Roman"/>
          <w:color w:val="auto"/>
        </w:rPr>
        <w:t>5</w:t>
      </w:r>
      <w:r>
        <w:rPr>
          <w:rFonts w:hint="eastAsia" w:ascii="Times New Roman" w:eastAsia="宋体" w:cs="Times New Roman" w:hAnsiTheme="minorEastAsia"/>
          <w:color w:val="auto"/>
        </w:rPr>
        <w:t>人以上单数，其中评审专家不得少于成员总数的三分之二。</w:t>
      </w:r>
    </w:p>
    <w:p w14:paraId="3ECC662E">
      <w:pPr>
        <w:pStyle w:val="31"/>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27.2 </w:t>
      </w:r>
      <w:r>
        <w:rPr>
          <w:rFonts w:hint="eastAsia" w:ascii="Times New Roman" w:eastAsia="宋体" w:cs="Times New Roman" w:hAnsiTheme="minorEastAsia"/>
          <w:color w:val="auto"/>
        </w:rPr>
        <w:t>评审委员会负责审查投标文件是否符合招标文件的要求，并进行审查、询标、评估和比较。评审委员会认为必要时，可向投标人进行询标。</w:t>
      </w:r>
    </w:p>
    <w:p w14:paraId="3B2730AB">
      <w:pPr>
        <w:pStyle w:val="31"/>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27.3 </w:t>
      </w:r>
      <w:r>
        <w:rPr>
          <w:rFonts w:hint="eastAsia" w:ascii="Times New Roman" w:eastAsia="宋体" w:cs="Times New Roman" w:hAnsiTheme="minorEastAsia"/>
          <w:color w:val="auto"/>
        </w:rPr>
        <w:t>出现符合专业条件的供应商或者对招标文件作实质性响应的供应商不足三家，或投标人的报价均超过了采购预算，采购人不能支付的情况时，或出现影响采购公正的违法、违规行为时，评审委员会有权宣布废标。</w:t>
      </w:r>
    </w:p>
    <w:p w14:paraId="524368E9">
      <w:pPr>
        <w:pStyle w:val="31"/>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27.4 </w:t>
      </w:r>
      <w:r>
        <w:rPr>
          <w:rFonts w:hint="eastAsia" w:ascii="Times New Roman" w:eastAsia="宋体" w:cs="Times New Roman" w:hAnsiTheme="minorEastAsia"/>
          <w:color w:val="auto"/>
        </w:rPr>
        <w:t>评审委员会负责完成全部评标工作，向采购人提出经评审委员会签字的书面评标报告。</w:t>
      </w:r>
    </w:p>
    <w:p w14:paraId="7C644731">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28. </w:t>
      </w:r>
      <w:r>
        <w:rPr>
          <w:rFonts w:ascii="Times New Roman" w:eastAsia="宋体" w:cs="Times New Roman" w:hAnsiTheme="minorEastAsia"/>
          <w:color w:val="auto"/>
        </w:rPr>
        <w:t>对投标文件的审查和响应性的确定</w:t>
      </w:r>
    </w:p>
    <w:p w14:paraId="3D6D54CB">
      <w:pPr>
        <w:pStyle w:val="31"/>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28.1 </w:t>
      </w:r>
      <w:r>
        <w:rPr>
          <w:rFonts w:hint="eastAsia" w:ascii="Times New Roman" w:eastAsia="宋体" w:cs="Times New Roman" w:hAnsiTheme="minorEastAsia"/>
          <w:color w:val="auto"/>
        </w:rPr>
        <w:t>符合性检查。评审委员会依据法律法规和招标文件的规定，对投标文件的内容是否完整、有无计算错误、要求的保证金是否已提供、文件签署是否正确、实质性要求等进行审查，确定每份投标文件是否实质上响应了招标文件的要求。</w:t>
      </w:r>
    </w:p>
    <w:p w14:paraId="15E7D7FC">
      <w:pPr>
        <w:pStyle w:val="31"/>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28.2 </w:t>
      </w:r>
      <w:r>
        <w:rPr>
          <w:rFonts w:hint="eastAsia" w:ascii="Times New Roman" w:eastAsia="宋体" w:cs="Times New Roman" w:hAnsiTheme="minorEastAsia"/>
          <w:color w:val="auto"/>
        </w:rPr>
        <w:t>投标截止时间后，除评审委员会要求提供外，不接受投标人及与投标人有关的任何一方递交的材料。</w:t>
      </w:r>
    </w:p>
    <w:p w14:paraId="3B4B8277">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28.</w:t>
      </w:r>
      <w:r>
        <w:rPr>
          <w:rFonts w:hint="eastAsia" w:ascii="Times New Roman" w:hAnsi="Times New Roman" w:eastAsia="宋体" w:cs="Times New Roman"/>
          <w:color w:val="auto"/>
        </w:rPr>
        <w:t>3</w:t>
      </w:r>
      <w:r>
        <w:rPr>
          <w:rFonts w:ascii="Times New Roman" w:eastAsia="宋体" w:cs="Times New Roman" w:hAnsiTheme="minorEastAsia"/>
          <w:color w:val="auto"/>
        </w:rPr>
        <w:t>实质上没有响应招标文件要求的投标文件，将被拒绝。投标人不得通过修改或撤回不符合要求的重大偏离而使其投标成为响应性的投标。如出现下列情况之一的，其投标将被拒绝或中标无效：</w:t>
      </w:r>
    </w:p>
    <w:p w14:paraId="35FDD242">
      <w:pPr>
        <w:pStyle w:val="31"/>
        <w:spacing w:line="360" w:lineRule="auto"/>
        <w:ind w:firstLine="448" w:firstLineChars="200"/>
        <w:jc w:val="both"/>
        <w:rPr>
          <w:rFonts w:ascii="Times New Roman" w:hAnsi="Times New Roman" w:eastAsia="宋体" w:cs="Times New Roman"/>
          <w:color w:val="auto"/>
        </w:rPr>
      </w:pPr>
      <w:r>
        <w:rPr>
          <w:rFonts w:ascii="Times New Roman" w:eastAsia="宋体" w:cs="Times New Roman" w:hAnsiTheme="minorEastAsia"/>
          <w:color w:val="auto"/>
        </w:rPr>
        <w:t>（</w:t>
      </w:r>
      <w:r>
        <w:rPr>
          <w:rFonts w:ascii="Times New Roman" w:hAnsi="Times New Roman" w:eastAsia="宋体" w:cs="Times New Roman"/>
          <w:color w:val="auto"/>
        </w:rPr>
        <w:t>1</w:t>
      </w:r>
      <w:r>
        <w:rPr>
          <w:rFonts w:ascii="Times New Roman" w:eastAsia="宋体" w:cs="Times New Roman" w:hAnsiTheme="minorEastAsia"/>
          <w:color w:val="auto"/>
        </w:rPr>
        <w:t>）投标文件未按招标文件的要求加盖电子签章的；</w:t>
      </w:r>
    </w:p>
    <w:p w14:paraId="3B09D058">
      <w:pPr>
        <w:pStyle w:val="31"/>
        <w:spacing w:line="360" w:lineRule="auto"/>
        <w:ind w:firstLine="448" w:firstLineChars="200"/>
        <w:jc w:val="both"/>
        <w:rPr>
          <w:rFonts w:ascii="Times New Roman" w:hAnsi="Times New Roman" w:eastAsia="宋体" w:cs="Times New Roman"/>
          <w:color w:val="auto"/>
        </w:rPr>
      </w:pPr>
      <w:r>
        <w:rPr>
          <w:rFonts w:ascii="Times New Roman" w:eastAsia="宋体" w:cs="Times New Roman" w:hAnsiTheme="minorEastAsia"/>
          <w:color w:val="auto"/>
        </w:rPr>
        <w:t>（</w:t>
      </w:r>
      <w:r>
        <w:rPr>
          <w:rFonts w:hint="eastAsia" w:ascii="Times New Roman" w:hAnsi="Times New Roman" w:eastAsia="宋体" w:cs="Times New Roman"/>
          <w:color w:val="auto"/>
        </w:rPr>
        <w:t>2</w:t>
      </w:r>
      <w:r>
        <w:rPr>
          <w:rFonts w:ascii="Times New Roman" w:eastAsia="宋体" w:cs="Times New Roman" w:hAnsiTheme="minorEastAsia"/>
          <w:color w:val="auto"/>
        </w:rPr>
        <w:t>）投标有效期短于招标文件要求的；</w:t>
      </w:r>
    </w:p>
    <w:p w14:paraId="6DA3602E">
      <w:pPr>
        <w:pStyle w:val="31"/>
        <w:spacing w:line="360" w:lineRule="auto"/>
        <w:ind w:firstLine="448" w:firstLineChars="200"/>
        <w:jc w:val="both"/>
        <w:rPr>
          <w:rFonts w:ascii="Times New Roman" w:hAnsi="Times New Roman" w:eastAsia="宋体" w:cs="Times New Roman"/>
          <w:color w:val="auto"/>
        </w:rPr>
      </w:pPr>
      <w:r>
        <w:rPr>
          <w:rFonts w:ascii="Times New Roman" w:eastAsia="宋体" w:cs="Times New Roman" w:hAnsiTheme="minorEastAsia"/>
          <w:color w:val="auto"/>
        </w:rPr>
        <w:t>（</w:t>
      </w:r>
      <w:r>
        <w:rPr>
          <w:rFonts w:hint="eastAsia" w:ascii="Times New Roman" w:hAnsi="Times New Roman" w:eastAsia="宋体" w:cs="Times New Roman"/>
          <w:color w:val="auto"/>
        </w:rPr>
        <w:t>3</w:t>
      </w:r>
      <w:r>
        <w:rPr>
          <w:rFonts w:ascii="Times New Roman" w:eastAsia="宋体" w:cs="Times New Roman" w:hAnsiTheme="minorEastAsia"/>
          <w:color w:val="auto"/>
        </w:rPr>
        <w:t>）投标文件中提供虚假或失实资料的；</w:t>
      </w:r>
    </w:p>
    <w:p w14:paraId="0B4D18C7">
      <w:pPr>
        <w:pStyle w:val="31"/>
        <w:spacing w:line="360" w:lineRule="auto"/>
        <w:ind w:firstLine="448" w:firstLineChars="200"/>
        <w:rPr>
          <w:rFonts w:ascii="Times New Roman" w:eastAsia="宋体" w:cs="Times New Roman" w:hAnsiTheme="minorEastAsia"/>
          <w:color w:val="auto"/>
        </w:rPr>
      </w:pPr>
      <w:r>
        <w:rPr>
          <w:rFonts w:hint="eastAsia" w:ascii="Times New Roman" w:eastAsia="宋体" w:cs="Times New Roman" w:hAnsiTheme="minorEastAsia"/>
          <w:color w:val="auto"/>
        </w:rPr>
        <w:t>（4）不能满足招标文件中全部实质性要求，或加注“★”号条款出现负偏离，或经评审委员会认定未实质性响应招标文件要求，或投标内容不符合相关政策性规定的；</w:t>
      </w:r>
    </w:p>
    <w:p w14:paraId="348E34AC">
      <w:pPr>
        <w:pStyle w:val="31"/>
        <w:spacing w:line="360" w:lineRule="auto"/>
        <w:ind w:firstLine="448" w:firstLineChars="200"/>
        <w:rPr>
          <w:rFonts w:ascii="Times New Roman" w:eastAsia="宋体" w:cs="Times New Roman" w:hAnsiTheme="minorEastAsia"/>
          <w:color w:val="auto"/>
        </w:rPr>
      </w:pPr>
      <w:r>
        <w:rPr>
          <w:rFonts w:hint="eastAsia" w:ascii="Times New Roman" w:eastAsia="宋体" w:cs="Times New Roman" w:hAnsiTheme="minorEastAsia"/>
          <w:color w:val="auto"/>
        </w:rPr>
        <w:t>（5）未按时进行网上解密或电子投标文件损坏、无效的；</w:t>
      </w:r>
    </w:p>
    <w:p w14:paraId="528B3E70">
      <w:pPr>
        <w:pStyle w:val="31"/>
        <w:spacing w:line="360" w:lineRule="auto"/>
        <w:ind w:firstLine="448" w:firstLineChars="200"/>
        <w:rPr>
          <w:rFonts w:ascii="Times New Roman" w:eastAsia="宋体" w:cs="Times New Roman" w:hAnsiTheme="minorEastAsia"/>
          <w:color w:val="auto"/>
        </w:rPr>
      </w:pPr>
      <w:r>
        <w:rPr>
          <w:rFonts w:hint="eastAsia" w:ascii="Times New Roman" w:eastAsia="宋体" w:cs="Times New Roman" w:hAnsiTheme="minorEastAsia"/>
          <w:color w:val="auto"/>
        </w:rPr>
        <w:t>（6）投标报价超出采购预算或最高限价；</w:t>
      </w:r>
    </w:p>
    <w:p w14:paraId="19CF6DAD">
      <w:pPr>
        <w:pStyle w:val="31"/>
        <w:spacing w:line="360" w:lineRule="auto"/>
        <w:ind w:firstLine="448" w:firstLineChars="200"/>
        <w:rPr>
          <w:rFonts w:ascii="Times New Roman" w:eastAsia="宋体" w:cs="Times New Roman" w:hAnsiTheme="minorEastAsia"/>
          <w:color w:val="auto"/>
        </w:rPr>
      </w:pPr>
      <w:r>
        <w:rPr>
          <w:rFonts w:hint="eastAsia" w:ascii="Times New Roman" w:eastAsia="宋体" w:cs="Times New Roman" w:hAnsiTheme="minorEastAsia"/>
          <w:color w:val="auto"/>
        </w:rPr>
        <w:t>（7）存在串通情形的；</w:t>
      </w:r>
    </w:p>
    <w:p w14:paraId="446554E3">
      <w:pPr>
        <w:pStyle w:val="31"/>
        <w:spacing w:line="360" w:lineRule="auto"/>
        <w:ind w:firstLine="448" w:firstLineChars="200"/>
        <w:rPr>
          <w:rFonts w:ascii="Times New Roman" w:eastAsia="宋体" w:cs="Times New Roman" w:hAnsiTheme="minorEastAsia"/>
          <w:color w:val="auto"/>
        </w:rPr>
      </w:pPr>
      <w:r>
        <w:rPr>
          <w:rFonts w:hint="eastAsia" w:ascii="Times New Roman" w:eastAsia="宋体" w:cs="Times New Roman" w:hAnsiTheme="minorEastAsia"/>
          <w:color w:val="auto"/>
        </w:rPr>
        <w:t>（8）单位负责人或法定代表人为同一人，或者存在控股、管理关系的不同供应商，参加同一包或者未划分包的同一项目投标的，相关投标均无效；</w:t>
      </w:r>
    </w:p>
    <w:p w14:paraId="155046C6">
      <w:pPr>
        <w:pStyle w:val="31"/>
        <w:spacing w:line="360" w:lineRule="auto"/>
        <w:ind w:firstLine="448" w:firstLineChars="200"/>
        <w:rPr>
          <w:rFonts w:ascii="Times New Roman" w:eastAsia="宋体" w:cs="Times New Roman" w:hAnsiTheme="minorEastAsia"/>
          <w:color w:val="auto"/>
        </w:rPr>
      </w:pPr>
      <w:r>
        <w:rPr>
          <w:rFonts w:hint="eastAsia" w:ascii="Times New Roman" w:eastAsia="宋体" w:cs="Times New Roman" w:hAnsiTheme="minorEastAsia"/>
          <w:color w:val="auto"/>
        </w:rPr>
        <w:t>（9）根据《关于推动解决政府采购异常低价问题的通知》（财库〔2026〕2号）的规定被判定为异常低价，供应商在合理的时间内又不能提供书面说明和必要的证明材料并对投标价格作出解释的。</w:t>
      </w:r>
    </w:p>
    <w:p w14:paraId="3FF4A66F">
      <w:pPr>
        <w:pStyle w:val="31"/>
        <w:spacing w:line="360" w:lineRule="auto"/>
        <w:ind w:firstLine="448" w:firstLineChars="200"/>
        <w:jc w:val="both"/>
        <w:rPr>
          <w:rFonts w:ascii="Times New Roman" w:eastAsia="宋体" w:cs="Times New Roman" w:hAnsiTheme="minorEastAsia"/>
          <w:color w:val="auto"/>
        </w:rPr>
      </w:pPr>
      <w:r>
        <w:rPr>
          <w:rFonts w:hint="eastAsia" w:ascii="Times New Roman" w:eastAsia="宋体" w:cs="Times New Roman" w:hAnsiTheme="minorEastAsia"/>
          <w:color w:val="auto"/>
        </w:rPr>
        <w:t>（10）其他法定投标无效的情形。</w:t>
      </w:r>
    </w:p>
    <w:p w14:paraId="4E096053">
      <w:pPr>
        <w:pStyle w:val="31"/>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28.4 </w:t>
      </w:r>
      <w:r>
        <w:rPr>
          <w:rFonts w:hint="eastAsia" w:ascii="Times New Roman" w:eastAsia="宋体" w:cs="Times New Roman" w:hAnsiTheme="minorEastAsia"/>
          <w:color w:val="auto"/>
        </w:rPr>
        <w:t>评审委员会对确定为实质上响应的投标进行审核，</w:t>
      </w:r>
      <w:r>
        <w:rPr>
          <w:rFonts w:ascii="Times New Roman" w:eastAsia="宋体" w:cs="Times New Roman" w:hAnsiTheme="minorEastAsia"/>
          <w:color w:val="auto"/>
        </w:rPr>
        <w:t>投标文件报价出现前后不一致的</w:t>
      </w:r>
      <w:r>
        <w:rPr>
          <w:rFonts w:hint="eastAsia" w:ascii="Times New Roman" w:eastAsia="宋体" w:cs="Times New Roman" w:hAnsiTheme="minorEastAsia"/>
          <w:color w:val="auto"/>
        </w:rPr>
        <w:t>，修改错误的原则如下：</w:t>
      </w:r>
    </w:p>
    <w:p w14:paraId="64A3761B">
      <w:pPr>
        <w:pStyle w:val="31"/>
        <w:spacing w:line="360" w:lineRule="auto"/>
        <w:ind w:firstLine="448" w:firstLineChars="200"/>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1</w:t>
      </w:r>
      <w:r>
        <w:rPr>
          <w:rFonts w:hint="eastAsia" w:ascii="Times New Roman" w:eastAsia="宋体" w:cs="Times New Roman" w:hAnsiTheme="minorEastAsia"/>
          <w:color w:val="auto"/>
        </w:rPr>
        <w:t>）投标文件中开标一览表（报价表）内容与投标文件中相应内容不一致的，以开标一览表（报价表）为准；</w:t>
      </w:r>
    </w:p>
    <w:p w14:paraId="5AEA3E9D">
      <w:pPr>
        <w:pStyle w:val="31"/>
        <w:spacing w:line="360" w:lineRule="auto"/>
        <w:ind w:firstLine="448" w:firstLineChars="200"/>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2</w:t>
      </w:r>
      <w:r>
        <w:rPr>
          <w:rFonts w:hint="eastAsia" w:ascii="Times New Roman" w:eastAsia="宋体" w:cs="Times New Roman" w:hAnsiTheme="minorEastAsia"/>
          <w:color w:val="auto"/>
        </w:rPr>
        <w:t>）大写金额和小写金额不一致的，以大写金额为准；</w:t>
      </w:r>
    </w:p>
    <w:p w14:paraId="1A0F768F">
      <w:pPr>
        <w:pStyle w:val="31"/>
        <w:spacing w:line="360" w:lineRule="auto"/>
        <w:ind w:firstLine="448" w:firstLineChars="200"/>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3</w:t>
      </w:r>
      <w:r>
        <w:rPr>
          <w:rFonts w:hint="eastAsia" w:ascii="Times New Roman" w:eastAsia="宋体" w:cs="Times New Roman" w:hAnsiTheme="minorEastAsia"/>
          <w:color w:val="auto"/>
        </w:rPr>
        <w:t>）单价金额小数点或者百分比有明显错位的，以开标一览表的总价为准，并修改单价；</w:t>
      </w:r>
    </w:p>
    <w:p w14:paraId="762A0DA7">
      <w:pPr>
        <w:pStyle w:val="31"/>
        <w:spacing w:line="360" w:lineRule="auto"/>
        <w:ind w:firstLine="448" w:firstLineChars="200"/>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4</w:t>
      </w:r>
      <w:r>
        <w:rPr>
          <w:rFonts w:hint="eastAsia" w:ascii="Times New Roman" w:eastAsia="宋体" w:cs="Times New Roman" w:hAnsiTheme="minorEastAsia"/>
          <w:color w:val="auto"/>
        </w:rPr>
        <w:t>）总价金额与按单价汇总金额不一致的，以单价金额计算结果为准。</w:t>
      </w:r>
    </w:p>
    <w:p w14:paraId="17A20473">
      <w:pPr>
        <w:pStyle w:val="31"/>
        <w:spacing w:line="360" w:lineRule="auto"/>
        <w:ind w:firstLine="448" w:firstLineChars="200"/>
        <w:jc w:val="both"/>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5</w:t>
      </w:r>
      <w:r>
        <w:rPr>
          <w:rFonts w:hint="eastAsia" w:ascii="Times New Roman" w:eastAsia="宋体" w:cs="Times New Roman" w:hAnsiTheme="minorEastAsia"/>
          <w:color w:val="auto"/>
        </w:rPr>
        <w:t>）同时出现两种以上不一致的，按照前款规定的顺序修正。修正后的报价经投标人确认后产生约束力，投标人不确认的，其投标无效。</w:t>
      </w:r>
    </w:p>
    <w:p w14:paraId="7FDDD8EA">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28.</w:t>
      </w:r>
      <w:r>
        <w:rPr>
          <w:rFonts w:hint="eastAsia" w:ascii="Times New Roman" w:hAnsi="Times New Roman" w:eastAsia="宋体" w:cs="Times New Roman"/>
          <w:color w:val="auto"/>
        </w:rPr>
        <w:t>5</w:t>
      </w:r>
      <w:r>
        <w:rPr>
          <w:rFonts w:ascii="Times New Roman" w:eastAsia="宋体" w:cs="Times New Roman" w:hAnsiTheme="minorEastAsia"/>
          <w:color w:val="auto"/>
        </w:rPr>
        <w:t>评审委员会将要求投标人按上述修改错误的方法调整投标报价，投标人同意后，调整后的报价对投标人起约束作用。如果投标人不接受修改后的报价，其投标将被拒绝。</w:t>
      </w:r>
    </w:p>
    <w:p w14:paraId="75936CB8">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29. </w:t>
      </w:r>
      <w:r>
        <w:rPr>
          <w:rFonts w:ascii="Times New Roman" w:eastAsia="宋体" w:cs="Times New Roman" w:hAnsiTheme="minorEastAsia"/>
          <w:color w:val="auto"/>
        </w:rPr>
        <w:t>投标文件的澄清</w:t>
      </w:r>
    </w:p>
    <w:p w14:paraId="1D8F85A5">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29.1 </w:t>
      </w:r>
      <w:r>
        <w:rPr>
          <w:rFonts w:ascii="Times New Roman" w:eastAsia="宋体" w:cs="Times New Roman" w:hAnsiTheme="minorEastAsia"/>
          <w:color w:val="auto"/>
        </w:rPr>
        <w:t>澄清有关问题。为了有助于对投标文件进行审查、评估和比较，评审委员会有权要求投标人对投标文件中含义不明确、同类问题表述不一致或者有明显文字和计算错误的内容作出必要的澄清、说明或者纠正。投标人有义务按照评审委员会通知的时间、地点指派投标代表人就相关问题进行澄清。</w:t>
      </w:r>
    </w:p>
    <w:p w14:paraId="375725F3">
      <w:pPr>
        <w:pStyle w:val="31"/>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 xml:space="preserve">29.2 </w:t>
      </w:r>
      <w:r>
        <w:rPr>
          <w:rFonts w:ascii="Times New Roman" w:eastAsia="宋体" w:cs="Times New Roman" w:hAnsiTheme="minorEastAsia"/>
          <w:color w:val="auto"/>
        </w:rPr>
        <w:t>投标人澄清、说明、答复或者补充的内容须为并加盖电子签章后上传至天津市政府采购中心招投标系统。</w:t>
      </w:r>
    </w:p>
    <w:p w14:paraId="1EE4C189">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29.3 </w:t>
      </w:r>
      <w:r>
        <w:rPr>
          <w:rFonts w:ascii="Times New Roman" w:eastAsia="宋体" w:cs="Times New Roman" w:hAnsiTheme="minorEastAsia"/>
          <w:color w:val="auto"/>
        </w:rPr>
        <w:t>投标人的澄清、说明、答复或者补充应在规定的时间内完成，并不得超出投标文件的范围或对投标内容进行实质性的修改。</w:t>
      </w:r>
    </w:p>
    <w:p w14:paraId="7A09F486">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29.4 </w:t>
      </w:r>
      <w:r>
        <w:rPr>
          <w:rFonts w:ascii="Times New Roman" w:eastAsia="宋体" w:cs="Times New Roman" w:hAnsiTheme="minorEastAsia"/>
          <w:color w:val="auto"/>
        </w:rPr>
        <w:t>澄清文件将作为投标文件的一部分，与投标文件具有同等的法律效力。</w:t>
      </w:r>
    </w:p>
    <w:p w14:paraId="2266E0DD">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30. </w:t>
      </w:r>
      <w:r>
        <w:rPr>
          <w:rFonts w:ascii="Times New Roman" w:eastAsia="宋体" w:cs="Times New Roman" w:hAnsiTheme="minorEastAsia"/>
          <w:color w:val="auto"/>
        </w:rPr>
        <w:t>投标的评估和比较</w:t>
      </w:r>
    </w:p>
    <w:p w14:paraId="54DC53E7">
      <w:pPr>
        <w:pStyle w:val="31"/>
        <w:spacing w:line="360" w:lineRule="auto"/>
        <w:ind w:firstLine="448" w:firstLineChars="200"/>
        <w:jc w:val="both"/>
        <w:rPr>
          <w:rFonts w:ascii="Times New Roman" w:hAnsi="Times New Roman" w:eastAsia="宋体" w:cs="Times New Roman"/>
          <w:color w:val="auto"/>
        </w:rPr>
      </w:pPr>
      <w:r>
        <w:rPr>
          <w:rFonts w:ascii="Times New Roman" w:eastAsia="宋体" w:cs="Times New Roman" w:hAnsiTheme="minorEastAsia"/>
          <w:color w:val="auto"/>
        </w:rPr>
        <w:t>评审委员会将根据招标文件确定的评标原则和评标方法对确定为实质上响应招标文件要求的投标进行评估和比较。</w:t>
      </w:r>
    </w:p>
    <w:p w14:paraId="3AB42A7A">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31. </w:t>
      </w:r>
      <w:r>
        <w:rPr>
          <w:rFonts w:ascii="Times New Roman" w:eastAsia="宋体" w:cs="Times New Roman" w:hAnsiTheme="minorEastAsia"/>
          <w:color w:val="auto"/>
        </w:rPr>
        <w:t>评标原则和评标方法</w:t>
      </w:r>
    </w:p>
    <w:p w14:paraId="22B6C62B">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31.1 </w:t>
      </w:r>
      <w:r>
        <w:rPr>
          <w:rFonts w:ascii="Times New Roman" w:eastAsia="宋体" w:cs="Times New Roman" w:hAnsiTheme="minorEastAsia"/>
          <w:color w:val="auto"/>
        </w:rPr>
        <w:t>评标原则</w:t>
      </w:r>
    </w:p>
    <w:p w14:paraId="68D24E02">
      <w:pPr>
        <w:pStyle w:val="31"/>
        <w:spacing w:line="360" w:lineRule="auto"/>
        <w:ind w:firstLine="448" w:firstLineChars="200"/>
        <w:rPr>
          <w:rFonts w:ascii="Times New Roman" w:hAnsi="Times New Roman" w:eastAsia="宋体" w:cs="Times New Roman"/>
          <w:color w:val="auto"/>
        </w:rPr>
      </w:pPr>
      <w:r>
        <w:rPr>
          <w:rFonts w:ascii="Times New Roman" w:eastAsia="宋体" w:cs="Times New Roman" w:hAnsiTheme="minorEastAsia"/>
          <w:color w:val="auto"/>
        </w:rPr>
        <w:t>（</w:t>
      </w:r>
      <w:r>
        <w:rPr>
          <w:rFonts w:ascii="Times New Roman" w:hAnsi="Times New Roman" w:eastAsia="宋体" w:cs="Times New Roman"/>
          <w:color w:val="auto"/>
        </w:rPr>
        <w:t>1</w:t>
      </w:r>
      <w:r>
        <w:rPr>
          <w:rFonts w:ascii="Times New Roman" w:eastAsia="宋体" w:cs="Times New Roman" w:hAnsiTheme="minorEastAsia"/>
          <w:color w:val="auto"/>
        </w:rPr>
        <w:t>）评审委员会应当按照客观、公正、审慎的原则，根据招标文件规定的评审程序、评审方法和评审标准进行独立评审。</w:t>
      </w:r>
    </w:p>
    <w:p w14:paraId="2684EC49">
      <w:pPr>
        <w:pStyle w:val="31"/>
        <w:spacing w:line="360" w:lineRule="auto"/>
        <w:ind w:firstLine="448" w:firstLineChars="200"/>
        <w:jc w:val="both"/>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2</w:t>
      </w:r>
      <w:r>
        <w:rPr>
          <w:rFonts w:hint="eastAsia" w:ascii="Times New Roman" w:eastAsia="宋体" w:cs="Times New Roman" w:hAnsiTheme="minorEastAsia"/>
          <w:color w:val="auto"/>
        </w:rPr>
        <w:t>）</w:t>
      </w:r>
      <w:r>
        <w:rPr>
          <w:rFonts w:ascii="Times New Roman" w:eastAsia="宋体" w:cs="Times New Roman" w:hAnsiTheme="minorEastAsia"/>
          <w:color w:val="auto"/>
        </w:rPr>
        <w:t>评审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21B91F8E">
      <w:pPr>
        <w:pStyle w:val="31"/>
        <w:spacing w:line="360" w:lineRule="auto"/>
        <w:ind w:firstLine="448" w:firstLineChars="200"/>
        <w:jc w:val="both"/>
        <w:rPr>
          <w:rFonts w:ascii="Times New Roman" w:hAnsi="Times New Roman" w:eastAsia="宋体" w:cs="Times New Roman"/>
          <w:color w:val="auto"/>
        </w:rPr>
      </w:pPr>
      <w:r>
        <w:rPr>
          <w:rFonts w:ascii="Times New Roman" w:eastAsia="宋体" w:cs="Times New Roman" w:hAnsiTheme="minorEastAsia"/>
          <w:color w:val="auto"/>
        </w:rPr>
        <w:t>（</w:t>
      </w:r>
      <w:r>
        <w:rPr>
          <w:rFonts w:ascii="Times New Roman" w:hAnsi="Times New Roman" w:eastAsia="宋体" w:cs="Times New Roman"/>
          <w:color w:val="auto"/>
        </w:rPr>
        <w:t>3</w:t>
      </w:r>
      <w:r>
        <w:rPr>
          <w:rFonts w:ascii="Times New Roman" w:eastAsia="宋体" w:cs="Times New Roman" w:hAnsiTheme="minorEastAsia"/>
          <w:color w:val="auto"/>
        </w:rPr>
        <w:t>）对招标文件中描述有歧义或前后不一致的地方，</w:t>
      </w:r>
      <w:r>
        <w:rPr>
          <w:rFonts w:hint="eastAsia" w:ascii="Times New Roman" w:eastAsia="宋体" w:cs="Times New Roman" w:hAnsiTheme="minorEastAsia"/>
          <w:color w:val="auto"/>
        </w:rPr>
        <w:t>但不影响项目评审的，</w:t>
      </w:r>
      <w:r>
        <w:rPr>
          <w:rFonts w:ascii="Times New Roman" w:eastAsia="宋体" w:cs="Times New Roman" w:hAnsiTheme="minorEastAsia"/>
          <w:color w:val="auto"/>
        </w:rPr>
        <w:t>评审委员会有权进行评判，但对同一条款的评判应适用于每个投标人。</w:t>
      </w:r>
    </w:p>
    <w:p w14:paraId="23AA0178">
      <w:pPr>
        <w:pStyle w:val="31"/>
        <w:spacing w:line="360" w:lineRule="auto"/>
        <w:ind w:firstLine="448" w:firstLineChars="200"/>
        <w:rPr>
          <w:rFonts w:ascii="Times New Roman" w:eastAsia="宋体" w:cs="Times New Roman" w:hAnsiTheme="minorEastAsia"/>
          <w:color w:val="000000" w:themeColor="text1"/>
          <w14:textFill>
            <w14:solidFill>
              <w14:schemeClr w14:val="tx1"/>
            </w14:solidFill>
          </w14:textFill>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4</w:t>
      </w:r>
      <w:r>
        <w:rPr>
          <w:rFonts w:hint="eastAsia" w:ascii="Times New Roman" w:eastAsia="宋体" w:cs="Times New Roman" w:hAnsiTheme="minorEastAsia"/>
          <w:color w:val="auto"/>
        </w:rPr>
        <w:t>）</w:t>
      </w:r>
      <w:r>
        <w:rPr>
          <w:rFonts w:hint="eastAsia" w:ascii="Times New Roman" w:hAnsi="Times New Roman" w:eastAsia="宋体" w:cs="Times New Roman"/>
          <w:color w:val="auto"/>
        </w:rPr>
        <w:t>政府采购评审中出现下列情形之一的，评审委员会应当启动异常低价投标审查程序：1.投标报价低于全部通过符合性审查供应商投标报价平均值50%的，即投标报价&lt;全部通过符合性审查供应商投标报价平均值×50%；2.投标报价低于通过符合性审查的次低报价供应商投标报价50%的，即投标报价&lt;通过符合性审查的次低报价供应商投标报价×50%；3.投标报价低于采购项目最高限价45%的，即投标报价&lt;采购项目最高限价×45%；4.评审委员会基于专业判断，认为供应商报价过低，有可能影响产品质量或者不能诚信履约的其他情形。采购人可以结合具体项目实际情况，提高上述第1项至第3项中启动异常低价投标审查的数值标准，但是最高不得超过65%。相关法律法规对供应商报价有规定的，从其规定。本项目启动异常低价投标审查的数值标准以第一部分政府采购政策中具体数值为准。</w:t>
      </w:r>
    </w:p>
    <w:p w14:paraId="3104341D">
      <w:pPr>
        <w:pStyle w:val="31"/>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评审委员会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3项情形，供应商已随投标文件一并提交相关书面说明及必要的证明材料的，在评审现场可不再重复提交。</w:t>
      </w:r>
    </w:p>
    <w:p w14:paraId="76FA9B43">
      <w:pPr>
        <w:pStyle w:val="31"/>
        <w:spacing w:line="360" w:lineRule="auto"/>
        <w:ind w:firstLine="448" w:firstLineChars="200"/>
        <w:jc w:val="both"/>
        <w:rPr>
          <w:rFonts w:ascii="Times New Roman" w:eastAsia="宋体" w:cs="Times New Roman" w:hAnsiTheme="minorEastAsia"/>
          <w:color w:val="auto"/>
        </w:rPr>
      </w:pPr>
      <w:r>
        <w:rPr>
          <w:rFonts w:hint="eastAsia" w:ascii="Times New Roman" w:hAnsi="Times New Roman" w:eastAsia="宋体" w:cs="Times New Roman"/>
          <w:color w:val="auto"/>
        </w:rPr>
        <w:t>评审委员会依据专业经验，参考同类项目中标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审委员会应当将其作为无效投标处理。</w:t>
      </w:r>
    </w:p>
    <w:p w14:paraId="31B1A9AC">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31.2 </w:t>
      </w:r>
      <w:r>
        <w:rPr>
          <w:rFonts w:ascii="Times New Roman" w:eastAsia="宋体" w:cs="Times New Roman" w:hAnsiTheme="minorEastAsia"/>
          <w:color w:val="auto"/>
        </w:rPr>
        <w:t>评标方法</w:t>
      </w:r>
    </w:p>
    <w:p w14:paraId="5AB0B889">
      <w:pPr>
        <w:pStyle w:val="31"/>
        <w:spacing w:line="360" w:lineRule="auto"/>
        <w:ind w:firstLine="448" w:firstLineChars="200"/>
        <w:jc w:val="both"/>
        <w:rPr>
          <w:rFonts w:ascii="Times New Roman" w:hAnsi="Times New Roman" w:eastAsia="宋体" w:cs="Times New Roman"/>
          <w:color w:val="auto"/>
        </w:rPr>
      </w:pPr>
      <w:r>
        <w:rPr>
          <w:rFonts w:ascii="Times New Roman" w:eastAsia="宋体" w:cs="Times New Roman" w:hAnsiTheme="minorEastAsia"/>
          <w:color w:val="auto"/>
        </w:rPr>
        <w:t>（</w:t>
      </w:r>
      <w:r>
        <w:rPr>
          <w:rFonts w:ascii="Times New Roman" w:hAnsi="Times New Roman" w:eastAsia="宋体" w:cs="Times New Roman"/>
          <w:color w:val="auto"/>
        </w:rPr>
        <w:t>1</w:t>
      </w:r>
      <w:r>
        <w:rPr>
          <w:rFonts w:ascii="Times New Roman" w:eastAsia="宋体" w:cs="Times New Roman" w:hAnsiTheme="minorEastAsia"/>
          <w:color w:val="auto"/>
        </w:rPr>
        <w:t>）采用</w:t>
      </w:r>
      <w:r>
        <w:rPr>
          <w:rFonts w:ascii="Times New Roman" w:hAnsi="Times New Roman" w:eastAsia="宋体" w:cs="Times New Roman"/>
          <w:color w:val="auto"/>
        </w:rPr>
        <w:t>“</w:t>
      </w:r>
      <w:r>
        <w:rPr>
          <w:rFonts w:ascii="Times New Roman" w:eastAsia="宋体" w:cs="Times New Roman" w:hAnsiTheme="minorEastAsia"/>
          <w:color w:val="auto"/>
        </w:rPr>
        <w:t>综合评分法</w:t>
      </w:r>
      <w:r>
        <w:rPr>
          <w:rFonts w:ascii="Times New Roman" w:hAnsi="Times New Roman" w:eastAsia="宋体" w:cs="Times New Roman"/>
          <w:color w:val="auto"/>
        </w:rPr>
        <w:t>”</w:t>
      </w:r>
      <w:r>
        <w:rPr>
          <w:rFonts w:ascii="Times New Roman" w:eastAsia="宋体" w:cs="Times New Roman" w:hAnsiTheme="minorEastAsia"/>
          <w:color w:val="auto"/>
        </w:rPr>
        <w:t>的评标方法，具体评审因素详见《招标项目需求》。评标采用百分制，各评委独立分别对实质上响应招标文件的投标进行逐项打分，对评审委员会各成员每一因素的打分汇总后取算术平均分，该平均分为供应商的得分。</w:t>
      </w:r>
    </w:p>
    <w:p w14:paraId="1A0BE2A8">
      <w:pPr>
        <w:pStyle w:val="31"/>
        <w:spacing w:line="360" w:lineRule="auto"/>
        <w:ind w:firstLine="448" w:firstLineChars="200"/>
        <w:jc w:val="both"/>
        <w:rPr>
          <w:rFonts w:ascii="Times New Roman" w:hAnsi="Times New Roman" w:eastAsia="宋体" w:cs="Times New Roman"/>
          <w:color w:val="auto"/>
        </w:rPr>
      </w:pPr>
      <w:r>
        <w:rPr>
          <w:rFonts w:ascii="Times New Roman" w:eastAsia="宋体" w:cs="Times New Roman" w:hAnsiTheme="minorEastAsia"/>
          <w:color w:val="auto"/>
        </w:rPr>
        <w:t>（</w:t>
      </w:r>
      <w:r>
        <w:rPr>
          <w:rFonts w:ascii="Times New Roman" w:hAnsi="Times New Roman" w:eastAsia="宋体" w:cs="Times New Roman"/>
          <w:color w:val="auto"/>
        </w:rPr>
        <w:t>2</w:t>
      </w:r>
      <w:r>
        <w:rPr>
          <w:rFonts w:ascii="Times New Roman" w:eastAsia="宋体" w:cs="Times New Roman" w:hAnsiTheme="minorEastAsia"/>
          <w:color w:val="auto"/>
        </w:rPr>
        <w:t>）根据《中华人民共和国政府采购法实施条例》和《关于进一步规范政府采购评审工作有关问题的通知》（财库〔</w:t>
      </w:r>
      <w:r>
        <w:rPr>
          <w:rFonts w:ascii="Times New Roman" w:hAnsi="Times New Roman" w:eastAsia="宋体" w:cs="Times New Roman"/>
          <w:color w:val="auto"/>
        </w:rPr>
        <w:t>2012</w:t>
      </w:r>
      <w:r>
        <w:rPr>
          <w:rFonts w:ascii="Times New Roman" w:eastAsia="宋体" w:cs="Times New Roman" w:hAnsiTheme="minorEastAsia"/>
          <w:color w:val="auto"/>
        </w:rPr>
        <w:t>〕</w:t>
      </w:r>
      <w:r>
        <w:rPr>
          <w:rFonts w:ascii="Times New Roman" w:hAnsi="Times New Roman" w:eastAsia="宋体" w:cs="Times New Roman"/>
          <w:color w:val="auto"/>
        </w:rPr>
        <w:t>69</w:t>
      </w:r>
      <w:r>
        <w:rPr>
          <w:rFonts w:ascii="Times New Roman" w:eastAsia="宋体" w:cs="Times New Roman" w:hAnsiTheme="minorEastAsia"/>
          <w:color w:val="auto"/>
        </w:rPr>
        <w:t>号）的规定，评审委员会成员要依法独立评审，并对评审意见承担个人责任。评审委员会成员对需要共同认定的事项存在争议的，按照少数服从多数的原则做出结论。持不同意见的评审委员会成员应当在评审报告上签署不同意见并说明理由，否则视为同意。</w:t>
      </w:r>
    </w:p>
    <w:p w14:paraId="2709795C">
      <w:pPr>
        <w:pStyle w:val="31"/>
        <w:spacing w:line="360" w:lineRule="auto"/>
        <w:ind w:firstLine="448" w:firstLineChars="200"/>
        <w:jc w:val="both"/>
        <w:rPr>
          <w:rFonts w:ascii="Times New Roman" w:hAnsi="Times New Roman" w:eastAsia="宋体" w:cs="Times New Roman"/>
          <w:color w:val="auto"/>
        </w:rPr>
      </w:pPr>
      <w:r>
        <w:rPr>
          <w:rFonts w:ascii="Times New Roman" w:eastAsia="宋体" w:cs="Times New Roman" w:hAnsiTheme="minorEastAsia"/>
          <w:color w:val="auto"/>
        </w:rPr>
        <w:t>（</w:t>
      </w:r>
      <w:r>
        <w:rPr>
          <w:rFonts w:ascii="Times New Roman" w:hAnsi="Times New Roman" w:eastAsia="宋体" w:cs="Times New Roman"/>
          <w:color w:val="auto"/>
        </w:rPr>
        <w:t>3</w:t>
      </w:r>
      <w:r>
        <w:rPr>
          <w:rFonts w:ascii="Times New Roman" w:eastAsia="宋体" w:cs="Times New Roman" w:hAnsiTheme="minorEastAsia"/>
          <w:color w:val="auto"/>
        </w:rPr>
        <w:t>）评审委员会审查产品资质或检测报告等相关文件符合性时，应综合考虑行业特点、交易习惯、采购需求最本质原义等情况，而不应以投标文件中产品名称与招标文件产品名称是否一致作为审查的标准。</w:t>
      </w:r>
    </w:p>
    <w:p w14:paraId="44E48FC7">
      <w:pPr>
        <w:pStyle w:val="31"/>
        <w:spacing w:line="360" w:lineRule="auto"/>
        <w:ind w:firstLine="448" w:firstLineChars="200"/>
        <w:jc w:val="both"/>
        <w:rPr>
          <w:rFonts w:ascii="Times New Roman" w:eastAsia="宋体" w:cs="Times New Roman" w:hAnsiTheme="minorEastAsia"/>
          <w:color w:val="auto"/>
        </w:rPr>
      </w:pPr>
      <w:r>
        <w:rPr>
          <w:rFonts w:ascii="Times New Roman" w:eastAsia="宋体" w:cs="Times New Roman" w:hAnsiTheme="minorEastAsia"/>
          <w:color w:val="auto"/>
        </w:rPr>
        <w:t>（</w:t>
      </w:r>
      <w:r>
        <w:rPr>
          <w:rFonts w:ascii="Times New Roman" w:hAnsi="Times New Roman" w:eastAsia="宋体" w:cs="Times New Roman"/>
          <w:color w:val="auto"/>
        </w:rPr>
        <w:t>4</w:t>
      </w:r>
      <w:r>
        <w:rPr>
          <w:rFonts w:ascii="Times New Roman" w:eastAsia="宋体" w:cs="Times New Roman" w:hAnsiTheme="minorEastAsia"/>
          <w:color w:val="auto"/>
        </w:rPr>
        <w:t>）中标候选供应商产生办法：按得分由高到低顺序确定中标候选供应商；得分相同的，按投标报价由低到高顺序确定中标候选供应商；得分且投标报价相同的，按</w:t>
      </w:r>
      <w:r>
        <w:rPr>
          <w:rFonts w:hint="eastAsia" w:ascii="Times New Roman" w:hAnsi="Times New Roman" w:eastAsia="宋体" w:cs="Times New Roman"/>
          <w:color w:val="auto"/>
        </w:rPr>
        <w:t>服务</w:t>
      </w:r>
      <w:r>
        <w:rPr>
          <w:rFonts w:ascii="Times New Roman" w:eastAsia="宋体" w:cs="Times New Roman" w:hAnsiTheme="minorEastAsia"/>
          <w:color w:val="auto"/>
        </w:rPr>
        <w:t>优劣顺序确定中标候选供应商，</w:t>
      </w:r>
      <w:r>
        <w:rPr>
          <w:rFonts w:hint="eastAsia" w:ascii="Times New Roman" w:eastAsia="宋体" w:cs="Times New Roman" w:hAnsiTheme="minorEastAsia"/>
          <w:color w:val="auto"/>
        </w:rPr>
        <w:t>采购人按中标候选供应商顺序确定中标供应商。</w:t>
      </w:r>
    </w:p>
    <w:p w14:paraId="01982387">
      <w:pPr>
        <w:pStyle w:val="31"/>
        <w:spacing w:line="360" w:lineRule="auto"/>
        <w:ind w:firstLine="448" w:firstLineChars="200"/>
        <w:jc w:val="both"/>
        <w:rPr>
          <w:rFonts w:ascii="Times New Roman" w:eastAsia="宋体" w:cs="Times New Roman" w:hAnsiTheme="minorEastAsia"/>
          <w:color w:val="auto"/>
        </w:rPr>
      </w:pPr>
      <w:r>
        <w:rPr>
          <w:rFonts w:hint="eastAsia" w:ascii="Times New Roman" w:eastAsia="宋体" w:cs="Times New Roman" w:hAnsiTheme="minorEastAsia"/>
          <w:color w:val="auto"/>
        </w:rPr>
        <w:t>注：中标候选供应商为以上办法中排名前两名的供应商。</w:t>
      </w:r>
    </w:p>
    <w:p w14:paraId="48B2A51F">
      <w:pPr>
        <w:pStyle w:val="31"/>
        <w:spacing w:line="360" w:lineRule="auto"/>
        <w:ind w:firstLine="448" w:firstLineChars="200"/>
        <w:jc w:val="both"/>
        <w:rPr>
          <w:rFonts w:ascii="Times New Roman" w:hAnsi="Times New Roman" w:eastAsia="宋体" w:cs="Times New Roman"/>
          <w:color w:val="auto"/>
        </w:rPr>
      </w:pPr>
      <w:r>
        <w:rPr>
          <w:rFonts w:ascii="Times New Roman" w:eastAsia="宋体" w:cs="Times New Roman" w:hAnsiTheme="minorEastAsia"/>
          <w:color w:val="auto"/>
        </w:rPr>
        <w:t>（</w:t>
      </w:r>
      <w:r>
        <w:rPr>
          <w:rFonts w:ascii="Times New Roman" w:hAnsi="Times New Roman" w:eastAsia="宋体" w:cs="Times New Roman"/>
          <w:color w:val="auto"/>
        </w:rPr>
        <w:t>5</w:t>
      </w:r>
      <w:r>
        <w:rPr>
          <w:rFonts w:ascii="Times New Roman" w:eastAsia="宋体" w:cs="Times New Roman" w:hAnsiTheme="minorEastAsia"/>
          <w:color w:val="auto"/>
        </w:rPr>
        <w:t>）根据《政府采购货物和服务招标投标管理办法》（</w:t>
      </w:r>
      <w:r>
        <w:rPr>
          <w:rFonts w:hint="eastAsia" w:ascii="Times New Roman" w:eastAsia="宋体" w:cs="Times New Roman" w:hAnsiTheme="minorEastAsia"/>
          <w:color w:val="auto"/>
        </w:rPr>
        <w:t>财政部</w:t>
      </w:r>
      <w:r>
        <w:rPr>
          <w:rFonts w:ascii="Times New Roman" w:eastAsia="宋体" w:cs="Times New Roman" w:hAnsiTheme="minorEastAsia"/>
          <w:color w:val="auto"/>
        </w:rPr>
        <w:t>令第</w:t>
      </w:r>
      <w:r>
        <w:rPr>
          <w:rFonts w:hint="eastAsia" w:ascii="Times New Roman" w:hAnsi="Times New Roman" w:eastAsia="宋体" w:cs="Times New Roman"/>
          <w:color w:val="auto"/>
        </w:rPr>
        <w:t>87</w:t>
      </w:r>
      <w:r>
        <w:rPr>
          <w:rFonts w:ascii="Times New Roman" w:eastAsia="宋体" w:cs="Times New Roman" w:hAnsiTheme="minorEastAsia"/>
          <w:color w:val="auto"/>
        </w:rPr>
        <w:t>号）第</w:t>
      </w:r>
      <w:r>
        <w:rPr>
          <w:rFonts w:ascii="Times New Roman" w:hAnsi="Times New Roman" w:eastAsia="宋体" w:cs="Times New Roman"/>
          <w:color w:val="auto"/>
        </w:rPr>
        <w:t>43</w:t>
      </w:r>
      <w:r>
        <w:rPr>
          <w:rFonts w:ascii="Times New Roman" w:eastAsia="宋体" w:cs="Times New Roman" w:hAnsiTheme="minorEastAsia"/>
          <w:color w:val="auto"/>
        </w:rPr>
        <w:t>条规定，如评审现场经财政部门批准本项目转为其他采购方式的，按相应采购方式程序执行。</w:t>
      </w:r>
    </w:p>
    <w:p w14:paraId="6D7FDFAE">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32. </w:t>
      </w:r>
      <w:r>
        <w:rPr>
          <w:rFonts w:ascii="Times New Roman" w:eastAsia="宋体" w:cs="Times New Roman" w:hAnsiTheme="minorEastAsia"/>
          <w:color w:val="auto"/>
        </w:rPr>
        <w:t>其他注意事项</w:t>
      </w:r>
    </w:p>
    <w:p w14:paraId="4FE75DC9">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32.1 </w:t>
      </w:r>
      <w:r>
        <w:rPr>
          <w:rFonts w:ascii="Times New Roman" w:eastAsia="宋体" w:cs="Times New Roman" w:hAnsiTheme="minorEastAsia"/>
          <w:color w:val="auto"/>
        </w:rPr>
        <w:t>在开标、投标期间，投标人不得向评审委员会成员或采购代理机构询问评标情况、施加任何影响，不得进行旨在影响评标结果的活动。</w:t>
      </w:r>
    </w:p>
    <w:p w14:paraId="17738F48">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32.2 </w:t>
      </w:r>
      <w:r>
        <w:rPr>
          <w:rFonts w:ascii="Times New Roman" w:eastAsia="宋体" w:cs="Times New Roman" w:hAnsiTheme="minorEastAsia"/>
          <w:color w:val="auto"/>
        </w:rPr>
        <w:t>为保证定标的公正性，在评标过程中，评审委员会成员不得与投标人私下交换意见。在开、评标期间及招标工作结束后，凡与评标情况有接触的任何人不得透露审查、澄清、评价和比较等投标的有关资料以及授标建议等评标情况。</w:t>
      </w:r>
    </w:p>
    <w:p w14:paraId="6C12DA88">
      <w:pPr>
        <w:pStyle w:val="31"/>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 xml:space="preserve">32. 3 </w:t>
      </w:r>
      <w:r>
        <w:rPr>
          <w:rFonts w:ascii="Times New Roman" w:eastAsia="宋体" w:cs="Times New Roman" w:hAnsiTheme="minorEastAsia"/>
          <w:color w:val="auto"/>
        </w:rPr>
        <w:t>本项目不接受赠品、回扣或者与采购无关的其他商品、服务。</w:t>
      </w:r>
    </w:p>
    <w:p w14:paraId="2168A687">
      <w:pPr>
        <w:pStyle w:val="31"/>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 xml:space="preserve">F  </w:t>
      </w:r>
      <w:r>
        <w:rPr>
          <w:rFonts w:ascii="Times New Roman" w:eastAsia="宋体" w:cs="Times New Roman" w:hAnsiTheme="minorEastAsia"/>
          <w:color w:val="auto"/>
        </w:rPr>
        <w:t>授予合同</w:t>
      </w:r>
    </w:p>
    <w:p w14:paraId="52628386">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33. </w:t>
      </w:r>
      <w:r>
        <w:rPr>
          <w:rFonts w:ascii="Times New Roman" w:eastAsia="宋体" w:cs="Times New Roman" w:hAnsiTheme="minorEastAsia"/>
          <w:color w:val="auto"/>
        </w:rPr>
        <w:t>中标供应商的产生</w:t>
      </w:r>
    </w:p>
    <w:p w14:paraId="5112A49E">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33.1 </w:t>
      </w:r>
      <w:r>
        <w:rPr>
          <w:rFonts w:ascii="Times New Roman" w:eastAsia="宋体" w:cs="Times New Roman" w:hAnsiTheme="minorEastAsia"/>
          <w:color w:val="auto"/>
        </w:rPr>
        <w:t>采购人可以事先授权评审委员会直接确定中标供应商。</w:t>
      </w:r>
    </w:p>
    <w:p w14:paraId="0753A604">
      <w:pPr>
        <w:pStyle w:val="31"/>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33.2 </w:t>
      </w:r>
      <w:r>
        <w:rPr>
          <w:rFonts w:ascii="Times New Roman" w:eastAsia="宋体" w:cs="Times New Roman" w:hAnsiTheme="minorEastAsia"/>
          <w:color w:val="auto"/>
        </w:rPr>
        <w:t>采购人也可以按照《政府采购法》及其实施条例等法律法规的规定和招标文件的要求确认中标供应商。</w:t>
      </w:r>
    </w:p>
    <w:p w14:paraId="0C66FD7F">
      <w:pPr>
        <w:pStyle w:val="31"/>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34. </w:t>
      </w:r>
      <w:r>
        <w:rPr>
          <w:rFonts w:hint="eastAsia" w:ascii="Times New Roman" w:eastAsia="宋体" w:cs="Times New Roman" w:hAnsiTheme="minorEastAsia"/>
          <w:color w:val="auto"/>
        </w:rPr>
        <w:t>中标通知</w:t>
      </w:r>
    </w:p>
    <w:p w14:paraId="6B709290">
      <w:pPr>
        <w:pStyle w:val="31"/>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34.1 </w:t>
      </w:r>
      <w:r>
        <w:rPr>
          <w:rFonts w:hint="eastAsia" w:ascii="Times New Roman" w:eastAsia="宋体" w:cs="Times New Roman" w:hAnsiTheme="minorEastAsia"/>
          <w:color w:val="auto"/>
        </w:rPr>
        <w:t>中标公告发布同时，采购代理机构将通过天津市政府采购中心招投标系统以电子形式向中标供应商发出《中标通知书》（请使用天津数字认证有限公司发出的CA数字证书（原天津市电子认证中心发出尚在有效期内的CA数字证书仍可使用）登陆天津市政府采购中心网（网址：</w:t>
      </w:r>
      <w:r>
        <w:fldChar w:fldCharType="begin"/>
      </w:r>
      <w:r>
        <w:instrText xml:space="preserve"> HYPERLINK "http://tjgpc.cz.tj.gov.cn/" </w:instrText>
      </w:r>
      <w:r>
        <w:fldChar w:fldCharType="separate"/>
      </w:r>
      <w:r>
        <w:rPr>
          <w:rStyle w:val="25"/>
          <w:rFonts w:ascii="Times New Roman" w:hAnsi="Times New Roman" w:eastAsia="宋体" w:cs="Times New Roman"/>
        </w:rPr>
        <w:t>http://tjgpc.zwfwb.tj.gov.cn/</w:t>
      </w:r>
      <w:r>
        <w:rPr>
          <w:rStyle w:val="25"/>
          <w:rFonts w:ascii="Times New Roman" w:hAnsi="Times New Roman" w:eastAsia="宋体" w:cs="Times New Roman"/>
        </w:rPr>
        <w:fldChar w:fldCharType="end"/>
      </w:r>
      <w:r>
        <w:rPr>
          <w:rFonts w:hint="eastAsia" w:ascii="Times New Roman" w:eastAsia="宋体" w:cs="Times New Roman" w:hAnsiTheme="minorEastAsia"/>
          <w:color w:val="auto"/>
        </w:rPr>
        <w:t>）</w:t>
      </w:r>
      <w:r>
        <w:rPr>
          <w:rFonts w:hint="eastAsia" w:ascii="Times New Roman" w:hAnsi="Times New Roman" w:eastAsia="宋体" w:cs="Times New Roman"/>
          <w:color w:val="auto"/>
        </w:rPr>
        <w:t>-“</w:t>
      </w:r>
      <w:r>
        <w:rPr>
          <w:rFonts w:hint="eastAsia" w:ascii="Times New Roman" w:eastAsia="宋体" w:cs="Times New Roman" w:hAnsiTheme="minorEastAsia"/>
          <w:color w:val="auto"/>
        </w:rPr>
        <w:t>网上招投标”-“供应商登录”-“区级集采机构入口”，并从</w:t>
      </w:r>
      <w:r>
        <w:rPr>
          <w:rFonts w:hint="eastAsia" w:ascii="Times New Roman" w:hAnsi="Times New Roman" w:eastAsia="宋体" w:cs="Times New Roman"/>
          <w:color w:val="auto"/>
        </w:rPr>
        <w:t>“</w:t>
      </w:r>
      <w:r>
        <w:rPr>
          <w:rFonts w:hint="eastAsia" w:ascii="Times New Roman" w:eastAsia="宋体" w:cs="Times New Roman" w:hAnsiTheme="minorEastAsia"/>
          <w:color w:val="auto"/>
        </w:rPr>
        <w:t>供应商系统</w:t>
      </w:r>
      <w:r>
        <w:rPr>
          <w:rFonts w:hint="eastAsia" w:ascii="Times New Roman" w:hAnsi="Times New Roman" w:eastAsia="宋体" w:cs="Times New Roman"/>
          <w:color w:val="auto"/>
        </w:rPr>
        <w:t>”</w:t>
      </w:r>
      <w:r>
        <w:rPr>
          <w:rFonts w:hint="eastAsia" w:ascii="Times New Roman" w:eastAsia="宋体" w:cs="Times New Roman" w:hAnsiTheme="minorEastAsia"/>
          <w:color w:val="auto"/>
        </w:rPr>
        <w:t>的</w:t>
      </w:r>
      <w:r>
        <w:rPr>
          <w:rFonts w:hint="eastAsia" w:ascii="Times New Roman" w:hAnsi="Times New Roman" w:eastAsia="宋体" w:cs="Times New Roman"/>
          <w:color w:val="auto"/>
        </w:rPr>
        <w:t>“</w:t>
      </w:r>
      <w:r>
        <w:rPr>
          <w:rFonts w:hint="eastAsia" w:ascii="Times New Roman" w:eastAsia="宋体" w:cs="Times New Roman" w:hAnsiTheme="minorEastAsia"/>
          <w:color w:val="auto"/>
        </w:rPr>
        <w:t>查看项目文件</w:t>
      </w:r>
      <w:r>
        <w:rPr>
          <w:rFonts w:hint="eastAsia" w:ascii="Times New Roman" w:hAnsi="Times New Roman" w:eastAsia="宋体" w:cs="Times New Roman"/>
          <w:color w:val="auto"/>
        </w:rPr>
        <w:t>”</w:t>
      </w:r>
      <w:r>
        <w:rPr>
          <w:rFonts w:hint="eastAsia" w:ascii="Times New Roman" w:eastAsia="宋体" w:cs="Times New Roman" w:hAnsiTheme="minorEastAsia"/>
          <w:color w:val="auto"/>
        </w:rPr>
        <w:t>中获取）。《中标通知书》一经发出即发生法律效力。</w:t>
      </w:r>
    </w:p>
    <w:p w14:paraId="282897C9">
      <w:pPr>
        <w:pStyle w:val="31"/>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35. </w:t>
      </w:r>
      <w:r>
        <w:rPr>
          <w:rFonts w:hint="eastAsia" w:ascii="Times New Roman" w:eastAsia="宋体" w:cs="Times New Roman" w:hAnsiTheme="minorEastAsia"/>
          <w:color w:val="auto"/>
        </w:rPr>
        <w:t>投标人可使用天津数字认证有限公司发出的CA数字证书（原天津市电子认证中心发出尚在有效期内的CA数字证书仍可使用）登陆天津市政府采购中心网（网址：</w:t>
      </w:r>
      <w:r>
        <w:fldChar w:fldCharType="begin"/>
      </w:r>
      <w:r>
        <w:instrText xml:space="preserve"> HYPERLINK "http://tjgpc.cz.tj.gov.cn/" </w:instrText>
      </w:r>
      <w:r>
        <w:fldChar w:fldCharType="separate"/>
      </w:r>
      <w:r>
        <w:rPr>
          <w:rStyle w:val="25"/>
          <w:rFonts w:ascii="Times New Roman" w:hAnsi="Times New Roman" w:eastAsia="宋体" w:cs="Times New Roman"/>
        </w:rPr>
        <w:t>http://tjgpc.zwfwb.tj.gov.cn/</w:t>
      </w:r>
      <w:r>
        <w:rPr>
          <w:rStyle w:val="25"/>
          <w:rFonts w:ascii="Times New Roman" w:hAnsi="Times New Roman" w:eastAsia="宋体" w:cs="Times New Roman"/>
        </w:rPr>
        <w:fldChar w:fldCharType="end"/>
      </w:r>
      <w:r>
        <w:rPr>
          <w:rFonts w:hint="eastAsia" w:ascii="Times New Roman" w:eastAsia="宋体" w:cs="Times New Roman" w:hAnsiTheme="minorEastAsia"/>
          <w:color w:val="auto"/>
        </w:rPr>
        <w:t>）</w:t>
      </w:r>
      <w:r>
        <w:rPr>
          <w:rFonts w:hint="eastAsia" w:ascii="Times New Roman" w:hAnsi="Times New Roman" w:eastAsia="宋体" w:cs="Times New Roman"/>
          <w:color w:val="auto"/>
        </w:rPr>
        <w:t>-“</w:t>
      </w:r>
      <w:r>
        <w:rPr>
          <w:rFonts w:hint="eastAsia" w:ascii="Times New Roman" w:eastAsia="宋体" w:cs="Times New Roman" w:hAnsiTheme="minorEastAsia"/>
          <w:color w:val="auto"/>
        </w:rPr>
        <w:t>网上招投标”-“供应商登录”-“区级集采机构入口”，并从</w:t>
      </w:r>
      <w:r>
        <w:rPr>
          <w:rFonts w:hint="eastAsia" w:ascii="Times New Roman" w:hAnsi="Times New Roman" w:eastAsia="宋体" w:cs="Times New Roman"/>
          <w:color w:val="auto"/>
        </w:rPr>
        <w:t>“</w:t>
      </w:r>
      <w:r>
        <w:rPr>
          <w:rFonts w:hint="eastAsia" w:ascii="Times New Roman" w:eastAsia="宋体" w:cs="Times New Roman" w:hAnsiTheme="minorEastAsia"/>
          <w:color w:val="auto"/>
        </w:rPr>
        <w:t>供应商系统</w:t>
      </w:r>
      <w:r>
        <w:rPr>
          <w:rFonts w:hint="eastAsia" w:ascii="Times New Roman" w:hAnsi="Times New Roman" w:eastAsia="宋体" w:cs="Times New Roman"/>
          <w:color w:val="auto"/>
        </w:rPr>
        <w:t>”</w:t>
      </w:r>
      <w:r>
        <w:rPr>
          <w:rFonts w:hint="eastAsia" w:ascii="Times New Roman" w:eastAsia="宋体" w:cs="Times New Roman" w:hAnsiTheme="minorEastAsia"/>
          <w:color w:val="auto"/>
        </w:rPr>
        <w:t>的</w:t>
      </w:r>
      <w:r>
        <w:rPr>
          <w:rFonts w:hint="eastAsia" w:ascii="Times New Roman" w:hAnsi="Times New Roman" w:eastAsia="宋体" w:cs="Times New Roman"/>
          <w:color w:val="auto"/>
        </w:rPr>
        <w:t>“</w:t>
      </w:r>
      <w:r>
        <w:rPr>
          <w:rFonts w:hint="eastAsia" w:ascii="Times New Roman" w:eastAsia="宋体" w:cs="Times New Roman" w:hAnsiTheme="minorEastAsia"/>
          <w:color w:val="auto"/>
        </w:rPr>
        <w:t>查看项目文件</w:t>
      </w:r>
      <w:r>
        <w:rPr>
          <w:rFonts w:hint="eastAsia" w:ascii="Times New Roman" w:hAnsi="Times New Roman" w:eastAsia="宋体" w:cs="Times New Roman"/>
          <w:color w:val="auto"/>
        </w:rPr>
        <w:t>”</w:t>
      </w:r>
      <w:r>
        <w:rPr>
          <w:rFonts w:hint="eastAsia" w:ascii="Times New Roman" w:eastAsia="宋体" w:cs="Times New Roman" w:hAnsiTheme="minorEastAsia"/>
          <w:color w:val="auto"/>
        </w:rPr>
        <w:t>中获取未通过资格审查的原因或从</w:t>
      </w:r>
      <w:r>
        <w:rPr>
          <w:rFonts w:hint="eastAsia" w:ascii="Times New Roman" w:hAnsi="Times New Roman" w:eastAsia="宋体" w:cs="Times New Roman"/>
          <w:color w:val="auto"/>
        </w:rPr>
        <w:t>“</w:t>
      </w:r>
      <w:r>
        <w:rPr>
          <w:rFonts w:hint="eastAsia" w:ascii="Times New Roman" w:eastAsia="宋体" w:cs="Times New Roman" w:hAnsiTheme="minorEastAsia"/>
          <w:color w:val="auto"/>
        </w:rPr>
        <w:t>供应商系统</w:t>
      </w:r>
      <w:r>
        <w:rPr>
          <w:rFonts w:hint="eastAsia" w:ascii="Times New Roman" w:hAnsi="Times New Roman" w:eastAsia="宋体" w:cs="Times New Roman"/>
          <w:color w:val="auto"/>
        </w:rPr>
        <w:t>”</w:t>
      </w:r>
      <w:r>
        <w:rPr>
          <w:rFonts w:hint="eastAsia" w:ascii="Times New Roman" w:eastAsia="宋体" w:cs="Times New Roman" w:hAnsiTheme="minorEastAsia"/>
          <w:color w:val="auto"/>
        </w:rPr>
        <w:t>的</w:t>
      </w:r>
      <w:r>
        <w:rPr>
          <w:rFonts w:hint="eastAsia" w:ascii="Times New Roman" w:hAnsi="Times New Roman" w:eastAsia="宋体" w:cs="Times New Roman"/>
          <w:color w:val="auto"/>
        </w:rPr>
        <w:t>“</w:t>
      </w:r>
      <w:r>
        <w:rPr>
          <w:rFonts w:hint="eastAsia" w:ascii="Times New Roman" w:eastAsia="宋体" w:cs="Times New Roman" w:hAnsiTheme="minorEastAsia"/>
          <w:color w:val="auto"/>
        </w:rPr>
        <w:t>综合得分及排名</w:t>
      </w:r>
      <w:r>
        <w:rPr>
          <w:rFonts w:hint="eastAsia" w:ascii="Times New Roman" w:hAnsi="Times New Roman" w:eastAsia="宋体" w:cs="Times New Roman"/>
          <w:color w:val="auto"/>
        </w:rPr>
        <w:t>”</w:t>
      </w:r>
      <w:r>
        <w:rPr>
          <w:rFonts w:hint="eastAsia" w:ascii="Times New Roman" w:eastAsia="宋体" w:cs="Times New Roman" w:hAnsiTheme="minorEastAsia"/>
          <w:color w:val="auto"/>
        </w:rPr>
        <w:t>中获取未中标人本人的评审得分与排序。</w:t>
      </w:r>
    </w:p>
    <w:p w14:paraId="21EDC4CF">
      <w:pPr>
        <w:pStyle w:val="31"/>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36. </w:t>
      </w:r>
      <w:r>
        <w:rPr>
          <w:rFonts w:hint="eastAsia" w:ascii="Times New Roman" w:eastAsia="宋体" w:cs="Times New Roman" w:hAnsiTheme="minorEastAsia"/>
          <w:color w:val="auto"/>
        </w:rPr>
        <w:t>签订合同</w:t>
      </w:r>
    </w:p>
    <w:p w14:paraId="06F723B5">
      <w:pPr>
        <w:pStyle w:val="31"/>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36.1 </w:t>
      </w:r>
      <w:r>
        <w:rPr>
          <w:rFonts w:hint="eastAsia" w:ascii="Times New Roman" w:eastAsia="宋体" w:cs="Times New Roman" w:hAnsiTheme="minorEastAsia"/>
          <w:color w:val="auto"/>
        </w:rPr>
        <w:t>采购人与中标供应商应当在中标通知书发出之日起三十日内，按照招标文件确定的事项签订政府采购合同。合同文本请使用天津数字认证有限公司发出的CA数字证书（原天津市电子认证中心发出尚在有效期内的CA数字证书仍可使用）登陆天津市政府采购中心网（网址：</w:t>
      </w:r>
      <w:r>
        <w:fldChar w:fldCharType="begin"/>
      </w:r>
      <w:r>
        <w:instrText xml:space="preserve"> HYPERLINK "http://tjgpc.cz.tj.gov.cn/" </w:instrText>
      </w:r>
      <w:r>
        <w:fldChar w:fldCharType="separate"/>
      </w:r>
      <w:r>
        <w:rPr>
          <w:rStyle w:val="25"/>
          <w:rFonts w:ascii="Times New Roman" w:hAnsi="Times New Roman" w:eastAsia="宋体" w:cs="Times New Roman"/>
        </w:rPr>
        <w:t>http://tjgpc.zwfwb.tj.gov.cn/</w:t>
      </w:r>
      <w:r>
        <w:rPr>
          <w:rStyle w:val="25"/>
          <w:rFonts w:ascii="Times New Roman" w:hAnsi="Times New Roman" w:eastAsia="宋体" w:cs="Times New Roman"/>
        </w:rPr>
        <w:fldChar w:fldCharType="end"/>
      </w:r>
      <w:r>
        <w:rPr>
          <w:rFonts w:hint="eastAsia" w:ascii="Times New Roman" w:hAnsi="Times New Roman" w:eastAsia="宋体" w:cs="Times New Roman"/>
          <w:color w:val="auto"/>
        </w:rPr>
        <w:t>n</w:t>
      </w:r>
      <w:r>
        <w:rPr>
          <w:rFonts w:hint="eastAsia" w:ascii="Times New Roman" w:eastAsia="宋体" w:cs="Times New Roman" w:hAnsiTheme="minorEastAsia"/>
          <w:color w:val="auto"/>
        </w:rPr>
        <w:t>）</w:t>
      </w:r>
      <w:r>
        <w:rPr>
          <w:rFonts w:hint="eastAsia" w:ascii="Times New Roman" w:hAnsi="Times New Roman" w:eastAsia="宋体" w:cs="Times New Roman"/>
          <w:color w:val="auto"/>
        </w:rPr>
        <w:t>-“</w:t>
      </w:r>
      <w:r>
        <w:rPr>
          <w:rFonts w:hint="eastAsia" w:ascii="Times New Roman" w:eastAsia="宋体" w:cs="Times New Roman" w:hAnsiTheme="minorEastAsia"/>
          <w:color w:val="auto"/>
        </w:rPr>
        <w:t>网上招投标”-“供应商登录”-“区级集采机构入口”，并从</w:t>
      </w:r>
      <w:r>
        <w:rPr>
          <w:rFonts w:hint="eastAsia" w:ascii="Times New Roman" w:hAnsi="Times New Roman" w:eastAsia="宋体" w:cs="Times New Roman"/>
          <w:color w:val="auto"/>
        </w:rPr>
        <w:t>“</w:t>
      </w:r>
      <w:r>
        <w:rPr>
          <w:rFonts w:hint="eastAsia" w:ascii="Times New Roman" w:eastAsia="宋体" w:cs="Times New Roman" w:hAnsiTheme="minorEastAsia"/>
          <w:color w:val="auto"/>
        </w:rPr>
        <w:t>供应商系统</w:t>
      </w:r>
      <w:r>
        <w:rPr>
          <w:rFonts w:hint="eastAsia" w:ascii="Times New Roman" w:hAnsi="Times New Roman" w:eastAsia="宋体" w:cs="Times New Roman"/>
          <w:color w:val="auto"/>
        </w:rPr>
        <w:t>”</w:t>
      </w:r>
      <w:r>
        <w:rPr>
          <w:rFonts w:hint="eastAsia" w:ascii="Times New Roman" w:eastAsia="宋体" w:cs="Times New Roman" w:hAnsiTheme="minorEastAsia"/>
          <w:color w:val="auto"/>
        </w:rPr>
        <w:t>的</w:t>
      </w:r>
      <w:r>
        <w:rPr>
          <w:rFonts w:hint="eastAsia" w:ascii="Times New Roman" w:hAnsi="Times New Roman" w:eastAsia="宋体" w:cs="Times New Roman"/>
          <w:color w:val="auto"/>
        </w:rPr>
        <w:t>“</w:t>
      </w:r>
      <w:r>
        <w:rPr>
          <w:rFonts w:hint="eastAsia" w:ascii="Times New Roman" w:eastAsia="宋体" w:cs="Times New Roman" w:hAnsiTheme="minorEastAsia"/>
          <w:color w:val="auto"/>
        </w:rPr>
        <w:t>合同</w:t>
      </w:r>
      <w:r>
        <w:rPr>
          <w:rFonts w:hint="eastAsia" w:ascii="Times New Roman" w:hAnsi="Times New Roman" w:eastAsia="宋体" w:cs="Times New Roman"/>
          <w:color w:val="auto"/>
        </w:rPr>
        <w:t>”</w:t>
      </w:r>
      <w:r>
        <w:rPr>
          <w:rFonts w:hint="eastAsia" w:ascii="Times New Roman" w:eastAsia="宋体" w:cs="Times New Roman" w:hAnsiTheme="minorEastAsia"/>
          <w:color w:val="auto"/>
        </w:rPr>
        <w:t>中获取。</w:t>
      </w:r>
    </w:p>
    <w:p w14:paraId="178FCE45">
      <w:pPr>
        <w:pStyle w:val="31"/>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36.2 </w:t>
      </w:r>
      <w:r>
        <w:rPr>
          <w:rFonts w:hint="eastAsia" w:ascii="Times New Roman" w:eastAsia="宋体" w:cs="Times New Roman" w:hAnsiTheme="minorEastAsia"/>
          <w:color w:val="auto"/>
        </w:rPr>
        <w:t>招标文件、中标供应商的投标文件及其澄清文件等，均为签订合同的依据，且为合同的组成部分。</w:t>
      </w:r>
    </w:p>
    <w:p w14:paraId="0C92A1C5">
      <w:pPr>
        <w:pStyle w:val="31"/>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37. </w:t>
      </w:r>
      <w:r>
        <w:rPr>
          <w:rFonts w:hint="eastAsia" w:ascii="Times New Roman" w:eastAsia="宋体" w:cs="Times New Roman" w:hAnsiTheme="minorEastAsia"/>
          <w:color w:val="auto"/>
        </w:rPr>
        <w:t>履约保证金</w:t>
      </w:r>
    </w:p>
    <w:p w14:paraId="5C072D92">
      <w:pPr>
        <w:pStyle w:val="31"/>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37.1 </w:t>
      </w:r>
      <w:r>
        <w:rPr>
          <w:rFonts w:hint="eastAsia" w:ascii="Times New Roman" w:eastAsia="宋体" w:cs="Times New Roman" w:hAnsiTheme="minorEastAsia"/>
          <w:color w:val="auto"/>
        </w:rPr>
        <w:t>若《招标项目要求》规定须提交履约保证金的，合同签订前，中标供应商须按照规定要求提交履约保证金，履约保证金的有效期至货到并最终验收合格之日。</w:t>
      </w:r>
    </w:p>
    <w:p w14:paraId="5C015D1D">
      <w:pPr>
        <w:pStyle w:val="31"/>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37.2 </w:t>
      </w:r>
      <w:r>
        <w:rPr>
          <w:rFonts w:hint="eastAsia" w:ascii="Times New Roman" w:eastAsia="宋体" w:cs="Times New Roman" w:hAnsiTheme="minorEastAsia"/>
          <w:color w:val="auto"/>
        </w:rPr>
        <w:t>中标供应商未能按合同规定履行其义务，采购人有权没收其履约保证金。</w:t>
      </w:r>
    </w:p>
    <w:p w14:paraId="6E451642">
      <w:pPr>
        <w:pStyle w:val="31"/>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38. </w:t>
      </w:r>
      <w:r>
        <w:rPr>
          <w:rFonts w:hint="eastAsia" w:ascii="Times New Roman" w:eastAsia="宋体" w:cs="Times New Roman" w:hAnsiTheme="minorEastAsia"/>
          <w:color w:val="auto"/>
        </w:rPr>
        <w:t>中标供应商拒绝与采购人签订合同的，采购人可以按照评审报告推荐的中标候选人名单排序，确定下一候选人为中标供应商，也可以重新开展政府采购活动。</w:t>
      </w:r>
    </w:p>
    <w:p w14:paraId="77B49882">
      <w:pPr>
        <w:pStyle w:val="31"/>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39. </w:t>
      </w:r>
      <w:r>
        <w:rPr>
          <w:rFonts w:hint="eastAsia" w:ascii="Times New Roman" w:eastAsia="宋体" w:cs="Times New Roman" w:hAnsiTheme="minorEastAsia"/>
          <w:color w:val="auto"/>
        </w:rPr>
        <w:t>合同分包</w:t>
      </w:r>
    </w:p>
    <w:p w14:paraId="2170D4E3">
      <w:pPr>
        <w:pStyle w:val="31"/>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39.1 </w:t>
      </w:r>
      <w:r>
        <w:rPr>
          <w:rFonts w:hint="eastAsia" w:ascii="Times New Roman" w:eastAsia="宋体" w:cs="Times New Roman" w:hAnsiTheme="minorEastAsia"/>
          <w:color w:val="auto"/>
        </w:rPr>
        <w:t>未经采购人同意，中标供应商不得分包合同。</w:t>
      </w:r>
    </w:p>
    <w:p w14:paraId="10DC92F0">
      <w:pPr>
        <w:pStyle w:val="31"/>
        <w:spacing w:line="360" w:lineRule="auto"/>
        <w:ind w:firstLine="448" w:firstLineChars="200"/>
        <w:jc w:val="both"/>
        <w:rPr>
          <w:rFonts w:ascii="Times New Roman" w:eastAsia="宋体" w:cs="Times New Roman" w:hAnsiTheme="minorEastAsia"/>
          <w:color w:val="auto"/>
        </w:rPr>
      </w:pPr>
      <w:r>
        <w:rPr>
          <w:rFonts w:hint="eastAsia" w:ascii="Times New Roman" w:hAnsi="Times New Roman" w:eastAsia="宋体" w:cs="Times New Roman"/>
          <w:color w:val="auto"/>
        </w:rPr>
        <w:t xml:space="preserve">39.2 </w:t>
      </w:r>
      <w:r>
        <w:rPr>
          <w:rFonts w:hint="eastAsia" w:ascii="Times New Roman" w:eastAsia="宋体" w:cs="Times New Roman" w:hAnsiTheme="minorEastAsia"/>
          <w:color w:val="auto"/>
        </w:rPr>
        <w:t>政府采购合同分包履行的，中标供应商就采购项目和分包项目向采购人负责，分包供应商就分包项目承担责任。</w:t>
      </w:r>
    </w:p>
    <w:p w14:paraId="5DF247BF">
      <w:pPr>
        <w:pStyle w:val="31"/>
        <w:spacing w:line="360" w:lineRule="auto"/>
        <w:ind w:firstLine="448" w:firstLineChars="200"/>
        <w:jc w:val="center"/>
        <w:rPr>
          <w:rFonts w:ascii="Times New Roman" w:eastAsia="宋体" w:cs="Times New Roman" w:hAnsiTheme="minorEastAsia"/>
          <w:color w:val="auto"/>
        </w:rPr>
      </w:pPr>
      <w:r>
        <w:rPr>
          <w:rFonts w:hint="eastAsia" w:ascii="Times New Roman" w:eastAsia="宋体" w:cs="Times New Roman" w:hAnsiTheme="minorEastAsia"/>
          <w:color w:val="auto"/>
        </w:rPr>
        <w:t>G 政府采购“明白纸”</w:t>
      </w:r>
    </w:p>
    <w:p w14:paraId="53DE0525">
      <w:pPr>
        <w:pStyle w:val="31"/>
        <w:spacing w:line="360" w:lineRule="auto"/>
        <w:ind w:firstLine="448" w:firstLineChars="200"/>
        <w:jc w:val="both"/>
        <w:rPr>
          <w:rFonts w:ascii="Times New Roman" w:eastAsia="宋体" w:cs="Times New Roman" w:hAnsiTheme="minorEastAsia"/>
          <w:color w:val="auto"/>
        </w:rPr>
      </w:pPr>
      <w:r>
        <w:rPr>
          <w:rFonts w:hint="eastAsia" w:ascii="Times New Roman" w:eastAsia="宋体" w:cs="Times New Roman" w:hAnsiTheme="minorEastAsia"/>
          <w:color w:val="auto"/>
        </w:rPr>
        <w:t>40.1政府采购支持中小企业政策“明白纸”</w:t>
      </w:r>
    </w:p>
    <w:p w14:paraId="1116F9CB">
      <w:pPr>
        <w:pStyle w:val="31"/>
        <w:spacing w:line="360" w:lineRule="auto"/>
        <w:ind w:firstLine="448" w:firstLineChars="200"/>
        <w:jc w:val="both"/>
        <w:rPr>
          <w:rFonts w:ascii="Times New Roman" w:eastAsia="宋体" w:cs="Times New Roman" w:hAnsiTheme="minorEastAsia"/>
          <w:color w:val="auto"/>
        </w:rPr>
      </w:pPr>
      <w:r>
        <w:rPr>
          <w:rFonts w:ascii="Times New Roman" w:eastAsia="宋体" w:cs="Times New Roman" w:hAnsiTheme="minorEastAsia"/>
          <w:color w:val="auto"/>
        </w:rPr>
        <w:t>（</w:t>
      </w:r>
      <w:r>
        <w:rPr>
          <w:rFonts w:ascii="Times New Roman" w:hAnsi="Times New Roman" w:eastAsia="宋体" w:cs="Times New Roman"/>
          <w:color w:val="auto"/>
        </w:rPr>
        <w:t>1</w:t>
      </w:r>
      <w:r>
        <w:rPr>
          <w:rFonts w:ascii="Times New Roman" w:eastAsia="宋体" w:cs="Times New Roman" w:hAnsiTheme="minorEastAsia"/>
          <w:color w:val="auto"/>
        </w:rPr>
        <w:t>）《区财政局区发展改革委区住房建设委区交通运输局区水务局区政务服务办关于进一步贯彻落实政府采购支持中小企业政策的通知》（津滨财采[2022]8号）（以下简称通知）提出了哪些进一步支持中小企业的措施？</w:t>
      </w:r>
    </w:p>
    <w:p w14:paraId="5CFDCDD4">
      <w:pPr>
        <w:pStyle w:val="31"/>
        <w:spacing w:line="360" w:lineRule="auto"/>
        <w:ind w:firstLine="448" w:firstLineChars="200"/>
        <w:jc w:val="both"/>
        <w:rPr>
          <w:rFonts w:ascii="Times New Roman" w:eastAsia="宋体" w:cs="Times New Roman" w:hAnsiTheme="minorEastAsia"/>
          <w:color w:val="auto"/>
        </w:rPr>
      </w:pPr>
      <w:r>
        <w:rPr>
          <w:rFonts w:ascii="Times New Roman" w:eastAsia="宋体" w:cs="Times New Roman" w:hAnsiTheme="minorEastAsia"/>
          <w:color w:val="auto"/>
        </w:rPr>
        <w:t>一是阶段性提高政府采购工程面向中小企业预留份额。400万元以下的工程采购项目适宜由中小企业提供的应专门面向中小企业采购。超过400万元的工程采购项目中适宜由中小企业提供的，2022年下半年面向中小企业的预留份额由30%以上阶段性提高至40%以上。</w:t>
      </w:r>
    </w:p>
    <w:p w14:paraId="0A5F4F10">
      <w:pPr>
        <w:pStyle w:val="31"/>
        <w:spacing w:line="360" w:lineRule="auto"/>
        <w:ind w:firstLine="448" w:firstLineChars="200"/>
        <w:jc w:val="both"/>
        <w:rPr>
          <w:rFonts w:ascii="Times New Roman" w:eastAsia="宋体" w:cs="Times New Roman" w:hAnsiTheme="minorEastAsia"/>
          <w:color w:val="auto"/>
        </w:rPr>
      </w:pPr>
      <w:r>
        <w:rPr>
          <w:rFonts w:ascii="Times New Roman" w:eastAsia="宋体" w:cs="Times New Roman" w:hAnsiTheme="minorEastAsia"/>
          <w:color w:val="auto"/>
        </w:rPr>
        <w:t>二是调整对小微企业的价格评审优惠幅度。货物服务采购项目给予小微企业的价格扣除优惠，由6%-10%提高至10-%20%。大中型企业与小微企业组成联合体或者大中型企业向小微企业分包的，评审优惠幅度由2%-3%提高至4%-6%。货物、服务采购项目适宜由中小企业提供的，以及大中型企业与小微企业组成联合体或者大中型企业向小微企业分包的，对小微企业给予价格扣除优惠时按照上述比例区间上限执行。</w:t>
      </w:r>
    </w:p>
    <w:p w14:paraId="6CA718F5">
      <w:pPr>
        <w:pStyle w:val="31"/>
        <w:spacing w:line="360" w:lineRule="auto"/>
        <w:ind w:firstLine="448" w:firstLineChars="200"/>
        <w:jc w:val="both"/>
        <w:rPr>
          <w:rFonts w:ascii="Times New Roman" w:eastAsia="宋体" w:cs="Times New Roman" w:hAnsiTheme="minorEastAsia"/>
          <w:color w:val="auto"/>
        </w:rPr>
      </w:pPr>
      <w:r>
        <w:rPr>
          <w:rFonts w:ascii="Times New Roman" w:eastAsia="宋体" w:cs="Times New Roman" w:hAnsiTheme="minorEastAsia"/>
          <w:color w:val="auto"/>
        </w:rPr>
        <w:t>（</w:t>
      </w:r>
      <w:r>
        <w:rPr>
          <w:rFonts w:hint="eastAsia" w:ascii="Times New Roman" w:hAnsi="Times New Roman" w:eastAsia="宋体" w:cs="Times New Roman"/>
          <w:color w:val="auto"/>
        </w:rPr>
        <w:t>2</w:t>
      </w:r>
      <w:r>
        <w:rPr>
          <w:rFonts w:ascii="Times New Roman" w:eastAsia="宋体" w:cs="Times New Roman" w:hAnsiTheme="minorEastAsia"/>
          <w:color w:val="auto"/>
        </w:rPr>
        <w:t>）《通知》是如何降低中小企业参与政府采购成本的？</w:t>
      </w:r>
    </w:p>
    <w:p w14:paraId="1EDDA26C">
      <w:pPr>
        <w:pStyle w:val="31"/>
        <w:spacing w:line="360" w:lineRule="auto"/>
        <w:ind w:firstLine="448" w:firstLineChars="200"/>
        <w:jc w:val="both"/>
        <w:rPr>
          <w:rFonts w:ascii="Times New Roman" w:eastAsia="宋体" w:cs="Times New Roman" w:hAnsiTheme="minorEastAsia"/>
          <w:color w:val="auto"/>
        </w:rPr>
      </w:pPr>
      <w:r>
        <w:rPr>
          <w:rFonts w:ascii="Times New Roman" w:eastAsia="宋体" w:cs="Times New Roman" w:hAnsiTheme="minorEastAsia"/>
          <w:color w:val="auto"/>
        </w:rPr>
        <w:t>《通知》在保证金收取、资金支付、合同融资等方面对支持中小企业也作出了规定，多措并举降低中小企业参与政府采购成本。</w:t>
      </w:r>
    </w:p>
    <w:p w14:paraId="5494FD5A">
      <w:pPr>
        <w:pStyle w:val="31"/>
        <w:spacing w:line="360" w:lineRule="auto"/>
        <w:ind w:firstLine="448" w:firstLineChars="200"/>
        <w:jc w:val="both"/>
        <w:rPr>
          <w:rFonts w:ascii="Times New Roman" w:eastAsia="宋体" w:cs="Times New Roman" w:hAnsiTheme="minorEastAsia"/>
          <w:color w:val="auto"/>
        </w:rPr>
      </w:pPr>
      <w:r>
        <w:rPr>
          <w:rFonts w:ascii="Times New Roman" w:eastAsia="宋体" w:cs="Times New Roman" w:hAnsiTheme="minorEastAsia"/>
          <w:color w:val="auto"/>
        </w:rPr>
        <w:t>一是明确政府采购项目不得在法律法规允许的收费项目及收费幅度之外收取任何保证金及其他费用。依法收取的保证金，应当允许以支票、汇票、本票、保函等非现金形式缴纳或提交。二是鼓励采购人、代理机构向供应商免费提供采购文件，政府集中采购机构应当免费提供采购文件。三是要求采购人严格按照合同约定和有关规定及时支付采购资金。四是鼓励建立预付款制度并提高预付款比例。五是要求采购人按照规定及时完整准确公开政府采购合同，积极配合中小企业开展合同融资。</w:t>
      </w:r>
    </w:p>
    <w:p w14:paraId="5ADBCB85">
      <w:pPr>
        <w:pStyle w:val="31"/>
        <w:spacing w:line="360" w:lineRule="auto"/>
        <w:ind w:firstLine="448" w:firstLineChars="200"/>
        <w:jc w:val="both"/>
        <w:rPr>
          <w:rFonts w:ascii="Times New Roman" w:eastAsia="宋体" w:cs="Times New Roman" w:hAnsiTheme="minorEastAsia"/>
          <w:color w:val="auto"/>
        </w:rPr>
      </w:pPr>
      <w:r>
        <w:rPr>
          <w:rFonts w:ascii="Times New Roman" w:eastAsia="宋体" w:cs="Times New Roman" w:hAnsiTheme="minorEastAsia"/>
          <w:color w:val="auto"/>
        </w:rPr>
        <w:t>（</w:t>
      </w:r>
      <w:r>
        <w:rPr>
          <w:rFonts w:hint="eastAsia" w:ascii="Times New Roman" w:hAnsi="Times New Roman" w:eastAsia="宋体" w:cs="Times New Roman"/>
          <w:color w:val="auto"/>
        </w:rPr>
        <w:t>3</w:t>
      </w:r>
      <w:r>
        <w:rPr>
          <w:rFonts w:ascii="Times New Roman" w:eastAsia="宋体" w:cs="Times New Roman" w:hAnsiTheme="minorEastAsia"/>
          <w:color w:val="auto"/>
        </w:rPr>
        <w:t>）怎样确保政策落实到位？</w:t>
      </w:r>
    </w:p>
    <w:p w14:paraId="1C99FCBE">
      <w:pPr>
        <w:pStyle w:val="31"/>
        <w:spacing w:line="360" w:lineRule="auto"/>
        <w:ind w:firstLine="448" w:firstLineChars="200"/>
        <w:jc w:val="both"/>
        <w:rPr>
          <w:rFonts w:ascii="Times New Roman" w:eastAsia="宋体" w:cs="Times New Roman" w:hAnsiTheme="minorEastAsia"/>
          <w:color w:val="auto"/>
        </w:rPr>
      </w:pPr>
      <w:r>
        <w:rPr>
          <w:rFonts w:ascii="Times New Roman" w:eastAsia="宋体" w:cs="Times New Roman" w:hAnsiTheme="minorEastAsia"/>
          <w:color w:val="auto"/>
        </w:rPr>
        <w:t>一是强化政策宣传。政策印发后，新区财政局制定政府采购支持中小企业政策“明白纸”，细致解读政策内容，通过开展线上腾讯会议营商环境大讲堂对政策进行宣讲解读，提高中小企业政策知晓率。</w:t>
      </w:r>
    </w:p>
    <w:p w14:paraId="3F10B39A">
      <w:pPr>
        <w:pStyle w:val="31"/>
        <w:spacing w:line="360" w:lineRule="auto"/>
        <w:ind w:firstLine="448" w:firstLineChars="200"/>
        <w:jc w:val="both"/>
        <w:rPr>
          <w:rFonts w:ascii="Times New Roman" w:eastAsia="宋体" w:cs="Times New Roman" w:hAnsiTheme="minorEastAsia"/>
          <w:color w:val="auto"/>
        </w:rPr>
      </w:pPr>
      <w:r>
        <w:rPr>
          <w:rFonts w:ascii="Times New Roman" w:eastAsia="宋体" w:cs="Times New Roman" w:hAnsiTheme="minorEastAsia"/>
          <w:color w:val="auto"/>
        </w:rPr>
        <w:t>二是形成监督合力，新区财政、发展改革、住房城乡建设、交通运输、水务、政务服务等部门根据各自职责分工，积极调整完善执行工程招投标领域有关标准文本、评标制度等规定和做法，广泛开展政策宣贯，确保预留份额、评审优惠等政策措施在全口径政府采购工程项目中得到有效贯彻执行，提高中小企业合同规模。</w:t>
      </w:r>
    </w:p>
    <w:p w14:paraId="46794BC1">
      <w:pPr>
        <w:pStyle w:val="31"/>
        <w:spacing w:line="360" w:lineRule="auto"/>
        <w:ind w:firstLine="448" w:firstLineChars="200"/>
        <w:jc w:val="both"/>
        <w:rPr>
          <w:rFonts w:ascii="Times New Roman" w:eastAsia="宋体" w:cs="Times New Roman" w:hAnsiTheme="minorEastAsia"/>
          <w:color w:val="auto"/>
        </w:rPr>
      </w:pPr>
      <w:r>
        <w:rPr>
          <w:rFonts w:ascii="Times New Roman" w:eastAsia="宋体" w:cs="Times New Roman" w:hAnsiTheme="minorEastAsia"/>
          <w:color w:val="auto"/>
        </w:rPr>
        <w:t>（</w:t>
      </w:r>
      <w:r>
        <w:rPr>
          <w:rFonts w:hint="eastAsia" w:ascii="Times New Roman" w:hAnsi="Times New Roman" w:eastAsia="宋体" w:cs="Times New Roman"/>
          <w:color w:val="auto"/>
        </w:rPr>
        <w:t>4</w:t>
      </w:r>
      <w:r>
        <w:rPr>
          <w:rFonts w:ascii="Times New Roman" w:eastAsia="宋体" w:cs="Times New Roman" w:hAnsiTheme="minorEastAsia"/>
          <w:color w:val="auto"/>
        </w:rPr>
        <w:t>）中小企业怎样知晓采购项目是否面向中小企业？</w:t>
      </w:r>
    </w:p>
    <w:p w14:paraId="6740AF0F">
      <w:pPr>
        <w:pStyle w:val="31"/>
        <w:spacing w:line="360" w:lineRule="auto"/>
        <w:ind w:firstLine="448" w:firstLineChars="200"/>
        <w:jc w:val="both"/>
        <w:rPr>
          <w:rFonts w:ascii="Times New Roman" w:eastAsia="宋体" w:cs="Times New Roman" w:hAnsiTheme="minorEastAsia"/>
          <w:color w:val="auto"/>
        </w:rPr>
      </w:pPr>
      <w:r>
        <w:rPr>
          <w:rFonts w:ascii="Times New Roman" w:eastAsia="宋体" w:cs="Times New Roman" w:hAnsiTheme="minorEastAsia"/>
          <w:color w:val="auto"/>
        </w:rPr>
        <w:t>《政府采购促进中小企业发展管理办法》明确采购项目涉及中小企业采购的，预留份额、价格扣除比例或价格加分比例等内容应当在采购文件中明确。因此，中小企业可在采购文件中获取相关信息。</w:t>
      </w:r>
    </w:p>
    <w:p w14:paraId="01F6CCD4">
      <w:pPr>
        <w:pStyle w:val="31"/>
        <w:spacing w:line="360" w:lineRule="auto"/>
        <w:ind w:firstLine="448" w:firstLineChars="200"/>
        <w:jc w:val="both"/>
        <w:rPr>
          <w:rFonts w:ascii="Times New Roman" w:eastAsia="宋体" w:cs="Times New Roman" w:hAnsiTheme="minorEastAsia"/>
          <w:color w:val="auto"/>
        </w:rPr>
      </w:pPr>
      <w:r>
        <w:rPr>
          <w:rFonts w:ascii="Times New Roman" w:eastAsia="宋体" w:cs="Times New Roman" w:hAnsiTheme="minorEastAsia"/>
          <w:color w:val="auto"/>
        </w:rPr>
        <w:t>（</w:t>
      </w:r>
      <w:r>
        <w:rPr>
          <w:rFonts w:hint="eastAsia" w:ascii="Times New Roman" w:hAnsi="Times New Roman" w:eastAsia="宋体" w:cs="Times New Roman"/>
          <w:color w:val="auto"/>
        </w:rPr>
        <w:t>5</w:t>
      </w:r>
      <w:r>
        <w:rPr>
          <w:rFonts w:ascii="Times New Roman" w:eastAsia="宋体" w:cs="Times New Roman" w:hAnsiTheme="minorEastAsia"/>
          <w:color w:val="auto"/>
        </w:rPr>
        <w:t>）中小企业享受扶持政策应提供什么份证明材料？</w:t>
      </w:r>
    </w:p>
    <w:p w14:paraId="7CC90AD0">
      <w:pPr>
        <w:pStyle w:val="31"/>
        <w:spacing w:line="360" w:lineRule="auto"/>
        <w:ind w:firstLine="448" w:firstLineChars="200"/>
        <w:jc w:val="both"/>
        <w:rPr>
          <w:rFonts w:ascii="Times New Roman" w:eastAsia="宋体" w:cs="Times New Roman" w:hAnsiTheme="minorEastAsia"/>
          <w:color w:val="auto"/>
        </w:rPr>
      </w:pPr>
      <w:r>
        <w:rPr>
          <w:rFonts w:ascii="Times New Roman" w:eastAsia="宋体" w:cs="Times New Roman" w:hAnsiTheme="minorEastAsia"/>
          <w:color w:val="auto"/>
        </w:rPr>
        <w:t>中小企业参与政府采购活动、享受扶持政策，只需要出具《中小企业声明函》作为中小企业身份证明文件，任何单位和个人不得要求中小企业供应商提交《中小企业声明函》之外的证明文件，或事先获得认定及进入名录库等。中小企业对其声明内容的真实性负责，声明函内容不实的，属于提供虚假材料谋取中标、成交，依照《中华人民共和国政府采购法》等国家有关规定追究相应责任。</w:t>
      </w:r>
    </w:p>
    <w:p w14:paraId="42092F34">
      <w:pPr>
        <w:pStyle w:val="31"/>
        <w:spacing w:line="360" w:lineRule="auto"/>
        <w:ind w:firstLine="448" w:firstLineChars="200"/>
        <w:jc w:val="both"/>
        <w:rPr>
          <w:rFonts w:ascii="Times New Roman" w:eastAsia="宋体" w:cs="Times New Roman" w:hAnsiTheme="minorEastAsia"/>
          <w:color w:val="auto"/>
        </w:rPr>
      </w:pPr>
      <w:r>
        <w:rPr>
          <w:rFonts w:ascii="Times New Roman" w:eastAsia="宋体" w:cs="Times New Roman" w:hAnsiTheme="minorEastAsia"/>
          <w:color w:val="auto"/>
        </w:rPr>
        <w:t>（</w:t>
      </w:r>
      <w:r>
        <w:rPr>
          <w:rFonts w:hint="eastAsia" w:ascii="Times New Roman" w:hAnsi="Times New Roman" w:eastAsia="宋体" w:cs="Times New Roman"/>
          <w:color w:val="auto"/>
        </w:rPr>
        <w:t>6</w:t>
      </w:r>
      <w:r>
        <w:rPr>
          <w:rFonts w:ascii="Times New Roman" w:eastAsia="宋体" w:cs="Times New Roman" w:hAnsiTheme="minorEastAsia"/>
          <w:color w:val="auto"/>
        </w:rPr>
        <w:t>）企业不清楚自身是否为中小企业，怎么办？</w:t>
      </w:r>
    </w:p>
    <w:p w14:paraId="4BF652C3">
      <w:pPr>
        <w:pStyle w:val="31"/>
        <w:spacing w:line="360" w:lineRule="auto"/>
        <w:ind w:firstLine="448" w:firstLineChars="200"/>
        <w:jc w:val="both"/>
        <w:rPr>
          <w:rFonts w:ascii="Times New Roman" w:eastAsia="宋体" w:cs="Times New Roman" w:hAnsiTheme="minorEastAsia"/>
          <w:color w:val="auto"/>
        </w:rPr>
      </w:pPr>
      <w:r>
        <w:rPr>
          <w:rFonts w:ascii="Times New Roman" w:eastAsia="宋体" w:cs="Times New Roman" w:hAnsiTheme="minorEastAsia"/>
          <w:color w:val="auto"/>
        </w:rPr>
        <w:t>关于企业标准的判定，参与政府采购的企业可根据《中小企业划型标准规定》（工信部联企业〔2011〕300号）要求判定是否为中小企业。此外，为方便广大中小企业、政府部门和社会公众识别企业规模类型，工业和信息化部组织开发了中小企业规模类型自测小程序，并于2020年2月27日上线运行，在国务院客户端和工业和信息化部网站上均有链接，广大中小企业和各类社会机构填写企业所属的行业和指标数据自动生成企业规模类型测试结果。</w:t>
      </w:r>
    </w:p>
    <w:p w14:paraId="2C2E0A1C">
      <w:pPr>
        <w:pStyle w:val="31"/>
        <w:spacing w:line="360" w:lineRule="auto"/>
        <w:ind w:firstLine="448" w:firstLineChars="200"/>
        <w:jc w:val="both"/>
        <w:rPr>
          <w:rFonts w:ascii="Times New Roman" w:eastAsia="宋体" w:cs="Times New Roman" w:hAnsiTheme="minorEastAsia"/>
          <w:color w:val="auto"/>
        </w:rPr>
      </w:pPr>
      <w:r>
        <w:rPr>
          <w:rFonts w:hint="eastAsia" w:ascii="Times New Roman" w:eastAsia="宋体" w:cs="Times New Roman" w:hAnsiTheme="minorEastAsia"/>
          <w:color w:val="auto"/>
        </w:rPr>
        <w:t>40.2 滨海新区财政局</w:t>
      </w:r>
      <w:r>
        <w:rPr>
          <w:rFonts w:hint="eastAsia" w:ascii="Times New Roman" w:hAnsi="Times New Roman" w:eastAsia="宋体" w:cs="Times New Roman"/>
          <w:color w:val="auto"/>
        </w:rPr>
        <w:t>“政采贷”</w:t>
      </w:r>
      <w:r>
        <w:rPr>
          <w:rFonts w:hint="eastAsia" w:ascii="Times New Roman" w:eastAsia="宋体" w:cs="Times New Roman" w:hAnsiTheme="minorEastAsia"/>
          <w:color w:val="auto"/>
        </w:rPr>
        <w:t>明白纸</w:t>
      </w:r>
    </w:p>
    <w:p w14:paraId="536D4154">
      <w:pPr>
        <w:pStyle w:val="31"/>
        <w:spacing w:line="360" w:lineRule="auto"/>
        <w:ind w:firstLine="448" w:firstLineChars="200"/>
        <w:jc w:val="both"/>
        <w:rPr>
          <w:rFonts w:ascii="Times New Roman" w:eastAsia="宋体" w:cs="Times New Roman" w:hAnsiTheme="minorEastAsia"/>
          <w:color w:val="auto"/>
        </w:rPr>
      </w:pPr>
      <w:r>
        <w:rPr>
          <w:rFonts w:hint="eastAsia" w:ascii="Times New Roman" w:eastAsia="宋体" w:cs="Times New Roman" w:hAnsiTheme="minorEastAsia"/>
          <w:color w:val="auto"/>
        </w:rPr>
        <w:t>中小企业是建设现代化经济体系、实现经济高质量发展的重要基础，财政部、市财政局及新区财政局先后出台多项政府采购政策、办法扶持中小企业。为进一步支持中小企业参与政府采购活动，促进中小企业良性发展，新区财政局印发了《滨海新区财政局关于进一步优化政府采购营商环境的通知》，鼓励中小企业在签署政府采购合同前明确融资需求，在采购合同中细化收款账号等融资信息，切实缓解参与政府采购活动的中小企业资金周转压力。本“政采贷”明白纸遵循“市场主导、银企自愿、风险自担”原则，旨在向政府采购中有融资需求的潜在中标、成交供应商介绍“政采贷”业务。</w:t>
      </w:r>
    </w:p>
    <w:p w14:paraId="042FCB29">
      <w:pPr>
        <w:pStyle w:val="31"/>
        <w:spacing w:line="360" w:lineRule="auto"/>
        <w:ind w:firstLine="448" w:firstLineChars="200"/>
        <w:jc w:val="both"/>
        <w:rPr>
          <w:rFonts w:ascii="Times New Roman" w:eastAsia="宋体" w:cs="Times New Roman" w:hAnsiTheme="minorEastAsia"/>
          <w:color w:val="auto"/>
        </w:rPr>
      </w:pPr>
      <w:r>
        <w:rPr>
          <w:rFonts w:hint="eastAsia" w:ascii="Times New Roman" w:eastAsia="宋体" w:cs="Times New Roman" w:hAnsiTheme="minorEastAsia"/>
          <w:color w:val="auto"/>
        </w:rPr>
        <w:t>一、“政采贷”概念</w:t>
      </w:r>
    </w:p>
    <w:p w14:paraId="0D29F33F">
      <w:pPr>
        <w:pStyle w:val="31"/>
        <w:spacing w:line="360" w:lineRule="auto"/>
        <w:ind w:firstLine="448" w:firstLineChars="200"/>
        <w:jc w:val="both"/>
        <w:rPr>
          <w:rFonts w:ascii="Times New Roman" w:eastAsia="宋体" w:cs="Times New Roman" w:hAnsiTheme="minorEastAsia"/>
          <w:color w:val="auto"/>
        </w:rPr>
      </w:pPr>
      <w:r>
        <w:rPr>
          <w:rFonts w:hint="eastAsia" w:ascii="Times New Roman" w:eastAsia="宋体" w:cs="Times New Roman" w:hAnsiTheme="minorEastAsia"/>
          <w:color w:val="auto"/>
        </w:rPr>
        <w:t>“政采贷”即政府采购合同融资的简称，是金融机构以中小企业的诚信考量和信用审查为基础，基于其取得并提供的政府采购合同，按优惠贷款利率直接向中小企业发放贷款的一种融资方式。政采贷能有效减轻企业融资成本和负担，助力解决民营企业、中小企业“融资难、融资贵、资金不足”的困难。</w:t>
      </w:r>
    </w:p>
    <w:p w14:paraId="750F6445">
      <w:pPr>
        <w:pStyle w:val="31"/>
        <w:spacing w:line="360" w:lineRule="auto"/>
        <w:ind w:firstLine="448" w:firstLineChars="200"/>
        <w:jc w:val="both"/>
        <w:rPr>
          <w:rFonts w:ascii="Times New Roman" w:eastAsia="宋体" w:cs="Times New Roman" w:hAnsiTheme="minorEastAsia"/>
          <w:color w:val="auto"/>
        </w:rPr>
      </w:pPr>
      <w:r>
        <w:rPr>
          <w:rFonts w:hint="eastAsia" w:ascii="Times New Roman" w:eastAsia="宋体" w:cs="Times New Roman" w:hAnsiTheme="minorEastAsia"/>
          <w:color w:val="auto"/>
        </w:rPr>
        <w:t>二、“政采贷”基本流程介绍</w:t>
      </w:r>
    </w:p>
    <w:p w14:paraId="15D1D337">
      <w:pPr>
        <w:pStyle w:val="31"/>
        <w:spacing w:line="360" w:lineRule="auto"/>
        <w:ind w:firstLine="448" w:firstLineChars="200"/>
        <w:jc w:val="both"/>
        <w:rPr>
          <w:rFonts w:ascii="Times New Roman" w:eastAsia="宋体" w:cs="Times New Roman" w:hAnsiTheme="minorEastAsia"/>
          <w:color w:val="auto"/>
        </w:rPr>
      </w:pPr>
      <w:r>
        <w:rPr>
          <w:rFonts w:hint="eastAsia" w:ascii="Times New Roman" w:eastAsia="宋体" w:cs="Times New Roman" w:hAnsiTheme="minorEastAsia"/>
          <w:color w:val="auto"/>
        </w:rPr>
        <w:t>“企业申请”-“银行接受申请”-“获取政采业务数据、订单信息、合同信息等”-“线下尽调、审核资质”-“银行风控评估”-“预授信”-“放款、提款”</w:t>
      </w:r>
    </w:p>
    <w:p w14:paraId="2802AFB0">
      <w:pPr>
        <w:pStyle w:val="31"/>
        <w:spacing w:line="360" w:lineRule="auto"/>
        <w:ind w:firstLine="448" w:firstLineChars="200"/>
        <w:jc w:val="both"/>
        <w:rPr>
          <w:rFonts w:ascii="Times New Roman" w:eastAsia="宋体" w:cs="Times New Roman" w:hAnsiTheme="minorEastAsia"/>
          <w:color w:val="auto"/>
        </w:rPr>
      </w:pPr>
      <w:r>
        <w:rPr>
          <w:rFonts w:hint="eastAsia" w:ascii="Times New Roman" w:eastAsia="宋体" w:cs="Times New Roman" w:hAnsiTheme="minorEastAsia"/>
          <w:color w:val="auto"/>
        </w:rPr>
        <w:t>三、我市主要金融机构开通“政采贷”情况</w:t>
      </w:r>
    </w:p>
    <w:p w14:paraId="31C1A342">
      <w:pPr>
        <w:pStyle w:val="31"/>
        <w:spacing w:line="360" w:lineRule="auto"/>
        <w:ind w:firstLine="448" w:firstLineChars="200"/>
        <w:jc w:val="both"/>
        <w:rPr>
          <w:rFonts w:ascii="Times New Roman" w:eastAsia="宋体" w:cs="Times New Roman" w:hAnsiTheme="minorEastAsia"/>
          <w:color w:val="auto"/>
        </w:rPr>
      </w:pPr>
      <w:r>
        <w:rPr>
          <w:rFonts w:hint="eastAsia" w:ascii="Times New Roman" w:eastAsia="宋体" w:cs="Times New Roman" w:hAnsiTheme="minorEastAsia"/>
          <w:color w:val="auto"/>
        </w:rPr>
        <w:t>目前“政采贷”业务已经逐步在各大商业金融机构上线，未来我市主要金融机构“政采贷”业务将实现全覆盖，中标供应商可以根据自身情况自行选择。其中部分金融机构及咨询电话见下表(后续将持续更新)：</w:t>
      </w:r>
    </w:p>
    <w:tbl>
      <w:tblPr>
        <w:tblStyle w:val="19"/>
        <w:tblW w:w="8519" w:type="dxa"/>
        <w:tblInd w:w="93" w:type="dxa"/>
        <w:tblLayout w:type="fixed"/>
        <w:tblCellMar>
          <w:top w:w="0" w:type="dxa"/>
          <w:left w:w="108" w:type="dxa"/>
          <w:bottom w:w="0" w:type="dxa"/>
          <w:right w:w="108" w:type="dxa"/>
        </w:tblCellMar>
      </w:tblPr>
      <w:tblGrid>
        <w:gridCol w:w="492"/>
        <w:gridCol w:w="1001"/>
        <w:gridCol w:w="1292"/>
        <w:gridCol w:w="964"/>
        <w:gridCol w:w="3384"/>
        <w:gridCol w:w="1386"/>
      </w:tblGrid>
      <w:tr w14:paraId="16153559">
        <w:tblPrEx>
          <w:tblCellMar>
            <w:top w:w="0" w:type="dxa"/>
            <w:left w:w="108" w:type="dxa"/>
            <w:bottom w:w="0" w:type="dxa"/>
            <w:right w:w="108" w:type="dxa"/>
          </w:tblCellMar>
        </w:tblPrEx>
        <w:trPr>
          <w:trHeight w:val="48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2674CC8C">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序号</w:t>
            </w:r>
          </w:p>
        </w:tc>
        <w:tc>
          <w:tcPr>
            <w:tcW w:w="1001" w:type="dxa"/>
            <w:tcBorders>
              <w:top w:val="single" w:color="000000" w:sz="4" w:space="0"/>
              <w:left w:val="single" w:color="000000" w:sz="4" w:space="0"/>
              <w:bottom w:val="single" w:color="000000" w:sz="4" w:space="0"/>
              <w:right w:val="single" w:color="000000" w:sz="4" w:space="0"/>
            </w:tcBorders>
            <w:vAlign w:val="center"/>
          </w:tcPr>
          <w:p w14:paraId="5F5845AB">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金融机构名称</w:t>
            </w:r>
          </w:p>
        </w:tc>
        <w:tc>
          <w:tcPr>
            <w:tcW w:w="1292" w:type="dxa"/>
            <w:tcBorders>
              <w:top w:val="single" w:color="000000" w:sz="4" w:space="0"/>
              <w:left w:val="single" w:color="000000" w:sz="4" w:space="0"/>
              <w:bottom w:val="single" w:color="000000" w:sz="4" w:space="0"/>
              <w:right w:val="single" w:color="000000" w:sz="4" w:space="0"/>
            </w:tcBorders>
            <w:vAlign w:val="center"/>
          </w:tcPr>
          <w:p w14:paraId="36FE977C">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参考利率及额度</w:t>
            </w:r>
          </w:p>
        </w:tc>
        <w:tc>
          <w:tcPr>
            <w:tcW w:w="964" w:type="dxa"/>
            <w:tcBorders>
              <w:top w:val="single" w:color="000000" w:sz="4" w:space="0"/>
              <w:left w:val="single" w:color="000000" w:sz="4" w:space="0"/>
              <w:bottom w:val="single" w:color="000000" w:sz="4" w:space="0"/>
              <w:right w:val="single" w:color="000000" w:sz="4" w:space="0"/>
            </w:tcBorders>
            <w:vAlign w:val="center"/>
          </w:tcPr>
          <w:p w14:paraId="0A8E016C">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现阶段面向范围</w:t>
            </w:r>
          </w:p>
        </w:tc>
        <w:tc>
          <w:tcPr>
            <w:tcW w:w="3384" w:type="dxa"/>
            <w:tcBorders>
              <w:top w:val="single" w:color="000000" w:sz="4" w:space="0"/>
              <w:left w:val="single" w:color="000000" w:sz="4" w:space="0"/>
              <w:bottom w:val="single" w:color="000000" w:sz="4" w:space="0"/>
              <w:right w:val="single" w:color="000000" w:sz="4" w:space="0"/>
            </w:tcBorders>
            <w:vAlign w:val="center"/>
          </w:tcPr>
          <w:p w14:paraId="0033A88B">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申请条件</w:t>
            </w:r>
          </w:p>
        </w:tc>
        <w:tc>
          <w:tcPr>
            <w:tcW w:w="1386" w:type="dxa"/>
            <w:tcBorders>
              <w:top w:val="single" w:color="000000" w:sz="4" w:space="0"/>
              <w:left w:val="single" w:color="000000" w:sz="4" w:space="0"/>
              <w:bottom w:val="single" w:color="000000" w:sz="4" w:space="0"/>
              <w:right w:val="single" w:color="000000" w:sz="4" w:space="0"/>
            </w:tcBorders>
            <w:vAlign w:val="center"/>
          </w:tcPr>
          <w:p w14:paraId="6D46EEB2">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咨询电话</w:t>
            </w:r>
          </w:p>
        </w:tc>
      </w:tr>
      <w:tr w14:paraId="62A2DF18">
        <w:tblPrEx>
          <w:tblCellMar>
            <w:top w:w="0" w:type="dxa"/>
            <w:left w:w="108" w:type="dxa"/>
            <w:bottom w:w="0" w:type="dxa"/>
            <w:right w:w="108" w:type="dxa"/>
          </w:tblCellMar>
        </w:tblPrEx>
        <w:trPr>
          <w:trHeight w:val="312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4B4714D9">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1</w:t>
            </w:r>
          </w:p>
        </w:tc>
        <w:tc>
          <w:tcPr>
            <w:tcW w:w="1001" w:type="dxa"/>
            <w:tcBorders>
              <w:top w:val="single" w:color="000000" w:sz="4" w:space="0"/>
              <w:left w:val="single" w:color="000000" w:sz="4" w:space="0"/>
              <w:bottom w:val="single" w:color="000000" w:sz="4" w:space="0"/>
              <w:right w:val="single" w:color="000000" w:sz="4" w:space="0"/>
            </w:tcBorders>
            <w:vAlign w:val="center"/>
          </w:tcPr>
          <w:p w14:paraId="56BAC664">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中国银行</w:t>
            </w:r>
          </w:p>
        </w:tc>
        <w:tc>
          <w:tcPr>
            <w:tcW w:w="1292" w:type="dxa"/>
            <w:tcBorders>
              <w:top w:val="single" w:color="000000" w:sz="4" w:space="0"/>
              <w:left w:val="single" w:color="000000" w:sz="4" w:space="0"/>
              <w:bottom w:val="single" w:color="000000" w:sz="4" w:space="0"/>
              <w:right w:val="single" w:color="000000" w:sz="4" w:space="0"/>
            </w:tcBorders>
            <w:vAlign w:val="bottom"/>
          </w:tcPr>
          <w:p w14:paraId="3CDE85A1">
            <w:pPr>
              <w:widowControl/>
              <w:textAlignment w:val="center"/>
              <w:rPr>
                <w:rFonts w:ascii="宋体" w:hAnsi="宋体" w:cs="宋体"/>
                <w:color w:val="000000"/>
                <w:kern w:val="0"/>
                <w:sz w:val="19"/>
                <w:szCs w:val="19"/>
              </w:rPr>
            </w:pPr>
            <w:r>
              <w:rPr>
                <w:rFonts w:hint="eastAsia" w:ascii="宋体" w:hAnsi="宋体" w:cs="宋体"/>
                <w:color w:val="000000"/>
                <w:kern w:val="0"/>
                <w:sz w:val="19"/>
                <w:szCs w:val="19"/>
              </w:rPr>
              <w:t>参考利率：</w:t>
            </w:r>
          </w:p>
          <w:p w14:paraId="5501E133">
            <w:pPr>
              <w:widowControl/>
              <w:textAlignment w:val="center"/>
              <w:rPr>
                <w:rFonts w:ascii="宋体" w:hAnsi="宋体" w:cs="宋体"/>
                <w:color w:val="000000"/>
                <w:kern w:val="0"/>
                <w:sz w:val="19"/>
                <w:szCs w:val="19"/>
              </w:rPr>
            </w:pPr>
            <w:r>
              <w:rPr>
                <w:rFonts w:hint="eastAsia" w:ascii="宋体" w:hAnsi="宋体" w:cs="宋体"/>
                <w:color w:val="000000"/>
                <w:kern w:val="0"/>
                <w:sz w:val="19"/>
                <w:szCs w:val="19"/>
              </w:rPr>
              <w:t>根据当期lpr进行综合核定，原则上不3.85%</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融资额度：</w:t>
            </w:r>
          </w:p>
          <w:p w14:paraId="4B2A5DF0">
            <w:pPr>
              <w:widowControl/>
              <w:textAlignment w:val="center"/>
              <w:rPr>
                <w:rFonts w:ascii="宋体" w:hAnsi="宋体" w:cs="宋体"/>
                <w:color w:val="000000"/>
                <w:sz w:val="19"/>
                <w:szCs w:val="19"/>
              </w:rPr>
            </w:pPr>
            <w:r>
              <w:rPr>
                <w:rFonts w:hint="eastAsia" w:ascii="宋体" w:hAnsi="宋体" w:cs="宋体"/>
                <w:color w:val="000000"/>
                <w:kern w:val="0"/>
                <w:sz w:val="19"/>
                <w:szCs w:val="19"/>
              </w:rPr>
              <w:t>小微企业不超过1000万元,大中型企业具体以政府采购金额为测算依据，无金额限制</w:t>
            </w:r>
          </w:p>
        </w:tc>
        <w:tc>
          <w:tcPr>
            <w:tcW w:w="964" w:type="dxa"/>
            <w:tcBorders>
              <w:top w:val="single" w:color="000000" w:sz="4" w:space="0"/>
              <w:left w:val="single" w:color="000000" w:sz="4" w:space="0"/>
              <w:bottom w:val="single" w:color="000000" w:sz="4" w:space="0"/>
              <w:right w:val="single" w:color="000000" w:sz="4" w:space="0"/>
            </w:tcBorders>
            <w:vAlign w:val="center"/>
          </w:tcPr>
          <w:p w14:paraId="63C81658">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小微企业</w:t>
            </w:r>
          </w:p>
        </w:tc>
        <w:tc>
          <w:tcPr>
            <w:tcW w:w="3384" w:type="dxa"/>
            <w:tcBorders>
              <w:top w:val="single" w:color="000000" w:sz="4" w:space="0"/>
              <w:left w:val="single" w:color="000000" w:sz="4" w:space="0"/>
              <w:bottom w:val="single" w:color="000000" w:sz="4" w:space="0"/>
              <w:right w:val="single" w:color="000000" w:sz="4" w:space="0"/>
            </w:tcBorders>
            <w:vAlign w:val="center"/>
          </w:tcPr>
          <w:p w14:paraId="6AD7C9F8">
            <w:pPr>
              <w:widowControl/>
              <w:jc w:val="left"/>
              <w:textAlignment w:val="center"/>
              <w:rPr>
                <w:rFonts w:ascii="宋体" w:hAnsi="宋体" w:cs="宋体"/>
                <w:color w:val="000000"/>
                <w:sz w:val="19"/>
                <w:szCs w:val="19"/>
              </w:rPr>
            </w:pPr>
            <w:r>
              <w:rPr>
                <w:rFonts w:hint="eastAsia" w:ascii="宋体" w:hAnsi="宋体" w:cs="宋体"/>
                <w:color w:val="000000"/>
                <w:kern w:val="0"/>
                <w:sz w:val="19"/>
                <w:szCs w:val="19"/>
              </w:rPr>
              <w:t>1、在政府采购中无不良履约记录；</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2、企业及其实际控制人、法定代表人、受益所有人等关联人员不存在涉及洗钱、恐怖融资、金融诈骗、偷逃税、侵犯知识产权等违法犯罪行为或违反制裁规定的行为；</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3、政府采购的参与主体、内容、程序、实施和管理机制及相关合同应符合国务院、财政部、银保监会等相关部门对于政府债务、融资平台、政府采购、政府预算管理等相关法律法规要求。</w:t>
            </w:r>
          </w:p>
        </w:tc>
        <w:tc>
          <w:tcPr>
            <w:tcW w:w="1386" w:type="dxa"/>
            <w:tcBorders>
              <w:top w:val="single" w:color="000000" w:sz="4" w:space="0"/>
              <w:left w:val="single" w:color="000000" w:sz="4" w:space="0"/>
              <w:bottom w:val="single" w:color="000000" w:sz="4" w:space="0"/>
              <w:right w:val="single" w:color="000000" w:sz="4" w:space="0"/>
            </w:tcBorders>
            <w:vAlign w:val="center"/>
          </w:tcPr>
          <w:p w14:paraId="41C53CE2">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 xml:space="preserve">27106030 </w:t>
            </w:r>
          </w:p>
          <w:p w14:paraId="03E1AE65">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吴楠</w:t>
            </w:r>
          </w:p>
        </w:tc>
      </w:tr>
      <w:tr w14:paraId="3AE57E42">
        <w:tblPrEx>
          <w:tblCellMar>
            <w:top w:w="0" w:type="dxa"/>
            <w:left w:w="108" w:type="dxa"/>
            <w:bottom w:w="0" w:type="dxa"/>
            <w:right w:w="108" w:type="dxa"/>
          </w:tblCellMar>
        </w:tblPrEx>
        <w:trPr>
          <w:trHeight w:val="144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1467CB95">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2</w:t>
            </w:r>
          </w:p>
        </w:tc>
        <w:tc>
          <w:tcPr>
            <w:tcW w:w="1001" w:type="dxa"/>
            <w:tcBorders>
              <w:top w:val="single" w:color="000000" w:sz="4" w:space="0"/>
              <w:left w:val="single" w:color="000000" w:sz="4" w:space="0"/>
              <w:bottom w:val="single" w:color="000000" w:sz="4" w:space="0"/>
              <w:right w:val="single" w:color="000000" w:sz="4" w:space="0"/>
            </w:tcBorders>
            <w:vAlign w:val="center"/>
          </w:tcPr>
          <w:p w14:paraId="4E126D57">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邮储银行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65203DE7">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参考利率：</w:t>
            </w:r>
          </w:p>
          <w:p w14:paraId="157BD9E9">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约4.95%</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融资额度：</w:t>
            </w:r>
          </w:p>
          <w:p w14:paraId="104D3E4E">
            <w:pPr>
              <w:widowControl/>
              <w:jc w:val="left"/>
              <w:textAlignment w:val="center"/>
              <w:rPr>
                <w:rFonts w:ascii="宋体" w:hAnsi="宋体" w:cs="宋体"/>
                <w:color w:val="000000"/>
                <w:sz w:val="19"/>
                <w:szCs w:val="19"/>
              </w:rPr>
            </w:pPr>
            <w:r>
              <w:rPr>
                <w:rFonts w:hint="eastAsia" w:ascii="宋体" w:hAnsi="宋体" w:cs="宋体"/>
                <w:color w:val="000000"/>
                <w:kern w:val="0"/>
                <w:sz w:val="19"/>
                <w:szCs w:val="19"/>
              </w:rPr>
              <w:t>不超过200万元</w:t>
            </w:r>
          </w:p>
        </w:tc>
        <w:tc>
          <w:tcPr>
            <w:tcW w:w="964" w:type="dxa"/>
            <w:tcBorders>
              <w:top w:val="single" w:color="000000" w:sz="4" w:space="0"/>
              <w:left w:val="single" w:color="000000" w:sz="4" w:space="0"/>
              <w:bottom w:val="single" w:color="000000" w:sz="4" w:space="0"/>
              <w:right w:val="single" w:color="000000" w:sz="4" w:space="0"/>
            </w:tcBorders>
            <w:vAlign w:val="center"/>
          </w:tcPr>
          <w:p w14:paraId="51668142">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小微企业</w:t>
            </w:r>
          </w:p>
        </w:tc>
        <w:tc>
          <w:tcPr>
            <w:tcW w:w="3384" w:type="dxa"/>
            <w:tcBorders>
              <w:top w:val="single" w:color="000000" w:sz="4" w:space="0"/>
              <w:left w:val="single" w:color="000000" w:sz="4" w:space="0"/>
              <w:bottom w:val="single" w:color="000000" w:sz="4" w:space="0"/>
              <w:right w:val="single" w:color="000000" w:sz="4" w:space="0"/>
            </w:tcBorders>
            <w:vAlign w:val="center"/>
          </w:tcPr>
          <w:p w14:paraId="7511675F">
            <w:pPr>
              <w:widowControl/>
              <w:jc w:val="left"/>
              <w:textAlignment w:val="center"/>
              <w:rPr>
                <w:rFonts w:ascii="宋体" w:hAnsi="宋体" w:cs="宋体"/>
                <w:color w:val="000000"/>
                <w:sz w:val="19"/>
                <w:szCs w:val="19"/>
              </w:rPr>
            </w:pPr>
            <w:r>
              <w:rPr>
                <w:rFonts w:hint="eastAsia" w:ascii="宋体" w:hAnsi="宋体" w:cs="宋体"/>
                <w:color w:val="000000"/>
                <w:kern w:val="0"/>
                <w:sz w:val="19"/>
                <w:szCs w:val="19"/>
              </w:rPr>
              <w:t>企业经营满一年以上，有一年以上政府中标历史记录，当前有生效政府中标订单，企业及法定代表人征信记录良好</w:t>
            </w:r>
          </w:p>
        </w:tc>
        <w:tc>
          <w:tcPr>
            <w:tcW w:w="1386" w:type="dxa"/>
            <w:tcBorders>
              <w:top w:val="single" w:color="000000" w:sz="4" w:space="0"/>
              <w:left w:val="single" w:color="000000" w:sz="4" w:space="0"/>
              <w:bottom w:val="single" w:color="000000" w:sz="4" w:space="0"/>
              <w:right w:val="single" w:color="000000" w:sz="4" w:space="0"/>
            </w:tcBorders>
            <w:vAlign w:val="center"/>
          </w:tcPr>
          <w:p w14:paraId="37841AD2">
            <w:pPr>
              <w:widowControl/>
              <w:jc w:val="center"/>
              <w:textAlignment w:val="center"/>
              <w:rPr>
                <w:rFonts w:ascii="宋体" w:hAnsi="宋体" w:cs="宋体"/>
                <w:color w:val="000000"/>
                <w:kern w:val="0"/>
                <w:sz w:val="19"/>
                <w:szCs w:val="19"/>
              </w:rPr>
            </w:pPr>
            <w:r>
              <w:rPr>
                <w:rFonts w:ascii="宋体" w:hAnsi="宋体" w:cs="宋体"/>
                <w:color w:val="000000"/>
                <w:kern w:val="0"/>
                <w:sz w:val="19"/>
                <w:szCs w:val="19"/>
              </w:rPr>
              <w:t>13820988723</w:t>
            </w:r>
            <w:r>
              <w:rPr>
                <w:rFonts w:hint="eastAsia" w:ascii="宋体" w:hAnsi="宋体" w:cs="宋体"/>
                <w:color w:val="000000"/>
                <w:kern w:val="0"/>
                <w:sz w:val="19"/>
                <w:szCs w:val="19"/>
              </w:rPr>
              <w:t>张日超</w:t>
            </w:r>
          </w:p>
        </w:tc>
      </w:tr>
      <w:tr w14:paraId="513BE254">
        <w:tblPrEx>
          <w:tblCellMar>
            <w:top w:w="0" w:type="dxa"/>
            <w:left w:w="108" w:type="dxa"/>
            <w:bottom w:w="0" w:type="dxa"/>
            <w:right w:w="108" w:type="dxa"/>
          </w:tblCellMar>
        </w:tblPrEx>
        <w:trPr>
          <w:trHeight w:val="9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38C24FBA">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3</w:t>
            </w:r>
          </w:p>
        </w:tc>
        <w:tc>
          <w:tcPr>
            <w:tcW w:w="1001" w:type="dxa"/>
            <w:tcBorders>
              <w:top w:val="single" w:color="000000" w:sz="4" w:space="0"/>
              <w:left w:val="single" w:color="000000" w:sz="4" w:space="0"/>
              <w:bottom w:val="single" w:color="000000" w:sz="4" w:space="0"/>
              <w:right w:val="single" w:color="000000" w:sz="4" w:space="0"/>
            </w:tcBorders>
            <w:vAlign w:val="center"/>
          </w:tcPr>
          <w:p w14:paraId="3FBE9FAB">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光大银行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24A0B2E9">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参考利率：</w:t>
            </w:r>
          </w:p>
          <w:p w14:paraId="1E42A09F">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约4%</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融资额度：</w:t>
            </w:r>
          </w:p>
          <w:p w14:paraId="18872FF0">
            <w:pPr>
              <w:widowControl/>
              <w:jc w:val="left"/>
              <w:textAlignment w:val="center"/>
              <w:rPr>
                <w:rFonts w:ascii="宋体" w:hAnsi="宋体" w:cs="宋体"/>
                <w:color w:val="000000"/>
                <w:sz w:val="19"/>
                <w:szCs w:val="19"/>
              </w:rPr>
            </w:pPr>
            <w:r>
              <w:rPr>
                <w:rFonts w:hint="eastAsia" w:ascii="宋体" w:hAnsi="宋体" w:cs="宋体"/>
                <w:color w:val="000000"/>
                <w:kern w:val="0"/>
                <w:sz w:val="19"/>
                <w:szCs w:val="19"/>
              </w:rPr>
              <w:t>不超过1000万</w:t>
            </w:r>
          </w:p>
        </w:tc>
        <w:tc>
          <w:tcPr>
            <w:tcW w:w="964" w:type="dxa"/>
            <w:tcBorders>
              <w:top w:val="single" w:color="000000" w:sz="4" w:space="0"/>
              <w:left w:val="single" w:color="000000" w:sz="4" w:space="0"/>
              <w:bottom w:val="single" w:color="000000" w:sz="4" w:space="0"/>
              <w:right w:val="single" w:color="000000" w:sz="4" w:space="0"/>
            </w:tcBorders>
            <w:vAlign w:val="center"/>
          </w:tcPr>
          <w:p w14:paraId="7E7DDA19">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小微企业</w:t>
            </w:r>
          </w:p>
        </w:tc>
        <w:tc>
          <w:tcPr>
            <w:tcW w:w="3384" w:type="dxa"/>
            <w:tcBorders>
              <w:top w:val="single" w:color="000000" w:sz="4" w:space="0"/>
              <w:left w:val="single" w:color="000000" w:sz="4" w:space="0"/>
              <w:bottom w:val="single" w:color="000000" w:sz="4" w:space="0"/>
              <w:right w:val="single" w:color="000000" w:sz="4" w:space="0"/>
            </w:tcBorders>
            <w:vAlign w:val="center"/>
          </w:tcPr>
          <w:p w14:paraId="35238A46">
            <w:pPr>
              <w:widowControl/>
              <w:jc w:val="left"/>
              <w:textAlignment w:val="center"/>
              <w:rPr>
                <w:rFonts w:ascii="宋体" w:hAnsi="宋体" w:cs="宋体"/>
                <w:color w:val="000000"/>
                <w:sz w:val="19"/>
                <w:szCs w:val="19"/>
              </w:rPr>
            </w:pPr>
            <w:r>
              <w:rPr>
                <w:rFonts w:hint="eastAsia" w:ascii="宋体" w:hAnsi="宋体" w:cs="宋体"/>
                <w:color w:val="000000"/>
                <w:kern w:val="0"/>
                <w:sz w:val="19"/>
                <w:szCs w:val="19"/>
              </w:rPr>
              <w:t>1.具有独立承担民事责任的能力，有固定经营场所，将我行账户作为政府采购合同唯一回款账户。</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2.企业成立1年以上，且实际控制人具有3年以上的实际行业经验，具有良好的纳税记录、工商登记记录；</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3.企业具有履行合同所必须的设备和服务能力；</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4.生产经营符合国家法律法规，产业政策和环境保护要求，符合我行信贷政策；</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5.人行征信信息查询系统查询显示借款人、实际控制人无重大不良记录，政府采购履约无不良记录。</w:t>
            </w:r>
          </w:p>
        </w:tc>
        <w:tc>
          <w:tcPr>
            <w:tcW w:w="1386" w:type="dxa"/>
            <w:tcBorders>
              <w:top w:val="single" w:color="000000" w:sz="4" w:space="0"/>
              <w:left w:val="single" w:color="000000" w:sz="4" w:space="0"/>
              <w:bottom w:val="single" w:color="000000" w:sz="4" w:space="0"/>
              <w:right w:val="single" w:color="000000" w:sz="4" w:space="0"/>
            </w:tcBorders>
            <w:vAlign w:val="center"/>
          </w:tcPr>
          <w:p w14:paraId="3779203E">
            <w:pPr>
              <w:widowControl/>
              <w:jc w:val="center"/>
              <w:textAlignment w:val="center"/>
              <w:rPr>
                <w:rFonts w:ascii="宋体" w:hAnsi="宋体" w:cs="宋体"/>
                <w:color w:val="000000"/>
                <w:kern w:val="0"/>
                <w:sz w:val="19"/>
                <w:szCs w:val="19"/>
              </w:rPr>
            </w:pPr>
            <w:r>
              <w:rPr>
                <w:rFonts w:ascii="宋体" w:hAnsi="宋体" w:cs="宋体"/>
                <w:color w:val="000000"/>
                <w:kern w:val="0"/>
                <w:sz w:val="19"/>
                <w:szCs w:val="19"/>
              </w:rPr>
              <w:t xml:space="preserve">18722110192谢凝 </w:t>
            </w:r>
            <w:r>
              <w:rPr>
                <w:rFonts w:hint="eastAsia" w:ascii="宋体" w:hAnsi="宋体" w:cs="宋体"/>
                <w:color w:val="000000"/>
                <w:kern w:val="0"/>
                <w:sz w:val="19"/>
                <w:szCs w:val="19"/>
              </w:rPr>
              <w:t>18622858578</w:t>
            </w:r>
          </w:p>
          <w:p w14:paraId="04576F34">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马嵘</w:t>
            </w:r>
          </w:p>
        </w:tc>
      </w:tr>
      <w:tr w14:paraId="46CF8087">
        <w:tblPrEx>
          <w:tblCellMar>
            <w:top w:w="0" w:type="dxa"/>
            <w:left w:w="108" w:type="dxa"/>
            <w:bottom w:w="0" w:type="dxa"/>
            <w:right w:w="108" w:type="dxa"/>
          </w:tblCellMar>
        </w:tblPrEx>
        <w:trPr>
          <w:trHeight w:val="72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628DFA46">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4</w:t>
            </w:r>
          </w:p>
        </w:tc>
        <w:tc>
          <w:tcPr>
            <w:tcW w:w="1001" w:type="dxa"/>
            <w:tcBorders>
              <w:top w:val="single" w:color="000000" w:sz="4" w:space="0"/>
              <w:left w:val="single" w:color="000000" w:sz="4" w:space="0"/>
              <w:bottom w:val="single" w:color="000000" w:sz="4" w:space="0"/>
              <w:right w:val="single" w:color="000000" w:sz="4" w:space="0"/>
            </w:tcBorders>
            <w:vAlign w:val="center"/>
          </w:tcPr>
          <w:p w14:paraId="0B833CED">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浦发银行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243C209C">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参考利率：</w:t>
            </w:r>
          </w:p>
          <w:p w14:paraId="78B21DC1">
            <w:pPr>
              <w:widowControl/>
              <w:jc w:val="left"/>
              <w:textAlignment w:val="center"/>
              <w:rPr>
                <w:rFonts w:ascii="宋体" w:hAnsi="宋体" w:cs="宋体"/>
                <w:color w:val="000000"/>
                <w:sz w:val="19"/>
                <w:szCs w:val="19"/>
              </w:rPr>
            </w:pPr>
            <w:r>
              <w:rPr>
                <w:rFonts w:hint="eastAsia" w:ascii="宋体" w:hAnsi="宋体" w:cs="宋体"/>
                <w:color w:val="000000"/>
                <w:kern w:val="0"/>
                <w:sz w:val="19"/>
                <w:szCs w:val="19"/>
              </w:rPr>
              <w:t>约3.8%</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融资额度：不超过500万</w:t>
            </w:r>
          </w:p>
        </w:tc>
        <w:tc>
          <w:tcPr>
            <w:tcW w:w="964" w:type="dxa"/>
            <w:tcBorders>
              <w:top w:val="single" w:color="000000" w:sz="4" w:space="0"/>
              <w:left w:val="single" w:color="000000" w:sz="4" w:space="0"/>
              <w:bottom w:val="single" w:color="000000" w:sz="4" w:space="0"/>
              <w:right w:val="single" w:color="000000" w:sz="4" w:space="0"/>
            </w:tcBorders>
            <w:vAlign w:val="center"/>
          </w:tcPr>
          <w:p w14:paraId="0EBC0387">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中小微企业</w:t>
            </w:r>
          </w:p>
        </w:tc>
        <w:tc>
          <w:tcPr>
            <w:tcW w:w="3384" w:type="dxa"/>
            <w:tcBorders>
              <w:top w:val="single" w:color="000000" w:sz="4" w:space="0"/>
              <w:left w:val="single" w:color="000000" w:sz="4" w:space="0"/>
              <w:bottom w:val="single" w:color="000000" w:sz="4" w:space="0"/>
              <w:right w:val="single" w:color="000000" w:sz="4" w:space="0"/>
            </w:tcBorders>
            <w:vAlign w:val="center"/>
          </w:tcPr>
          <w:p w14:paraId="0B2BFFEE">
            <w:pPr>
              <w:widowControl/>
              <w:jc w:val="left"/>
              <w:textAlignment w:val="center"/>
              <w:rPr>
                <w:rFonts w:ascii="宋体" w:hAnsi="宋体" w:cs="宋体"/>
                <w:color w:val="000000"/>
                <w:sz w:val="19"/>
                <w:szCs w:val="19"/>
              </w:rPr>
            </w:pPr>
            <w:r>
              <w:rPr>
                <w:rFonts w:hint="eastAsia" w:ascii="宋体" w:hAnsi="宋体" w:cs="宋体"/>
                <w:color w:val="000000"/>
                <w:kern w:val="0"/>
                <w:sz w:val="19"/>
                <w:szCs w:val="19"/>
              </w:rPr>
              <w:t>1、申请人不得有失信记录；</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2、订单对应的政府采购部门在天津市，中标企业注册地在天津。</w:t>
            </w:r>
          </w:p>
        </w:tc>
        <w:tc>
          <w:tcPr>
            <w:tcW w:w="1386" w:type="dxa"/>
            <w:tcBorders>
              <w:top w:val="single" w:color="000000" w:sz="4" w:space="0"/>
              <w:left w:val="single" w:color="000000" w:sz="4" w:space="0"/>
              <w:bottom w:val="single" w:color="000000" w:sz="4" w:space="0"/>
              <w:right w:val="single" w:color="000000" w:sz="4" w:space="0"/>
            </w:tcBorders>
            <w:vAlign w:val="center"/>
          </w:tcPr>
          <w:p w14:paraId="51BB6789">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13612152218</w:t>
            </w:r>
          </w:p>
          <w:p w14:paraId="7AE0FB55">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刘扬</w:t>
            </w:r>
          </w:p>
        </w:tc>
      </w:tr>
      <w:tr w14:paraId="464D674C">
        <w:tblPrEx>
          <w:tblCellMar>
            <w:top w:w="0" w:type="dxa"/>
            <w:left w:w="108" w:type="dxa"/>
            <w:bottom w:w="0" w:type="dxa"/>
            <w:right w:w="108" w:type="dxa"/>
          </w:tblCellMar>
        </w:tblPrEx>
        <w:trPr>
          <w:trHeight w:val="192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14B851CC">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5</w:t>
            </w:r>
          </w:p>
        </w:tc>
        <w:tc>
          <w:tcPr>
            <w:tcW w:w="1001" w:type="dxa"/>
            <w:tcBorders>
              <w:top w:val="single" w:color="000000" w:sz="4" w:space="0"/>
              <w:left w:val="single" w:color="000000" w:sz="4" w:space="0"/>
              <w:bottom w:val="single" w:color="000000" w:sz="4" w:space="0"/>
              <w:right w:val="single" w:color="000000" w:sz="4" w:space="0"/>
            </w:tcBorders>
            <w:vAlign w:val="center"/>
          </w:tcPr>
          <w:p w14:paraId="6F1CE979">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齐鲁银行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4A5677AD">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参考利率：</w:t>
            </w:r>
          </w:p>
          <w:p w14:paraId="60A11554">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4.50%起</w:t>
            </w:r>
          </w:p>
          <w:p w14:paraId="55FEB20E">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融资额度：</w:t>
            </w:r>
          </w:p>
          <w:p w14:paraId="09C89EF6">
            <w:pPr>
              <w:widowControl/>
              <w:jc w:val="left"/>
              <w:textAlignment w:val="center"/>
              <w:rPr>
                <w:rFonts w:ascii="宋体" w:hAnsi="宋体" w:cs="宋体"/>
                <w:color w:val="000000"/>
                <w:sz w:val="19"/>
                <w:szCs w:val="19"/>
              </w:rPr>
            </w:pPr>
            <w:r>
              <w:rPr>
                <w:rFonts w:hint="eastAsia" w:ascii="宋体" w:hAnsi="宋体" w:cs="宋体"/>
                <w:color w:val="000000"/>
                <w:kern w:val="0"/>
                <w:sz w:val="19"/>
                <w:szCs w:val="19"/>
              </w:rPr>
              <w:t>不超过1000万</w:t>
            </w:r>
          </w:p>
        </w:tc>
        <w:tc>
          <w:tcPr>
            <w:tcW w:w="964" w:type="dxa"/>
            <w:tcBorders>
              <w:top w:val="single" w:color="000000" w:sz="4" w:space="0"/>
              <w:left w:val="single" w:color="000000" w:sz="4" w:space="0"/>
              <w:bottom w:val="single" w:color="000000" w:sz="4" w:space="0"/>
              <w:right w:val="single" w:color="000000" w:sz="4" w:space="0"/>
            </w:tcBorders>
            <w:vAlign w:val="center"/>
          </w:tcPr>
          <w:p w14:paraId="51C5850F">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大中小微企业</w:t>
            </w:r>
          </w:p>
        </w:tc>
        <w:tc>
          <w:tcPr>
            <w:tcW w:w="3384" w:type="dxa"/>
            <w:tcBorders>
              <w:top w:val="single" w:color="000000" w:sz="4" w:space="0"/>
              <w:left w:val="single" w:color="000000" w:sz="4" w:space="0"/>
              <w:bottom w:val="single" w:color="000000" w:sz="4" w:space="0"/>
              <w:right w:val="single" w:color="000000" w:sz="4" w:space="0"/>
            </w:tcBorders>
            <w:vAlign w:val="center"/>
          </w:tcPr>
          <w:p w14:paraId="32A56DD6">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1、获得政府采购订单，中标信息可在公开网站查询。如无法查询，可出示国家扶持政策内不公开中标信息文件。</w:t>
            </w:r>
          </w:p>
          <w:p w14:paraId="62260E65">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2、采购合同回款账户为齐鲁银行，并做质押登记。</w:t>
            </w:r>
          </w:p>
          <w:p w14:paraId="5C358064">
            <w:pPr>
              <w:widowControl/>
              <w:jc w:val="left"/>
              <w:textAlignment w:val="center"/>
              <w:rPr>
                <w:rFonts w:ascii="宋体" w:hAnsi="宋体" w:cs="宋体"/>
                <w:color w:val="000000"/>
                <w:sz w:val="19"/>
                <w:szCs w:val="19"/>
              </w:rPr>
            </w:pPr>
            <w:r>
              <w:rPr>
                <w:rFonts w:hint="eastAsia" w:ascii="宋体" w:hAnsi="宋体" w:cs="宋体"/>
                <w:color w:val="000000"/>
                <w:kern w:val="0"/>
                <w:sz w:val="19"/>
                <w:szCs w:val="19"/>
              </w:rPr>
              <w:t>3、符合我行客户准入要求（同上一条）。</w:t>
            </w:r>
          </w:p>
        </w:tc>
        <w:tc>
          <w:tcPr>
            <w:tcW w:w="1386" w:type="dxa"/>
            <w:tcBorders>
              <w:top w:val="single" w:color="000000" w:sz="4" w:space="0"/>
              <w:left w:val="single" w:color="000000" w:sz="4" w:space="0"/>
              <w:bottom w:val="single" w:color="000000" w:sz="4" w:space="0"/>
              <w:right w:val="single" w:color="000000" w:sz="4" w:space="0"/>
            </w:tcBorders>
            <w:vAlign w:val="center"/>
          </w:tcPr>
          <w:p w14:paraId="255DFFF4">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022-23271885</w:t>
            </w:r>
          </w:p>
          <w:p w14:paraId="5C9A0CB4">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朱怡璇</w:t>
            </w:r>
          </w:p>
        </w:tc>
      </w:tr>
      <w:tr w14:paraId="4C0FEE30">
        <w:tblPrEx>
          <w:tblCellMar>
            <w:top w:w="0" w:type="dxa"/>
            <w:left w:w="108" w:type="dxa"/>
            <w:bottom w:w="0" w:type="dxa"/>
            <w:right w:w="108" w:type="dxa"/>
          </w:tblCellMar>
        </w:tblPrEx>
        <w:trPr>
          <w:trHeight w:val="144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6C46DE2E">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6</w:t>
            </w:r>
          </w:p>
        </w:tc>
        <w:tc>
          <w:tcPr>
            <w:tcW w:w="1001" w:type="dxa"/>
            <w:tcBorders>
              <w:top w:val="single" w:color="000000" w:sz="4" w:space="0"/>
              <w:left w:val="single" w:color="000000" w:sz="4" w:space="0"/>
              <w:bottom w:val="single" w:color="000000" w:sz="4" w:space="0"/>
              <w:right w:val="single" w:color="000000" w:sz="4" w:space="0"/>
            </w:tcBorders>
            <w:vAlign w:val="center"/>
          </w:tcPr>
          <w:p w14:paraId="5B07A212">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天津银行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1B594FDE">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参考利率：</w:t>
            </w:r>
          </w:p>
          <w:p w14:paraId="748DB640">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不低于3.85%</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融资额度：</w:t>
            </w:r>
          </w:p>
          <w:p w14:paraId="1565EAB9">
            <w:pPr>
              <w:widowControl/>
              <w:jc w:val="left"/>
              <w:textAlignment w:val="center"/>
              <w:rPr>
                <w:rFonts w:ascii="宋体" w:hAnsi="宋体" w:cs="宋体"/>
                <w:color w:val="000000"/>
                <w:sz w:val="19"/>
                <w:szCs w:val="19"/>
              </w:rPr>
            </w:pPr>
            <w:r>
              <w:rPr>
                <w:rFonts w:hint="eastAsia" w:ascii="宋体" w:hAnsi="宋体" w:cs="宋体"/>
                <w:color w:val="000000"/>
                <w:kern w:val="0"/>
                <w:sz w:val="19"/>
                <w:szCs w:val="19"/>
              </w:rPr>
              <w:t>不超过1000万</w:t>
            </w:r>
          </w:p>
        </w:tc>
        <w:tc>
          <w:tcPr>
            <w:tcW w:w="964" w:type="dxa"/>
            <w:tcBorders>
              <w:top w:val="single" w:color="000000" w:sz="4" w:space="0"/>
              <w:left w:val="single" w:color="000000" w:sz="4" w:space="0"/>
              <w:bottom w:val="single" w:color="000000" w:sz="4" w:space="0"/>
              <w:right w:val="single" w:color="000000" w:sz="4" w:space="0"/>
            </w:tcBorders>
            <w:vAlign w:val="center"/>
          </w:tcPr>
          <w:p w14:paraId="7AB94551">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中小微企业</w:t>
            </w:r>
          </w:p>
        </w:tc>
        <w:tc>
          <w:tcPr>
            <w:tcW w:w="3384" w:type="dxa"/>
            <w:tcBorders>
              <w:top w:val="single" w:color="000000" w:sz="4" w:space="0"/>
              <w:left w:val="single" w:color="000000" w:sz="4" w:space="0"/>
              <w:bottom w:val="single" w:color="000000" w:sz="4" w:space="0"/>
              <w:right w:val="single" w:color="000000" w:sz="4" w:space="0"/>
            </w:tcBorders>
            <w:vAlign w:val="center"/>
          </w:tcPr>
          <w:p w14:paraId="61A8FC08">
            <w:pPr>
              <w:widowControl/>
              <w:jc w:val="left"/>
              <w:textAlignment w:val="center"/>
              <w:rPr>
                <w:rFonts w:ascii="宋体" w:hAnsi="宋体" w:cs="宋体"/>
                <w:color w:val="000000"/>
                <w:sz w:val="19"/>
                <w:szCs w:val="19"/>
              </w:rPr>
            </w:pPr>
            <w:r>
              <w:rPr>
                <w:rFonts w:hint="eastAsia" w:ascii="宋体" w:hAnsi="宋体" w:cs="宋体"/>
                <w:color w:val="000000"/>
                <w:kern w:val="0"/>
                <w:sz w:val="19"/>
                <w:szCs w:val="19"/>
              </w:rPr>
              <w:t>1、连续从事政府采购活动一年以上，或主要股东从事政府采购活动两年以上，且交易及信用记录良好；</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2、持有政府采购中标通知书、签订政府采购合同等资料。</w:t>
            </w:r>
          </w:p>
        </w:tc>
        <w:tc>
          <w:tcPr>
            <w:tcW w:w="1386" w:type="dxa"/>
            <w:tcBorders>
              <w:top w:val="single" w:color="000000" w:sz="4" w:space="0"/>
              <w:left w:val="single" w:color="000000" w:sz="4" w:space="0"/>
              <w:bottom w:val="single" w:color="000000" w:sz="4" w:space="0"/>
              <w:right w:val="single" w:color="000000" w:sz="4" w:space="0"/>
            </w:tcBorders>
            <w:vAlign w:val="center"/>
          </w:tcPr>
          <w:p w14:paraId="6481C6AB">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28405397</w:t>
            </w:r>
          </w:p>
          <w:p w14:paraId="74299DC1">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王小一</w:t>
            </w:r>
          </w:p>
        </w:tc>
      </w:tr>
      <w:tr w14:paraId="79992046">
        <w:tblPrEx>
          <w:tblCellMar>
            <w:top w:w="0" w:type="dxa"/>
            <w:left w:w="108" w:type="dxa"/>
            <w:bottom w:w="0" w:type="dxa"/>
            <w:right w:w="108" w:type="dxa"/>
          </w:tblCellMar>
        </w:tblPrEx>
        <w:trPr>
          <w:trHeight w:val="216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1044B882">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7</w:t>
            </w:r>
          </w:p>
        </w:tc>
        <w:tc>
          <w:tcPr>
            <w:tcW w:w="1001" w:type="dxa"/>
            <w:tcBorders>
              <w:top w:val="single" w:color="000000" w:sz="4" w:space="0"/>
              <w:left w:val="single" w:color="000000" w:sz="4" w:space="0"/>
              <w:bottom w:val="single" w:color="000000" w:sz="4" w:space="0"/>
              <w:right w:val="single" w:color="000000" w:sz="4" w:space="0"/>
            </w:tcBorders>
            <w:vAlign w:val="center"/>
          </w:tcPr>
          <w:p w14:paraId="0316D5D3">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天津农商银行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59039FDA">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参考利率：</w:t>
            </w:r>
          </w:p>
          <w:p w14:paraId="106FAE30">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结合借款人经营规模、偿债能力、营运效率等因素合理确定</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融资额度：</w:t>
            </w:r>
          </w:p>
          <w:p w14:paraId="114CDAF5">
            <w:pPr>
              <w:widowControl/>
              <w:jc w:val="left"/>
              <w:textAlignment w:val="center"/>
              <w:rPr>
                <w:rFonts w:ascii="宋体" w:hAnsi="宋体" w:cs="宋体"/>
                <w:color w:val="000000"/>
                <w:sz w:val="19"/>
                <w:szCs w:val="19"/>
              </w:rPr>
            </w:pPr>
            <w:r>
              <w:rPr>
                <w:rFonts w:hint="eastAsia" w:ascii="宋体" w:hAnsi="宋体" w:cs="宋体"/>
                <w:color w:val="000000"/>
                <w:kern w:val="0"/>
                <w:sz w:val="19"/>
                <w:szCs w:val="19"/>
              </w:rPr>
              <w:t>不超过5000万</w:t>
            </w:r>
          </w:p>
        </w:tc>
        <w:tc>
          <w:tcPr>
            <w:tcW w:w="964" w:type="dxa"/>
            <w:tcBorders>
              <w:top w:val="single" w:color="000000" w:sz="4" w:space="0"/>
              <w:left w:val="single" w:color="000000" w:sz="4" w:space="0"/>
              <w:bottom w:val="single" w:color="000000" w:sz="4" w:space="0"/>
              <w:right w:val="single" w:color="000000" w:sz="4" w:space="0"/>
            </w:tcBorders>
            <w:vAlign w:val="center"/>
          </w:tcPr>
          <w:p w14:paraId="528587E6">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大中小微企业</w:t>
            </w:r>
          </w:p>
        </w:tc>
        <w:tc>
          <w:tcPr>
            <w:tcW w:w="3384" w:type="dxa"/>
            <w:tcBorders>
              <w:top w:val="single" w:color="000000" w:sz="4" w:space="0"/>
              <w:left w:val="single" w:color="000000" w:sz="4" w:space="0"/>
              <w:bottom w:val="single" w:color="000000" w:sz="4" w:space="0"/>
              <w:right w:val="single" w:color="000000" w:sz="4" w:space="0"/>
            </w:tcBorders>
            <w:vAlign w:val="center"/>
          </w:tcPr>
          <w:p w14:paraId="41CAEEF0">
            <w:pPr>
              <w:widowControl/>
              <w:jc w:val="left"/>
              <w:textAlignment w:val="center"/>
              <w:rPr>
                <w:rFonts w:ascii="宋体" w:hAnsi="宋体" w:cs="宋体"/>
                <w:color w:val="000000"/>
                <w:sz w:val="19"/>
                <w:szCs w:val="19"/>
              </w:rPr>
            </w:pPr>
            <w:r>
              <w:rPr>
                <w:rFonts w:hint="eastAsia" w:ascii="宋体" w:hAnsi="宋体" w:cs="宋体"/>
                <w:color w:val="000000"/>
                <w:kern w:val="0"/>
                <w:sz w:val="19"/>
                <w:szCs w:val="19"/>
              </w:rPr>
              <w:t>1、中标供应商财务状况良好，记录良好，有资质且具有1年(含)以上与天津市各类政府采购成功经验；</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2、生产经营符合国家政策；</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3、无违法、违约、不良信用记录，未发生过政府采购业务纠纷等；</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4、银行要求的其他条件。</w:t>
            </w:r>
          </w:p>
        </w:tc>
        <w:tc>
          <w:tcPr>
            <w:tcW w:w="1386" w:type="dxa"/>
            <w:tcBorders>
              <w:top w:val="single" w:color="000000" w:sz="4" w:space="0"/>
              <w:left w:val="single" w:color="000000" w:sz="4" w:space="0"/>
              <w:bottom w:val="single" w:color="000000" w:sz="4" w:space="0"/>
              <w:right w:val="single" w:color="000000" w:sz="4" w:space="0"/>
            </w:tcBorders>
            <w:vAlign w:val="center"/>
          </w:tcPr>
          <w:p w14:paraId="7034BA39">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022-83872249</w:t>
            </w:r>
          </w:p>
          <w:p w14:paraId="0CC6188F">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林向宇</w:t>
            </w:r>
          </w:p>
        </w:tc>
      </w:tr>
      <w:tr w14:paraId="05EF095B">
        <w:tblPrEx>
          <w:tblCellMar>
            <w:top w:w="0" w:type="dxa"/>
            <w:left w:w="108" w:type="dxa"/>
            <w:bottom w:w="0" w:type="dxa"/>
            <w:right w:w="108" w:type="dxa"/>
          </w:tblCellMar>
        </w:tblPrEx>
        <w:trPr>
          <w:trHeight w:val="96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5CA0B9FE">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8</w:t>
            </w:r>
          </w:p>
        </w:tc>
        <w:tc>
          <w:tcPr>
            <w:tcW w:w="1001" w:type="dxa"/>
            <w:tcBorders>
              <w:top w:val="single" w:color="000000" w:sz="4" w:space="0"/>
              <w:left w:val="single" w:color="000000" w:sz="4" w:space="0"/>
              <w:bottom w:val="single" w:color="000000" w:sz="4" w:space="0"/>
              <w:right w:val="single" w:color="000000" w:sz="4" w:space="0"/>
            </w:tcBorders>
            <w:vAlign w:val="center"/>
          </w:tcPr>
          <w:p w14:paraId="2D690A13">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天津滨海农商银行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0610CF7A">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参考利率：</w:t>
            </w:r>
          </w:p>
          <w:p w14:paraId="42C93834">
            <w:pPr>
              <w:widowControl/>
              <w:jc w:val="left"/>
              <w:textAlignment w:val="center"/>
              <w:rPr>
                <w:rFonts w:ascii="宋体" w:hAnsi="宋体" w:cs="宋体"/>
                <w:color w:val="000000"/>
                <w:sz w:val="19"/>
                <w:szCs w:val="19"/>
              </w:rPr>
            </w:pPr>
            <w:r>
              <w:rPr>
                <w:rFonts w:hint="eastAsia" w:ascii="宋体" w:hAnsi="宋体" w:cs="宋体"/>
                <w:color w:val="000000"/>
                <w:kern w:val="0"/>
                <w:sz w:val="19"/>
                <w:szCs w:val="19"/>
              </w:rPr>
              <w:t>致电咨询</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融资额度：100-5000万</w:t>
            </w:r>
          </w:p>
        </w:tc>
        <w:tc>
          <w:tcPr>
            <w:tcW w:w="964" w:type="dxa"/>
            <w:tcBorders>
              <w:top w:val="single" w:color="000000" w:sz="4" w:space="0"/>
              <w:left w:val="single" w:color="000000" w:sz="4" w:space="0"/>
              <w:bottom w:val="single" w:color="000000" w:sz="4" w:space="0"/>
              <w:right w:val="single" w:color="000000" w:sz="4" w:space="0"/>
            </w:tcBorders>
            <w:vAlign w:val="center"/>
          </w:tcPr>
          <w:p w14:paraId="2977DAE8">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大中小微企业</w:t>
            </w:r>
          </w:p>
        </w:tc>
        <w:tc>
          <w:tcPr>
            <w:tcW w:w="3384" w:type="dxa"/>
            <w:tcBorders>
              <w:top w:val="single" w:color="000000" w:sz="4" w:space="0"/>
              <w:left w:val="single" w:color="000000" w:sz="4" w:space="0"/>
              <w:bottom w:val="single" w:color="000000" w:sz="4" w:space="0"/>
              <w:right w:val="single" w:color="000000" w:sz="4" w:space="0"/>
            </w:tcBorders>
            <w:vAlign w:val="center"/>
          </w:tcPr>
          <w:p w14:paraId="5BAB88E5">
            <w:pPr>
              <w:widowControl/>
              <w:jc w:val="left"/>
              <w:textAlignment w:val="center"/>
              <w:rPr>
                <w:rFonts w:ascii="宋体" w:hAnsi="宋体" w:cs="宋体"/>
                <w:color w:val="000000"/>
                <w:sz w:val="19"/>
                <w:szCs w:val="19"/>
              </w:rPr>
            </w:pPr>
            <w:r>
              <w:rPr>
                <w:rFonts w:hint="eastAsia" w:ascii="宋体" w:hAnsi="宋体" w:cs="宋体"/>
                <w:color w:val="000000"/>
                <w:kern w:val="0"/>
                <w:sz w:val="19"/>
                <w:szCs w:val="19"/>
              </w:rPr>
              <w:t>1、具有2年(含)以上连续经营记录；</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2、有固定生产经营场所；本行要求的其他条件。</w:t>
            </w:r>
          </w:p>
        </w:tc>
        <w:tc>
          <w:tcPr>
            <w:tcW w:w="1386" w:type="dxa"/>
            <w:tcBorders>
              <w:top w:val="single" w:color="000000" w:sz="4" w:space="0"/>
              <w:left w:val="single" w:color="000000" w:sz="4" w:space="0"/>
              <w:bottom w:val="single" w:color="000000" w:sz="4" w:space="0"/>
              <w:right w:val="single" w:color="000000" w:sz="4" w:space="0"/>
            </w:tcBorders>
            <w:vAlign w:val="center"/>
          </w:tcPr>
          <w:p w14:paraId="774E8BD7">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 xml:space="preserve">13612141823高飞     </w:t>
            </w:r>
          </w:p>
        </w:tc>
      </w:tr>
      <w:tr w14:paraId="4A306C10">
        <w:tblPrEx>
          <w:tblCellMar>
            <w:top w:w="0" w:type="dxa"/>
            <w:left w:w="108" w:type="dxa"/>
            <w:bottom w:w="0" w:type="dxa"/>
            <w:right w:w="108" w:type="dxa"/>
          </w:tblCellMar>
        </w:tblPrEx>
        <w:trPr>
          <w:trHeight w:val="2793"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17259DDB">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9</w:t>
            </w:r>
          </w:p>
        </w:tc>
        <w:tc>
          <w:tcPr>
            <w:tcW w:w="1001" w:type="dxa"/>
            <w:tcBorders>
              <w:top w:val="single" w:color="000000" w:sz="4" w:space="0"/>
              <w:left w:val="single" w:color="000000" w:sz="4" w:space="0"/>
              <w:bottom w:val="single" w:color="000000" w:sz="4" w:space="0"/>
              <w:right w:val="single" w:color="000000" w:sz="4" w:space="0"/>
            </w:tcBorders>
            <w:vAlign w:val="center"/>
          </w:tcPr>
          <w:p w14:paraId="7FA47F2C">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民生银行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727072DC">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参考利率：</w:t>
            </w:r>
          </w:p>
          <w:p w14:paraId="708CEC18">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最低4%</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融资额度：</w:t>
            </w:r>
          </w:p>
          <w:p w14:paraId="69CCA421">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信用额度最高1000万</w:t>
            </w:r>
          </w:p>
          <w:p w14:paraId="043F6511">
            <w:pPr>
              <w:widowControl/>
              <w:jc w:val="left"/>
              <w:textAlignment w:val="center"/>
              <w:rPr>
                <w:rFonts w:ascii="宋体" w:hAnsi="宋体" w:cs="宋体"/>
                <w:color w:val="000000"/>
                <w:sz w:val="19"/>
                <w:szCs w:val="19"/>
              </w:rPr>
            </w:pPr>
            <w:r>
              <w:rPr>
                <w:rFonts w:hint="eastAsia" w:ascii="宋体" w:hAnsi="宋体" w:cs="宋体"/>
                <w:color w:val="000000"/>
                <w:kern w:val="0"/>
                <w:sz w:val="19"/>
                <w:szCs w:val="19"/>
              </w:rPr>
              <w:t>信用+担保额度最高3000万</w:t>
            </w:r>
          </w:p>
        </w:tc>
        <w:tc>
          <w:tcPr>
            <w:tcW w:w="964" w:type="dxa"/>
            <w:tcBorders>
              <w:top w:val="single" w:color="000000" w:sz="4" w:space="0"/>
              <w:left w:val="single" w:color="000000" w:sz="4" w:space="0"/>
              <w:bottom w:val="single" w:color="000000" w:sz="4" w:space="0"/>
              <w:right w:val="single" w:color="000000" w:sz="4" w:space="0"/>
            </w:tcBorders>
            <w:vAlign w:val="center"/>
          </w:tcPr>
          <w:p w14:paraId="51B99EC1">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中小微企业</w:t>
            </w:r>
          </w:p>
        </w:tc>
        <w:tc>
          <w:tcPr>
            <w:tcW w:w="3384" w:type="dxa"/>
            <w:tcBorders>
              <w:top w:val="single" w:color="000000" w:sz="4" w:space="0"/>
              <w:left w:val="single" w:color="000000" w:sz="4" w:space="0"/>
              <w:bottom w:val="single" w:color="000000" w:sz="4" w:space="0"/>
              <w:right w:val="single" w:color="000000" w:sz="4" w:space="0"/>
            </w:tcBorders>
            <w:vAlign w:val="center"/>
          </w:tcPr>
          <w:p w14:paraId="2F36C9B1">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1、企业成立满一年，经营良好、征信良好；</w:t>
            </w:r>
          </w:p>
          <w:p w14:paraId="23FAD24F">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2、实控人25-65周岁，征信良好；</w:t>
            </w:r>
          </w:p>
          <w:p w14:paraId="352F52C8">
            <w:pPr>
              <w:widowControl/>
              <w:jc w:val="left"/>
              <w:textAlignment w:val="center"/>
              <w:rPr>
                <w:rFonts w:ascii="宋体" w:hAnsi="宋体" w:cs="宋体"/>
                <w:color w:val="000000"/>
                <w:sz w:val="19"/>
                <w:szCs w:val="19"/>
              </w:rPr>
            </w:pPr>
            <w:r>
              <w:rPr>
                <w:rFonts w:hint="eastAsia" w:ascii="宋体" w:hAnsi="宋体" w:cs="宋体"/>
                <w:color w:val="000000"/>
                <w:kern w:val="0"/>
                <w:sz w:val="19"/>
                <w:szCs w:val="19"/>
              </w:rPr>
              <w:t>3、近12个月有政府采购中标且正常履约、回款</w:t>
            </w:r>
          </w:p>
        </w:tc>
        <w:tc>
          <w:tcPr>
            <w:tcW w:w="1386" w:type="dxa"/>
            <w:tcBorders>
              <w:top w:val="single" w:color="000000" w:sz="4" w:space="0"/>
              <w:left w:val="single" w:color="000000" w:sz="4" w:space="0"/>
              <w:bottom w:val="single" w:color="000000" w:sz="4" w:space="0"/>
              <w:right w:val="single" w:color="000000" w:sz="4" w:space="0"/>
            </w:tcBorders>
            <w:vAlign w:val="center"/>
          </w:tcPr>
          <w:p w14:paraId="349080ED">
            <w:pPr>
              <w:widowControl/>
              <w:jc w:val="center"/>
              <w:textAlignment w:val="center"/>
              <w:rPr>
                <w:rFonts w:ascii="宋体" w:hAnsi="宋体" w:cs="宋体"/>
                <w:color w:val="000000"/>
                <w:kern w:val="0"/>
                <w:sz w:val="19"/>
                <w:szCs w:val="19"/>
              </w:rPr>
            </w:pPr>
            <w:r>
              <w:rPr>
                <w:rFonts w:ascii="宋体" w:hAnsi="宋体" w:cs="宋体"/>
                <w:color w:val="000000"/>
                <w:kern w:val="0"/>
                <w:sz w:val="19"/>
                <w:szCs w:val="19"/>
              </w:rPr>
              <w:t>18102027371</w:t>
            </w:r>
          </w:p>
          <w:p w14:paraId="7C059C3C">
            <w:pPr>
              <w:widowControl/>
              <w:jc w:val="center"/>
              <w:textAlignment w:val="center"/>
              <w:rPr>
                <w:rFonts w:ascii="宋体" w:hAnsi="宋体" w:cs="宋体"/>
                <w:color w:val="000000"/>
                <w:kern w:val="0"/>
                <w:sz w:val="19"/>
                <w:szCs w:val="19"/>
              </w:rPr>
            </w:pPr>
            <w:r>
              <w:rPr>
                <w:rFonts w:ascii="宋体" w:hAnsi="宋体" w:cs="宋体"/>
                <w:color w:val="000000"/>
                <w:kern w:val="0"/>
                <w:sz w:val="19"/>
                <w:szCs w:val="19"/>
              </w:rPr>
              <w:t xml:space="preserve">陈宗山 </w:t>
            </w:r>
          </w:p>
        </w:tc>
      </w:tr>
      <w:tr w14:paraId="059698A9">
        <w:tblPrEx>
          <w:tblCellMar>
            <w:top w:w="0" w:type="dxa"/>
            <w:left w:w="108" w:type="dxa"/>
            <w:bottom w:w="0" w:type="dxa"/>
            <w:right w:w="108" w:type="dxa"/>
          </w:tblCellMar>
        </w:tblPrEx>
        <w:trPr>
          <w:trHeight w:val="2938"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1C50CDBA">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10</w:t>
            </w:r>
          </w:p>
        </w:tc>
        <w:tc>
          <w:tcPr>
            <w:tcW w:w="1001" w:type="dxa"/>
            <w:tcBorders>
              <w:top w:val="single" w:color="000000" w:sz="4" w:space="0"/>
              <w:left w:val="single" w:color="000000" w:sz="4" w:space="0"/>
              <w:bottom w:val="single" w:color="000000" w:sz="4" w:space="0"/>
              <w:right w:val="single" w:color="000000" w:sz="4" w:space="0"/>
            </w:tcBorders>
            <w:vAlign w:val="center"/>
          </w:tcPr>
          <w:p w14:paraId="340B0600">
            <w:pPr>
              <w:widowControl/>
              <w:textAlignment w:val="center"/>
              <w:rPr>
                <w:rFonts w:ascii="宋体" w:hAnsi="宋体" w:cs="宋体"/>
                <w:color w:val="000000"/>
                <w:sz w:val="19"/>
                <w:szCs w:val="19"/>
              </w:rPr>
            </w:pPr>
            <w:r>
              <w:rPr>
                <w:rFonts w:hint="eastAsia" w:ascii="宋体" w:hAnsi="宋体" w:cs="宋体"/>
                <w:color w:val="000000"/>
                <w:kern w:val="0"/>
                <w:sz w:val="19"/>
                <w:szCs w:val="19"/>
              </w:rPr>
              <w:t>平安银行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3C90BEB4">
            <w:pPr>
              <w:jc w:val="left"/>
              <w:rPr>
                <w:rFonts w:ascii="宋体" w:hAnsi="宋体" w:cs="宋体"/>
                <w:color w:val="000000"/>
                <w:kern w:val="0"/>
                <w:sz w:val="19"/>
                <w:szCs w:val="19"/>
              </w:rPr>
            </w:pPr>
            <w:r>
              <w:rPr>
                <w:rFonts w:hint="eastAsia" w:ascii="宋体" w:hAnsi="宋体" w:cs="宋体"/>
                <w:color w:val="000000"/>
                <w:kern w:val="0"/>
                <w:sz w:val="19"/>
                <w:szCs w:val="19"/>
              </w:rPr>
              <w:t>参考利率：</w:t>
            </w:r>
          </w:p>
          <w:p w14:paraId="5384467B">
            <w:pPr>
              <w:jc w:val="left"/>
              <w:rPr>
                <w:rFonts w:ascii="宋体" w:hAnsi="宋体" w:cs="宋体"/>
                <w:color w:val="000000"/>
                <w:kern w:val="0"/>
                <w:sz w:val="19"/>
                <w:szCs w:val="19"/>
              </w:rPr>
            </w:pPr>
            <w:r>
              <w:rPr>
                <w:rFonts w:hint="eastAsia" w:ascii="宋体" w:hAnsi="宋体" w:cs="宋体"/>
                <w:color w:val="000000"/>
                <w:kern w:val="0"/>
                <w:sz w:val="19"/>
                <w:szCs w:val="19"/>
              </w:rPr>
              <w:t>约6.00%</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融资额度：</w:t>
            </w:r>
          </w:p>
          <w:p w14:paraId="3BB8AE21">
            <w:pPr>
              <w:jc w:val="left"/>
              <w:rPr>
                <w:rFonts w:ascii="宋体" w:hAnsi="宋体" w:cs="宋体"/>
                <w:color w:val="000000"/>
                <w:sz w:val="19"/>
                <w:szCs w:val="19"/>
              </w:rPr>
            </w:pPr>
            <w:r>
              <w:rPr>
                <w:rFonts w:hint="eastAsia" w:ascii="宋体" w:hAnsi="宋体" w:cs="宋体"/>
                <w:color w:val="000000"/>
                <w:kern w:val="0"/>
                <w:sz w:val="19"/>
                <w:szCs w:val="19"/>
              </w:rPr>
              <w:t>最高200万元</w:t>
            </w:r>
          </w:p>
        </w:tc>
        <w:tc>
          <w:tcPr>
            <w:tcW w:w="964" w:type="dxa"/>
            <w:tcBorders>
              <w:top w:val="single" w:color="000000" w:sz="4" w:space="0"/>
              <w:left w:val="single" w:color="000000" w:sz="4" w:space="0"/>
              <w:bottom w:val="single" w:color="000000" w:sz="4" w:space="0"/>
              <w:right w:val="single" w:color="000000" w:sz="4" w:space="0"/>
            </w:tcBorders>
            <w:vAlign w:val="center"/>
          </w:tcPr>
          <w:p w14:paraId="4DC63587">
            <w:pPr>
              <w:jc w:val="center"/>
              <w:rPr>
                <w:rFonts w:ascii="宋体" w:hAnsi="宋体" w:cs="宋体"/>
                <w:color w:val="000000"/>
                <w:sz w:val="19"/>
                <w:szCs w:val="19"/>
              </w:rPr>
            </w:pPr>
            <w:r>
              <w:rPr>
                <w:rFonts w:hint="eastAsia" w:ascii="宋体" w:hAnsi="宋体" w:cs="宋体"/>
                <w:color w:val="000000"/>
                <w:kern w:val="0"/>
                <w:sz w:val="19"/>
                <w:szCs w:val="19"/>
              </w:rPr>
              <w:t>大中小微企业</w:t>
            </w:r>
          </w:p>
        </w:tc>
        <w:tc>
          <w:tcPr>
            <w:tcW w:w="3384" w:type="dxa"/>
            <w:tcBorders>
              <w:top w:val="single" w:color="000000" w:sz="4" w:space="0"/>
              <w:left w:val="single" w:color="000000" w:sz="4" w:space="0"/>
              <w:bottom w:val="single" w:color="000000" w:sz="4" w:space="0"/>
              <w:right w:val="single" w:color="000000" w:sz="4" w:space="0"/>
            </w:tcBorders>
            <w:vAlign w:val="center"/>
          </w:tcPr>
          <w:tbl>
            <w:tblPr>
              <w:tblStyle w:val="19"/>
              <w:tblW w:w="5000" w:type="pct"/>
              <w:tblInd w:w="0" w:type="dxa"/>
              <w:shd w:val="clear" w:color="auto" w:fill="FFFFFF"/>
              <w:tblLayout w:type="fixed"/>
              <w:tblCellMar>
                <w:top w:w="15" w:type="dxa"/>
                <w:left w:w="15" w:type="dxa"/>
                <w:bottom w:w="15" w:type="dxa"/>
                <w:right w:w="15" w:type="dxa"/>
              </w:tblCellMar>
            </w:tblPr>
            <w:tblGrid>
              <w:gridCol w:w="3168"/>
            </w:tblGrid>
            <w:tr w14:paraId="5B1BB8CD">
              <w:tblPrEx>
                <w:shd w:val="clear" w:color="auto" w:fill="FFFFFF"/>
                <w:tblCellMar>
                  <w:top w:w="15" w:type="dxa"/>
                  <w:left w:w="15" w:type="dxa"/>
                  <w:bottom w:w="15" w:type="dxa"/>
                  <w:right w:w="15" w:type="dxa"/>
                </w:tblCellMar>
              </w:tblPrEx>
              <w:tc>
                <w:tcPr>
                  <w:tcW w:w="2632" w:type="dxa"/>
                  <w:shd w:val="clear" w:color="auto" w:fill="FFFFFF"/>
                  <w:tcMar>
                    <w:top w:w="150" w:type="dxa"/>
                    <w:left w:w="0" w:type="dxa"/>
                    <w:bottom w:w="150" w:type="dxa"/>
                    <w:right w:w="0" w:type="dxa"/>
                  </w:tcMar>
                </w:tcPr>
                <w:p w14:paraId="30B7B18C">
                  <w:pPr>
                    <w:widowControl/>
                    <w:numPr>
                      <w:ilvl w:val="0"/>
                      <w:numId w:val="5"/>
                    </w:numPr>
                    <w:jc w:val="left"/>
                    <w:textAlignment w:val="top"/>
                    <w:rPr>
                      <w:rFonts w:ascii="宋体" w:hAnsi="宋体" w:cs="宋体"/>
                      <w:color w:val="000000"/>
                      <w:kern w:val="0"/>
                      <w:sz w:val="19"/>
                      <w:szCs w:val="19"/>
                    </w:rPr>
                  </w:pPr>
                  <w:r>
                    <w:rPr>
                      <w:rFonts w:hint="eastAsia" w:ascii="宋体" w:hAnsi="宋体" w:cs="宋体"/>
                      <w:color w:val="000000"/>
                      <w:kern w:val="0"/>
                      <w:sz w:val="19"/>
                      <w:szCs w:val="19"/>
                    </w:rPr>
                    <w:t xml:space="preserve">申请人为企业法定代表人或第一大自然人股东，通过微信申请； </w:t>
                  </w:r>
                </w:p>
                <w:p w14:paraId="1651D0CC">
                  <w:pPr>
                    <w:widowControl/>
                    <w:numPr>
                      <w:ilvl w:val="0"/>
                      <w:numId w:val="5"/>
                    </w:numPr>
                    <w:jc w:val="left"/>
                    <w:textAlignment w:val="top"/>
                    <w:rPr>
                      <w:rFonts w:ascii="宋体" w:hAnsi="宋体" w:cs="宋体"/>
                      <w:color w:val="000000"/>
                      <w:kern w:val="0"/>
                      <w:sz w:val="19"/>
                      <w:szCs w:val="19"/>
                    </w:rPr>
                  </w:pPr>
                  <w:r>
                    <w:rPr>
                      <w:rFonts w:hint="eastAsia" w:ascii="宋体" w:hAnsi="宋体" w:cs="宋体"/>
                      <w:color w:val="000000"/>
                      <w:kern w:val="0"/>
                      <w:sz w:val="19"/>
                      <w:szCs w:val="19"/>
                    </w:rPr>
                    <w:t xml:space="preserve">企业及申请人信用记录良好，无不良、违法行为； </w:t>
                  </w:r>
                </w:p>
                <w:p w14:paraId="738DC2A3">
                  <w:pPr>
                    <w:widowControl/>
                    <w:numPr>
                      <w:ilvl w:val="0"/>
                      <w:numId w:val="5"/>
                    </w:numPr>
                    <w:jc w:val="left"/>
                    <w:textAlignment w:val="top"/>
                    <w:rPr>
                      <w:rFonts w:ascii="宋体" w:hAnsi="宋体" w:cs="宋体"/>
                      <w:color w:val="000000"/>
                      <w:kern w:val="0"/>
                      <w:sz w:val="19"/>
                      <w:szCs w:val="19"/>
                    </w:rPr>
                  </w:pPr>
                  <w:r>
                    <w:rPr>
                      <w:rFonts w:hint="eastAsia" w:ascii="宋体" w:hAnsi="宋体" w:cs="宋体"/>
                      <w:color w:val="000000"/>
                      <w:kern w:val="0"/>
                      <w:sz w:val="19"/>
                      <w:szCs w:val="19"/>
                    </w:rPr>
                    <w:t xml:space="preserve">企业为天津市政府部门、事业单位的供应商； </w:t>
                  </w:r>
                </w:p>
                <w:p w14:paraId="548FDE94">
                  <w:pPr>
                    <w:widowControl/>
                    <w:jc w:val="left"/>
                    <w:textAlignment w:val="top"/>
                    <w:rPr>
                      <w:rFonts w:ascii="����" w:hAnsi="����" w:eastAsia="����" w:cs="����"/>
                      <w:color w:val="333333"/>
                      <w:sz w:val="24"/>
                      <w:szCs w:val="24"/>
                    </w:rPr>
                  </w:pPr>
                  <w:r>
                    <w:rPr>
                      <w:rFonts w:hint="eastAsia" w:ascii="宋体" w:hAnsi="宋体" w:cs="宋体"/>
                      <w:color w:val="000000"/>
                      <w:kern w:val="0"/>
                      <w:sz w:val="19"/>
                      <w:szCs w:val="19"/>
                    </w:rPr>
                    <w:t>4、企业有政府采购历史合作记录（近24个月2次，合计50万以上订单记录）且交易记录良好</w:t>
                  </w:r>
                </w:p>
              </w:tc>
            </w:tr>
          </w:tbl>
          <w:p w14:paraId="40D474D2">
            <w:pPr>
              <w:jc w:val="left"/>
              <w:rPr>
                <w:rFonts w:ascii="宋体" w:hAnsi="宋体" w:cs="宋体"/>
                <w:color w:val="000000"/>
                <w:sz w:val="19"/>
                <w:szCs w:val="19"/>
              </w:rPr>
            </w:pPr>
          </w:p>
        </w:tc>
        <w:tc>
          <w:tcPr>
            <w:tcW w:w="1386" w:type="dxa"/>
            <w:tcBorders>
              <w:top w:val="single" w:color="000000" w:sz="4" w:space="0"/>
              <w:left w:val="single" w:color="000000" w:sz="4" w:space="0"/>
              <w:bottom w:val="single" w:color="000000" w:sz="4" w:space="0"/>
              <w:right w:val="single" w:color="000000" w:sz="4" w:space="0"/>
            </w:tcBorders>
            <w:noWrap/>
            <w:vAlign w:val="center"/>
          </w:tcPr>
          <w:p w14:paraId="62BABB10">
            <w:pPr>
              <w:jc w:val="center"/>
              <w:rPr>
                <w:rFonts w:ascii="宋体" w:hAnsi="宋体" w:cs="宋体"/>
                <w:color w:val="000000"/>
                <w:sz w:val="24"/>
                <w:szCs w:val="24"/>
              </w:rPr>
            </w:pPr>
            <w:r>
              <w:rPr>
                <w:rFonts w:hint="eastAsia" w:ascii="宋体" w:hAnsi="宋体" w:cs="宋体"/>
                <w:color w:val="000000"/>
                <w:kern w:val="0"/>
                <w:sz w:val="19"/>
                <w:szCs w:val="19"/>
              </w:rPr>
              <w:t xml:space="preserve">18698167095张伟 </w:t>
            </w:r>
          </w:p>
        </w:tc>
      </w:tr>
      <w:tr w14:paraId="151553F0">
        <w:tblPrEx>
          <w:tblCellMar>
            <w:top w:w="0" w:type="dxa"/>
            <w:left w:w="108" w:type="dxa"/>
            <w:bottom w:w="0" w:type="dxa"/>
            <w:right w:w="108" w:type="dxa"/>
          </w:tblCellMar>
        </w:tblPrEx>
        <w:trPr>
          <w:trHeight w:val="273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214AF5E3">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11</w:t>
            </w:r>
          </w:p>
        </w:tc>
        <w:tc>
          <w:tcPr>
            <w:tcW w:w="1001" w:type="dxa"/>
            <w:tcBorders>
              <w:top w:val="single" w:color="000000" w:sz="4" w:space="0"/>
              <w:left w:val="single" w:color="000000" w:sz="4" w:space="0"/>
              <w:bottom w:val="single" w:color="000000" w:sz="4" w:space="0"/>
              <w:right w:val="single" w:color="000000" w:sz="4" w:space="0"/>
            </w:tcBorders>
            <w:vAlign w:val="center"/>
          </w:tcPr>
          <w:p w14:paraId="33171EDE">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渤海银行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0DF847F3">
            <w:pPr>
              <w:jc w:val="left"/>
              <w:rPr>
                <w:rFonts w:ascii="宋体" w:hAnsi="宋体" w:cs="宋体"/>
                <w:color w:val="000000"/>
                <w:kern w:val="0"/>
                <w:sz w:val="19"/>
                <w:szCs w:val="19"/>
              </w:rPr>
            </w:pPr>
            <w:r>
              <w:rPr>
                <w:rFonts w:hint="eastAsia" w:ascii="宋体" w:hAnsi="宋体" w:cs="宋体"/>
                <w:color w:val="000000"/>
                <w:kern w:val="0"/>
                <w:sz w:val="19"/>
                <w:szCs w:val="19"/>
              </w:rPr>
              <w:t>参考利率：</w:t>
            </w:r>
          </w:p>
          <w:p w14:paraId="61D3ABB3">
            <w:pPr>
              <w:jc w:val="left"/>
              <w:rPr>
                <w:rFonts w:ascii="宋体" w:hAnsi="宋体" w:cs="宋体"/>
                <w:color w:val="000000"/>
                <w:kern w:val="0"/>
                <w:sz w:val="19"/>
                <w:szCs w:val="19"/>
              </w:rPr>
            </w:pPr>
            <w:r>
              <w:rPr>
                <w:rFonts w:hint="eastAsia" w:ascii="宋体" w:hAnsi="宋体" w:cs="宋体"/>
                <w:color w:val="000000"/>
                <w:kern w:val="0"/>
                <w:sz w:val="19"/>
                <w:szCs w:val="19"/>
              </w:rPr>
              <w:t>年化约3.85%</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融资额度：</w:t>
            </w:r>
          </w:p>
          <w:p w14:paraId="27963001">
            <w:pPr>
              <w:jc w:val="left"/>
              <w:rPr>
                <w:rFonts w:ascii="宋体" w:hAnsi="宋体" w:cs="宋体"/>
                <w:color w:val="000000"/>
                <w:sz w:val="19"/>
                <w:szCs w:val="19"/>
              </w:rPr>
            </w:pPr>
            <w:r>
              <w:rPr>
                <w:rFonts w:hint="eastAsia" w:ascii="宋体" w:hAnsi="宋体" w:cs="宋体"/>
                <w:color w:val="000000"/>
                <w:kern w:val="0"/>
                <w:sz w:val="19"/>
                <w:szCs w:val="19"/>
              </w:rPr>
              <w:t>最高1000万元</w:t>
            </w:r>
          </w:p>
        </w:tc>
        <w:tc>
          <w:tcPr>
            <w:tcW w:w="964" w:type="dxa"/>
            <w:tcBorders>
              <w:top w:val="single" w:color="000000" w:sz="4" w:space="0"/>
              <w:left w:val="single" w:color="000000" w:sz="4" w:space="0"/>
              <w:bottom w:val="single" w:color="000000" w:sz="4" w:space="0"/>
              <w:right w:val="single" w:color="000000" w:sz="4" w:space="0"/>
            </w:tcBorders>
            <w:vAlign w:val="center"/>
          </w:tcPr>
          <w:p w14:paraId="0EF5CFE6">
            <w:pPr>
              <w:widowControl/>
              <w:jc w:val="left"/>
              <w:textAlignment w:val="top"/>
              <w:rPr>
                <w:rFonts w:ascii="宋体" w:hAnsi="宋体" w:cs="宋体"/>
                <w:color w:val="000000"/>
                <w:kern w:val="0"/>
                <w:sz w:val="19"/>
                <w:szCs w:val="19"/>
              </w:rPr>
            </w:pPr>
            <w:r>
              <w:rPr>
                <w:rFonts w:hint="eastAsia" w:ascii="宋体" w:hAnsi="宋体" w:cs="宋体"/>
                <w:color w:val="000000"/>
                <w:kern w:val="0"/>
                <w:sz w:val="19"/>
                <w:szCs w:val="19"/>
              </w:rPr>
              <w:t>小微企业</w:t>
            </w:r>
          </w:p>
        </w:tc>
        <w:tc>
          <w:tcPr>
            <w:tcW w:w="3384" w:type="dxa"/>
            <w:tcBorders>
              <w:top w:val="single" w:color="000000" w:sz="4" w:space="0"/>
              <w:left w:val="single" w:color="000000" w:sz="4" w:space="0"/>
              <w:bottom w:val="single" w:color="000000" w:sz="4" w:space="0"/>
              <w:right w:val="single" w:color="000000" w:sz="4" w:space="0"/>
            </w:tcBorders>
            <w:vAlign w:val="center"/>
          </w:tcPr>
          <w:tbl>
            <w:tblPr>
              <w:tblStyle w:val="19"/>
              <w:tblW w:w="5000" w:type="pct"/>
              <w:tblInd w:w="0" w:type="dxa"/>
              <w:shd w:val="clear" w:color="auto" w:fill="FFFFFF"/>
              <w:tblLayout w:type="fixed"/>
              <w:tblCellMar>
                <w:top w:w="15" w:type="dxa"/>
                <w:left w:w="15" w:type="dxa"/>
                <w:bottom w:w="15" w:type="dxa"/>
                <w:right w:w="15" w:type="dxa"/>
              </w:tblCellMar>
            </w:tblPr>
            <w:tblGrid>
              <w:gridCol w:w="3168"/>
            </w:tblGrid>
            <w:tr w14:paraId="7E74593E">
              <w:tblPrEx>
                <w:shd w:val="clear" w:color="auto" w:fill="FFFFFF"/>
                <w:tblCellMar>
                  <w:top w:w="15" w:type="dxa"/>
                  <w:left w:w="15" w:type="dxa"/>
                  <w:bottom w:w="15" w:type="dxa"/>
                  <w:right w:w="15" w:type="dxa"/>
                </w:tblCellMar>
              </w:tblPrEx>
              <w:tc>
                <w:tcPr>
                  <w:tcW w:w="2632" w:type="dxa"/>
                  <w:shd w:val="clear" w:color="auto" w:fill="FFFFFF"/>
                  <w:tcMar>
                    <w:top w:w="150" w:type="dxa"/>
                    <w:left w:w="0" w:type="dxa"/>
                    <w:bottom w:w="150" w:type="dxa"/>
                    <w:right w:w="0" w:type="dxa"/>
                  </w:tcMar>
                </w:tcPr>
                <w:p w14:paraId="04C8E26D">
                  <w:pPr>
                    <w:widowControl/>
                    <w:numPr>
                      <w:ilvl w:val="0"/>
                      <w:numId w:val="6"/>
                    </w:numPr>
                    <w:jc w:val="left"/>
                    <w:textAlignment w:val="top"/>
                    <w:rPr>
                      <w:rFonts w:ascii="宋体" w:hAnsi="宋体" w:cs="宋体"/>
                      <w:color w:val="000000"/>
                      <w:kern w:val="0"/>
                      <w:sz w:val="19"/>
                      <w:szCs w:val="19"/>
                    </w:rPr>
                  </w:pPr>
                  <w:r>
                    <w:rPr>
                      <w:rFonts w:hint="eastAsia" w:ascii="宋体" w:hAnsi="宋体" w:cs="宋体"/>
                      <w:color w:val="000000"/>
                      <w:kern w:val="0"/>
                      <w:sz w:val="19"/>
                      <w:szCs w:val="19"/>
                    </w:rPr>
                    <w:t xml:space="preserve">有固定的经营场所，企业划型符合小微企业； </w:t>
                  </w:r>
                </w:p>
                <w:p w14:paraId="4B9962E5">
                  <w:pPr>
                    <w:widowControl/>
                    <w:numPr>
                      <w:ilvl w:val="0"/>
                      <w:numId w:val="6"/>
                    </w:numPr>
                    <w:jc w:val="left"/>
                    <w:textAlignment w:val="top"/>
                    <w:rPr>
                      <w:rFonts w:ascii="宋体" w:hAnsi="宋体" w:cs="宋体"/>
                      <w:color w:val="000000"/>
                      <w:kern w:val="0"/>
                      <w:sz w:val="19"/>
                      <w:szCs w:val="19"/>
                    </w:rPr>
                  </w:pPr>
                  <w:r>
                    <w:rPr>
                      <w:rFonts w:hint="eastAsia" w:ascii="宋体" w:hAnsi="宋体" w:cs="宋体"/>
                      <w:color w:val="000000"/>
                      <w:kern w:val="0"/>
                      <w:sz w:val="19"/>
                      <w:szCs w:val="19"/>
                    </w:rPr>
                    <w:t xml:space="preserve">信用记录良好，无不良、违法行为； </w:t>
                  </w:r>
                </w:p>
                <w:p w14:paraId="4C472D98">
                  <w:pPr>
                    <w:widowControl/>
                    <w:numPr>
                      <w:ilvl w:val="0"/>
                      <w:numId w:val="6"/>
                    </w:numPr>
                    <w:jc w:val="left"/>
                    <w:textAlignment w:val="top"/>
                    <w:rPr>
                      <w:rFonts w:ascii="宋体" w:hAnsi="宋体" w:cs="宋体"/>
                      <w:color w:val="000000"/>
                      <w:kern w:val="0"/>
                      <w:sz w:val="19"/>
                      <w:szCs w:val="19"/>
                    </w:rPr>
                  </w:pPr>
                  <w:r>
                    <w:rPr>
                      <w:rFonts w:hint="eastAsia" w:ascii="宋体" w:hAnsi="宋体" w:cs="宋体"/>
                      <w:color w:val="000000"/>
                      <w:kern w:val="0"/>
                      <w:sz w:val="19"/>
                      <w:szCs w:val="19"/>
                    </w:rPr>
                    <w:t xml:space="preserve">持续经营2年以上或实际控制人从业3年以上； 具备政府采购投标资格且交易记录良好； </w:t>
                  </w:r>
                </w:p>
                <w:p w14:paraId="400087F2">
                  <w:pPr>
                    <w:widowControl/>
                    <w:numPr>
                      <w:ilvl w:val="0"/>
                      <w:numId w:val="6"/>
                    </w:numPr>
                    <w:jc w:val="left"/>
                    <w:textAlignment w:val="top"/>
                    <w:rPr>
                      <w:rFonts w:ascii="宋体" w:hAnsi="宋体" w:cs="宋体"/>
                      <w:color w:val="000000"/>
                      <w:kern w:val="0"/>
                      <w:sz w:val="19"/>
                      <w:szCs w:val="19"/>
                    </w:rPr>
                  </w:pPr>
                  <w:r>
                    <w:rPr>
                      <w:rFonts w:hint="eastAsia" w:ascii="宋体" w:hAnsi="宋体" w:cs="宋体"/>
                      <w:color w:val="000000"/>
                      <w:kern w:val="0"/>
                      <w:sz w:val="19"/>
                      <w:szCs w:val="19"/>
                    </w:rPr>
                    <w:t>采购项目符合国家产业政策和资源环保政策要求；</w:t>
                  </w:r>
                </w:p>
              </w:tc>
            </w:tr>
          </w:tbl>
          <w:p w14:paraId="28C83D10">
            <w:pPr>
              <w:widowControl/>
              <w:jc w:val="left"/>
              <w:textAlignment w:val="top"/>
              <w:rPr>
                <w:rFonts w:ascii="宋体" w:hAnsi="宋体" w:cs="宋体"/>
                <w:color w:val="000000"/>
                <w:kern w:val="0"/>
                <w:sz w:val="19"/>
                <w:szCs w:val="19"/>
              </w:rPr>
            </w:pPr>
          </w:p>
        </w:tc>
        <w:tc>
          <w:tcPr>
            <w:tcW w:w="1386" w:type="dxa"/>
            <w:tcBorders>
              <w:top w:val="single" w:color="000000" w:sz="4" w:space="0"/>
              <w:left w:val="single" w:color="000000" w:sz="4" w:space="0"/>
              <w:bottom w:val="single" w:color="000000" w:sz="4" w:space="0"/>
              <w:right w:val="single" w:color="000000" w:sz="4" w:space="0"/>
            </w:tcBorders>
            <w:noWrap/>
            <w:vAlign w:val="center"/>
          </w:tcPr>
          <w:p w14:paraId="4095D13F">
            <w:pPr>
              <w:jc w:val="left"/>
              <w:rPr>
                <w:rFonts w:ascii="宋体" w:hAnsi="宋体" w:cs="宋体"/>
                <w:color w:val="000000"/>
                <w:kern w:val="0"/>
                <w:sz w:val="19"/>
                <w:szCs w:val="19"/>
              </w:rPr>
            </w:pPr>
            <w:r>
              <w:rPr>
                <w:rFonts w:hint="eastAsia" w:ascii="宋体" w:hAnsi="宋体" w:cs="宋体"/>
                <w:color w:val="000000"/>
                <w:kern w:val="0"/>
                <w:sz w:val="19"/>
                <w:szCs w:val="19"/>
              </w:rPr>
              <w:t>022-58879322</w:t>
            </w:r>
          </w:p>
          <w:p w14:paraId="0A67679D">
            <w:pPr>
              <w:ind w:firstLine="174" w:firstLineChars="100"/>
              <w:jc w:val="left"/>
              <w:rPr>
                <w:rFonts w:ascii="宋体" w:hAnsi="宋体" w:cs="宋体"/>
                <w:color w:val="000000"/>
                <w:kern w:val="0"/>
                <w:sz w:val="19"/>
                <w:szCs w:val="19"/>
              </w:rPr>
            </w:pPr>
            <w:r>
              <w:rPr>
                <w:rFonts w:hint="eastAsia" w:ascii="宋体" w:hAnsi="宋体" w:cs="宋体"/>
                <w:color w:val="000000"/>
                <w:kern w:val="0"/>
                <w:sz w:val="19"/>
                <w:szCs w:val="19"/>
              </w:rPr>
              <w:t xml:space="preserve">  姚斌 </w:t>
            </w:r>
          </w:p>
        </w:tc>
      </w:tr>
      <w:tr w14:paraId="4A35EFE0">
        <w:tblPrEx>
          <w:tblCellMar>
            <w:top w:w="0" w:type="dxa"/>
            <w:left w:w="108" w:type="dxa"/>
            <w:bottom w:w="0" w:type="dxa"/>
            <w:right w:w="108" w:type="dxa"/>
          </w:tblCellMar>
        </w:tblPrEx>
        <w:trPr>
          <w:trHeight w:val="48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5D0CB2EC">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12</w:t>
            </w:r>
          </w:p>
        </w:tc>
        <w:tc>
          <w:tcPr>
            <w:tcW w:w="1001" w:type="dxa"/>
            <w:tcBorders>
              <w:top w:val="single" w:color="000000" w:sz="4" w:space="0"/>
              <w:left w:val="single" w:color="000000" w:sz="4" w:space="0"/>
              <w:bottom w:val="single" w:color="000000" w:sz="4" w:space="0"/>
              <w:right w:val="single" w:color="000000" w:sz="4" w:space="0"/>
            </w:tcBorders>
            <w:vAlign w:val="center"/>
          </w:tcPr>
          <w:p w14:paraId="33837552">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中国建设银行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122BBDDF">
            <w:pPr>
              <w:jc w:val="left"/>
              <w:rPr>
                <w:rFonts w:ascii="宋体" w:hAnsi="宋体" w:cs="宋体"/>
                <w:color w:val="000000"/>
                <w:kern w:val="0"/>
                <w:sz w:val="19"/>
                <w:szCs w:val="19"/>
              </w:rPr>
            </w:pPr>
            <w:r>
              <w:rPr>
                <w:rFonts w:hint="eastAsia" w:ascii="宋体" w:hAnsi="宋体" w:cs="宋体"/>
                <w:color w:val="000000"/>
                <w:kern w:val="0"/>
                <w:sz w:val="19"/>
                <w:szCs w:val="19"/>
              </w:rPr>
              <w:t>参考利率：4.00%-5.00%</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融资额度：</w:t>
            </w:r>
          </w:p>
          <w:p w14:paraId="740B48F1">
            <w:pPr>
              <w:jc w:val="left"/>
              <w:rPr>
                <w:rFonts w:ascii="宋体" w:hAnsi="宋体" w:cs="宋体"/>
                <w:color w:val="000000"/>
                <w:kern w:val="0"/>
                <w:sz w:val="19"/>
                <w:szCs w:val="19"/>
              </w:rPr>
            </w:pPr>
            <w:r>
              <w:rPr>
                <w:rFonts w:hint="eastAsia" w:ascii="宋体" w:hAnsi="宋体" w:cs="宋体"/>
                <w:color w:val="000000"/>
                <w:kern w:val="0"/>
                <w:sz w:val="19"/>
                <w:szCs w:val="19"/>
              </w:rPr>
              <w:t>最高2000万元</w:t>
            </w:r>
          </w:p>
        </w:tc>
        <w:tc>
          <w:tcPr>
            <w:tcW w:w="964" w:type="dxa"/>
            <w:tcBorders>
              <w:top w:val="single" w:color="000000" w:sz="4" w:space="0"/>
              <w:left w:val="single" w:color="000000" w:sz="4" w:space="0"/>
              <w:bottom w:val="single" w:color="000000" w:sz="4" w:space="0"/>
              <w:right w:val="single" w:color="000000" w:sz="4" w:space="0"/>
            </w:tcBorders>
            <w:vAlign w:val="center"/>
          </w:tcPr>
          <w:p w14:paraId="6A3E7C62">
            <w:pPr>
              <w:widowControl/>
              <w:jc w:val="left"/>
              <w:textAlignment w:val="top"/>
              <w:rPr>
                <w:rFonts w:ascii="宋体" w:hAnsi="宋体" w:cs="宋体"/>
                <w:color w:val="000000"/>
                <w:kern w:val="0"/>
                <w:sz w:val="19"/>
                <w:szCs w:val="19"/>
              </w:rPr>
            </w:pPr>
            <w:r>
              <w:rPr>
                <w:rFonts w:hint="eastAsia" w:ascii="宋体" w:hAnsi="宋体" w:cs="宋体"/>
                <w:color w:val="000000"/>
                <w:kern w:val="0"/>
                <w:sz w:val="19"/>
                <w:szCs w:val="19"/>
              </w:rPr>
              <w:t>小微企业</w:t>
            </w:r>
          </w:p>
        </w:tc>
        <w:tc>
          <w:tcPr>
            <w:tcW w:w="3384" w:type="dxa"/>
            <w:tcBorders>
              <w:top w:val="single" w:color="000000" w:sz="4" w:space="0"/>
              <w:left w:val="single" w:color="000000" w:sz="4" w:space="0"/>
              <w:bottom w:val="single" w:color="000000" w:sz="4" w:space="0"/>
              <w:right w:val="single" w:color="000000" w:sz="4" w:space="0"/>
            </w:tcBorders>
            <w:vAlign w:val="center"/>
          </w:tcPr>
          <w:tbl>
            <w:tblPr>
              <w:tblStyle w:val="19"/>
              <w:tblW w:w="5000" w:type="pct"/>
              <w:tblInd w:w="0" w:type="dxa"/>
              <w:shd w:val="clear" w:color="auto" w:fill="FFFFFF"/>
              <w:tblLayout w:type="fixed"/>
              <w:tblCellMar>
                <w:top w:w="15" w:type="dxa"/>
                <w:left w:w="15" w:type="dxa"/>
                <w:bottom w:w="15" w:type="dxa"/>
                <w:right w:w="15" w:type="dxa"/>
              </w:tblCellMar>
            </w:tblPr>
            <w:tblGrid>
              <w:gridCol w:w="3168"/>
            </w:tblGrid>
            <w:tr w14:paraId="4F2E3A90">
              <w:tblPrEx>
                <w:shd w:val="clear" w:color="auto" w:fill="FFFFFF"/>
                <w:tblCellMar>
                  <w:top w:w="15" w:type="dxa"/>
                  <w:left w:w="15" w:type="dxa"/>
                  <w:bottom w:w="15" w:type="dxa"/>
                  <w:right w:w="15" w:type="dxa"/>
                </w:tblCellMar>
              </w:tblPrEx>
              <w:tc>
                <w:tcPr>
                  <w:tcW w:w="2632" w:type="dxa"/>
                  <w:shd w:val="clear" w:color="auto" w:fill="FFFFFF"/>
                  <w:tcMar>
                    <w:top w:w="150" w:type="dxa"/>
                    <w:left w:w="0" w:type="dxa"/>
                    <w:bottom w:w="150" w:type="dxa"/>
                    <w:right w:w="0" w:type="dxa"/>
                  </w:tcMar>
                </w:tcPr>
                <w:p w14:paraId="0151D7D0">
                  <w:pPr>
                    <w:widowControl/>
                    <w:numPr>
                      <w:ilvl w:val="0"/>
                      <w:numId w:val="7"/>
                    </w:numPr>
                    <w:jc w:val="left"/>
                    <w:textAlignment w:val="top"/>
                    <w:rPr>
                      <w:rFonts w:ascii="宋体" w:hAnsi="宋体" w:cs="宋体"/>
                      <w:color w:val="000000"/>
                      <w:kern w:val="0"/>
                      <w:sz w:val="19"/>
                      <w:szCs w:val="19"/>
                    </w:rPr>
                  </w:pPr>
                  <w:r>
                    <w:rPr>
                      <w:rFonts w:hint="eastAsia" w:ascii="宋体" w:hAnsi="宋体" w:cs="宋体"/>
                      <w:color w:val="000000"/>
                      <w:kern w:val="0"/>
                      <w:sz w:val="19"/>
                      <w:szCs w:val="19"/>
                    </w:rPr>
                    <w:t xml:space="preserve">企业已获得政府采购中标通知，并与集中采购机构、采购代理机构或采购人签订采购合同，企业不得采用分包或转包方式履行政府采购合同。政府采购合同明确了《民法典》规定的基本要素并符合商业惯例和行业规范，政府采购履约期限和付款期限距贷款申请日均在1年（含）以内。 </w:t>
                  </w:r>
                </w:p>
                <w:p w14:paraId="498EB63E">
                  <w:pPr>
                    <w:widowControl/>
                    <w:numPr>
                      <w:ilvl w:val="0"/>
                      <w:numId w:val="7"/>
                    </w:numPr>
                    <w:jc w:val="left"/>
                    <w:textAlignment w:val="top"/>
                    <w:rPr>
                      <w:rFonts w:ascii="宋体" w:hAnsi="宋体" w:cs="宋体"/>
                      <w:color w:val="000000"/>
                      <w:kern w:val="0"/>
                      <w:sz w:val="19"/>
                      <w:szCs w:val="19"/>
                    </w:rPr>
                  </w:pPr>
                  <w:r>
                    <w:rPr>
                      <w:rFonts w:hint="eastAsia" w:ascii="宋体" w:hAnsi="宋体" w:cs="宋体"/>
                      <w:color w:val="000000"/>
                      <w:kern w:val="0"/>
                      <w:sz w:val="19"/>
                      <w:szCs w:val="19"/>
                    </w:rPr>
                    <w:t xml:space="preserve">应收账款融资模式下，企业已按政府采购合同的约定履行了交货、工程施工或提供服务等主要义务并且无任何违约行为。 </w:t>
                  </w:r>
                </w:p>
                <w:p w14:paraId="6AA20518">
                  <w:pPr>
                    <w:widowControl/>
                    <w:numPr>
                      <w:ilvl w:val="0"/>
                      <w:numId w:val="7"/>
                    </w:numPr>
                    <w:jc w:val="left"/>
                    <w:textAlignment w:val="top"/>
                    <w:rPr>
                      <w:rFonts w:ascii="宋体" w:hAnsi="宋体" w:cs="宋体"/>
                      <w:color w:val="000000"/>
                      <w:kern w:val="0"/>
                      <w:sz w:val="19"/>
                      <w:szCs w:val="19"/>
                    </w:rPr>
                  </w:pPr>
                  <w:r>
                    <w:rPr>
                      <w:rFonts w:hint="eastAsia" w:ascii="宋体" w:hAnsi="宋体" w:cs="宋体"/>
                      <w:color w:val="000000"/>
                      <w:kern w:val="0"/>
                      <w:sz w:val="19"/>
                      <w:szCs w:val="19"/>
                    </w:rPr>
                    <w:t xml:space="preserve">采购合同融资模式下，企业在政府采购活动中与政府成功合作2年（含）以上，且近2年政府采购供应量、工程量或服务量均不低于100万元（含）。 </w:t>
                  </w:r>
                </w:p>
                <w:p w14:paraId="1374504C">
                  <w:pPr>
                    <w:widowControl/>
                    <w:jc w:val="left"/>
                    <w:textAlignment w:val="top"/>
                    <w:rPr>
                      <w:rFonts w:ascii="����" w:hAnsi="����" w:eastAsia="����" w:cs="����"/>
                      <w:color w:val="333333"/>
                      <w:sz w:val="24"/>
                      <w:szCs w:val="24"/>
                    </w:rPr>
                  </w:pPr>
                  <w:r>
                    <w:rPr>
                      <w:rFonts w:hint="eastAsia" w:ascii="宋体" w:hAnsi="宋体" w:cs="宋体"/>
                      <w:color w:val="000000"/>
                      <w:kern w:val="0"/>
                      <w:sz w:val="19"/>
                      <w:szCs w:val="19"/>
                    </w:rPr>
                    <w:t>4、（四）企业向政府提供的货物、工程或服务质量稳定，与政府合作历史中未产生纠纷，与上、下游客户未发生重大债权、债务纠纷，近三年未被政府采购部门列入不良记录名单</w:t>
                  </w:r>
                </w:p>
              </w:tc>
            </w:tr>
          </w:tbl>
          <w:p w14:paraId="1601FE15">
            <w:pPr>
              <w:widowControl/>
              <w:jc w:val="left"/>
              <w:textAlignment w:val="top"/>
              <w:rPr>
                <w:rFonts w:ascii="宋体" w:hAnsi="宋体" w:cs="宋体"/>
                <w:color w:val="000000"/>
                <w:kern w:val="0"/>
                <w:sz w:val="19"/>
                <w:szCs w:val="19"/>
              </w:rPr>
            </w:pPr>
          </w:p>
        </w:tc>
        <w:tc>
          <w:tcPr>
            <w:tcW w:w="1386" w:type="dxa"/>
            <w:tcBorders>
              <w:top w:val="single" w:color="000000" w:sz="4" w:space="0"/>
              <w:left w:val="single" w:color="000000" w:sz="4" w:space="0"/>
              <w:bottom w:val="single" w:color="000000" w:sz="4" w:space="0"/>
              <w:right w:val="single" w:color="000000" w:sz="4" w:space="0"/>
            </w:tcBorders>
            <w:noWrap/>
            <w:vAlign w:val="center"/>
          </w:tcPr>
          <w:p w14:paraId="267A7547">
            <w:pPr>
              <w:jc w:val="center"/>
              <w:rPr>
                <w:rFonts w:ascii="宋体" w:hAnsi="宋体" w:cs="宋体"/>
                <w:color w:val="000000"/>
                <w:kern w:val="0"/>
                <w:sz w:val="19"/>
                <w:szCs w:val="19"/>
              </w:rPr>
            </w:pPr>
            <w:r>
              <w:rPr>
                <w:rFonts w:hint="eastAsia" w:ascii="宋体" w:hAnsi="宋体" w:cs="宋体"/>
                <w:color w:val="000000"/>
                <w:kern w:val="0"/>
                <w:sz w:val="19"/>
                <w:szCs w:val="19"/>
              </w:rPr>
              <w:t xml:space="preserve">58751595 </w:t>
            </w:r>
          </w:p>
          <w:p w14:paraId="46B76C1B">
            <w:pPr>
              <w:jc w:val="center"/>
              <w:rPr>
                <w:rFonts w:ascii="宋体" w:hAnsi="宋体" w:cs="宋体"/>
                <w:color w:val="000000"/>
                <w:kern w:val="0"/>
                <w:sz w:val="19"/>
                <w:szCs w:val="19"/>
              </w:rPr>
            </w:pPr>
            <w:r>
              <w:rPr>
                <w:rFonts w:hint="eastAsia" w:ascii="宋体" w:hAnsi="宋体" w:cs="宋体"/>
                <w:color w:val="000000"/>
                <w:kern w:val="0"/>
                <w:sz w:val="19"/>
                <w:szCs w:val="19"/>
              </w:rPr>
              <w:t xml:space="preserve"> 赵望宇 </w:t>
            </w:r>
          </w:p>
          <w:p w14:paraId="26434D3B">
            <w:pPr>
              <w:jc w:val="center"/>
              <w:rPr>
                <w:rFonts w:ascii="宋体" w:hAnsi="宋体" w:cs="宋体"/>
                <w:color w:val="000000"/>
                <w:kern w:val="0"/>
                <w:sz w:val="19"/>
                <w:szCs w:val="19"/>
              </w:rPr>
            </w:pPr>
            <w:r>
              <w:rPr>
                <w:rFonts w:hint="eastAsia" w:ascii="宋体" w:hAnsi="宋体" w:cs="宋体"/>
                <w:color w:val="000000"/>
                <w:kern w:val="0"/>
                <w:sz w:val="19"/>
                <w:szCs w:val="19"/>
              </w:rPr>
              <w:t>58750209</w:t>
            </w:r>
          </w:p>
          <w:p w14:paraId="3AEBA1F3">
            <w:pPr>
              <w:jc w:val="center"/>
              <w:rPr>
                <w:rFonts w:ascii="宋体" w:hAnsi="宋体" w:cs="宋体"/>
                <w:color w:val="000000"/>
                <w:kern w:val="0"/>
                <w:sz w:val="19"/>
                <w:szCs w:val="19"/>
              </w:rPr>
            </w:pPr>
            <w:r>
              <w:rPr>
                <w:rFonts w:hint="eastAsia" w:ascii="宋体" w:hAnsi="宋体" w:cs="宋体"/>
                <w:color w:val="000000"/>
                <w:kern w:val="0"/>
                <w:sz w:val="19"/>
                <w:szCs w:val="19"/>
              </w:rPr>
              <w:t xml:space="preserve">肖毅 </w:t>
            </w:r>
          </w:p>
        </w:tc>
      </w:tr>
      <w:tr w14:paraId="5A532160">
        <w:tblPrEx>
          <w:tblCellMar>
            <w:top w:w="0" w:type="dxa"/>
            <w:left w:w="108" w:type="dxa"/>
            <w:bottom w:w="0" w:type="dxa"/>
            <w:right w:w="108" w:type="dxa"/>
          </w:tblCellMar>
        </w:tblPrEx>
        <w:trPr>
          <w:trHeight w:val="48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76D14D12">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13</w:t>
            </w:r>
          </w:p>
        </w:tc>
        <w:tc>
          <w:tcPr>
            <w:tcW w:w="1001" w:type="dxa"/>
            <w:tcBorders>
              <w:top w:val="single" w:color="000000" w:sz="4" w:space="0"/>
              <w:left w:val="single" w:color="000000" w:sz="4" w:space="0"/>
              <w:bottom w:val="single" w:color="000000" w:sz="4" w:space="0"/>
              <w:right w:val="single" w:color="000000" w:sz="4" w:space="0"/>
            </w:tcBorders>
            <w:vAlign w:val="center"/>
          </w:tcPr>
          <w:p w14:paraId="27B48CF0">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中国农业银行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6A08514D">
            <w:pPr>
              <w:jc w:val="left"/>
              <w:rPr>
                <w:rFonts w:ascii="宋体" w:hAnsi="宋体" w:cs="宋体"/>
                <w:color w:val="000000"/>
                <w:kern w:val="0"/>
                <w:sz w:val="19"/>
                <w:szCs w:val="19"/>
              </w:rPr>
            </w:pPr>
            <w:r>
              <w:rPr>
                <w:rFonts w:hint="eastAsia" w:ascii="宋体" w:hAnsi="宋体" w:cs="宋体"/>
                <w:color w:val="000000"/>
                <w:kern w:val="0"/>
                <w:sz w:val="19"/>
                <w:szCs w:val="19"/>
              </w:rPr>
              <w:t>参考利率：</w:t>
            </w:r>
          </w:p>
          <w:p w14:paraId="4641AB4D">
            <w:pPr>
              <w:jc w:val="left"/>
              <w:rPr>
                <w:rFonts w:ascii="宋体" w:hAnsi="宋体" w:cs="宋体"/>
                <w:color w:val="000000"/>
                <w:kern w:val="0"/>
                <w:sz w:val="19"/>
                <w:szCs w:val="19"/>
              </w:rPr>
            </w:pPr>
            <w:r>
              <w:rPr>
                <w:rFonts w:hint="eastAsia" w:ascii="宋体" w:hAnsi="宋体" w:cs="宋体"/>
                <w:color w:val="000000"/>
                <w:kern w:val="0"/>
                <w:sz w:val="19"/>
                <w:szCs w:val="19"/>
              </w:rPr>
              <w:t>约4%</w:t>
            </w:r>
          </w:p>
          <w:p w14:paraId="40628960">
            <w:pPr>
              <w:jc w:val="left"/>
              <w:rPr>
                <w:rFonts w:ascii="宋体" w:hAnsi="宋体" w:cs="宋体"/>
                <w:color w:val="000000"/>
                <w:kern w:val="0"/>
                <w:sz w:val="19"/>
                <w:szCs w:val="19"/>
              </w:rPr>
            </w:pPr>
            <w:r>
              <w:rPr>
                <w:rFonts w:hint="eastAsia" w:ascii="宋体" w:hAnsi="宋体" w:cs="宋体"/>
                <w:color w:val="000000"/>
                <w:kern w:val="0"/>
                <w:sz w:val="19"/>
                <w:szCs w:val="19"/>
              </w:rPr>
              <w:t>融资额度：最高1000万元</w:t>
            </w:r>
          </w:p>
        </w:tc>
        <w:tc>
          <w:tcPr>
            <w:tcW w:w="964" w:type="dxa"/>
            <w:tcBorders>
              <w:top w:val="single" w:color="000000" w:sz="4" w:space="0"/>
              <w:left w:val="single" w:color="000000" w:sz="4" w:space="0"/>
              <w:bottom w:val="single" w:color="000000" w:sz="4" w:space="0"/>
              <w:right w:val="single" w:color="000000" w:sz="4" w:space="0"/>
            </w:tcBorders>
            <w:vAlign w:val="center"/>
          </w:tcPr>
          <w:p w14:paraId="1692FA49">
            <w:pPr>
              <w:widowControl/>
              <w:textAlignment w:val="top"/>
              <w:rPr>
                <w:rFonts w:ascii="宋体" w:hAnsi="宋体" w:cs="宋体"/>
                <w:color w:val="000000"/>
                <w:kern w:val="0"/>
                <w:sz w:val="19"/>
                <w:szCs w:val="19"/>
              </w:rPr>
            </w:pPr>
            <w:r>
              <w:rPr>
                <w:rFonts w:hint="eastAsia" w:ascii="宋体" w:hAnsi="宋体" w:cs="宋体"/>
                <w:color w:val="000000"/>
                <w:kern w:val="0"/>
                <w:sz w:val="19"/>
                <w:szCs w:val="19"/>
              </w:rPr>
              <w:t>小微企业</w:t>
            </w:r>
          </w:p>
        </w:tc>
        <w:tc>
          <w:tcPr>
            <w:tcW w:w="3384" w:type="dxa"/>
            <w:tcBorders>
              <w:top w:val="single" w:color="000000" w:sz="4" w:space="0"/>
              <w:left w:val="single" w:color="000000" w:sz="4" w:space="0"/>
              <w:bottom w:val="single" w:color="000000" w:sz="4" w:space="0"/>
              <w:right w:val="single" w:color="000000" w:sz="4" w:space="0"/>
            </w:tcBorders>
            <w:vAlign w:val="center"/>
          </w:tcPr>
          <w:tbl>
            <w:tblPr>
              <w:tblStyle w:val="19"/>
              <w:tblW w:w="5000" w:type="pct"/>
              <w:tblInd w:w="0" w:type="dxa"/>
              <w:shd w:val="clear" w:color="auto" w:fill="FFFFFF"/>
              <w:tblLayout w:type="fixed"/>
              <w:tblCellMar>
                <w:top w:w="15" w:type="dxa"/>
                <w:left w:w="15" w:type="dxa"/>
                <w:bottom w:w="15" w:type="dxa"/>
                <w:right w:w="15" w:type="dxa"/>
              </w:tblCellMar>
            </w:tblPr>
            <w:tblGrid>
              <w:gridCol w:w="3168"/>
            </w:tblGrid>
            <w:tr w14:paraId="34D6323C">
              <w:tblPrEx>
                <w:shd w:val="clear" w:color="auto" w:fill="FFFFFF"/>
                <w:tblCellMar>
                  <w:top w:w="15" w:type="dxa"/>
                  <w:left w:w="15" w:type="dxa"/>
                  <w:bottom w:w="15" w:type="dxa"/>
                  <w:right w:w="15" w:type="dxa"/>
                </w:tblCellMar>
              </w:tblPrEx>
              <w:tc>
                <w:tcPr>
                  <w:tcW w:w="3007" w:type="dxa"/>
                  <w:shd w:val="clear" w:color="auto" w:fill="FFFFFF"/>
                  <w:tcMar>
                    <w:top w:w="150" w:type="dxa"/>
                    <w:left w:w="0" w:type="dxa"/>
                    <w:bottom w:w="150" w:type="dxa"/>
                    <w:right w:w="0" w:type="dxa"/>
                  </w:tcMar>
                </w:tcPr>
                <w:p w14:paraId="6EFB2217">
                  <w:pPr>
                    <w:widowControl/>
                    <w:jc w:val="left"/>
                    <w:textAlignment w:val="top"/>
                    <w:rPr>
                      <w:rFonts w:ascii="宋体" w:hAnsi="宋体" w:cs="宋体"/>
                      <w:color w:val="000000"/>
                      <w:kern w:val="0"/>
                      <w:sz w:val="19"/>
                      <w:szCs w:val="19"/>
                    </w:rPr>
                  </w:pPr>
                  <w:r>
                    <w:rPr>
                      <w:rFonts w:hint="eastAsia" w:ascii="宋体" w:hAnsi="宋体" w:cs="宋体"/>
                      <w:color w:val="000000"/>
                      <w:kern w:val="0"/>
                      <w:sz w:val="19"/>
                      <w:szCs w:val="19"/>
                    </w:rPr>
                    <w:t xml:space="preserve">1、公司成立1年（含）以上，属于政采中标供应商,履约记录良好。 </w:t>
                  </w:r>
                </w:p>
                <w:p w14:paraId="2A8773C3">
                  <w:pPr>
                    <w:widowControl/>
                    <w:numPr>
                      <w:ilvl w:val="0"/>
                      <w:numId w:val="8"/>
                    </w:numPr>
                    <w:jc w:val="left"/>
                    <w:textAlignment w:val="top"/>
                    <w:rPr>
                      <w:rFonts w:ascii="宋体" w:hAnsi="宋体" w:cs="宋体"/>
                      <w:color w:val="000000"/>
                      <w:kern w:val="0"/>
                      <w:sz w:val="19"/>
                      <w:szCs w:val="19"/>
                    </w:rPr>
                  </w:pPr>
                  <w:r>
                    <w:rPr>
                      <w:rFonts w:hint="eastAsia" w:ascii="宋体" w:hAnsi="宋体" w:cs="宋体"/>
                      <w:color w:val="000000"/>
                      <w:kern w:val="0"/>
                      <w:sz w:val="19"/>
                      <w:szCs w:val="19"/>
                    </w:rPr>
                    <w:t xml:space="preserve">在我行开立账户，自愿接受农业银行信用监督和结算监管。 </w:t>
                  </w:r>
                </w:p>
                <w:p w14:paraId="46315AB2">
                  <w:pPr>
                    <w:widowControl/>
                    <w:jc w:val="left"/>
                    <w:textAlignment w:val="top"/>
                    <w:rPr>
                      <w:rFonts w:ascii="����" w:hAnsi="����" w:eastAsia="����" w:cs="����"/>
                      <w:color w:val="333333"/>
                      <w:sz w:val="24"/>
                      <w:szCs w:val="24"/>
                    </w:rPr>
                  </w:pPr>
                  <w:r>
                    <w:rPr>
                      <w:rFonts w:hint="eastAsia" w:ascii="宋体" w:hAnsi="宋体" w:cs="宋体"/>
                      <w:color w:val="000000"/>
                      <w:kern w:val="0"/>
                      <w:sz w:val="19"/>
                      <w:szCs w:val="19"/>
                    </w:rPr>
                    <w:t>3、法定代表人年满18周岁且不超过65周岁，非港、澳、台及外籍人士。 注：具体开办的业务种类及办理程序、办理条件等以中国农业银行当地分行有关规定为准。</w:t>
                  </w:r>
                </w:p>
              </w:tc>
            </w:tr>
          </w:tbl>
          <w:p w14:paraId="5A5326FB">
            <w:pPr>
              <w:widowControl/>
              <w:jc w:val="left"/>
              <w:textAlignment w:val="top"/>
              <w:rPr>
                <w:rFonts w:ascii="宋体" w:hAnsi="宋体" w:cs="宋体"/>
                <w:color w:val="000000"/>
                <w:kern w:val="0"/>
                <w:sz w:val="19"/>
                <w:szCs w:val="19"/>
              </w:rPr>
            </w:pPr>
          </w:p>
        </w:tc>
        <w:tc>
          <w:tcPr>
            <w:tcW w:w="1386" w:type="dxa"/>
            <w:tcBorders>
              <w:top w:val="single" w:color="000000" w:sz="4" w:space="0"/>
              <w:left w:val="single" w:color="000000" w:sz="4" w:space="0"/>
              <w:bottom w:val="single" w:color="000000" w:sz="4" w:space="0"/>
              <w:right w:val="single" w:color="000000" w:sz="4" w:space="0"/>
            </w:tcBorders>
            <w:noWrap/>
            <w:vAlign w:val="center"/>
          </w:tcPr>
          <w:p w14:paraId="1157ECF4">
            <w:pPr>
              <w:widowControl/>
              <w:jc w:val="center"/>
              <w:textAlignment w:val="top"/>
              <w:rPr>
                <w:rFonts w:ascii="宋体" w:hAnsi="宋体" w:cs="宋体"/>
                <w:color w:val="000000"/>
                <w:kern w:val="0"/>
                <w:sz w:val="19"/>
                <w:szCs w:val="19"/>
              </w:rPr>
            </w:pPr>
            <w:r>
              <w:rPr>
                <w:rFonts w:hint="eastAsia" w:ascii="宋体" w:hAnsi="宋体" w:cs="宋体"/>
                <w:color w:val="000000"/>
                <w:kern w:val="0"/>
                <w:sz w:val="19"/>
                <w:szCs w:val="19"/>
              </w:rPr>
              <w:t>13920727755</w:t>
            </w:r>
          </w:p>
          <w:p w14:paraId="3106FB33">
            <w:pPr>
              <w:jc w:val="center"/>
              <w:rPr>
                <w:rFonts w:ascii="宋体" w:hAnsi="宋体" w:cs="宋体"/>
                <w:color w:val="000000"/>
                <w:kern w:val="0"/>
                <w:sz w:val="19"/>
                <w:szCs w:val="19"/>
              </w:rPr>
            </w:pPr>
            <w:r>
              <w:rPr>
                <w:rFonts w:hint="eastAsia" w:ascii="宋体" w:hAnsi="宋体" w:cs="宋体"/>
                <w:color w:val="000000"/>
                <w:kern w:val="0"/>
                <w:sz w:val="19"/>
                <w:szCs w:val="19"/>
              </w:rPr>
              <w:t>李倩</w:t>
            </w:r>
          </w:p>
        </w:tc>
      </w:tr>
      <w:tr w14:paraId="76279EE1">
        <w:tblPrEx>
          <w:tblCellMar>
            <w:top w:w="0" w:type="dxa"/>
            <w:left w:w="108" w:type="dxa"/>
            <w:bottom w:w="0" w:type="dxa"/>
            <w:right w:w="108" w:type="dxa"/>
          </w:tblCellMar>
        </w:tblPrEx>
        <w:trPr>
          <w:trHeight w:val="48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29DBCC9E">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14</w:t>
            </w:r>
          </w:p>
        </w:tc>
        <w:tc>
          <w:tcPr>
            <w:tcW w:w="1001" w:type="dxa"/>
            <w:tcBorders>
              <w:top w:val="single" w:color="000000" w:sz="4" w:space="0"/>
              <w:left w:val="single" w:color="000000" w:sz="4" w:space="0"/>
              <w:bottom w:val="single" w:color="000000" w:sz="4" w:space="0"/>
              <w:right w:val="single" w:color="000000" w:sz="4" w:space="0"/>
            </w:tcBorders>
            <w:vAlign w:val="center"/>
          </w:tcPr>
          <w:p w14:paraId="6858AF95">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招商银行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33EC5920">
            <w:pPr>
              <w:jc w:val="left"/>
              <w:rPr>
                <w:rFonts w:ascii="宋体" w:hAnsi="宋体" w:cs="宋体"/>
                <w:color w:val="000000"/>
                <w:kern w:val="0"/>
                <w:sz w:val="19"/>
                <w:szCs w:val="19"/>
              </w:rPr>
            </w:pPr>
            <w:r>
              <w:rPr>
                <w:rFonts w:hint="eastAsia" w:ascii="宋体" w:hAnsi="宋体" w:cs="宋体"/>
                <w:color w:val="000000"/>
                <w:kern w:val="0"/>
                <w:sz w:val="19"/>
                <w:szCs w:val="19"/>
              </w:rPr>
              <w:t>参考利率：</w:t>
            </w:r>
          </w:p>
          <w:p w14:paraId="74E64026">
            <w:pPr>
              <w:jc w:val="left"/>
              <w:rPr>
                <w:rFonts w:ascii="宋体" w:hAnsi="宋体" w:cs="宋体"/>
                <w:color w:val="000000"/>
                <w:kern w:val="0"/>
                <w:sz w:val="19"/>
                <w:szCs w:val="19"/>
              </w:rPr>
            </w:pPr>
            <w:r>
              <w:rPr>
                <w:rFonts w:hint="eastAsia" w:ascii="宋体" w:hAnsi="宋体" w:cs="宋体"/>
                <w:color w:val="000000"/>
                <w:kern w:val="0"/>
                <w:sz w:val="19"/>
                <w:szCs w:val="19"/>
              </w:rPr>
              <w:t>一般性贷款利率</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融资额度：最高3000万元</w:t>
            </w:r>
          </w:p>
        </w:tc>
        <w:tc>
          <w:tcPr>
            <w:tcW w:w="964" w:type="dxa"/>
            <w:tcBorders>
              <w:top w:val="single" w:color="000000" w:sz="4" w:space="0"/>
              <w:left w:val="single" w:color="000000" w:sz="4" w:space="0"/>
              <w:bottom w:val="single" w:color="000000" w:sz="4" w:space="0"/>
              <w:right w:val="single" w:color="000000" w:sz="4" w:space="0"/>
            </w:tcBorders>
            <w:vAlign w:val="center"/>
          </w:tcPr>
          <w:p w14:paraId="1E227D9F">
            <w:pPr>
              <w:widowControl/>
              <w:jc w:val="center"/>
              <w:textAlignment w:val="top"/>
              <w:rPr>
                <w:rFonts w:ascii="宋体" w:hAnsi="宋体" w:cs="宋体"/>
                <w:color w:val="000000"/>
                <w:kern w:val="0"/>
                <w:sz w:val="19"/>
                <w:szCs w:val="19"/>
              </w:rPr>
            </w:pPr>
            <w:r>
              <w:rPr>
                <w:rFonts w:hint="eastAsia" w:ascii="宋体" w:hAnsi="宋体" w:cs="宋体"/>
                <w:color w:val="000000"/>
                <w:kern w:val="0"/>
                <w:sz w:val="19"/>
                <w:szCs w:val="19"/>
              </w:rPr>
              <w:t>大中小微企业</w:t>
            </w:r>
          </w:p>
        </w:tc>
        <w:tc>
          <w:tcPr>
            <w:tcW w:w="3384" w:type="dxa"/>
            <w:tcBorders>
              <w:top w:val="single" w:color="000000" w:sz="4" w:space="0"/>
              <w:left w:val="single" w:color="000000" w:sz="4" w:space="0"/>
              <w:bottom w:val="single" w:color="000000" w:sz="4" w:space="0"/>
              <w:right w:val="single" w:color="000000" w:sz="4" w:space="0"/>
            </w:tcBorders>
            <w:vAlign w:val="center"/>
          </w:tcPr>
          <w:tbl>
            <w:tblPr>
              <w:tblStyle w:val="19"/>
              <w:tblW w:w="5000" w:type="pct"/>
              <w:tblInd w:w="0" w:type="dxa"/>
              <w:shd w:val="clear" w:color="auto" w:fill="FFFFFF"/>
              <w:tblLayout w:type="fixed"/>
              <w:tblCellMar>
                <w:top w:w="15" w:type="dxa"/>
                <w:left w:w="15" w:type="dxa"/>
                <w:bottom w:w="15" w:type="dxa"/>
                <w:right w:w="15" w:type="dxa"/>
              </w:tblCellMar>
            </w:tblPr>
            <w:tblGrid>
              <w:gridCol w:w="3168"/>
            </w:tblGrid>
            <w:tr w14:paraId="3128B47F">
              <w:tblPrEx>
                <w:shd w:val="clear" w:color="auto" w:fill="FFFFFF"/>
                <w:tblCellMar>
                  <w:top w:w="15" w:type="dxa"/>
                  <w:left w:w="15" w:type="dxa"/>
                  <w:bottom w:w="15" w:type="dxa"/>
                  <w:right w:w="15" w:type="dxa"/>
                </w:tblCellMar>
              </w:tblPrEx>
              <w:tc>
                <w:tcPr>
                  <w:tcW w:w="3007" w:type="dxa"/>
                  <w:shd w:val="clear" w:color="auto" w:fill="FFFFFF"/>
                  <w:tcMar>
                    <w:top w:w="150" w:type="dxa"/>
                    <w:left w:w="0" w:type="dxa"/>
                    <w:bottom w:w="150" w:type="dxa"/>
                    <w:right w:w="0" w:type="dxa"/>
                  </w:tcMar>
                </w:tcPr>
                <w:p w14:paraId="6C702ADF">
                  <w:pPr>
                    <w:widowControl/>
                    <w:jc w:val="left"/>
                    <w:textAlignment w:val="top"/>
                    <w:rPr>
                      <w:rFonts w:ascii="����" w:hAnsi="����" w:eastAsia="����" w:cs="����"/>
                      <w:color w:val="333333"/>
                      <w:sz w:val="24"/>
                      <w:szCs w:val="24"/>
                    </w:rPr>
                  </w:pPr>
                  <w:r>
                    <w:rPr>
                      <w:rFonts w:hint="eastAsia" w:ascii="宋体" w:hAnsi="宋体" w:cs="宋体"/>
                      <w:color w:val="000000"/>
                      <w:kern w:val="0"/>
                      <w:sz w:val="19"/>
                      <w:szCs w:val="19"/>
                    </w:rPr>
                    <w:t>1、企业及实际控制人征信及各项社会记录较好。</w:t>
                  </w:r>
                </w:p>
                <w:p w14:paraId="289F043C">
                  <w:pPr>
                    <w:widowControl/>
                    <w:jc w:val="left"/>
                    <w:textAlignment w:val="top"/>
                    <w:rPr>
                      <w:rFonts w:ascii="宋体" w:hAnsi="宋体" w:cs="宋体"/>
                      <w:color w:val="000000"/>
                      <w:kern w:val="0"/>
                      <w:sz w:val="19"/>
                      <w:szCs w:val="19"/>
                    </w:rPr>
                  </w:pPr>
                  <w:r>
                    <w:rPr>
                      <w:rFonts w:hint="eastAsia" w:ascii="宋体" w:hAnsi="宋体" w:cs="宋体"/>
                      <w:color w:val="000000"/>
                      <w:kern w:val="0"/>
                      <w:sz w:val="19"/>
                      <w:szCs w:val="19"/>
                    </w:rPr>
                    <w:t>2、企业成立两年以上或实际控制人本行业经营两年以上。</w:t>
                  </w:r>
                </w:p>
                <w:p w14:paraId="6BFFA55B">
                  <w:pPr>
                    <w:widowControl/>
                    <w:jc w:val="left"/>
                    <w:textAlignment w:val="top"/>
                    <w:rPr>
                      <w:rFonts w:ascii="����" w:hAnsi="����" w:eastAsia="����" w:cs="����"/>
                      <w:color w:val="333333"/>
                      <w:sz w:val="24"/>
                      <w:szCs w:val="24"/>
                    </w:rPr>
                  </w:pPr>
                  <w:r>
                    <w:rPr>
                      <w:rFonts w:hint="eastAsia" w:ascii="宋体" w:hAnsi="宋体" w:cs="宋体"/>
                      <w:color w:val="000000"/>
                      <w:kern w:val="0"/>
                      <w:sz w:val="19"/>
                      <w:szCs w:val="19"/>
                    </w:rPr>
                    <w:t>3、财务报表未出现连续两年经营亏损。</w:t>
                  </w:r>
                </w:p>
              </w:tc>
            </w:tr>
          </w:tbl>
          <w:p w14:paraId="22CBCF07">
            <w:pPr>
              <w:widowControl/>
              <w:jc w:val="left"/>
              <w:textAlignment w:val="top"/>
              <w:rPr>
                <w:rFonts w:ascii="宋体" w:hAnsi="宋体" w:cs="宋体"/>
                <w:color w:val="000000"/>
                <w:kern w:val="0"/>
                <w:sz w:val="19"/>
                <w:szCs w:val="19"/>
              </w:rPr>
            </w:pPr>
          </w:p>
        </w:tc>
        <w:tc>
          <w:tcPr>
            <w:tcW w:w="1386" w:type="dxa"/>
            <w:tcBorders>
              <w:top w:val="single" w:color="000000" w:sz="4" w:space="0"/>
              <w:left w:val="single" w:color="000000" w:sz="4" w:space="0"/>
              <w:bottom w:val="single" w:color="000000" w:sz="4" w:space="0"/>
              <w:right w:val="single" w:color="000000" w:sz="4" w:space="0"/>
            </w:tcBorders>
            <w:noWrap/>
            <w:vAlign w:val="center"/>
          </w:tcPr>
          <w:p w14:paraId="332701D0">
            <w:pPr>
              <w:jc w:val="center"/>
              <w:rPr>
                <w:rFonts w:ascii="宋体" w:hAnsi="宋体" w:cs="宋体"/>
                <w:color w:val="000000"/>
                <w:kern w:val="0"/>
                <w:sz w:val="19"/>
                <w:szCs w:val="19"/>
              </w:rPr>
            </w:pPr>
            <w:r>
              <w:rPr>
                <w:rFonts w:hint="eastAsia" w:ascii="宋体" w:hAnsi="宋体" w:cs="宋体"/>
                <w:color w:val="000000"/>
                <w:kern w:val="0"/>
                <w:sz w:val="19"/>
                <w:szCs w:val="19"/>
              </w:rPr>
              <w:t>28301244</w:t>
            </w:r>
          </w:p>
        </w:tc>
      </w:tr>
      <w:tr w14:paraId="7910AEC1">
        <w:tblPrEx>
          <w:tblCellMar>
            <w:top w:w="0" w:type="dxa"/>
            <w:left w:w="108" w:type="dxa"/>
            <w:bottom w:w="0" w:type="dxa"/>
            <w:right w:w="108" w:type="dxa"/>
          </w:tblCellMar>
        </w:tblPrEx>
        <w:trPr>
          <w:trHeight w:val="48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7D4CC235">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15</w:t>
            </w:r>
          </w:p>
        </w:tc>
        <w:tc>
          <w:tcPr>
            <w:tcW w:w="1001" w:type="dxa"/>
            <w:tcBorders>
              <w:top w:val="single" w:color="000000" w:sz="4" w:space="0"/>
              <w:left w:val="single" w:color="000000" w:sz="4" w:space="0"/>
              <w:bottom w:val="single" w:color="000000" w:sz="4" w:space="0"/>
              <w:right w:val="single" w:color="000000" w:sz="4" w:space="0"/>
            </w:tcBorders>
            <w:vAlign w:val="center"/>
          </w:tcPr>
          <w:p w14:paraId="0C0C0DEB">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兴业银行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0A525477">
            <w:pPr>
              <w:jc w:val="left"/>
              <w:rPr>
                <w:rFonts w:ascii="宋体" w:hAnsi="宋体" w:cs="宋体"/>
                <w:color w:val="000000"/>
                <w:kern w:val="0"/>
                <w:sz w:val="19"/>
                <w:szCs w:val="19"/>
              </w:rPr>
            </w:pPr>
            <w:r>
              <w:rPr>
                <w:rFonts w:hint="eastAsia" w:ascii="宋体" w:hAnsi="宋体" w:cs="宋体"/>
                <w:color w:val="000000"/>
                <w:kern w:val="0"/>
                <w:sz w:val="19"/>
                <w:szCs w:val="19"/>
              </w:rPr>
              <w:t>参考利率：</w:t>
            </w:r>
          </w:p>
          <w:p w14:paraId="11E57C5A">
            <w:pPr>
              <w:jc w:val="left"/>
              <w:rPr>
                <w:rFonts w:ascii="宋体" w:hAnsi="宋体" w:cs="宋体"/>
                <w:color w:val="000000"/>
                <w:kern w:val="0"/>
                <w:sz w:val="19"/>
                <w:szCs w:val="19"/>
              </w:rPr>
            </w:pPr>
            <w:r>
              <w:rPr>
                <w:rFonts w:hint="eastAsia" w:ascii="宋体" w:hAnsi="宋体" w:cs="宋体"/>
                <w:color w:val="000000"/>
                <w:kern w:val="0"/>
                <w:sz w:val="19"/>
                <w:szCs w:val="19"/>
              </w:rPr>
              <w:t>利率3.7%起</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融资额度：</w:t>
            </w:r>
          </w:p>
          <w:p w14:paraId="567AC7F8">
            <w:pPr>
              <w:jc w:val="left"/>
              <w:rPr>
                <w:rFonts w:ascii="宋体" w:hAnsi="宋体" w:cs="宋体"/>
                <w:color w:val="000000"/>
                <w:kern w:val="0"/>
                <w:sz w:val="19"/>
                <w:szCs w:val="19"/>
              </w:rPr>
            </w:pPr>
            <w:r>
              <w:rPr>
                <w:rFonts w:hint="eastAsia" w:ascii="宋体" w:hAnsi="宋体" w:cs="宋体"/>
                <w:color w:val="000000"/>
                <w:kern w:val="0"/>
                <w:sz w:val="19"/>
                <w:szCs w:val="19"/>
              </w:rPr>
              <w:t>最高1000万元</w:t>
            </w:r>
          </w:p>
        </w:tc>
        <w:tc>
          <w:tcPr>
            <w:tcW w:w="964" w:type="dxa"/>
            <w:tcBorders>
              <w:top w:val="single" w:color="000000" w:sz="4" w:space="0"/>
              <w:left w:val="single" w:color="000000" w:sz="4" w:space="0"/>
              <w:bottom w:val="single" w:color="000000" w:sz="4" w:space="0"/>
              <w:right w:val="single" w:color="000000" w:sz="4" w:space="0"/>
            </w:tcBorders>
            <w:vAlign w:val="center"/>
          </w:tcPr>
          <w:p w14:paraId="5E670832">
            <w:pPr>
              <w:widowControl/>
              <w:jc w:val="left"/>
              <w:textAlignment w:val="top"/>
              <w:rPr>
                <w:rFonts w:ascii="宋体" w:hAnsi="宋体" w:cs="宋体"/>
                <w:color w:val="000000"/>
                <w:kern w:val="0"/>
                <w:sz w:val="19"/>
                <w:szCs w:val="19"/>
              </w:rPr>
            </w:pPr>
            <w:r>
              <w:rPr>
                <w:rFonts w:hint="eastAsia" w:ascii="宋体" w:hAnsi="宋体" w:cs="宋体"/>
                <w:color w:val="000000"/>
                <w:kern w:val="0"/>
                <w:sz w:val="19"/>
                <w:szCs w:val="19"/>
              </w:rPr>
              <w:t>小微企业</w:t>
            </w:r>
          </w:p>
        </w:tc>
        <w:tc>
          <w:tcPr>
            <w:tcW w:w="3384" w:type="dxa"/>
            <w:tcBorders>
              <w:top w:val="single" w:color="000000" w:sz="4" w:space="0"/>
              <w:left w:val="single" w:color="000000" w:sz="4" w:space="0"/>
              <w:bottom w:val="single" w:color="000000" w:sz="4" w:space="0"/>
              <w:right w:val="single" w:color="000000" w:sz="4" w:space="0"/>
            </w:tcBorders>
            <w:vAlign w:val="center"/>
          </w:tcPr>
          <w:tbl>
            <w:tblPr>
              <w:tblStyle w:val="19"/>
              <w:tblW w:w="5000" w:type="pct"/>
              <w:tblInd w:w="0" w:type="dxa"/>
              <w:shd w:val="clear" w:color="auto" w:fill="FFFFFF"/>
              <w:tblLayout w:type="fixed"/>
              <w:tblCellMar>
                <w:top w:w="15" w:type="dxa"/>
                <w:left w:w="15" w:type="dxa"/>
                <w:bottom w:w="15" w:type="dxa"/>
                <w:right w:w="15" w:type="dxa"/>
              </w:tblCellMar>
            </w:tblPr>
            <w:tblGrid>
              <w:gridCol w:w="3168"/>
            </w:tblGrid>
            <w:tr w14:paraId="62CAFC90">
              <w:tblPrEx>
                <w:shd w:val="clear" w:color="auto" w:fill="FFFFFF"/>
                <w:tblCellMar>
                  <w:top w:w="15" w:type="dxa"/>
                  <w:left w:w="15" w:type="dxa"/>
                  <w:bottom w:w="15" w:type="dxa"/>
                  <w:right w:w="15" w:type="dxa"/>
                </w:tblCellMar>
              </w:tblPrEx>
              <w:tc>
                <w:tcPr>
                  <w:tcW w:w="3168" w:type="dxa"/>
                  <w:shd w:val="clear" w:color="auto" w:fill="FFFFFF"/>
                  <w:tcMar>
                    <w:top w:w="150" w:type="dxa"/>
                    <w:left w:w="0" w:type="dxa"/>
                    <w:bottom w:w="150" w:type="dxa"/>
                    <w:right w:w="0" w:type="dxa"/>
                  </w:tcMar>
                </w:tcPr>
                <w:p w14:paraId="39E9FE97">
                  <w:pPr>
                    <w:widowControl/>
                    <w:jc w:val="left"/>
                    <w:textAlignment w:val="top"/>
                    <w:rPr>
                      <w:rFonts w:ascii="����" w:hAnsi="����" w:eastAsia="����" w:cs="����"/>
                      <w:color w:val="333333"/>
                      <w:sz w:val="24"/>
                      <w:szCs w:val="24"/>
                    </w:rPr>
                  </w:pPr>
                  <w:r>
                    <w:rPr>
                      <w:rFonts w:hint="eastAsia" w:ascii="宋体" w:hAnsi="宋体" w:cs="宋体"/>
                      <w:color w:val="000000"/>
                      <w:kern w:val="0"/>
                      <w:sz w:val="19"/>
                      <w:szCs w:val="19"/>
                    </w:rPr>
                    <w:t>合法合规经营、符合本行授信要求、无不利诉讼纠纷、存在政府采购项目且履约记录良好</w:t>
                  </w:r>
                </w:p>
              </w:tc>
            </w:tr>
          </w:tbl>
          <w:p w14:paraId="395AB13B">
            <w:pPr>
              <w:widowControl/>
              <w:jc w:val="left"/>
              <w:textAlignment w:val="top"/>
              <w:rPr>
                <w:rFonts w:ascii="宋体" w:hAnsi="宋体" w:cs="宋体"/>
                <w:color w:val="000000"/>
                <w:kern w:val="0"/>
                <w:sz w:val="19"/>
                <w:szCs w:val="19"/>
              </w:rPr>
            </w:pPr>
          </w:p>
        </w:tc>
        <w:tc>
          <w:tcPr>
            <w:tcW w:w="1386" w:type="dxa"/>
            <w:tcBorders>
              <w:top w:val="single" w:color="000000" w:sz="4" w:space="0"/>
              <w:left w:val="single" w:color="000000" w:sz="4" w:space="0"/>
              <w:bottom w:val="single" w:color="000000" w:sz="4" w:space="0"/>
              <w:right w:val="single" w:color="000000" w:sz="4" w:space="0"/>
            </w:tcBorders>
            <w:noWrap/>
            <w:vAlign w:val="center"/>
          </w:tcPr>
          <w:p w14:paraId="4D7FE6AC">
            <w:pPr>
              <w:widowControl/>
              <w:jc w:val="center"/>
              <w:textAlignment w:val="top"/>
              <w:rPr>
                <w:rFonts w:ascii="宋体" w:hAnsi="宋体" w:cs="宋体"/>
                <w:color w:val="000000"/>
                <w:kern w:val="0"/>
                <w:sz w:val="19"/>
                <w:szCs w:val="19"/>
              </w:rPr>
            </w:pPr>
            <w:r>
              <w:rPr>
                <w:rFonts w:hint="eastAsia" w:ascii="宋体" w:hAnsi="宋体" w:cs="宋体"/>
                <w:color w:val="000000"/>
                <w:kern w:val="0"/>
                <w:sz w:val="19"/>
                <w:szCs w:val="19"/>
              </w:rPr>
              <w:t xml:space="preserve">022/23526678/222112 </w:t>
            </w:r>
          </w:p>
          <w:p w14:paraId="2C11FBB8">
            <w:pPr>
              <w:widowControl/>
              <w:jc w:val="center"/>
              <w:textAlignment w:val="top"/>
              <w:rPr>
                <w:rFonts w:ascii="宋体" w:hAnsi="宋体" w:cs="宋体"/>
                <w:color w:val="000000"/>
                <w:kern w:val="0"/>
                <w:sz w:val="19"/>
                <w:szCs w:val="19"/>
              </w:rPr>
            </w:pPr>
            <w:r>
              <w:rPr>
                <w:rFonts w:hint="eastAsia" w:ascii="宋体" w:hAnsi="宋体" w:cs="宋体"/>
                <w:color w:val="000000"/>
                <w:kern w:val="0"/>
                <w:sz w:val="19"/>
                <w:szCs w:val="19"/>
              </w:rPr>
              <w:t>武庆林</w:t>
            </w:r>
          </w:p>
        </w:tc>
      </w:tr>
      <w:tr w14:paraId="4EE1D36F">
        <w:tblPrEx>
          <w:tblCellMar>
            <w:top w:w="0" w:type="dxa"/>
            <w:left w:w="108" w:type="dxa"/>
            <w:bottom w:w="0" w:type="dxa"/>
            <w:right w:w="108" w:type="dxa"/>
          </w:tblCellMar>
        </w:tblPrEx>
        <w:trPr>
          <w:trHeight w:val="2117"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2AFB1182">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16</w:t>
            </w:r>
          </w:p>
        </w:tc>
        <w:tc>
          <w:tcPr>
            <w:tcW w:w="1001" w:type="dxa"/>
            <w:tcBorders>
              <w:top w:val="single" w:color="000000" w:sz="4" w:space="0"/>
              <w:left w:val="single" w:color="000000" w:sz="4" w:space="0"/>
              <w:bottom w:val="single" w:color="000000" w:sz="4" w:space="0"/>
              <w:right w:val="single" w:color="000000" w:sz="4" w:space="0"/>
            </w:tcBorders>
            <w:vAlign w:val="center"/>
          </w:tcPr>
          <w:p w14:paraId="0F3E561B">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广发银行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00D15C6A">
            <w:pPr>
              <w:jc w:val="left"/>
              <w:rPr>
                <w:rFonts w:ascii="宋体" w:hAnsi="宋体" w:cs="宋体"/>
                <w:color w:val="000000"/>
                <w:kern w:val="0"/>
                <w:sz w:val="19"/>
                <w:szCs w:val="19"/>
              </w:rPr>
            </w:pPr>
            <w:r>
              <w:rPr>
                <w:rFonts w:hint="eastAsia" w:ascii="宋体" w:hAnsi="宋体" w:cs="宋体"/>
                <w:color w:val="000000"/>
                <w:kern w:val="0"/>
                <w:sz w:val="19"/>
                <w:szCs w:val="19"/>
              </w:rPr>
              <w:t>参考利率：</w:t>
            </w:r>
          </w:p>
          <w:p w14:paraId="44D9432F">
            <w:pPr>
              <w:jc w:val="left"/>
              <w:rPr>
                <w:rFonts w:ascii="宋体" w:hAnsi="宋体" w:cs="宋体"/>
                <w:color w:val="000000"/>
                <w:kern w:val="0"/>
                <w:sz w:val="19"/>
                <w:szCs w:val="19"/>
              </w:rPr>
            </w:pPr>
            <w:r>
              <w:rPr>
                <w:rFonts w:hint="eastAsia" w:ascii="宋体" w:hAnsi="宋体" w:cs="宋体"/>
                <w:color w:val="000000"/>
                <w:kern w:val="0"/>
                <w:sz w:val="19"/>
                <w:szCs w:val="19"/>
              </w:rPr>
              <w:t>贷款利率最低Lpr</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融资额度：最高1000万元</w:t>
            </w:r>
          </w:p>
        </w:tc>
        <w:tc>
          <w:tcPr>
            <w:tcW w:w="964" w:type="dxa"/>
            <w:tcBorders>
              <w:top w:val="single" w:color="000000" w:sz="4" w:space="0"/>
              <w:left w:val="single" w:color="000000" w:sz="4" w:space="0"/>
              <w:bottom w:val="single" w:color="000000" w:sz="4" w:space="0"/>
              <w:right w:val="single" w:color="000000" w:sz="4" w:space="0"/>
            </w:tcBorders>
            <w:vAlign w:val="center"/>
          </w:tcPr>
          <w:p w14:paraId="77211AB3">
            <w:pPr>
              <w:widowControl/>
              <w:jc w:val="center"/>
              <w:textAlignment w:val="top"/>
              <w:rPr>
                <w:rFonts w:ascii="宋体" w:hAnsi="宋体" w:cs="宋体"/>
                <w:color w:val="000000"/>
                <w:kern w:val="0"/>
                <w:sz w:val="19"/>
                <w:szCs w:val="19"/>
              </w:rPr>
            </w:pPr>
            <w:r>
              <w:rPr>
                <w:rFonts w:hint="eastAsia" w:ascii="宋体" w:hAnsi="宋体" w:cs="宋体"/>
                <w:color w:val="000000"/>
                <w:kern w:val="0"/>
                <w:sz w:val="19"/>
                <w:szCs w:val="19"/>
              </w:rPr>
              <w:t>小微企业</w:t>
            </w:r>
          </w:p>
        </w:tc>
        <w:tc>
          <w:tcPr>
            <w:tcW w:w="3384" w:type="dxa"/>
            <w:tcBorders>
              <w:top w:val="single" w:color="000000" w:sz="4" w:space="0"/>
              <w:left w:val="single" w:color="000000" w:sz="4" w:space="0"/>
              <w:bottom w:val="single" w:color="000000" w:sz="4" w:space="0"/>
              <w:right w:val="single" w:color="000000" w:sz="4" w:space="0"/>
            </w:tcBorders>
            <w:vAlign w:val="center"/>
          </w:tcPr>
          <w:tbl>
            <w:tblPr>
              <w:tblStyle w:val="19"/>
              <w:tblW w:w="5000" w:type="pct"/>
              <w:tblInd w:w="0" w:type="dxa"/>
              <w:shd w:val="clear" w:color="auto" w:fill="FFFFFF"/>
              <w:tblLayout w:type="fixed"/>
              <w:tblCellMar>
                <w:top w:w="15" w:type="dxa"/>
                <w:left w:w="15" w:type="dxa"/>
                <w:bottom w:w="15" w:type="dxa"/>
                <w:right w:w="15" w:type="dxa"/>
              </w:tblCellMar>
            </w:tblPr>
            <w:tblGrid>
              <w:gridCol w:w="3168"/>
            </w:tblGrid>
            <w:tr w14:paraId="3D375B80">
              <w:tblPrEx>
                <w:shd w:val="clear" w:color="auto" w:fill="FFFFFF"/>
                <w:tblCellMar>
                  <w:top w:w="15" w:type="dxa"/>
                  <w:left w:w="15" w:type="dxa"/>
                  <w:bottom w:w="15" w:type="dxa"/>
                  <w:right w:w="15" w:type="dxa"/>
                </w:tblCellMar>
              </w:tblPrEx>
              <w:trPr>
                <w:trHeight w:val="3660" w:hRule="atLeast"/>
              </w:trPr>
              <w:tc>
                <w:tcPr>
                  <w:tcW w:w="3168" w:type="dxa"/>
                  <w:shd w:val="clear" w:color="auto" w:fill="FFFFFF"/>
                  <w:tcMar>
                    <w:top w:w="150" w:type="dxa"/>
                    <w:left w:w="0" w:type="dxa"/>
                    <w:bottom w:w="150" w:type="dxa"/>
                    <w:right w:w="0" w:type="dxa"/>
                  </w:tcMar>
                </w:tcPr>
                <w:p w14:paraId="5083669D">
                  <w:pPr>
                    <w:widowControl/>
                    <w:jc w:val="left"/>
                    <w:textAlignment w:val="top"/>
                    <w:rPr>
                      <w:rFonts w:ascii="宋体" w:hAnsi="宋体" w:cs="宋体"/>
                      <w:color w:val="000000"/>
                      <w:kern w:val="0"/>
                      <w:sz w:val="19"/>
                      <w:szCs w:val="19"/>
                    </w:rPr>
                  </w:pPr>
                  <w:r>
                    <w:rPr>
                      <w:rFonts w:hint="eastAsia" w:ascii="宋体" w:hAnsi="宋体" w:cs="宋体"/>
                      <w:color w:val="000000"/>
                      <w:kern w:val="0"/>
                      <w:sz w:val="19"/>
                      <w:szCs w:val="19"/>
                    </w:rPr>
                    <w:t>1、供应商至少有一次政府采购订单履约记录；</w:t>
                  </w:r>
                </w:p>
                <w:p w14:paraId="78416713">
                  <w:pPr>
                    <w:widowControl/>
                    <w:numPr>
                      <w:ilvl w:val="0"/>
                      <w:numId w:val="8"/>
                    </w:numPr>
                    <w:jc w:val="left"/>
                    <w:textAlignment w:val="top"/>
                    <w:rPr>
                      <w:rFonts w:ascii="宋体" w:hAnsi="宋体" w:cs="宋体"/>
                      <w:color w:val="000000"/>
                      <w:kern w:val="0"/>
                      <w:sz w:val="19"/>
                      <w:szCs w:val="19"/>
                    </w:rPr>
                  </w:pPr>
                  <w:r>
                    <w:rPr>
                      <w:rFonts w:hint="eastAsia" w:ascii="宋体" w:hAnsi="宋体" w:cs="宋体"/>
                      <w:color w:val="000000"/>
                      <w:kern w:val="0"/>
                      <w:sz w:val="19"/>
                      <w:szCs w:val="19"/>
                    </w:rPr>
                    <w:t>在我行内部信用评级不低于BB+；3、近三年至少有一期营业利润或净利润或上年度经营性现金流净额为正（任选其一即可）；</w:t>
                  </w:r>
                </w:p>
                <w:p w14:paraId="44249FB5">
                  <w:pPr>
                    <w:widowControl/>
                    <w:jc w:val="left"/>
                    <w:textAlignment w:val="top"/>
                    <w:rPr>
                      <w:rFonts w:ascii="����" w:hAnsi="����" w:eastAsia="����" w:cs="����"/>
                      <w:color w:val="333333"/>
                      <w:sz w:val="24"/>
                      <w:szCs w:val="24"/>
                    </w:rPr>
                  </w:pPr>
                  <w:r>
                    <w:rPr>
                      <w:rFonts w:hint="eastAsia" w:ascii="宋体" w:hAnsi="宋体" w:cs="宋体"/>
                      <w:color w:val="000000"/>
                      <w:kern w:val="0"/>
                      <w:sz w:val="19"/>
                      <w:szCs w:val="19"/>
                    </w:rPr>
                    <w:t>4、资产负债率不超过85%；企业主含实际控制人/主要股东或其配偶拥有本地户口或房产或在本地有连续一年含以上的社保缴交记录（满足其一即可）</w:t>
                  </w:r>
                </w:p>
              </w:tc>
            </w:tr>
          </w:tbl>
          <w:p w14:paraId="76F23412">
            <w:pPr>
              <w:widowControl/>
              <w:jc w:val="left"/>
              <w:textAlignment w:val="top"/>
              <w:rPr>
                <w:rFonts w:ascii="宋体" w:hAnsi="宋体" w:cs="宋体"/>
                <w:color w:val="000000"/>
                <w:kern w:val="0"/>
                <w:sz w:val="19"/>
                <w:szCs w:val="19"/>
              </w:rPr>
            </w:pPr>
          </w:p>
        </w:tc>
        <w:tc>
          <w:tcPr>
            <w:tcW w:w="1386" w:type="dxa"/>
            <w:tcBorders>
              <w:top w:val="single" w:color="000000" w:sz="4" w:space="0"/>
              <w:left w:val="single" w:color="000000" w:sz="4" w:space="0"/>
              <w:bottom w:val="single" w:color="000000" w:sz="4" w:space="0"/>
              <w:right w:val="single" w:color="000000" w:sz="4" w:space="0"/>
            </w:tcBorders>
            <w:noWrap/>
            <w:vAlign w:val="center"/>
          </w:tcPr>
          <w:p w14:paraId="6F812658">
            <w:pPr>
              <w:widowControl/>
              <w:jc w:val="center"/>
              <w:textAlignment w:val="top"/>
              <w:rPr>
                <w:rFonts w:ascii="宋体" w:hAnsi="宋体" w:cs="宋体"/>
                <w:color w:val="000000"/>
                <w:kern w:val="0"/>
                <w:sz w:val="19"/>
                <w:szCs w:val="19"/>
              </w:rPr>
            </w:pPr>
            <w:r>
              <w:rPr>
                <w:rFonts w:hint="eastAsia" w:ascii="宋体" w:hAnsi="宋体" w:cs="宋体"/>
                <w:color w:val="000000"/>
                <w:kern w:val="0"/>
                <w:sz w:val="19"/>
                <w:szCs w:val="19"/>
              </w:rPr>
              <w:t>13820640544</w:t>
            </w:r>
          </w:p>
          <w:p w14:paraId="58B50A3F">
            <w:pPr>
              <w:widowControl/>
              <w:jc w:val="center"/>
              <w:textAlignment w:val="top"/>
              <w:rPr>
                <w:rFonts w:ascii="宋体" w:hAnsi="宋体" w:cs="宋体"/>
                <w:color w:val="000000"/>
                <w:kern w:val="0"/>
                <w:sz w:val="19"/>
                <w:szCs w:val="19"/>
              </w:rPr>
            </w:pPr>
            <w:r>
              <w:rPr>
                <w:rFonts w:hint="eastAsia" w:ascii="宋体" w:hAnsi="宋体" w:cs="宋体"/>
                <w:color w:val="000000"/>
                <w:kern w:val="0"/>
                <w:sz w:val="19"/>
                <w:szCs w:val="19"/>
              </w:rPr>
              <w:t>胡小宁</w:t>
            </w:r>
          </w:p>
        </w:tc>
      </w:tr>
      <w:tr w14:paraId="534008E3">
        <w:tblPrEx>
          <w:tblCellMar>
            <w:top w:w="0" w:type="dxa"/>
            <w:left w:w="108" w:type="dxa"/>
            <w:bottom w:w="0" w:type="dxa"/>
            <w:right w:w="108" w:type="dxa"/>
          </w:tblCellMar>
        </w:tblPrEx>
        <w:trPr>
          <w:trHeight w:val="48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4147C9AC">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17</w:t>
            </w:r>
          </w:p>
        </w:tc>
        <w:tc>
          <w:tcPr>
            <w:tcW w:w="1001" w:type="dxa"/>
            <w:tcBorders>
              <w:top w:val="single" w:color="000000" w:sz="4" w:space="0"/>
              <w:left w:val="single" w:color="000000" w:sz="4" w:space="0"/>
              <w:bottom w:val="single" w:color="000000" w:sz="4" w:space="0"/>
              <w:right w:val="single" w:color="000000" w:sz="4" w:space="0"/>
            </w:tcBorders>
            <w:vAlign w:val="center"/>
          </w:tcPr>
          <w:p w14:paraId="50F5FB31">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浙商银行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5542D0A1">
            <w:pPr>
              <w:jc w:val="left"/>
              <w:rPr>
                <w:rFonts w:ascii="宋体" w:hAnsi="宋体" w:cs="宋体"/>
                <w:color w:val="000000"/>
                <w:kern w:val="0"/>
                <w:sz w:val="19"/>
                <w:szCs w:val="19"/>
              </w:rPr>
            </w:pPr>
            <w:r>
              <w:rPr>
                <w:rFonts w:hint="eastAsia" w:ascii="宋体" w:hAnsi="宋体" w:cs="宋体"/>
                <w:color w:val="000000"/>
                <w:kern w:val="0"/>
                <w:sz w:val="19"/>
                <w:szCs w:val="19"/>
              </w:rPr>
              <w:t>参考利率：</w:t>
            </w:r>
          </w:p>
          <w:p w14:paraId="2C4CDCFA">
            <w:pPr>
              <w:jc w:val="left"/>
              <w:rPr>
                <w:rFonts w:ascii="宋体" w:hAnsi="宋体" w:cs="宋体"/>
                <w:color w:val="000000"/>
                <w:kern w:val="0"/>
                <w:sz w:val="19"/>
                <w:szCs w:val="19"/>
              </w:rPr>
            </w:pPr>
            <w:r>
              <w:rPr>
                <w:rFonts w:hint="eastAsia" w:ascii="宋体" w:hAnsi="宋体" w:cs="宋体"/>
                <w:color w:val="000000"/>
                <w:kern w:val="0"/>
                <w:sz w:val="19"/>
                <w:szCs w:val="19"/>
              </w:rPr>
              <w:t>5%</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融资额度：最高1000万元</w:t>
            </w:r>
          </w:p>
        </w:tc>
        <w:tc>
          <w:tcPr>
            <w:tcW w:w="964" w:type="dxa"/>
            <w:tcBorders>
              <w:top w:val="single" w:color="000000" w:sz="4" w:space="0"/>
              <w:left w:val="single" w:color="000000" w:sz="4" w:space="0"/>
              <w:bottom w:val="single" w:color="000000" w:sz="4" w:space="0"/>
              <w:right w:val="single" w:color="000000" w:sz="4" w:space="0"/>
            </w:tcBorders>
            <w:vAlign w:val="center"/>
          </w:tcPr>
          <w:p w14:paraId="630BB26C">
            <w:pPr>
              <w:widowControl/>
              <w:jc w:val="left"/>
              <w:textAlignment w:val="top"/>
              <w:rPr>
                <w:rFonts w:ascii="宋体" w:hAnsi="宋体" w:cs="宋体"/>
                <w:color w:val="000000"/>
                <w:kern w:val="0"/>
                <w:sz w:val="19"/>
                <w:szCs w:val="19"/>
              </w:rPr>
            </w:pPr>
            <w:r>
              <w:rPr>
                <w:rFonts w:hint="eastAsia" w:ascii="宋体" w:hAnsi="宋体" w:cs="宋体"/>
                <w:color w:val="000000"/>
                <w:kern w:val="0"/>
                <w:sz w:val="19"/>
                <w:szCs w:val="19"/>
              </w:rPr>
              <w:t>小微企业</w:t>
            </w:r>
          </w:p>
        </w:tc>
        <w:tc>
          <w:tcPr>
            <w:tcW w:w="3384" w:type="dxa"/>
            <w:tcBorders>
              <w:top w:val="single" w:color="000000" w:sz="4" w:space="0"/>
              <w:left w:val="single" w:color="000000" w:sz="4" w:space="0"/>
              <w:bottom w:val="single" w:color="000000" w:sz="4" w:space="0"/>
              <w:right w:val="single" w:color="000000" w:sz="4" w:space="0"/>
            </w:tcBorders>
            <w:vAlign w:val="center"/>
          </w:tcPr>
          <w:tbl>
            <w:tblPr>
              <w:tblStyle w:val="19"/>
              <w:tblW w:w="5000" w:type="pct"/>
              <w:tblInd w:w="0" w:type="dxa"/>
              <w:shd w:val="clear" w:color="auto" w:fill="FFFFFF"/>
              <w:tblLayout w:type="fixed"/>
              <w:tblCellMar>
                <w:top w:w="15" w:type="dxa"/>
                <w:left w:w="15" w:type="dxa"/>
                <w:bottom w:w="15" w:type="dxa"/>
                <w:right w:w="15" w:type="dxa"/>
              </w:tblCellMar>
            </w:tblPr>
            <w:tblGrid>
              <w:gridCol w:w="3168"/>
            </w:tblGrid>
            <w:tr w14:paraId="40C76A36">
              <w:tblPrEx>
                <w:shd w:val="clear" w:color="auto" w:fill="FFFFFF"/>
                <w:tblCellMar>
                  <w:top w:w="15" w:type="dxa"/>
                  <w:left w:w="15" w:type="dxa"/>
                  <w:bottom w:w="15" w:type="dxa"/>
                  <w:right w:w="15" w:type="dxa"/>
                </w:tblCellMar>
              </w:tblPrEx>
              <w:tc>
                <w:tcPr>
                  <w:tcW w:w="3007" w:type="dxa"/>
                  <w:shd w:val="clear" w:color="auto" w:fill="FFFFFF"/>
                  <w:tcMar>
                    <w:top w:w="150" w:type="dxa"/>
                    <w:left w:w="0" w:type="dxa"/>
                    <w:bottom w:w="150" w:type="dxa"/>
                    <w:right w:w="0" w:type="dxa"/>
                  </w:tcMar>
                </w:tcPr>
                <w:p w14:paraId="3EB6A796">
                  <w:pPr>
                    <w:widowControl/>
                    <w:jc w:val="left"/>
                    <w:textAlignment w:val="top"/>
                    <w:rPr>
                      <w:rFonts w:ascii="宋体" w:hAnsi="宋体" w:cs="宋体"/>
                      <w:color w:val="000000"/>
                      <w:kern w:val="0"/>
                      <w:sz w:val="19"/>
                      <w:szCs w:val="19"/>
                    </w:rPr>
                  </w:pPr>
                  <w:r>
                    <w:rPr>
                      <w:rFonts w:hint="eastAsia" w:ascii="宋体" w:hAnsi="宋体" w:cs="宋体"/>
                      <w:color w:val="000000"/>
                      <w:kern w:val="0"/>
                      <w:sz w:val="19"/>
                      <w:szCs w:val="19"/>
                    </w:rPr>
                    <w:t>1、符合我行小企业授信客户界定标准的小型、微型企业；</w:t>
                  </w:r>
                </w:p>
                <w:p w14:paraId="7CD41555">
                  <w:pPr>
                    <w:widowControl/>
                    <w:jc w:val="left"/>
                    <w:textAlignment w:val="top"/>
                    <w:rPr>
                      <w:rFonts w:ascii="宋体" w:hAnsi="宋体" w:cs="宋体"/>
                      <w:color w:val="000000"/>
                      <w:kern w:val="0"/>
                      <w:sz w:val="19"/>
                      <w:szCs w:val="19"/>
                    </w:rPr>
                  </w:pPr>
                  <w:r>
                    <w:rPr>
                      <w:rFonts w:hint="eastAsia" w:ascii="宋体" w:hAnsi="宋体" w:cs="宋体"/>
                      <w:color w:val="000000"/>
                      <w:kern w:val="0"/>
                      <w:sz w:val="19"/>
                      <w:szCs w:val="19"/>
                    </w:rPr>
                    <w:t>2、须连续经营2年及以上或实际控制人有3年及以上相关行业从业经验，经营状况良好，信用记录良好；3、与采购人无关联关系，行业相关证照齐全；</w:t>
                  </w:r>
                </w:p>
                <w:p w14:paraId="0A9FC0FD">
                  <w:pPr>
                    <w:widowControl/>
                    <w:jc w:val="left"/>
                    <w:textAlignment w:val="top"/>
                    <w:rPr>
                      <w:rFonts w:ascii="����" w:hAnsi="����" w:eastAsia="����" w:cs="����"/>
                      <w:color w:val="333333"/>
                      <w:sz w:val="24"/>
                      <w:szCs w:val="24"/>
                    </w:rPr>
                  </w:pPr>
                  <w:r>
                    <w:rPr>
                      <w:rFonts w:hint="eastAsia" w:ascii="宋体" w:hAnsi="宋体" w:cs="宋体"/>
                      <w:color w:val="000000"/>
                      <w:kern w:val="0"/>
                      <w:sz w:val="19"/>
                      <w:szCs w:val="19"/>
                    </w:rPr>
                    <w:t>4、借款人须在本行开立单位结算账户或保证金账户，并将该账户指定为采购活动项下应收账款的唯一回款账户。</w:t>
                  </w:r>
                </w:p>
              </w:tc>
            </w:tr>
          </w:tbl>
          <w:p w14:paraId="24808C59">
            <w:pPr>
              <w:widowControl/>
              <w:jc w:val="left"/>
              <w:textAlignment w:val="top"/>
              <w:rPr>
                <w:rFonts w:ascii="宋体" w:hAnsi="宋体" w:cs="宋体"/>
                <w:color w:val="000000"/>
                <w:kern w:val="0"/>
                <w:sz w:val="19"/>
                <w:szCs w:val="19"/>
              </w:rPr>
            </w:pPr>
          </w:p>
        </w:tc>
        <w:tc>
          <w:tcPr>
            <w:tcW w:w="1386" w:type="dxa"/>
            <w:tcBorders>
              <w:top w:val="single" w:color="000000" w:sz="4" w:space="0"/>
              <w:left w:val="single" w:color="000000" w:sz="4" w:space="0"/>
              <w:bottom w:val="single" w:color="000000" w:sz="4" w:space="0"/>
              <w:right w:val="single" w:color="000000" w:sz="4" w:space="0"/>
            </w:tcBorders>
            <w:noWrap/>
            <w:vAlign w:val="center"/>
          </w:tcPr>
          <w:p w14:paraId="2F14BDBC">
            <w:pPr>
              <w:widowControl/>
              <w:jc w:val="center"/>
              <w:textAlignment w:val="top"/>
              <w:rPr>
                <w:rFonts w:ascii="宋体" w:hAnsi="宋体" w:cs="宋体"/>
                <w:color w:val="000000"/>
                <w:kern w:val="0"/>
                <w:sz w:val="19"/>
                <w:szCs w:val="19"/>
              </w:rPr>
            </w:pPr>
            <w:r>
              <w:rPr>
                <w:rFonts w:hint="eastAsia" w:ascii="宋体" w:hAnsi="宋体" w:cs="宋体"/>
                <w:color w:val="000000"/>
                <w:kern w:val="0"/>
                <w:sz w:val="19"/>
                <w:szCs w:val="19"/>
              </w:rPr>
              <w:t>23271307</w:t>
            </w:r>
          </w:p>
          <w:p w14:paraId="692D4A09">
            <w:pPr>
              <w:widowControl/>
              <w:jc w:val="center"/>
              <w:textAlignment w:val="top"/>
              <w:rPr>
                <w:rFonts w:ascii="宋体" w:hAnsi="宋体" w:cs="宋体"/>
                <w:color w:val="000000"/>
                <w:kern w:val="0"/>
                <w:sz w:val="19"/>
                <w:szCs w:val="19"/>
              </w:rPr>
            </w:pPr>
            <w:r>
              <w:rPr>
                <w:rFonts w:hint="eastAsia" w:ascii="宋体" w:hAnsi="宋体" w:cs="宋体"/>
                <w:color w:val="000000"/>
                <w:kern w:val="0"/>
                <w:sz w:val="19"/>
                <w:szCs w:val="19"/>
              </w:rPr>
              <w:t>刘粲</w:t>
            </w:r>
          </w:p>
        </w:tc>
      </w:tr>
      <w:tr w14:paraId="5AE911F5">
        <w:tblPrEx>
          <w:tblCellMar>
            <w:top w:w="0" w:type="dxa"/>
            <w:left w:w="108" w:type="dxa"/>
            <w:bottom w:w="0" w:type="dxa"/>
            <w:right w:w="108" w:type="dxa"/>
          </w:tblCellMar>
        </w:tblPrEx>
        <w:trPr>
          <w:trHeight w:val="48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7D161941">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18</w:t>
            </w:r>
          </w:p>
        </w:tc>
        <w:tc>
          <w:tcPr>
            <w:tcW w:w="1001" w:type="dxa"/>
            <w:tcBorders>
              <w:top w:val="single" w:color="000000" w:sz="4" w:space="0"/>
              <w:left w:val="single" w:color="000000" w:sz="4" w:space="0"/>
              <w:bottom w:val="single" w:color="000000" w:sz="4" w:space="0"/>
              <w:right w:val="single" w:color="000000" w:sz="4" w:space="0"/>
            </w:tcBorders>
            <w:vAlign w:val="center"/>
          </w:tcPr>
          <w:p w14:paraId="0F6516EB">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中信银行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3573D4E4">
            <w:pPr>
              <w:jc w:val="left"/>
              <w:rPr>
                <w:rFonts w:ascii="宋体" w:hAnsi="宋体" w:cs="宋体"/>
                <w:color w:val="000000"/>
                <w:kern w:val="0"/>
                <w:sz w:val="19"/>
                <w:szCs w:val="19"/>
              </w:rPr>
            </w:pPr>
            <w:r>
              <w:rPr>
                <w:rFonts w:hint="eastAsia" w:ascii="宋体" w:hAnsi="宋体" w:cs="宋体"/>
                <w:color w:val="000000"/>
                <w:kern w:val="0"/>
                <w:sz w:val="19"/>
                <w:szCs w:val="19"/>
              </w:rPr>
              <w:t>参考利率：</w:t>
            </w:r>
          </w:p>
          <w:p w14:paraId="01D31A89">
            <w:pPr>
              <w:jc w:val="left"/>
              <w:rPr>
                <w:rFonts w:ascii="宋体" w:hAnsi="宋体" w:cs="宋体"/>
                <w:color w:val="000000"/>
                <w:kern w:val="0"/>
                <w:sz w:val="19"/>
                <w:szCs w:val="19"/>
              </w:rPr>
            </w:pPr>
            <w:r>
              <w:rPr>
                <w:rFonts w:hint="eastAsia" w:ascii="宋体" w:hAnsi="宋体" w:cs="宋体"/>
                <w:color w:val="000000"/>
                <w:kern w:val="0"/>
                <w:sz w:val="19"/>
                <w:szCs w:val="19"/>
              </w:rPr>
              <w:t>3.75%-3.95%</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融资额度：最高1000万元</w:t>
            </w:r>
          </w:p>
        </w:tc>
        <w:tc>
          <w:tcPr>
            <w:tcW w:w="964" w:type="dxa"/>
            <w:tcBorders>
              <w:top w:val="single" w:color="000000" w:sz="4" w:space="0"/>
              <w:left w:val="single" w:color="000000" w:sz="4" w:space="0"/>
              <w:bottom w:val="single" w:color="000000" w:sz="4" w:space="0"/>
              <w:right w:val="single" w:color="000000" w:sz="4" w:space="0"/>
            </w:tcBorders>
            <w:vAlign w:val="center"/>
          </w:tcPr>
          <w:p w14:paraId="0439C778">
            <w:pPr>
              <w:widowControl/>
              <w:jc w:val="left"/>
              <w:textAlignment w:val="top"/>
              <w:rPr>
                <w:rFonts w:ascii="宋体" w:hAnsi="宋体" w:cs="宋体"/>
                <w:color w:val="000000"/>
                <w:kern w:val="0"/>
                <w:sz w:val="19"/>
                <w:szCs w:val="19"/>
              </w:rPr>
            </w:pPr>
            <w:r>
              <w:rPr>
                <w:rFonts w:hint="eastAsia" w:ascii="宋体" w:hAnsi="宋体" w:cs="宋体"/>
                <w:color w:val="000000"/>
                <w:kern w:val="0"/>
                <w:sz w:val="19"/>
                <w:szCs w:val="19"/>
              </w:rPr>
              <w:t>小微企业</w:t>
            </w:r>
          </w:p>
        </w:tc>
        <w:tc>
          <w:tcPr>
            <w:tcW w:w="3384" w:type="dxa"/>
            <w:tcBorders>
              <w:top w:val="single" w:color="000000" w:sz="4" w:space="0"/>
              <w:left w:val="single" w:color="000000" w:sz="4" w:space="0"/>
              <w:bottom w:val="single" w:color="000000" w:sz="4" w:space="0"/>
              <w:right w:val="single" w:color="000000" w:sz="4" w:space="0"/>
            </w:tcBorders>
            <w:vAlign w:val="center"/>
          </w:tcPr>
          <w:p w14:paraId="5E153018">
            <w:pPr>
              <w:widowControl/>
              <w:numPr>
                <w:ilvl w:val="0"/>
                <w:numId w:val="9"/>
              </w:numPr>
              <w:jc w:val="left"/>
              <w:textAlignment w:val="top"/>
              <w:rPr>
                <w:rFonts w:ascii="宋体" w:hAnsi="宋体" w:cs="宋体"/>
                <w:color w:val="000000"/>
                <w:kern w:val="0"/>
                <w:sz w:val="19"/>
                <w:szCs w:val="19"/>
              </w:rPr>
            </w:pPr>
            <w:r>
              <w:rPr>
                <w:rFonts w:hint="eastAsia" w:ascii="宋体" w:hAnsi="宋体" w:cs="宋体"/>
                <w:color w:val="000000"/>
                <w:kern w:val="0"/>
                <w:sz w:val="19"/>
                <w:szCs w:val="19"/>
              </w:rPr>
              <w:t>借款企业持续经营1年（含）以上或在本行业持续经营2年（含）以上；</w:t>
            </w:r>
          </w:p>
          <w:p w14:paraId="32848171">
            <w:pPr>
              <w:widowControl/>
              <w:numPr>
                <w:ilvl w:val="0"/>
                <w:numId w:val="9"/>
              </w:numPr>
              <w:jc w:val="left"/>
              <w:textAlignment w:val="top"/>
              <w:rPr>
                <w:rFonts w:ascii="宋体" w:hAnsi="宋体" w:cs="宋体"/>
                <w:color w:val="000000"/>
                <w:kern w:val="0"/>
                <w:sz w:val="19"/>
                <w:szCs w:val="19"/>
              </w:rPr>
            </w:pPr>
            <w:r>
              <w:rPr>
                <w:rFonts w:hint="eastAsia" w:ascii="宋体" w:hAnsi="宋体" w:cs="宋体"/>
                <w:color w:val="000000"/>
                <w:kern w:val="0"/>
                <w:sz w:val="19"/>
                <w:szCs w:val="19"/>
              </w:rPr>
              <w:t>借款企业实际控制人年龄在18周岁（含）至65周岁（含）之间；</w:t>
            </w:r>
          </w:p>
          <w:p w14:paraId="3FDF7BAD">
            <w:pPr>
              <w:widowControl/>
              <w:numPr>
                <w:ilvl w:val="0"/>
                <w:numId w:val="9"/>
              </w:numPr>
              <w:jc w:val="left"/>
              <w:textAlignment w:val="top"/>
              <w:rPr>
                <w:rFonts w:ascii="宋体" w:hAnsi="宋体" w:cs="宋体"/>
                <w:color w:val="000000"/>
                <w:kern w:val="0"/>
                <w:sz w:val="19"/>
                <w:szCs w:val="19"/>
              </w:rPr>
            </w:pPr>
            <w:r>
              <w:rPr>
                <w:rFonts w:hint="eastAsia" w:ascii="宋体" w:hAnsi="宋体" w:cs="宋体"/>
                <w:color w:val="000000"/>
                <w:kern w:val="0"/>
                <w:sz w:val="19"/>
                <w:szCs w:val="19"/>
              </w:rPr>
              <w:t>采购品类为货物类或服务类；</w:t>
            </w:r>
          </w:p>
          <w:p w14:paraId="709C4A0C">
            <w:pPr>
              <w:widowControl/>
              <w:numPr>
                <w:ilvl w:val="0"/>
                <w:numId w:val="9"/>
              </w:numPr>
              <w:jc w:val="left"/>
              <w:textAlignment w:val="top"/>
              <w:rPr>
                <w:rFonts w:ascii="宋体" w:hAnsi="宋体" w:cs="宋体"/>
                <w:color w:val="000000"/>
                <w:kern w:val="0"/>
                <w:sz w:val="19"/>
                <w:szCs w:val="19"/>
              </w:rPr>
            </w:pPr>
            <w:r>
              <w:rPr>
                <w:rFonts w:hint="eastAsia" w:ascii="宋体" w:hAnsi="宋体" w:cs="宋体"/>
                <w:color w:val="000000"/>
                <w:kern w:val="0"/>
                <w:sz w:val="19"/>
                <w:szCs w:val="19"/>
              </w:rPr>
              <w:t>借款企业政采合作月数不少于6个月；</w:t>
            </w:r>
          </w:p>
        </w:tc>
        <w:tc>
          <w:tcPr>
            <w:tcW w:w="1386" w:type="dxa"/>
            <w:tcBorders>
              <w:top w:val="single" w:color="000000" w:sz="4" w:space="0"/>
              <w:left w:val="single" w:color="000000" w:sz="4" w:space="0"/>
              <w:bottom w:val="single" w:color="000000" w:sz="4" w:space="0"/>
              <w:right w:val="single" w:color="000000" w:sz="4" w:space="0"/>
            </w:tcBorders>
            <w:noWrap/>
            <w:vAlign w:val="center"/>
          </w:tcPr>
          <w:p w14:paraId="0155ED8E">
            <w:pPr>
              <w:widowControl/>
              <w:jc w:val="center"/>
              <w:textAlignment w:val="top"/>
              <w:rPr>
                <w:rFonts w:ascii="宋体" w:hAnsi="宋体" w:cs="宋体"/>
                <w:color w:val="000000"/>
                <w:kern w:val="0"/>
                <w:sz w:val="19"/>
                <w:szCs w:val="19"/>
              </w:rPr>
            </w:pPr>
            <w:r>
              <w:rPr>
                <w:rFonts w:hint="eastAsia" w:ascii="宋体" w:hAnsi="宋体" w:cs="宋体"/>
                <w:color w:val="000000"/>
                <w:kern w:val="0"/>
                <w:sz w:val="19"/>
                <w:szCs w:val="19"/>
              </w:rPr>
              <w:t>13767182800</w:t>
            </w:r>
          </w:p>
          <w:p w14:paraId="4D456B98">
            <w:pPr>
              <w:widowControl/>
              <w:jc w:val="center"/>
              <w:textAlignment w:val="top"/>
              <w:rPr>
                <w:rFonts w:ascii="宋体" w:hAnsi="宋体" w:cs="宋体"/>
                <w:color w:val="000000"/>
                <w:kern w:val="0"/>
                <w:sz w:val="19"/>
                <w:szCs w:val="19"/>
              </w:rPr>
            </w:pPr>
            <w:r>
              <w:rPr>
                <w:rFonts w:hint="eastAsia" w:ascii="宋体" w:hAnsi="宋体" w:cs="宋体"/>
                <w:color w:val="000000"/>
                <w:kern w:val="0"/>
                <w:sz w:val="19"/>
                <w:szCs w:val="19"/>
              </w:rPr>
              <w:t>唐朝</w:t>
            </w:r>
          </w:p>
        </w:tc>
      </w:tr>
      <w:tr w14:paraId="7E4A8407">
        <w:tblPrEx>
          <w:tblCellMar>
            <w:top w:w="0" w:type="dxa"/>
            <w:left w:w="108" w:type="dxa"/>
            <w:bottom w:w="0" w:type="dxa"/>
            <w:right w:w="108" w:type="dxa"/>
          </w:tblCellMar>
        </w:tblPrEx>
        <w:trPr>
          <w:trHeight w:val="48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6837D68D">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19</w:t>
            </w:r>
          </w:p>
        </w:tc>
        <w:tc>
          <w:tcPr>
            <w:tcW w:w="1001" w:type="dxa"/>
            <w:tcBorders>
              <w:top w:val="single" w:color="000000" w:sz="4" w:space="0"/>
              <w:left w:val="single" w:color="000000" w:sz="4" w:space="0"/>
              <w:bottom w:val="single" w:color="000000" w:sz="4" w:space="0"/>
              <w:right w:val="single" w:color="000000" w:sz="4" w:space="0"/>
            </w:tcBorders>
            <w:vAlign w:val="center"/>
          </w:tcPr>
          <w:p w14:paraId="765AAB21">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后续持续更新</w:t>
            </w:r>
          </w:p>
        </w:tc>
        <w:tc>
          <w:tcPr>
            <w:tcW w:w="1292" w:type="dxa"/>
            <w:tcBorders>
              <w:top w:val="single" w:color="000000" w:sz="4" w:space="0"/>
              <w:left w:val="single" w:color="000000" w:sz="4" w:space="0"/>
              <w:bottom w:val="single" w:color="000000" w:sz="4" w:space="0"/>
              <w:right w:val="single" w:color="000000" w:sz="4" w:space="0"/>
            </w:tcBorders>
            <w:vAlign w:val="center"/>
          </w:tcPr>
          <w:p w14:paraId="6544DA70">
            <w:pPr>
              <w:jc w:val="left"/>
              <w:rPr>
                <w:rFonts w:ascii="宋体" w:hAnsi="宋体" w:cs="宋体"/>
                <w:color w:val="000000"/>
                <w:kern w:val="0"/>
                <w:sz w:val="19"/>
                <w:szCs w:val="19"/>
              </w:rPr>
            </w:pPr>
          </w:p>
        </w:tc>
        <w:tc>
          <w:tcPr>
            <w:tcW w:w="964" w:type="dxa"/>
            <w:tcBorders>
              <w:top w:val="single" w:color="000000" w:sz="4" w:space="0"/>
              <w:left w:val="single" w:color="000000" w:sz="4" w:space="0"/>
              <w:bottom w:val="single" w:color="000000" w:sz="4" w:space="0"/>
              <w:right w:val="single" w:color="000000" w:sz="4" w:space="0"/>
            </w:tcBorders>
            <w:vAlign w:val="center"/>
          </w:tcPr>
          <w:p w14:paraId="3D25122B">
            <w:pPr>
              <w:widowControl/>
              <w:jc w:val="left"/>
              <w:textAlignment w:val="top"/>
              <w:rPr>
                <w:rFonts w:ascii="宋体" w:hAnsi="宋体" w:cs="宋体"/>
                <w:color w:val="000000"/>
                <w:kern w:val="0"/>
                <w:sz w:val="19"/>
                <w:szCs w:val="19"/>
              </w:rPr>
            </w:pPr>
          </w:p>
        </w:tc>
        <w:tc>
          <w:tcPr>
            <w:tcW w:w="3384" w:type="dxa"/>
            <w:tcBorders>
              <w:top w:val="single" w:color="000000" w:sz="4" w:space="0"/>
              <w:left w:val="single" w:color="000000" w:sz="4" w:space="0"/>
              <w:bottom w:val="single" w:color="000000" w:sz="4" w:space="0"/>
              <w:right w:val="single" w:color="000000" w:sz="4" w:space="0"/>
            </w:tcBorders>
            <w:vAlign w:val="center"/>
          </w:tcPr>
          <w:p w14:paraId="3464A0FB">
            <w:pPr>
              <w:widowControl/>
              <w:jc w:val="left"/>
              <w:textAlignment w:val="top"/>
              <w:rPr>
                <w:rFonts w:ascii="宋体" w:hAnsi="宋体" w:cs="宋体"/>
                <w:color w:val="000000"/>
                <w:kern w:val="0"/>
                <w:sz w:val="19"/>
                <w:szCs w:val="19"/>
              </w:rPr>
            </w:pPr>
          </w:p>
        </w:tc>
        <w:tc>
          <w:tcPr>
            <w:tcW w:w="1386" w:type="dxa"/>
            <w:tcBorders>
              <w:top w:val="single" w:color="000000" w:sz="4" w:space="0"/>
              <w:left w:val="single" w:color="000000" w:sz="4" w:space="0"/>
              <w:bottom w:val="single" w:color="000000" w:sz="4" w:space="0"/>
              <w:right w:val="single" w:color="000000" w:sz="4" w:space="0"/>
            </w:tcBorders>
            <w:noWrap/>
            <w:vAlign w:val="center"/>
          </w:tcPr>
          <w:p w14:paraId="6664B93D">
            <w:pPr>
              <w:widowControl/>
              <w:jc w:val="center"/>
              <w:textAlignment w:val="top"/>
              <w:rPr>
                <w:rFonts w:ascii="宋体" w:hAnsi="宋体" w:cs="宋体"/>
                <w:color w:val="000000"/>
                <w:kern w:val="0"/>
                <w:sz w:val="19"/>
                <w:szCs w:val="19"/>
              </w:rPr>
            </w:pPr>
          </w:p>
        </w:tc>
      </w:tr>
    </w:tbl>
    <w:p w14:paraId="6D1033D6">
      <w:pPr>
        <w:pStyle w:val="31"/>
        <w:spacing w:line="360" w:lineRule="auto"/>
        <w:ind w:firstLine="448" w:firstLineChars="200"/>
        <w:jc w:val="both"/>
        <w:rPr>
          <w:rFonts w:ascii="Times New Roman" w:eastAsia="宋体" w:cs="Times New Roman" w:hAnsiTheme="minorEastAsia"/>
          <w:color w:val="auto"/>
        </w:rPr>
      </w:pPr>
    </w:p>
    <w:p w14:paraId="237B7ECE">
      <w:pPr>
        <w:pStyle w:val="31"/>
        <w:spacing w:line="360" w:lineRule="auto"/>
        <w:ind w:firstLine="448" w:firstLineChars="200"/>
        <w:jc w:val="both"/>
        <w:rPr>
          <w:rFonts w:ascii="Times New Roman" w:hAnsi="Times New Roman" w:eastAsia="宋体" w:cs="Times New Roman"/>
          <w:color w:val="auto"/>
        </w:rPr>
      </w:pPr>
      <w:r>
        <w:rPr>
          <w:rFonts w:hint="eastAsia" w:ascii="Times New Roman" w:eastAsia="宋体" w:cs="Times New Roman" w:hAnsiTheme="minorEastAsia"/>
          <w:color w:val="auto"/>
        </w:rPr>
        <w:t>以上内容均为当前政策内容，未来不排除各大金融机构针对政采贷业务的相关政策会有修改和变动，本“政采贷”明白纸仅供参考，详情请自行致电咨询。</w:t>
      </w:r>
    </w:p>
    <w:p w14:paraId="54B85BBC">
      <w:pPr>
        <w:widowControl/>
        <w:jc w:val="left"/>
        <w:rPr>
          <w:b/>
          <w:bCs/>
          <w:kern w:val="28"/>
          <w:sz w:val="32"/>
          <w:szCs w:val="32"/>
        </w:rPr>
      </w:pPr>
      <w:r>
        <w:br w:type="page"/>
      </w:r>
    </w:p>
    <w:p w14:paraId="62F520C6">
      <w:pPr>
        <w:pStyle w:val="15"/>
        <w:ind w:firstLine="386"/>
        <w:rPr>
          <w:rFonts w:ascii="Times New Roman" w:hAnsi="Times New Roman"/>
        </w:rPr>
      </w:pPr>
      <w:r>
        <w:rPr>
          <w:rFonts w:ascii="Times New Roman" w:hAnsi="Times New Roman"/>
        </w:rPr>
        <w:t>第四部分合同条款</w:t>
      </w:r>
    </w:p>
    <w:p w14:paraId="6A7C8ECB">
      <w:pPr>
        <w:tabs>
          <w:tab w:val="left" w:pos="412"/>
          <w:tab w:val="left" w:pos="618"/>
        </w:tabs>
        <w:spacing w:line="520" w:lineRule="exact"/>
        <w:jc w:val="center"/>
        <w:rPr>
          <w:b/>
          <w:sz w:val="30"/>
          <w:szCs w:val="30"/>
        </w:rPr>
      </w:pPr>
      <w:r>
        <w:rPr>
          <w:b/>
          <w:sz w:val="30"/>
          <w:szCs w:val="30"/>
        </w:rPr>
        <w:t>合同一般条款</w:t>
      </w:r>
    </w:p>
    <w:p w14:paraId="1797D64C">
      <w:pPr>
        <w:tabs>
          <w:tab w:val="left" w:pos="0"/>
          <w:tab w:val="left" w:pos="315"/>
        </w:tabs>
        <w:spacing w:line="520" w:lineRule="exact"/>
        <w:ind w:firstLine="480"/>
        <w:rPr>
          <w:sz w:val="24"/>
          <w:szCs w:val="24"/>
        </w:rPr>
      </w:pPr>
      <w:r>
        <w:rPr>
          <w:sz w:val="24"/>
          <w:szCs w:val="24"/>
        </w:rPr>
        <w:t>需方：</w:t>
      </w:r>
    </w:p>
    <w:p w14:paraId="1E76B00F">
      <w:pPr>
        <w:tabs>
          <w:tab w:val="left" w:pos="0"/>
          <w:tab w:val="left" w:pos="315"/>
        </w:tabs>
        <w:spacing w:line="520" w:lineRule="exact"/>
        <w:ind w:firstLine="480"/>
        <w:rPr>
          <w:sz w:val="24"/>
          <w:szCs w:val="24"/>
        </w:rPr>
      </w:pPr>
      <w:r>
        <w:rPr>
          <w:sz w:val="24"/>
          <w:szCs w:val="24"/>
        </w:rPr>
        <w:t>供方：</w:t>
      </w:r>
    </w:p>
    <w:p w14:paraId="549036A9">
      <w:pPr>
        <w:tabs>
          <w:tab w:val="left" w:pos="0"/>
          <w:tab w:val="left" w:pos="315"/>
        </w:tabs>
        <w:spacing w:line="520" w:lineRule="exact"/>
        <w:ind w:firstLine="480"/>
        <w:rPr>
          <w:sz w:val="24"/>
          <w:szCs w:val="24"/>
        </w:rPr>
      </w:pPr>
      <w:r>
        <w:rPr>
          <w:sz w:val="24"/>
          <w:szCs w:val="24"/>
        </w:rPr>
        <w:t>供、需双方根据项目（项目编号：）的政府采购结果和</w:t>
      </w:r>
      <w:r>
        <w:rPr>
          <w:rFonts w:hint="eastAsia"/>
          <w:sz w:val="24"/>
          <w:szCs w:val="24"/>
        </w:rPr>
        <w:t>招标</w:t>
      </w:r>
      <w:r>
        <w:rPr>
          <w:sz w:val="24"/>
          <w:szCs w:val="24"/>
        </w:rPr>
        <w:t>文件的要求，并经双方协商一致，达成合同：</w:t>
      </w:r>
    </w:p>
    <w:p w14:paraId="22DF6DF9">
      <w:pPr>
        <w:numPr>
          <w:ilvl w:val="0"/>
          <w:numId w:val="10"/>
        </w:numPr>
        <w:tabs>
          <w:tab w:val="left" w:pos="0"/>
          <w:tab w:val="left" w:pos="315"/>
        </w:tabs>
        <w:spacing w:line="520" w:lineRule="exact"/>
        <w:rPr>
          <w:sz w:val="24"/>
          <w:szCs w:val="24"/>
        </w:rPr>
      </w:pPr>
      <w:r>
        <w:rPr>
          <w:rFonts w:hint="eastAsia"/>
          <w:sz w:val="24"/>
          <w:szCs w:val="24"/>
        </w:rPr>
        <w:t>本合同为中小企业预留合同</w:t>
      </w:r>
    </w:p>
    <w:p w14:paraId="15213338">
      <w:pPr>
        <w:numPr>
          <w:ilvl w:val="0"/>
          <w:numId w:val="10"/>
        </w:numPr>
        <w:tabs>
          <w:tab w:val="left" w:pos="0"/>
          <w:tab w:val="left" w:pos="315"/>
        </w:tabs>
        <w:spacing w:line="520" w:lineRule="exact"/>
        <w:rPr>
          <w:sz w:val="24"/>
          <w:szCs w:val="24"/>
        </w:rPr>
      </w:pPr>
      <w:r>
        <w:rPr>
          <w:rFonts w:hint="eastAsia"/>
          <w:sz w:val="24"/>
          <w:szCs w:val="24"/>
        </w:rPr>
        <w:t>本合同非中小企业预留合同</w:t>
      </w:r>
    </w:p>
    <w:p w14:paraId="530284BA">
      <w:pPr>
        <w:tabs>
          <w:tab w:val="left" w:pos="0"/>
          <w:tab w:val="left" w:pos="315"/>
        </w:tabs>
        <w:spacing w:line="520" w:lineRule="exact"/>
        <w:ind w:firstLine="480"/>
        <w:rPr>
          <w:sz w:val="24"/>
          <w:szCs w:val="24"/>
        </w:rPr>
      </w:pPr>
      <w:r>
        <w:rPr>
          <w:sz w:val="24"/>
          <w:szCs w:val="24"/>
        </w:rPr>
        <w:t>鉴于政府采购使用的合同文本的特殊性，本合同一般条款仅作为确立法律关系框架作用，具体合同的权利义务等内容以双方签订的专业合同为准，该合同作为本政府采购合同附件，与本合同具有同等法律效力，如附件合同没有而合同一般条款有的且涉及政府采购性质的内容，以合同一般条款内容为准。</w:t>
      </w:r>
    </w:p>
    <w:p w14:paraId="04D5BD2D">
      <w:pPr>
        <w:tabs>
          <w:tab w:val="left" w:pos="1133"/>
        </w:tabs>
        <w:spacing w:line="520" w:lineRule="exact"/>
        <w:ind w:firstLine="448" w:firstLineChars="200"/>
        <w:rPr>
          <w:sz w:val="24"/>
          <w:szCs w:val="24"/>
        </w:rPr>
      </w:pPr>
      <w:r>
        <w:rPr>
          <w:sz w:val="24"/>
          <w:szCs w:val="24"/>
        </w:rPr>
        <w:t>一、采购内容：（详见附件）</w:t>
      </w:r>
    </w:p>
    <w:p w14:paraId="312830F8">
      <w:pPr>
        <w:tabs>
          <w:tab w:val="left" w:pos="1133"/>
        </w:tabs>
        <w:spacing w:line="520" w:lineRule="exact"/>
        <w:ind w:firstLine="448" w:firstLineChars="200"/>
        <w:rPr>
          <w:sz w:val="24"/>
          <w:szCs w:val="24"/>
        </w:rPr>
      </w:pPr>
      <w:r>
        <w:rPr>
          <w:sz w:val="24"/>
          <w:szCs w:val="24"/>
        </w:rPr>
        <w:t>合同总价款：人民币元</w:t>
      </w:r>
    </w:p>
    <w:p w14:paraId="0DF02CCB">
      <w:pPr>
        <w:tabs>
          <w:tab w:val="left" w:pos="1133"/>
        </w:tabs>
        <w:spacing w:line="520" w:lineRule="exact"/>
        <w:ind w:firstLine="448" w:firstLineChars="200"/>
        <w:rPr>
          <w:sz w:val="24"/>
          <w:szCs w:val="24"/>
        </w:rPr>
      </w:pPr>
      <w:r>
        <w:rPr>
          <w:sz w:val="24"/>
          <w:szCs w:val="24"/>
        </w:rPr>
        <w:t>大写：人民币元整</w:t>
      </w:r>
    </w:p>
    <w:p w14:paraId="1A07CB54">
      <w:pPr>
        <w:tabs>
          <w:tab w:val="left" w:pos="360"/>
        </w:tabs>
        <w:spacing w:line="520" w:lineRule="exact"/>
        <w:ind w:firstLine="448" w:firstLineChars="200"/>
        <w:rPr>
          <w:sz w:val="24"/>
          <w:szCs w:val="24"/>
        </w:rPr>
      </w:pPr>
      <w:r>
        <w:rPr>
          <w:sz w:val="24"/>
          <w:szCs w:val="24"/>
        </w:rPr>
        <w:t>二、质量要求及对质量负责条件和期限：见附件。</w:t>
      </w:r>
    </w:p>
    <w:p w14:paraId="77C4AF2F">
      <w:pPr>
        <w:tabs>
          <w:tab w:val="left" w:pos="360"/>
        </w:tabs>
        <w:spacing w:line="520" w:lineRule="exact"/>
        <w:ind w:firstLine="448" w:firstLineChars="200"/>
        <w:rPr>
          <w:sz w:val="24"/>
          <w:szCs w:val="24"/>
        </w:rPr>
      </w:pPr>
      <w:r>
        <w:rPr>
          <w:sz w:val="24"/>
          <w:szCs w:val="24"/>
        </w:rPr>
        <w:t>三、供方所提供的服务必须具有合法手续及相关文件。如涉及知识产权则必须是自己拥有或合法使用的。</w:t>
      </w:r>
    </w:p>
    <w:p w14:paraId="49F05829">
      <w:pPr>
        <w:tabs>
          <w:tab w:val="left" w:pos="360"/>
        </w:tabs>
        <w:spacing w:line="520" w:lineRule="exact"/>
        <w:ind w:firstLine="448" w:firstLineChars="200"/>
        <w:rPr>
          <w:sz w:val="24"/>
          <w:szCs w:val="24"/>
        </w:rPr>
      </w:pPr>
      <w:r>
        <w:rPr>
          <w:sz w:val="24"/>
          <w:szCs w:val="24"/>
        </w:rPr>
        <w:t>四、</w:t>
      </w:r>
      <w:r>
        <w:rPr>
          <w:rFonts w:hint="eastAsia"/>
          <w:sz w:val="24"/>
          <w:szCs w:val="24"/>
        </w:rPr>
        <w:t>服务</w:t>
      </w:r>
      <w:r>
        <w:rPr>
          <w:sz w:val="24"/>
          <w:szCs w:val="24"/>
        </w:rPr>
        <w:t>时间、地点、方式：见附件。</w:t>
      </w:r>
    </w:p>
    <w:p w14:paraId="368452F8">
      <w:pPr>
        <w:tabs>
          <w:tab w:val="left" w:pos="360"/>
        </w:tabs>
        <w:spacing w:line="520" w:lineRule="exact"/>
        <w:ind w:firstLine="448" w:firstLineChars="200"/>
        <w:rPr>
          <w:sz w:val="24"/>
          <w:szCs w:val="24"/>
        </w:rPr>
      </w:pPr>
      <w:r>
        <w:rPr>
          <w:sz w:val="24"/>
          <w:szCs w:val="24"/>
        </w:rPr>
        <w:t>五、供方应随</w:t>
      </w:r>
      <w:r>
        <w:rPr>
          <w:rFonts w:hint="eastAsia"/>
          <w:sz w:val="24"/>
          <w:szCs w:val="24"/>
        </w:rPr>
        <w:t>服务</w:t>
      </w:r>
      <w:r>
        <w:rPr>
          <w:sz w:val="24"/>
          <w:szCs w:val="24"/>
        </w:rPr>
        <w:t>向需方交付的相关资料。如果所提交文件是外文的，供方有义务为需方提供中文或译成中文文件。</w:t>
      </w:r>
    </w:p>
    <w:p w14:paraId="4A58474A">
      <w:pPr>
        <w:tabs>
          <w:tab w:val="left" w:pos="360"/>
          <w:tab w:val="left" w:pos="721"/>
        </w:tabs>
        <w:spacing w:line="520" w:lineRule="exact"/>
        <w:rPr>
          <w:sz w:val="24"/>
          <w:szCs w:val="24"/>
        </w:rPr>
      </w:pPr>
      <w:r>
        <w:rPr>
          <w:sz w:val="24"/>
          <w:szCs w:val="24"/>
        </w:rPr>
        <w:t>六、验收工作由需方负责对合同进行验收。</w:t>
      </w:r>
    </w:p>
    <w:p w14:paraId="170521ED">
      <w:pPr>
        <w:tabs>
          <w:tab w:val="left" w:pos="360"/>
        </w:tabs>
        <w:spacing w:line="520" w:lineRule="exact"/>
        <w:rPr>
          <w:sz w:val="24"/>
          <w:szCs w:val="24"/>
        </w:rPr>
      </w:pPr>
      <w:r>
        <w:rPr>
          <w:sz w:val="24"/>
          <w:szCs w:val="24"/>
        </w:rPr>
        <w:t>七、货款支付方式：见附件。</w:t>
      </w:r>
    </w:p>
    <w:p w14:paraId="51186D36">
      <w:pPr>
        <w:tabs>
          <w:tab w:val="left" w:pos="0"/>
          <w:tab w:val="left" w:pos="721"/>
        </w:tabs>
        <w:spacing w:line="520" w:lineRule="exact"/>
        <w:ind w:firstLine="448" w:firstLineChars="200"/>
        <w:rPr>
          <w:sz w:val="24"/>
          <w:szCs w:val="24"/>
        </w:rPr>
      </w:pPr>
      <w:r>
        <w:rPr>
          <w:sz w:val="24"/>
          <w:szCs w:val="24"/>
        </w:rPr>
        <w:t>供方开户银行（汉字全称）：，</w:t>
      </w:r>
    </w:p>
    <w:p w14:paraId="27F30CC6">
      <w:pPr>
        <w:tabs>
          <w:tab w:val="left" w:pos="0"/>
          <w:tab w:val="left" w:pos="721"/>
        </w:tabs>
        <w:spacing w:line="520" w:lineRule="exact"/>
        <w:ind w:firstLine="479" w:firstLineChars="214"/>
        <w:rPr>
          <w:sz w:val="24"/>
          <w:szCs w:val="24"/>
        </w:rPr>
      </w:pPr>
      <w:r>
        <w:rPr>
          <w:sz w:val="24"/>
          <w:szCs w:val="24"/>
        </w:rPr>
        <w:t>行号（数字代码）：，</w:t>
      </w:r>
    </w:p>
    <w:p w14:paraId="31D34299">
      <w:pPr>
        <w:tabs>
          <w:tab w:val="left" w:pos="0"/>
          <w:tab w:val="left" w:pos="721"/>
        </w:tabs>
        <w:spacing w:line="520" w:lineRule="exact"/>
        <w:ind w:firstLine="479" w:firstLineChars="214"/>
        <w:rPr>
          <w:sz w:val="24"/>
          <w:szCs w:val="24"/>
        </w:rPr>
      </w:pPr>
      <w:r>
        <w:rPr>
          <w:sz w:val="24"/>
          <w:szCs w:val="24"/>
        </w:rPr>
        <w:t>帐号：</w:t>
      </w:r>
      <w:r>
        <w:rPr>
          <w:szCs w:val="24"/>
        </w:rPr>
        <w:t>。</w:t>
      </w:r>
    </w:p>
    <w:p w14:paraId="5970074A">
      <w:pPr>
        <w:pStyle w:val="12"/>
        <w:spacing w:line="520" w:lineRule="exact"/>
        <w:ind w:left="-97" w:leftChars="-50" w:firstLine="448" w:firstLineChars="200"/>
        <w:rPr>
          <w:sz w:val="24"/>
          <w:szCs w:val="24"/>
        </w:rPr>
      </w:pPr>
      <w:r>
        <w:rPr>
          <w:rFonts w:hint="eastAsia"/>
          <w:sz w:val="24"/>
          <w:szCs w:val="24"/>
        </w:rPr>
        <w:t>八</w:t>
      </w:r>
      <w:r>
        <w:rPr>
          <w:sz w:val="24"/>
          <w:szCs w:val="24"/>
        </w:rPr>
        <w:t>、有关涉及本合同供方向天津市政府采购中心所提交的投标文件及有关澄清资料和服务承诺均视为本合同不可分割的部分，对供方具有约束力。</w:t>
      </w:r>
    </w:p>
    <w:p w14:paraId="0FF5C208">
      <w:pPr>
        <w:tabs>
          <w:tab w:val="left" w:pos="0"/>
          <w:tab w:val="left" w:pos="315"/>
        </w:tabs>
        <w:spacing w:line="520" w:lineRule="exact"/>
        <w:ind w:firstLine="448" w:firstLineChars="200"/>
        <w:rPr>
          <w:sz w:val="24"/>
          <w:szCs w:val="24"/>
        </w:rPr>
      </w:pPr>
      <w:r>
        <w:rPr>
          <w:rFonts w:hint="eastAsia"/>
          <w:sz w:val="24"/>
          <w:szCs w:val="24"/>
        </w:rPr>
        <w:t>九</w:t>
      </w:r>
      <w:r>
        <w:rPr>
          <w:sz w:val="24"/>
          <w:szCs w:val="24"/>
        </w:rPr>
        <w:t>、本合同一式份，需方留存份，供方留存份，均具同等效力，签字盖章后生效。</w:t>
      </w:r>
    </w:p>
    <w:tbl>
      <w:tblPr>
        <w:tblStyle w:val="19"/>
        <w:tblW w:w="0" w:type="auto"/>
        <w:tblInd w:w="0" w:type="dxa"/>
        <w:tblLayout w:type="autofit"/>
        <w:tblCellMar>
          <w:top w:w="0" w:type="dxa"/>
          <w:left w:w="108" w:type="dxa"/>
          <w:bottom w:w="0" w:type="dxa"/>
          <w:right w:w="108" w:type="dxa"/>
        </w:tblCellMar>
      </w:tblPr>
      <w:tblGrid>
        <w:gridCol w:w="4261"/>
        <w:gridCol w:w="4261"/>
      </w:tblGrid>
      <w:tr w14:paraId="234057D8">
        <w:tblPrEx>
          <w:tblCellMar>
            <w:top w:w="0" w:type="dxa"/>
            <w:left w:w="108" w:type="dxa"/>
            <w:bottom w:w="0" w:type="dxa"/>
            <w:right w:w="108" w:type="dxa"/>
          </w:tblCellMar>
        </w:tblPrEx>
        <w:tc>
          <w:tcPr>
            <w:tcW w:w="4261" w:type="dxa"/>
          </w:tcPr>
          <w:p w14:paraId="5B92BC24">
            <w:pPr>
              <w:tabs>
                <w:tab w:val="left" w:pos="0"/>
                <w:tab w:val="left" w:pos="315"/>
              </w:tabs>
              <w:spacing w:line="520" w:lineRule="exact"/>
              <w:rPr>
                <w:sz w:val="24"/>
                <w:szCs w:val="24"/>
              </w:rPr>
            </w:pPr>
            <w:r>
              <w:rPr>
                <w:sz w:val="24"/>
                <w:szCs w:val="24"/>
              </w:rPr>
              <w:t>供方（公章）：</w:t>
            </w:r>
          </w:p>
        </w:tc>
        <w:tc>
          <w:tcPr>
            <w:tcW w:w="4261" w:type="dxa"/>
          </w:tcPr>
          <w:p w14:paraId="3F500900">
            <w:pPr>
              <w:tabs>
                <w:tab w:val="left" w:pos="0"/>
                <w:tab w:val="left" w:pos="315"/>
              </w:tabs>
              <w:spacing w:line="520" w:lineRule="exact"/>
              <w:rPr>
                <w:sz w:val="24"/>
                <w:szCs w:val="24"/>
              </w:rPr>
            </w:pPr>
            <w:r>
              <w:rPr>
                <w:sz w:val="24"/>
                <w:szCs w:val="24"/>
              </w:rPr>
              <w:t>需方（公章）：</w:t>
            </w:r>
          </w:p>
        </w:tc>
      </w:tr>
      <w:tr w14:paraId="18E6AA78">
        <w:tblPrEx>
          <w:tblCellMar>
            <w:top w:w="0" w:type="dxa"/>
            <w:left w:w="108" w:type="dxa"/>
            <w:bottom w:w="0" w:type="dxa"/>
            <w:right w:w="108" w:type="dxa"/>
          </w:tblCellMar>
        </w:tblPrEx>
        <w:tc>
          <w:tcPr>
            <w:tcW w:w="4261" w:type="dxa"/>
          </w:tcPr>
          <w:p w14:paraId="73B9FD92">
            <w:pPr>
              <w:tabs>
                <w:tab w:val="left" w:pos="0"/>
                <w:tab w:val="left" w:pos="315"/>
              </w:tabs>
              <w:spacing w:line="520" w:lineRule="exact"/>
              <w:rPr>
                <w:sz w:val="24"/>
                <w:szCs w:val="24"/>
              </w:rPr>
            </w:pPr>
            <w:r>
              <w:rPr>
                <w:sz w:val="24"/>
                <w:szCs w:val="24"/>
              </w:rPr>
              <w:t>地址：</w:t>
            </w:r>
          </w:p>
        </w:tc>
        <w:tc>
          <w:tcPr>
            <w:tcW w:w="4261" w:type="dxa"/>
          </w:tcPr>
          <w:p w14:paraId="3241E2F3">
            <w:pPr>
              <w:tabs>
                <w:tab w:val="left" w:pos="0"/>
                <w:tab w:val="left" w:pos="315"/>
              </w:tabs>
              <w:spacing w:line="520" w:lineRule="exact"/>
              <w:rPr>
                <w:sz w:val="24"/>
                <w:szCs w:val="24"/>
              </w:rPr>
            </w:pPr>
            <w:r>
              <w:rPr>
                <w:sz w:val="24"/>
                <w:szCs w:val="24"/>
              </w:rPr>
              <w:t>地址：</w:t>
            </w:r>
          </w:p>
        </w:tc>
      </w:tr>
      <w:tr w14:paraId="7FFFBD8F">
        <w:tblPrEx>
          <w:tblCellMar>
            <w:top w:w="0" w:type="dxa"/>
            <w:left w:w="108" w:type="dxa"/>
            <w:bottom w:w="0" w:type="dxa"/>
            <w:right w:w="108" w:type="dxa"/>
          </w:tblCellMar>
        </w:tblPrEx>
        <w:tc>
          <w:tcPr>
            <w:tcW w:w="4261" w:type="dxa"/>
          </w:tcPr>
          <w:p w14:paraId="4D6F3227">
            <w:pPr>
              <w:tabs>
                <w:tab w:val="left" w:pos="360"/>
              </w:tabs>
              <w:spacing w:line="520" w:lineRule="exact"/>
              <w:rPr>
                <w:sz w:val="24"/>
                <w:szCs w:val="24"/>
              </w:rPr>
            </w:pPr>
            <w:r>
              <w:rPr>
                <w:sz w:val="24"/>
                <w:szCs w:val="24"/>
              </w:rPr>
              <w:t>法定代表人：</w:t>
            </w:r>
          </w:p>
        </w:tc>
        <w:tc>
          <w:tcPr>
            <w:tcW w:w="4261" w:type="dxa"/>
          </w:tcPr>
          <w:p w14:paraId="2618E28D">
            <w:pPr>
              <w:tabs>
                <w:tab w:val="left" w:pos="360"/>
              </w:tabs>
              <w:spacing w:line="520" w:lineRule="exact"/>
              <w:rPr>
                <w:sz w:val="24"/>
                <w:szCs w:val="24"/>
              </w:rPr>
            </w:pPr>
            <w:r>
              <w:rPr>
                <w:sz w:val="24"/>
                <w:szCs w:val="24"/>
              </w:rPr>
              <w:t>法定代表人：</w:t>
            </w:r>
          </w:p>
        </w:tc>
      </w:tr>
      <w:tr w14:paraId="3813B42C">
        <w:tblPrEx>
          <w:tblCellMar>
            <w:top w:w="0" w:type="dxa"/>
            <w:left w:w="108" w:type="dxa"/>
            <w:bottom w:w="0" w:type="dxa"/>
            <w:right w:w="108" w:type="dxa"/>
          </w:tblCellMar>
        </w:tblPrEx>
        <w:tc>
          <w:tcPr>
            <w:tcW w:w="4261" w:type="dxa"/>
          </w:tcPr>
          <w:p w14:paraId="426560DF">
            <w:pPr>
              <w:tabs>
                <w:tab w:val="left" w:pos="360"/>
              </w:tabs>
              <w:spacing w:line="520" w:lineRule="exact"/>
              <w:rPr>
                <w:sz w:val="24"/>
                <w:szCs w:val="24"/>
              </w:rPr>
            </w:pPr>
            <w:r>
              <w:rPr>
                <w:sz w:val="24"/>
                <w:szCs w:val="24"/>
              </w:rPr>
              <w:t>委托代理人：</w:t>
            </w:r>
          </w:p>
        </w:tc>
        <w:tc>
          <w:tcPr>
            <w:tcW w:w="4261" w:type="dxa"/>
          </w:tcPr>
          <w:p w14:paraId="60F2DEBE">
            <w:pPr>
              <w:tabs>
                <w:tab w:val="left" w:pos="360"/>
              </w:tabs>
              <w:spacing w:line="520" w:lineRule="exact"/>
              <w:rPr>
                <w:sz w:val="24"/>
                <w:szCs w:val="24"/>
              </w:rPr>
            </w:pPr>
            <w:r>
              <w:rPr>
                <w:sz w:val="24"/>
                <w:szCs w:val="24"/>
              </w:rPr>
              <w:t>委托代理人：</w:t>
            </w:r>
          </w:p>
        </w:tc>
      </w:tr>
      <w:tr w14:paraId="613D7C6F">
        <w:tblPrEx>
          <w:tblCellMar>
            <w:top w:w="0" w:type="dxa"/>
            <w:left w:w="108" w:type="dxa"/>
            <w:bottom w:w="0" w:type="dxa"/>
            <w:right w:w="108" w:type="dxa"/>
          </w:tblCellMar>
        </w:tblPrEx>
        <w:tc>
          <w:tcPr>
            <w:tcW w:w="4261" w:type="dxa"/>
          </w:tcPr>
          <w:p w14:paraId="6190517F">
            <w:pPr>
              <w:tabs>
                <w:tab w:val="left" w:pos="360"/>
              </w:tabs>
              <w:spacing w:line="520" w:lineRule="exact"/>
              <w:rPr>
                <w:sz w:val="24"/>
                <w:szCs w:val="24"/>
              </w:rPr>
            </w:pPr>
            <w:r>
              <w:rPr>
                <w:sz w:val="24"/>
                <w:szCs w:val="24"/>
              </w:rPr>
              <w:t>电话：</w:t>
            </w:r>
          </w:p>
        </w:tc>
        <w:tc>
          <w:tcPr>
            <w:tcW w:w="4261" w:type="dxa"/>
          </w:tcPr>
          <w:p w14:paraId="7DA52C17">
            <w:pPr>
              <w:tabs>
                <w:tab w:val="left" w:pos="360"/>
              </w:tabs>
              <w:spacing w:line="520" w:lineRule="exact"/>
              <w:rPr>
                <w:sz w:val="24"/>
                <w:szCs w:val="24"/>
              </w:rPr>
            </w:pPr>
            <w:r>
              <w:rPr>
                <w:sz w:val="24"/>
                <w:szCs w:val="24"/>
              </w:rPr>
              <w:t>电话：</w:t>
            </w:r>
          </w:p>
        </w:tc>
      </w:tr>
    </w:tbl>
    <w:p w14:paraId="21831A72">
      <w:pPr>
        <w:rPr>
          <w:sz w:val="24"/>
          <w:szCs w:val="24"/>
        </w:rPr>
      </w:pPr>
    </w:p>
    <w:p w14:paraId="4B2839F4">
      <w:pPr>
        <w:rPr>
          <w:szCs w:val="24"/>
        </w:rPr>
      </w:pPr>
      <w:r>
        <w:rPr>
          <w:sz w:val="24"/>
          <w:szCs w:val="24"/>
        </w:rPr>
        <w:t>时间：20年月日</w:t>
      </w:r>
    </w:p>
    <w:p w14:paraId="349C816A">
      <w:pPr>
        <w:widowControl/>
        <w:jc w:val="left"/>
        <w:rPr>
          <w:sz w:val="24"/>
          <w:szCs w:val="24"/>
        </w:rPr>
      </w:pPr>
      <w:r>
        <w:rPr>
          <w:sz w:val="24"/>
          <w:szCs w:val="24"/>
        </w:rPr>
        <w:br w:type="page"/>
      </w:r>
    </w:p>
    <w:p w14:paraId="6A9EDCBB">
      <w:pPr>
        <w:jc w:val="center"/>
        <w:rPr>
          <w:b/>
          <w:sz w:val="30"/>
          <w:szCs w:val="30"/>
        </w:rPr>
      </w:pPr>
      <w:r>
        <w:rPr>
          <w:b/>
          <w:sz w:val="30"/>
          <w:szCs w:val="30"/>
        </w:rPr>
        <w:t>合同特殊条款</w:t>
      </w:r>
    </w:p>
    <w:p w14:paraId="232BAA60">
      <w:pPr>
        <w:tabs>
          <w:tab w:val="left" w:pos="360"/>
        </w:tabs>
        <w:spacing w:line="520" w:lineRule="exact"/>
        <w:ind w:firstLine="383" w:firstLineChars="171"/>
        <w:rPr>
          <w:color w:val="000000"/>
          <w:sz w:val="24"/>
          <w:szCs w:val="24"/>
        </w:rPr>
      </w:pPr>
    </w:p>
    <w:p w14:paraId="572D91AC">
      <w:pPr>
        <w:tabs>
          <w:tab w:val="left" w:pos="360"/>
        </w:tabs>
        <w:spacing w:line="520" w:lineRule="exact"/>
        <w:ind w:firstLine="383" w:firstLineChars="171"/>
        <w:rPr>
          <w:color w:val="000000"/>
          <w:sz w:val="24"/>
          <w:szCs w:val="24"/>
        </w:rPr>
      </w:pPr>
      <w:r>
        <w:rPr>
          <w:color w:val="000000"/>
          <w:sz w:val="24"/>
          <w:szCs w:val="24"/>
        </w:rPr>
        <w:t>合同特殊条款是合同一般条款的补充和修改。如果两者之间有抵触，应以特殊条款为准。</w:t>
      </w:r>
    </w:p>
    <w:p w14:paraId="51272014">
      <w:pPr>
        <w:tabs>
          <w:tab w:val="left" w:pos="360"/>
        </w:tabs>
        <w:spacing w:line="520" w:lineRule="exact"/>
        <w:ind w:firstLine="383" w:firstLineChars="171"/>
        <w:rPr>
          <w:color w:val="000000"/>
          <w:sz w:val="24"/>
          <w:szCs w:val="24"/>
        </w:rPr>
      </w:pPr>
      <w:r>
        <w:rPr>
          <w:color w:val="000000"/>
          <w:sz w:val="24"/>
          <w:szCs w:val="24"/>
        </w:rPr>
        <w:t>合同特殊条款由</w:t>
      </w:r>
      <w:r>
        <w:rPr>
          <w:rFonts w:hint="eastAsia"/>
          <w:color w:val="000000"/>
          <w:sz w:val="24"/>
          <w:szCs w:val="24"/>
        </w:rPr>
        <w:t>供方</w:t>
      </w:r>
      <w:r>
        <w:rPr>
          <w:color w:val="000000"/>
          <w:sz w:val="24"/>
          <w:szCs w:val="24"/>
        </w:rPr>
        <w:t>和需方根据项目的具体情况协商拟订。</w:t>
      </w:r>
    </w:p>
    <w:p w14:paraId="20556A55">
      <w:pPr>
        <w:autoSpaceDN w:val="0"/>
        <w:spacing w:line="360" w:lineRule="auto"/>
        <w:rPr>
          <w:b/>
          <w:bCs/>
        </w:rPr>
      </w:pPr>
    </w:p>
    <w:p w14:paraId="1B89E22D">
      <w:pPr>
        <w:autoSpaceDN w:val="0"/>
        <w:spacing w:line="360" w:lineRule="auto"/>
        <w:rPr>
          <w:b/>
          <w:bCs/>
        </w:rPr>
      </w:pPr>
    </w:p>
    <w:p w14:paraId="4FEC8501">
      <w:pPr>
        <w:widowControl/>
        <w:jc w:val="left"/>
        <w:rPr>
          <w:b/>
          <w:bCs/>
        </w:rPr>
      </w:pPr>
      <w:r>
        <w:rPr>
          <w:b/>
          <w:bCs/>
        </w:rPr>
        <w:br w:type="page"/>
      </w:r>
    </w:p>
    <w:p w14:paraId="3BE10CFB">
      <w:pPr>
        <w:pStyle w:val="15"/>
        <w:rPr>
          <w:rFonts w:ascii="Times New Roman" w:hAnsi="Times New Roman"/>
        </w:rPr>
      </w:pPr>
      <w:r>
        <w:rPr>
          <w:rFonts w:ascii="Times New Roman" w:hAnsiTheme="minorEastAsia"/>
        </w:rPr>
        <w:t>第五部分投标文件格式</w:t>
      </w:r>
    </w:p>
    <w:p w14:paraId="0786C4EF">
      <w:pPr>
        <w:autoSpaceDN w:val="0"/>
        <w:spacing w:line="360" w:lineRule="auto"/>
        <w:jc w:val="center"/>
        <w:rPr>
          <w:b/>
          <w:bCs/>
          <w:sz w:val="24"/>
        </w:rPr>
      </w:pPr>
      <w:r>
        <w:rPr>
          <w:rFonts w:hAnsiTheme="minorEastAsia"/>
          <w:b/>
          <w:bCs/>
          <w:sz w:val="24"/>
        </w:rPr>
        <w:t>投标文件封面格式</w:t>
      </w:r>
    </w:p>
    <w:p w14:paraId="699B98B7">
      <w:pPr>
        <w:autoSpaceDE w:val="0"/>
        <w:autoSpaceDN w:val="0"/>
        <w:adjustRightInd w:val="0"/>
        <w:spacing w:line="520" w:lineRule="exact"/>
      </w:pPr>
    </w:p>
    <w:p w14:paraId="58F8DE27">
      <w:pPr>
        <w:autoSpaceDE w:val="0"/>
        <w:autoSpaceDN w:val="0"/>
        <w:adjustRightInd w:val="0"/>
        <w:spacing w:line="520" w:lineRule="exact"/>
        <w:rPr>
          <w:b/>
          <w:kern w:val="0"/>
          <w:sz w:val="24"/>
        </w:rPr>
      </w:pPr>
    </w:p>
    <w:p w14:paraId="2BA7F50D">
      <w:pPr>
        <w:autoSpaceDE w:val="0"/>
        <w:autoSpaceDN w:val="0"/>
        <w:adjustRightInd w:val="0"/>
        <w:spacing w:line="520" w:lineRule="exact"/>
        <w:rPr>
          <w:b/>
          <w:kern w:val="0"/>
          <w:sz w:val="24"/>
        </w:rPr>
      </w:pPr>
    </w:p>
    <w:p w14:paraId="398D5425">
      <w:pPr>
        <w:autoSpaceDE w:val="0"/>
        <w:autoSpaceDN w:val="0"/>
        <w:adjustRightInd w:val="0"/>
        <w:spacing w:line="520" w:lineRule="exact"/>
        <w:rPr>
          <w:b/>
          <w:kern w:val="0"/>
          <w:sz w:val="24"/>
        </w:rPr>
      </w:pPr>
    </w:p>
    <w:p w14:paraId="19F57A2B">
      <w:pPr>
        <w:autoSpaceDE w:val="0"/>
        <w:autoSpaceDN w:val="0"/>
        <w:adjustRightInd w:val="0"/>
        <w:jc w:val="center"/>
        <w:rPr>
          <w:kern w:val="0"/>
          <w:sz w:val="144"/>
          <w:szCs w:val="144"/>
        </w:rPr>
      </w:pPr>
      <w:r>
        <w:rPr>
          <w:rFonts w:hAnsiTheme="minorEastAsia"/>
          <w:sz w:val="160"/>
          <w:szCs w:val="84"/>
        </w:rPr>
        <w:t>投标文件</w:t>
      </w:r>
    </w:p>
    <w:p w14:paraId="466829CF">
      <w:pPr>
        <w:autoSpaceDE w:val="0"/>
        <w:autoSpaceDN w:val="0"/>
        <w:adjustRightInd w:val="0"/>
        <w:spacing w:line="520" w:lineRule="exact"/>
        <w:rPr>
          <w:b/>
          <w:kern w:val="0"/>
          <w:sz w:val="36"/>
          <w:szCs w:val="36"/>
        </w:rPr>
      </w:pPr>
    </w:p>
    <w:p w14:paraId="6DD46572">
      <w:pPr>
        <w:autoSpaceDE w:val="0"/>
        <w:autoSpaceDN w:val="0"/>
        <w:adjustRightInd w:val="0"/>
        <w:spacing w:line="520" w:lineRule="exact"/>
        <w:jc w:val="center"/>
        <w:rPr>
          <w:b/>
          <w:color w:val="FF0000"/>
          <w:kern w:val="0"/>
          <w:sz w:val="24"/>
        </w:rPr>
      </w:pPr>
      <w:r>
        <w:rPr>
          <w:rFonts w:hAnsiTheme="minorEastAsia"/>
          <w:b/>
          <w:color w:val="FF0000"/>
          <w:kern w:val="0"/>
          <w:sz w:val="24"/>
        </w:rPr>
        <w:t>（加盖电子签章）</w:t>
      </w:r>
    </w:p>
    <w:p w14:paraId="589060ED">
      <w:pPr>
        <w:spacing w:before="85" w:beforeLines="30" w:after="199" w:afterLines="70" w:line="540" w:lineRule="exact"/>
        <w:ind w:left="582" w:leftChars="300"/>
        <w:rPr>
          <w:b/>
          <w:sz w:val="34"/>
          <w:szCs w:val="34"/>
        </w:rPr>
      </w:pPr>
      <w:r>
        <w:rPr>
          <w:rFonts w:hAnsiTheme="minorEastAsia"/>
          <w:b/>
          <w:sz w:val="34"/>
          <w:szCs w:val="34"/>
        </w:rPr>
        <w:t>项目编号：</w:t>
      </w:r>
    </w:p>
    <w:p w14:paraId="6755A5A3">
      <w:pPr>
        <w:spacing w:before="85" w:beforeLines="30" w:after="199" w:afterLines="70" w:line="540" w:lineRule="exact"/>
        <w:ind w:left="2027" w:leftChars="300" w:hanging="1445" w:hangingChars="446"/>
        <w:rPr>
          <w:b/>
          <w:sz w:val="34"/>
          <w:szCs w:val="34"/>
        </w:rPr>
      </w:pPr>
      <w:r>
        <w:rPr>
          <w:rFonts w:hAnsiTheme="minorEastAsia"/>
          <w:b/>
          <w:sz w:val="34"/>
          <w:szCs w:val="34"/>
        </w:rPr>
        <w:t>项目名称：</w:t>
      </w:r>
    </w:p>
    <w:p w14:paraId="078727CD">
      <w:pPr>
        <w:spacing w:before="85" w:beforeLines="30" w:after="199" w:afterLines="70" w:line="540" w:lineRule="exact"/>
        <w:ind w:left="2027" w:leftChars="300" w:hanging="1445" w:hangingChars="446"/>
        <w:rPr>
          <w:b/>
          <w:sz w:val="34"/>
          <w:szCs w:val="34"/>
        </w:rPr>
      </w:pPr>
      <w:r>
        <w:rPr>
          <w:rFonts w:hAnsiTheme="minorEastAsia"/>
          <w:b/>
          <w:sz w:val="34"/>
          <w:szCs w:val="34"/>
        </w:rPr>
        <w:t>投标包号：</w:t>
      </w:r>
    </w:p>
    <w:p w14:paraId="177CCCAF">
      <w:pPr>
        <w:spacing w:before="85" w:beforeLines="30" w:after="199" w:afterLines="70" w:line="540" w:lineRule="exact"/>
        <w:ind w:left="582" w:leftChars="300"/>
        <w:rPr>
          <w:b/>
          <w:sz w:val="34"/>
          <w:szCs w:val="34"/>
        </w:rPr>
      </w:pPr>
      <w:r>
        <w:rPr>
          <w:rFonts w:hAnsiTheme="minorEastAsia"/>
          <w:b/>
          <w:sz w:val="34"/>
          <w:szCs w:val="34"/>
        </w:rPr>
        <w:t>投标单位名称：</w:t>
      </w:r>
    </w:p>
    <w:p w14:paraId="53EEC095">
      <w:pPr>
        <w:spacing w:before="85" w:beforeLines="30" w:after="199" w:afterLines="70" w:line="540" w:lineRule="exact"/>
        <w:ind w:left="582" w:leftChars="300"/>
        <w:rPr>
          <w:b/>
          <w:kern w:val="0"/>
          <w:sz w:val="34"/>
          <w:szCs w:val="34"/>
        </w:rPr>
      </w:pPr>
      <w:r>
        <w:rPr>
          <w:rFonts w:hint="eastAsia" w:hAnsiTheme="minorEastAsia"/>
          <w:b/>
          <w:kern w:val="0"/>
          <w:sz w:val="34"/>
          <w:szCs w:val="34"/>
        </w:rPr>
        <w:t>投标代表人姓名：</w:t>
      </w:r>
    </w:p>
    <w:p w14:paraId="70C093FC">
      <w:pPr>
        <w:tabs>
          <w:tab w:val="left" w:pos="1260"/>
          <w:tab w:val="center" w:pos="4156"/>
        </w:tabs>
        <w:autoSpaceDE w:val="0"/>
        <w:autoSpaceDN w:val="0"/>
        <w:adjustRightInd w:val="0"/>
        <w:spacing w:line="360" w:lineRule="auto"/>
        <w:ind w:firstLine="648" w:firstLineChars="200"/>
        <w:outlineLvl w:val="0"/>
        <w:rPr>
          <w:b/>
          <w:sz w:val="34"/>
          <w:szCs w:val="34"/>
        </w:rPr>
      </w:pPr>
    </w:p>
    <w:p w14:paraId="1C5E1CD8">
      <w:pPr>
        <w:tabs>
          <w:tab w:val="left" w:pos="1260"/>
          <w:tab w:val="center" w:pos="4156"/>
        </w:tabs>
        <w:autoSpaceDE w:val="0"/>
        <w:autoSpaceDN w:val="0"/>
        <w:adjustRightInd w:val="0"/>
        <w:spacing w:line="360" w:lineRule="auto"/>
        <w:ind w:firstLine="648" w:firstLineChars="200"/>
        <w:outlineLvl w:val="0"/>
        <w:rPr>
          <w:b/>
          <w:sz w:val="34"/>
          <w:szCs w:val="34"/>
        </w:rPr>
      </w:pPr>
    </w:p>
    <w:p w14:paraId="5EC7E055">
      <w:pPr>
        <w:tabs>
          <w:tab w:val="left" w:pos="1260"/>
          <w:tab w:val="center" w:pos="4156"/>
        </w:tabs>
        <w:autoSpaceDE w:val="0"/>
        <w:autoSpaceDN w:val="0"/>
        <w:adjustRightInd w:val="0"/>
        <w:spacing w:line="360" w:lineRule="auto"/>
        <w:ind w:firstLine="648" w:firstLineChars="200"/>
        <w:outlineLvl w:val="0"/>
        <w:rPr>
          <w:b/>
          <w:sz w:val="34"/>
          <w:szCs w:val="34"/>
        </w:rPr>
      </w:pPr>
    </w:p>
    <w:p w14:paraId="28C7AF05">
      <w:pPr>
        <w:tabs>
          <w:tab w:val="left" w:pos="1260"/>
          <w:tab w:val="center" w:pos="4156"/>
        </w:tabs>
        <w:autoSpaceDE w:val="0"/>
        <w:autoSpaceDN w:val="0"/>
        <w:adjustRightInd w:val="0"/>
        <w:spacing w:line="360" w:lineRule="auto"/>
        <w:ind w:firstLine="648" w:firstLineChars="200"/>
        <w:outlineLvl w:val="0"/>
        <w:rPr>
          <w:b/>
          <w:bCs/>
          <w:color w:val="000000"/>
          <w:sz w:val="24"/>
          <w:lang w:val="zh-CN"/>
        </w:rPr>
      </w:pPr>
      <w:r>
        <w:rPr>
          <w:rFonts w:hAnsiTheme="minorEastAsia"/>
          <w:b/>
          <w:sz w:val="34"/>
          <w:szCs w:val="34"/>
        </w:rPr>
        <w:t>投标日期：年月日</w:t>
      </w:r>
    </w:p>
    <w:p w14:paraId="5206984B">
      <w:pPr>
        <w:widowControl/>
        <w:jc w:val="left"/>
        <w:rPr>
          <w:b/>
          <w:sz w:val="24"/>
        </w:rPr>
      </w:pPr>
      <w:r>
        <w:rPr>
          <w:b/>
          <w:sz w:val="24"/>
        </w:rPr>
        <w:br w:type="page"/>
      </w:r>
    </w:p>
    <w:p w14:paraId="03C244F7">
      <w:pPr>
        <w:autoSpaceDN w:val="0"/>
        <w:spacing w:line="360" w:lineRule="auto"/>
        <w:jc w:val="center"/>
        <w:rPr>
          <w:b/>
          <w:bCs/>
          <w:sz w:val="24"/>
        </w:rPr>
      </w:pPr>
      <w:r>
        <w:rPr>
          <w:rFonts w:hAnsiTheme="minorEastAsia"/>
          <w:b/>
          <w:bCs/>
          <w:sz w:val="24"/>
        </w:rPr>
        <w:t>投标文件总目录</w:t>
      </w:r>
    </w:p>
    <w:p w14:paraId="700B879C">
      <w:pPr>
        <w:autoSpaceDN w:val="0"/>
        <w:spacing w:line="360" w:lineRule="auto"/>
        <w:jc w:val="center"/>
        <w:rPr>
          <w:b/>
          <w:bCs/>
          <w:sz w:val="24"/>
        </w:rPr>
      </w:pPr>
      <w:r>
        <w:rPr>
          <w:rFonts w:hAnsiTheme="minorEastAsia"/>
          <w:b/>
          <w:bCs/>
          <w:sz w:val="24"/>
        </w:rPr>
        <w:t>（投标人自行编制）</w:t>
      </w:r>
    </w:p>
    <w:p w14:paraId="3D83363C">
      <w:pPr>
        <w:widowControl/>
        <w:jc w:val="left"/>
        <w:rPr>
          <w:b/>
          <w:sz w:val="24"/>
        </w:rPr>
      </w:pPr>
      <w:r>
        <w:rPr>
          <w:b/>
          <w:sz w:val="24"/>
        </w:rPr>
        <w:br w:type="page"/>
      </w:r>
    </w:p>
    <w:p w14:paraId="0B22BBF9">
      <w:pPr>
        <w:widowControl/>
        <w:jc w:val="center"/>
        <w:rPr>
          <w:b/>
          <w:sz w:val="24"/>
        </w:rPr>
      </w:pPr>
      <w:r>
        <w:rPr>
          <w:rFonts w:hAnsiTheme="minorEastAsia"/>
          <w:b/>
          <w:sz w:val="24"/>
        </w:rPr>
        <w:t>评分因素及评标标准页码检索</w:t>
      </w:r>
    </w:p>
    <w:p w14:paraId="50FBB8A2">
      <w:pPr>
        <w:widowControl/>
        <w:jc w:val="center"/>
        <w:rPr>
          <w:b/>
          <w:sz w:val="24"/>
        </w:rPr>
      </w:pPr>
      <w:r>
        <w:rPr>
          <w:rFonts w:hAnsiTheme="minorEastAsia"/>
          <w:b/>
          <w:bCs/>
          <w:sz w:val="24"/>
        </w:rPr>
        <w:t>（需投标人按招标文件</w:t>
      </w:r>
      <w:r>
        <w:rPr>
          <w:b/>
          <w:bCs/>
          <w:sz w:val="24"/>
        </w:rPr>
        <w:t>“</w:t>
      </w:r>
      <w:r>
        <w:rPr>
          <w:rFonts w:hAnsiTheme="minorEastAsia"/>
          <w:b/>
          <w:bCs/>
          <w:sz w:val="24"/>
        </w:rPr>
        <w:t>评分因素及评标标准</w:t>
      </w:r>
      <w:r>
        <w:rPr>
          <w:b/>
          <w:bCs/>
          <w:sz w:val="24"/>
        </w:rPr>
        <w:t>”</w:t>
      </w:r>
      <w:r>
        <w:rPr>
          <w:rFonts w:hAnsiTheme="minorEastAsia"/>
          <w:b/>
          <w:bCs/>
          <w:sz w:val="24"/>
        </w:rPr>
        <w:t>中每个评分项逐项列明页码）</w:t>
      </w:r>
    </w:p>
    <w:p w14:paraId="4FADFF2B">
      <w:pPr>
        <w:widowControl/>
        <w:jc w:val="left"/>
        <w:rPr>
          <w:b/>
          <w:sz w:val="24"/>
        </w:rPr>
      </w:pPr>
    </w:p>
    <w:p w14:paraId="766EA0AC">
      <w:pPr>
        <w:widowControl/>
        <w:jc w:val="left"/>
        <w:rPr>
          <w:sz w:val="24"/>
        </w:rPr>
      </w:pPr>
      <w:r>
        <w:rPr>
          <w:b/>
          <w:sz w:val="24"/>
        </w:rPr>
        <w:br w:type="page"/>
      </w:r>
      <w:r>
        <w:rPr>
          <w:rFonts w:hAnsiTheme="minorEastAsia"/>
          <w:b/>
          <w:sz w:val="24"/>
        </w:rPr>
        <w:t>附件</w:t>
      </w:r>
      <w:r>
        <w:rPr>
          <w:b/>
          <w:sz w:val="24"/>
        </w:rPr>
        <w:t>1</w:t>
      </w:r>
    </w:p>
    <w:p w14:paraId="00720329">
      <w:pPr>
        <w:tabs>
          <w:tab w:val="left" w:pos="360"/>
        </w:tabs>
        <w:spacing w:line="560" w:lineRule="exact"/>
        <w:jc w:val="center"/>
        <w:rPr>
          <w:b/>
          <w:sz w:val="24"/>
        </w:rPr>
      </w:pPr>
      <w:r>
        <w:rPr>
          <w:rFonts w:hAnsiTheme="minorEastAsia"/>
          <w:b/>
          <w:sz w:val="24"/>
        </w:rPr>
        <w:t>投标书</w:t>
      </w:r>
    </w:p>
    <w:p w14:paraId="4703AC1D">
      <w:pPr>
        <w:spacing w:line="560" w:lineRule="exact"/>
        <w:rPr>
          <w:sz w:val="24"/>
        </w:rPr>
      </w:pPr>
      <w:r>
        <w:rPr>
          <w:rFonts w:hAnsiTheme="minorEastAsia"/>
          <w:sz w:val="24"/>
        </w:rPr>
        <w:t>致：天津市</w:t>
      </w:r>
      <w:r>
        <w:rPr>
          <w:rFonts w:hint="eastAsia" w:hAnsiTheme="minorEastAsia"/>
          <w:sz w:val="24"/>
        </w:rPr>
        <w:t>滨海新区</w:t>
      </w:r>
      <w:r>
        <w:rPr>
          <w:rFonts w:hAnsiTheme="minorEastAsia"/>
          <w:sz w:val="24"/>
        </w:rPr>
        <w:t>政府采购中心</w:t>
      </w:r>
    </w:p>
    <w:p w14:paraId="14EC40E7">
      <w:pPr>
        <w:spacing w:line="360" w:lineRule="auto"/>
        <w:ind w:firstLine="448" w:firstLineChars="200"/>
        <w:rPr>
          <w:sz w:val="24"/>
        </w:rPr>
      </w:pPr>
      <w:r>
        <w:rPr>
          <w:rFonts w:hAnsiTheme="minorEastAsia"/>
          <w:sz w:val="24"/>
        </w:rPr>
        <w:t>根据贵方为项目（项目编号：）的投标邀请，投标人代表（姓名</w:t>
      </w:r>
      <w:r>
        <w:rPr>
          <w:sz w:val="24"/>
          <w:lang w:val="en-GB"/>
        </w:rPr>
        <w:t>/</w:t>
      </w:r>
      <w:r>
        <w:rPr>
          <w:rFonts w:hAnsiTheme="minorEastAsia"/>
          <w:sz w:val="24"/>
        </w:rPr>
        <w:t>职务）经正式授权并代表我公司（投标单位名称、地址）提交网上应答及上传加盖电子签章的投标文件。</w:t>
      </w:r>
    </w:p>
    <w:p w14:paraId="456C79FB">
      <w:pPr>
        <w:spacing w:line="360" w:lineRule="auto"/>
        <w:ind w:firstLine="448" w:firstLineChars="200"/>
        <w:rPr>
          <w:sz w:val="24"/>
        </w:rPr>
      </w:pPr>
      <w:r>
        <w:rPr>
          <w:rFonts w:hAnsiTheme="minorEastAsia"/>
          <w:sz w:val="24"/>
        </w:rPr>
        <w:t>据此函，投标人代表宣布同意如下：</w:t>
      </w:r>
    </w:p>
    <w:p w14:paraId="3D1F5BF2">
      <w:pPr>
        <w:spacing w:line="360" w:lineRule="auto"/>
        <w:ind w:firstLine="448" w:firstLineChars="200"/>
        <w:rPr>
          <w:sz w:val="24"/>
        </w:rPr>
      </w:pPr>
      <w:r>
        <w:rPr>
          <w:sz w:val="24"/>
        </w:rPr>
        <w:t xml:space="preserve">1. </w:t>
      </w:r>
      <w:r>
        <w:rPr>
          <w:rFonts w:hAnsiTheme="minorEastAsia"/>
          <w:sz w:val="24"/>
        </w:rPr>
        <w:t>所附投标报价表中规定的应提供服务的投标总价为：</w:t>
      </w:r>
    </w:p>
    <w:p w14:paraId="3B5128F3">
      <w:pPr>
        <w:spacing w:line="360" w:lineRule="auto"/>
        <w:ind w:firstLine="448" w:firstLineChars="200"/>
        <w:rPr>
          <w:sz w:val="24"/>
        </w:rPr>
      </w:pPr>
      <w:r>
        <w:rPr>
          <w:rFonts w:hAnsiTheme="minorEastAsia"/>
          <w:sz w:val="24"/>
        </w:rPr>
        <w:t>第包，￥元（人民币），大写。</w:t>
      </w:r>
    </w:p>
    <w:p w14:paraId="16F68BBC">
      <w:pPr>
        <w:spacing w:line="360" w:lineRule="auto"/>
        <w:ind w:firstLine="448" w:firstLineChars="200"/>
        <w:rPr>
          <w:sz w:val="24"/>
        </w:rPr>
      </w:pPr>
      <w:r>
        <w:rPr>
          <w:sz w:val="24"/>
        </w:rPr>
        <w:t>……</w:t>
      </w:r>
    </w:p>
    <w:p w14:paraId="25496345">
      <w:pPr>
        <w:spacing w:line="360" w:lineRule="auto"/>
        <w:ind w:firstLine="448" w:firstLineChars="200"/>
        <w:rPr>
          <w:sz w:val="24"/>
        </w:rPr>
      </w:pPr>
      <w:r>
        <w:rPr>
          <w:sz w:val="24"/>
        </w:rPr>
        <w:t xml:space="preserve">2. </w:t>
      </w:r>
      <w:r>
        <w:rPr>
          <w:rFonts w:hAnsiTheme="minorEastAsia"/>
          <w:sz w:val="24"/>
        </w:rPr>
        <w:t>我公司将按招标文件的规定履行合同责任和义务。</w:t>
      </w:r>
    </w:p>
    <w:p w14:paraId="71B3755C">
      <w:pPr>
        <w:spacing w:line="360" w:lineRule="auto"/>
        <w:ind w:firstLine="448" w:firstLineChars="200"/>
        <w:rPr>
          <w:sz w:val="24"/>
        </w:rPr>
      </w:pPr>
      <w:r>
        <w:rPr>
          <w:sz w:val="24"/>
        </w:rPr>
        <w:t xml:space="preserve">3. </w:t>
      </w:r>
      <w:r>
        <w:rPr>
          <w:rFonts w:hAnsiTheme="minorEastAsia"/>
          <w:sz w:val="24"/>
        </w:rPr>
        <w:t>我公司已详细审查全部招标文件，包括更正公告以及全部参考资料和所有附件。我们完全理解并同意放弃对这方面有不明及误解的权利，并认为全部招标文件（包括更正公告以及全部参考资料和所有附件）公平公正，无倾向性和排他性。</w:t>
      </w:r>
    </w:p>
    <w:p w14:paraId="4CCE180B">
      <w:pPr>
        <w:spacing w:line="360" w:lineRule="auto"/>
        <w:ind w:firstLine="448" w:firstLineChars="200"/>
        <w:rPr>
          <w:sz w:val="24"/>
        </w:rPr>
      </w:pPr>
      <w:r>
        <w:rPr>
          <w:sz w:val="24"/>
        </w:rPr>
        <w:t xml:space="preserve">4. </w:t>
      </w:r>
      <w:r>
        <w:rPr>
          <w:rFonts w:hAnsiTheme="minorEastAsia"/>
          <w:sz w:val="24"/>
        </w:rPr>
        <w:t>我公司的投标有效期为开标之日起</w:t>
      </w:r>
      <w:r>
        <w:rPr>
          <w:sz w:val="24"/>
        </w:rPr>
        <w:t>60</w:t>
      </w:r>
      <w:r>
        <w:rPr>
          <w:rFonts w:hAnsiTheme="minorEastAsia"/>
          <w:sz w:val="24"/>
        </w:rPr>
        <w:t>天。</w:t>
      </w:r>
    </w:p>
    <w:p w14:paraId="205DFD1B">
      <w:pPr>
        <w:spacing w:line="360" w:lineRule="auto"/>
        <w:ind w:firstLine="448" w:firstLineChars="200"/>
        <w:rPr>
          <w:sz w:val="24"/>
        </w:rPr>
      </w:pPr>
      <w:r>
        <w:rPr>
          <w:sz w:val="24"/>
        </w:rPr>
        <w:t xml:space="preserve">5. </w:t>
      </w:r>
      <w:r>
        <w:rPr>
          <w:rFonts w:hAnsiTheme="minorEastAsia"/>
          <w:sz w:val="24"/>
        </w:rPr>
        <w:t>我公司同意按照招标方要求提供的与投标有关的一切数据或资料，并声明投标文件及所提供的一切资料均真实有效。由于我公司提供资料不实而造成的责任和后果由我公司自行承担。</w:t>
      </w:r>
    </w:p>
    <w:p w14:paraId="0C110EB2">
      <w:pPr>
        <w:spacing w:line="360" w:lineRule="auto"/>
        <w:ind w:firstLine="448" w:firstLineChars="200"/>
        <w:rPr>
          <w:sz w:val="24"/>
        </w:rPr>
      </w:pPr>
      <w:r>
        <w:rPr>
          <w:sz w:val="24"/>
        </w:rPr>
        <w:t xml:space="preserve">6. </w:t>
      </w:r>
      <w:r>
        <w:rPr>
          <w:rFonts w:hAnsiTheme="minorEastAsia"/>
          <w:sz w:val="24"/>
        </w:rPr>
        <w:t>我公司保证所投产品来自合法的供货渠道，若中标，则有义务向采购人提供其需要的有效书面证明材料。如果提供非法渠道的商品，视为欺诈，并承担相关责任。</w:t>
      </w:r>
    </w:p>
    <w:p w14:paraId="1B130A37">
      <w:pPr>
        <w:spacing w:line="360" w:lineRule="auto"/>
        <w:ind w:firstLine="448" w:firstLineChars="200"/>
        <w:rPr>
          <w:sz w:val="24"/>
        </w:rPr>
      </w:pPr>
      <w:r>
        <w:rPr>
          <w:sz w:val="24"/>
        </w:rPr>
        <w:t xml:space="preserve">7. </w:t>
      </w:r>
      <w:r>
        <w:rPr>
          <w:rFonts w:hAnsiTheme="minorEastAsia"/>
          <w:sz w:val="24"/>
        </w:rPr>
        <w:t>我公司已熟知贵中心关于本项目电子招投标的要求和规定。我公司完全响应本次招投标通过网上进行的方式，我方承诺投标数据以应答截止时间贵中心网络服务器数据库的记录为准，一切因网络通信或我方操作失误造成的应答数据错误或缺失均与贵中心无关，我方愿承担因此出现的任何风险和责任。</w:t>
      </w:r>
    </w:p>
    <w:p w14:paraId="296ADD76">
      <w:pPr>
        <w:spacing w:line="360" w:lineRule="auto"/>
        <w:ind w:firstLine="448" w:firstLineChars="200"/>
        <w:rPr>
          <w:sz w:val="24"/>
        </w:rPr>
      </w:pPr>
      <w:r>
        <w:rPr>
          <w:sz w:val="24"/>
        </w:rPr>
        <w:t xml:space="preserve">8. </w:t>
      </w:r>
      <w:r>
        <w:rPr>
          <w:rFonts w:hAnsiTheme="minorEastAsia"/>
          <w:sz w:val="24"/>
        </w:rPr>
        <w:t>我公司承诺完全符合《政府采购法》、《政府采购法实施条例》等法律法规规定，并随时接受</w:t>
      </w:r>
      <w:r>
        <w:rPr>
          <w:rFonts w:hint="eastAsia" w:hAnsiTheme="minorEastAsia"/>
          <w:sz w:val="24"/>
        </w:rPr>
        <w:t>采购人、采购代理机构</w:t>
      </w:r>
      <w:r>
        <w:rPr>
          <w:rFonts w:hAnsiTheme="minorEastAsia"/>
          <w:sz w:val="24"/>
        </w:rPr>
        <w:t>的检查验证。在整个招标过程中，我公司若有违规行为，我公司完全接受贵中心依照相关法律法规和招标文件的规定给予处罚。</w:t>
      </w:r>
    </w:p>
    <w:p w14:paraId="0828ABC5">
      <w:pPr>
        <w:spacing w:line="360" w:lineRule="auto"/>
        <w:ind w:firstLine="448" w:firstLineChars="200"/>
        <w:jc w:val="left"/>
        <w:rPr>
          <w:sz w:val="24"/>
        </w:rPr>
      </w:pPr>
      <w:r>
        <w:rPr>
          <w:rFonts w:hint="eastAsia"/>
          <w:sz w:val="24"/>
        </w:rPr>
        <w:t>9. 我公司承诺未列入“信用中国”网站（www.creditchina.gov.cn）失信被执行人、重大税收违法案件当事人名单，也未列入中国政府采购网（www.ccgp.gov.cn）政府采购严重违法失信行为记录名单，符合《中华人民共和国政府采购法》第二十二条规定的各项条件，具备履行合同所必需的设备和专业技术能力，</w:t>
      </w:r>
      <w:r>
        <w:rPr>
          <w:rFonts w:hint="eastAsia"/>
          <w:sz w:val="24"/>
          <w:szCs w:val="24"/>
        </w:rPr>
        <w:t>投标截止日前3年在经营活动中没有重大违法记录</w:t>
      </w:r>
      <w:r>
        <w:rPr>
          <w:rFonts w:hint="eastAsia"/>
          <w:sz w:val="24"/>
        </w:rPr>
        <w:t>。</w:t>
      </w:r>
    </w:p>
    <w:p w14:paraId="04662F3A">
      <w:pPr>
        <w:spacing w:line="360" w:lineRule="auto"/>
        <w:ind w:firstLine="448" w:firstLineChars="200"/>
        <w:rPr>
          <w:sz w:val="24"/>
        </w:rPr>
      </w:pPr>
      <w:r>
        <w:rPr>
          <w:rFonts w:hint="eastAsia"/>
          <w:sz w:val="24"/>
        </w:rPr>
        <w:t>10</w:t>
      </w:r>
      <w:r>
        <w:rPr>
          <w:sz w:val="24"/>
        </w:rPr>
        <w:t xml:space="preserve">. </w:t>
      </w:r>
      <w:r>
        <w:rPr>
          <w:rFonts w:hAnsiTheme="minorEastAsia"/>
          <w:sz w:val="24"/>
        </w:rPr>
        <w:t>我公司若中标，本承诺将成为合同不可分割的一部分，与合同具有同等的法律效力。</w:t>
      </w:r>
    </w:p>
    <w:p w14:paraId="6D7ECF1A">
      <w:pPr>
        <w:spacing w:line="360" w:lineRule="auto"/>
        <w:ind w:firstLine="448" w:firstLineChars="200"/>
        <w:rPr>
          <w:sz w:val="24"/>
        </w:rPr>
      </w:pPr>
      <w:r>
        <w:rPr>
          <w:sz w:val="24"/>
        </w:rPr>
        <w:t>1</w:t>
      </w:r>
      <w:r>
        <w:rPr>
          <w:rFonts w:hint="eastAsia"/>
          <w:sz w:val="24"/>
        </w:rPr>
        <w:t>1</w:t>
      </w:r>
      <w:r>
        <w:rPr>
          <w:sz w:val="24"/>
        </w:rPr>
        <w:t xml:space="preserve">. </w:t>
      </w:r>
      <w:r>
        <w:rPr>
          <w:rFonts w:hAnsiTheme="minorEastAsia"/>
          <w:sz w:val="24"/>
        </w:rPr>
        <w:t>如违反上述承诺，我公司投标无效且接受相关部门依法作出的处罚，并承担通过</w:t>
      </w:r>
      <w:r>
        <w:rPr>
          <w:sz w:val="24"/>
        </w:rPr>
        <w:t>“</w:t>
      </w:r>
      <w:r>
        <w:rPr>
          <w:rFonts w:hAnsiTheme="minorEastAsia"/>
          <w:sz w:val="24"/>
        </w:rPr>
        <w:t>天津市政府采购网</w:t>
      </w:r>
      <w:r>
        <w:rPr>
          <w:sz w:val="24"/>
        </w:rPr>
        <w:t>”</w:t>
      </w:r>
      <w:r>
        <w:rPr>
          <w:rFonts w:hAnsiTheme="minorEastAsia"/>
          <w:sz w:val="24"/>
        </w:rPr>
        <w:t>等相关媒体予以公布的任何风险和责任。</w:t>
      </w:r>
    </w:p>
    <w:p w14:paraId="594DBFD8">
      <w:pPr>
        <w:spacing w:line="360" w:lineRule="auto"/>
        <w:ind w:firstLine="448" w:firstLineChars="200"/>
        <w:rPr>
          <w:sz w:val="24"/>
        </w:rPr>
      </w:pPr>
      <w:r>
        <w:rPr>
          <w:sz w:val="24"/>
        </w:rPr>
        <w:t>1</w:t>
      </w:r>
      <w:r>
        <w:rPr>
          <w:rFonts w:hint="eastAsia"/>
          <w:sz w:val="24"/>
        </w:rPr>
        <w:t>2</w:t>
      </w:r>
      <w:r>
        <w:rPr>
          <w:sz w:val="24"/>
        </w:rPr>
        <w:t xml:space="preserve">. </w:t>
      </w:r>
      <w:r>
        <w:rPr>
          <w:rFonts w:hAnsiTheme="minorEastAsia"/>
          <w:sz w:val="24"/>
        </w:rPr>
        <w:t>与本投标有关的一切正式往来通讯请寄：</w:t>
      </w:r>
    </w:p>
    <w:p w14:paraId="04B2F6CF">
      <w:pPr>
        <w:spacing w:line="360" w:lineRule="auto"/>
        <w:ind w:firstLine="448" w:firstLineChars="200"/>
        <w:rPr>
          <w:sz w:val="24"/>
        </w:rPr>
      </w:pPr>
    </w:p>
    <w:p w14:paraId="10645269">
      <w:pPr>
        <w:spacing w:line="360" w:lineRule="auto"/>
        <w:ind w:firstLine="448" w:firstLineChars="200"/>
        <w:rPr>
          <w:sz w:val="24"/>
        </w:rPr>
      </w:pPr>
      <w:r>
        <w:rPr>
          <w:rFonts w:hAnsiTheme="minorEastAsia"/>
          <w:sz w:val="24"/>
        </w:rPr>
        <w:t>地址：</w:t>
      </w:r>
    </w:p>
    <w:p w14:paraId="62B8C549">
      <w:pPr>
        <w:spacing w:line="360" w:lineRule="auto"/>
        <w:ind w:firstLine="448" w:firstLineChars="200"/>
        <w:rPr>
          <w:sz w:val="24"/>
        </w:rPr>
      </w:pPr>
      <w:r>
        <w:rPr>
          <w:rFonts w:hAnsiTheme="minorEastAsia"/>
          <w:sz w:val="24"/>
        </w:rPr>
        <w:t>邮政编码：</w:t>
      </w:r>
    </w:p>
    <w:p w14:paraId="21C9E42F">
      <w:pPr>
        <w:spacing w:line="360" w:lineRule="auto"/>
        <w:ind w:firstLine="448" w:firstLineChars="200"/>
        <w:rPr>
          <w:sz w:val="24"/>
        </w:rPr>
      </w:pPr>
      <w:r>
        <w:rPr>
          <w:rFonts w:hAnsiTheme="minorEastAsia"/>
          <w:sz w:val="24"/>
        </w:rPr>
        <w:t>电话：</w:t>
      </w:r>
    </w:p>
    <w:p w14:paraId="3BF7157C">
      <w:pPr>
        <w:spacing w:line="360" w:lineRule="auto"/>
        <w:ind w:firstLine="448" w:firstLineChars="200"/>
        <w:rPr>
          <w:sz w:val="24"/>
        </w:rPr>
      </w:pPr>
      <w:r>
        <w:rPr>
          <w:rFonts w:hAnsiTheme="minorEastAsia"/>
          <w:sz w:val="24"/>
        </w:rPr>
        <w:t>传真：</w:t>
      </w:r>
    </w:p>
    <w:p w14:paraId="394E9694">
      <w:pPr>
        <w:spacing w:line="360" w:lineRule="auto"/>
        <w:ind w:firstLine="3808" w:firstLineChars="1700"/>
        <w:rPr>
          <w:sz w:val="24"/>
        </w:rPr>
      </w:pPr>
      <w:r>
        <w:rPr>
          <w:rFonts w:hAnsiTheme="minorEastAsia"/>
          <w:sz w:val="24"/>
        </w:rPr>
        <w:t>投标人名称：</w:t>
      </w:r>
    </w:p>
    <w:p w14:paraId="1AB79C14">
      <w:pPr>
        <w:spacing w:line="360" w:lineRule="auto"/>
        <w:ind w:firstLine="3808" w:firstLineChars="1700"/>
        <w:rPr>
          <w:sz w:val="24"/>
        </w:rPr>
      </w:pPr>
      <w:r>
        <w:rPr>
          <w:rFonts w:hAnsiTheme="minorEastAsia"/>
          <w:sz w:val="24"/>
        </w:rPr>
        <w:t>日期：年月日</w:t>
      </w:r>
    </w:p>
    <w:p w14:paraId="0F4C302E">
      <w:pPr>
        <w:spacing w:line="560" w:lineRule="exact"/>
        <w:rPr>
          <w:sz w:val="24"/>
        </w:rPr>
      </w:pPr>
    </w:p>
    <w:p w14:paraId="5F1E5F87">
      <w:pPr>
        <w:spacing w:line="560" w:lineRule="exact"/>
        <w:rPr>
          <w:sz w:val="24"/>
        </w:rPr>
      </w:pPr>
    </w:p>
    <w:p w14:paraId="639774DF">
      <w:pPr>
        <w:spacing w:line="560" w:lineRule="exact"/>
        <w:rPr>
          <w:sz w:val="24"/>
        </w:rPr>
      </w:pPr>
    </w:p>
    <w:p w14:paraId="11D5917C">
      <w:pPr>
        <w:spacing w:line="560" w:lineRule="exact"/>
        <w:rPr>
          <w:sz w:val="24"/>
        </w:rPr>
      </w:pPr>
    </w:p>
    <w:p w14:paraId="10948649">
      <w:pPr>
        <w:widowControl/>
        <w:jc w:val="left"/>
        <w:rPr>
          <w:b/>
          <w:sz w:val="24"/>
        </w:rPr>
      </w:pPr>
      <w:r>
        <w:rPr>
          <w:b/>
          <w:sz w:val="24"/>
        </w:rPr>
        <w:br w:type="page"/>
      </w:r>
    </w:p>
    <w:p w14:paraId="41E78A44">
      <w:pPr>
        <w:tabs>
          <w:tab w:val="left" w:pos="360"/>
        </w:tabs>
        <w:spacing w:after="285" w:afterLines="100" w:line="360" w:lineRule="auto"/>
        <w:rPr>
          <w:b/>
          <w:sz w:val="24"/>
        </w:rPr>
      </w:pPr>
      <w:bookmarkStart w:id="12" w:name="OLE_LINK11"/>
      <w:bookmarkStart w:id="13" w:name="OLE_LINK12"/>
      <w:bookmarkStart w:id="14" w:name="OLE_LINK8"/>
      <w:bookmarkStart w:id="15" w:name="OLE_LINK19"/>
      <w:bookmarkStart w:id="16" w:name="OLE_LINK21"/>
      <w:bookmarkStart w:id="17" w:name="OLE_LINK25"/>
      <w:bookmarkStart w:id="18" w:name="OLE_LINK29"/>
      <w:bookmarkStart w:id="19" w:name="OLE_LINK30"/>
      <w:bookmarkStart w:id="20" w:name="OLE_LINK31"/>
      <w:bookmarkStart w:id="21" w:name="OLE_LINK33"/>
      <w:bookmarkStart w:id="22" w:name="OLE_LINK34"/>
      <w:bookmarkStart w:id="23" w:name="OLE_LINK35"/>
      <w:r>
        <w:rPr>
          <w:rFonts w:hAnsiTheme="minorEastAsia"/>
          <w:b/>
          <w:sz w:val="24"/>
        </w:rPr>
        <w:t>附件</w:t>
      </w:r>
      <w:r>
        <w:rPr>
          <w:rFonts w:hint="eastAsia"/>
          <w:b/>
          <w:sz w:val="24"/>
        </w:rPr>
        <w:t>2</w:t>
      </w:r>
    </w:p>
    <w:p w14:paraId="139D366D">
      <w:pPr>
        <w:ind w:right="84"/>
        <w:jc w:val="center"/>
        <w:rPr>
          <w:b/>
          <w:sz w:val="24"/>
        </w:rPr>
      </w:pPr>
      <w:r>
        <w:rPr>
          <w:rFonts w:hint="eastAsia"/>
          <w:b/>
          <w:sz w:val="24"/>
        </w:rPr>
        <w:t>供应商资格声明函</w:t>
      </w:r>
    </w:p>
    <w:p w14:paraId="25426FDA">
      <w:pPr>
        <w:spacing w:line="360" w:lineRule="auto"/>
        <w:ind w:firstLine="420"/>
        <w:jc w:val="center"/>
        <w:rPr>
          <w:b/>
          <w:sz w:val="24"/>
        </w:rPr>
      </w:pPr>
    </w:p>
    <w:p w14:paraId="12A83BB7">
      <w:pPr>
        <w:spacing w:line="360" w:lineRule="auto"/>
        <w:rPr>
          <w:sz w:val="24"/>
        </w:rPr>
      </w:pPr>
      <w:r>
        <w:rPr>
          <w:sz w:val="24"/>
          <w:szCs w:val="21"/>
        </w:rPr>
        <w:t>天津</w:t>
      </w:r>
      <w:r>
        <w:rPr>
          <w:rFonts w:hint="eastAsia"/>
          <w:sz w:val="24"/>
          <w:szCs w:val="21"/>
        </w:rPr>
        <w:t>市滨海新区</w:t>
      </w:r>
      <w:r>
        <w:rPr>
          <w:sz w:val="24"/>
          <w:szCs w:val="21"/>
        </w:rPr>
        <w:t>政府采购中心</w:t>
      </w:r>
      <w:r>
        <w:rPr>
          <w:rFonts w:hint="eastAsia"/>
          <w:sz w:val="24"/>
        </w:rPr>
        <w:t>：</w:t>
      </w:r>
    </w:p>
    <w:p w14:paraId="00859B59">
      <w:pPr>
        <w:spacing w:line="360" w:lineRule="auto"/>
        <w:ind w:firstLine="448" w:firstLineChars="200"/>
        <w:rPr>
          <w:sz w:val="24"/>
        </w:rPr>
      </w:pPr>
      <w:r>
        <w:rPr>
          <w:rFonts w:hint="eastAsia"/>
          <w:sz w:val="24"/>
        </w:rPr>
        <w:t>我单位自愿参与本项目的政府采购活动，郑重承诺如下：</w:t>
      </w:r>
    </w:p>
    <w:p w14:paraId="11149F29">
      <w:pPr>
        <w:spacing w:line="360" w:lineRule="auto"/>
        <w:ind w:firstLine="448" w:firstLineChars="200"/>
        <w:rPr>
          <w:sz w:val="24"/>
        </w:rPr>
      </w:pPr>
      <w:r>
        <w:rPr>
          <w:rFonts w:hint="eastAsia"/>
          <w:sz w:val="24"/>
        </w:rPr>
        <w:t>（一）我单位具有良好的商业信誉和健全的财务会计制度；</w:t>
      </w:r>
    </w:p>
    <w:p w14:paraId="53C85DCE">
      <w:pPr>
        <w:spacing w:line="360" w:lineRule="auto"/>
        <w:ind w:firstLine="448" w:firstLineChars="200"/>
        <w:rPr>
          <w:sz w:val="24"/>
        </w:rPr>
      </w:pPr>
      <w:r>
        <w:rPr>
          <w:rFonts w:hint="eastAsia"/>
          <w:sz w:val="24"/>
        </w:rPr>
        <w:t>（二）我单位依法缴纳税收和社会保障资金；</w:t>
      </w:r>
    </w:p>
    <w:p w14:paraId="02B8089B">
      <w:pPr>
        <w:spacing w:line="360" w:lineRule="auto"/>
        <w:ind w:firstLine="448" w:firstLineChars="200"/>
        <w:rPr>
          <w:sz w:val="24"/>
        </w:rPr>
      </w:pPr>
      <w:r>
        <w:rPr>
          <w:rFonts w:hint="eastAsia"/>
          <w:sz w:val="24"/>
        </w:rPr>
        <w:t>（三）我单位具备履行合同所必需的设备和专业技术能力；</w:t>
      </w:r>
    </w:p>
    <w:p w14:paraId="45DEFCB9">
      <w:pPr>
        <w:spacing w:line="360" w:lineRule="auto"/>
        <w:ind w:firstLine="448" w:firstLineChars="200"/>
        <w:rPr>
          <w:sz w:val="24"/>
        </w:rPr>
      </w:pPr>
      <w:r>
        <w:rPr>
          <w:rFonts w:hint="eastAsia"/>
          <w:sz w:val="24"/>
        </w:rPr>
        <w:t>（四）参加政府采购活动前3年我单位在经营活动中没有重大违法记录（截至开标日成立不足3年的供应商为自成立以来无重大违法记录）；</w:t>
      </w:r>
    </w:p>
    <w:p w14:paraId="3E96197E">
      <w:pPr>
        <w:spacing w:line="360" w:lineRule="auto"/>
        <w:ind w:firstLine="448" w:firstLineChars="200"/>
        <w:rPr>
          <w:sz w:val="24"/>
        </w:rPr>
      </w:pPr>
      <w:r>
        <w:rPr>
          <w:rFonts w:hint="eastAsia"/>
          <w:sz w:val="24"/>
        </w:rPr>
        <w:t>（五）我单位不存在为采购项目提供整体设计、规范编制或者项目管理、监理、检测等服务后，再参加该采购项目的其他采购活动的情形。</w:t>
      </w:r>
    </w:p>
    <w:p w14:paraId="0D46F391">
      <w:pPr>
        <w:spacing w:line="360" w:lineRule="auto"/>
        <w:ind w:firstLine="448" w:firstLineChars="200"/>
        <w:rPr>
          <w:sz w:val="24"/>
        </w:rPr>
      </w:pPr>
      <w:r>
        <w:rPr>
          <w:rFonts w:hint="eastAsia"/>
          <w:sz w:val="24"/>
        </w:rPr>
        <w:t>（六）与我单位存在“单位负责人为同一人或者存在直接控股、管理关系”的其他单位信息如下：</w:t>
      </w:r>
    </w:p>
    <w:tbl>
      <w:tblPr>
        <w:tblStyle w:val="2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9"/>
        <w:gridCol w:w="3877"/>
        <w:gridCol w:w="2842"/>
      </w:tblGrid>
      <w:tr w14:paraId="3E3CF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1D85FB07">
            <w:pPr>
              <w:jc w:val="center"/>
              <w:rPr>
                <w:szCs w:val="21"/>
              </w:rPr>
            </w:pPr>
            <w:r>
              <w:rPr>
                <w:rFonts w:hint="eastAsia"/>
                <w:szCs w:val="21"/>
              </w:rPr>
              <w:t>序号</w:t>
            </w:r>
          </w:p>
        </w:tc>
        <w:tc>
          <w:tcPr>
            <w:tcW w:w="2273" w:type="pct"/>
            <w:vAlign w:val="center"/>
          </w:tcPr>
          <w:p w14:paraId="5DD9987F">
            <w:pPr>
              <w:jc w:val="center"/>
              <w:rPr>
                <w:szCs w:val="21"/>
              </w:rPr>
            </w:pPr>
            <w:r>
              <w:rPr>
                <w:rFonts w:hint="eastAsia"/>
                <w:szCs w:val="21"/>
              </w:rPr>
              <w:t>单位名称</w:t>
            </w:r>
          </w:p>
        </w:tc>
        <w:tc>
          <w:tcPr>
            <w:tcW w:w="1667" w:type="pct"/>
            <w:vAlign w:val="center"/>
          </w:tcPr>
          <w:p w14:paraId="7E5E08EB">
            <w:pPr>
              <w:jc w:val="center"/>
              <w:rPr>
                <w:szCs w:val="21"/>
              </w:rPr>
            </w:pPr>
            <w:r>
              <w:rPr>
                <w:rFonts w:hint="eastAsia"/>
                <w:szCs w:val="21"/>
              </w:rPr>
              <w:t>相互关系类型</w:t>
            </w:r>
          </w:p>
        </w:tc>
      </w:tr>
      <w:tr w14:paraId="3910B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603497FA">
            <w:pPr>
              <w:jc w:val="center"/>
              <w:rPr>
                <w:szCs w:val="21"/>
              </w:rPr>
            </w:pPr>
            <w:r>
              <w:rPr>
                <w:rFonts w:hint="eastAsia"/>
                <w:szCs w:val="21"/>
              </w:rPr>
              <w:t>1</w:t>
            </w:r>
          </w:p>
        </w:tc>
        <w:tc>
          <w:tcPr>
            <w:tcW w:w="2273" w:type="pct"/>
            <w:vAlign w:val="center"/>
          </w:tcPr>
          <w:p w14:paraId="5A3EC3FC">
            <w:pPr>
              <w:jc w:val="center"/>
              <w:rPr>
                <w:szCs w:val="21"/>
              </w:rPr>
            </w:pPr>
          </w:p>
        </w:tc>
        <w:tc>
          <w:tcPr>
            <w:tcW w:w="1667" w:type="pct"/>
            <w:vAlign w:val="center"/>
          </w:tcPr>
          <w:p w14:paraId="05210E66">
            <w:pPr>
              <w:jc w:val="center"/>
              <w:rPr>
                <w:szCs w:val="21"/>
              </w:rPr>
            </w:pPr>
          </w:p>
        </w:tc>
      </w:tr>
      <w:tr w14:paraId="28556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707A1B0E">
            <w:pPr>
              <w:jc w:val="center"/>
              <w:rPr>
                <w:szCs w:val="21"/>
              </w:rPr>
            </w:pPr>
            <w:r>
              <w:rPr>
                <w:rFonts w:hint="eastAsia"/>
                <w:szCs w:val="21"/>
              </w:rPr>
              <w:t>2</w:t>
            </w:r>
          </w:p>
        </w:tc>
        <w:tc>
          <w:tcPr>
            <w:tcW w:w="2273" w:type="pct"/>
            <w:vAlign w:val="center"/>
          </w:tcPr>
          <w:p w14:paraId="6E22E8A4">
            <w:pPr>
              <w:jc w:val="center"/>
              <w:rPr>
                <w:szCs w:val="21"/>
              </w:rPr>
            </w:pPr>
          </w:p>
        </w:tc>
        <w:tc>
          <w:tcPr>
            <w:tcW w:w="1667" w:type="pct"/>
            <w:vAlign w:val="center"/>
          </w:tcPr>
          <w:p w14:paraId="703E154E">
            <w:pPr>
              <w:jc w:val="center"/>
              <w:rPr>
                <w:szCs w:val="21"/>
              </w:rPr>
            </w:pPr>
          </w:p>
        </w:tc>
      </w:tr>
      <w:tr w14:paraId="5A878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6317B38A">
            <w:pPr>
              <w:jc w:val="center"/>
              <w:rPr>
                <w:szCs w:val="21"/>
              </w:rPr>
            </w:pPr>
            <w:r>
              <w:rPr>
                <w:rFonts w:hint="eastAsia"/>
                <w:szCs w:val="21"/>
              </w:rPr>
              <w:t>3</w:t>
            </w:r>
          </w:p>
        </w:tc>
        <w:tc>
          <w:tcPr>
            <w:tcW w:w="2273" w:type="pct"/>
            <w:vAlign w:val="center"/>
          </w:tcPr>
          <w:p w14:paraId="7F7E7147">
            <w:pPr>
              <w:jc w:val="center"/>
              <w:rPr>
                <w:szCs w:val="21"/>
              </w:rPr>
            </w:pPr>
          </w:p>
        </w:tc>
        <w:tc>
          <w:tcPr>
            <w:tcW w:w="1667" w:type="pct"/>
            <w:vAlign w:val="center"/>
          </w:tcPr>
          <w:p w14:paraId="27E81291">
            <w:pPr>
              <w:jc w:val="center"/>
              <w:rPr>
                <w:szCs w:val="21"/>
              </w:rPr>
            </w:pPr>
          </w:p>
        </w:tc>
      </w:tr>
    </w:tbl>
    <w:p w14:paraId="50DCBCC6">
      <w:pPr>
        <w:spacing w:line="360" w:lineRule="auto"/>
        <w:ind w:firstLine="448" w:firstLineChars="200"/>
        <w:rPr>
          <w:sz w:val="24"/>
        </w:rPr>
      </w:pPr>
      <w:r>
        <w:rPr>
          <w:rFonts w:hint="eastAsia"/>
          <w:sz w:val="24"/>
        </w:rPr>
        <w:t>上表未填写的，视为不存在第（六）条所列情形</w:t>
      </w:r>
    </w:p>
    <w:p w14:paraId="346337A9">
      <w:pPr>
        <w:spacing w:line="360" w:lineRule="auto"/>
        <w:ind w:firstLine="448" w:firstLineChars="200"/>
        <w:rPr>
          <w:sz w:val="24"/>
        </w:rPr>
      </w:pPr>
    </w:p>
    <w:p w14:paraId="700E3C7D">
      <w:pPr>
        <w:spacing w:line="360" w:lineRule="auto"/>
        <w:ind w:firstLine="448" w:firstLineChars="200"/>
        <w:rPr>
          <w:sz w:val="24"/>
        </w:rPr>
      </w:pPr>
      <w:r>
        <w:rPr>
          <w:rFonts w:hint="eastAsia"/>
          <w:sz w:val="24"/>
        </w:rPr>
        <w:t>上述声明真实有效，否则我单位承担全部责任和不利后果。</w:t>
      </w:r>
    </w:p>
    <w:p w14:paraId="0CAA372D">
      <w:pPr>
        <w:spacing w:line="360" w:lineRule="auto"/>
        <w:ind w:firstLine="448" w:firstLineChars="200"/>
        <w:rPr>
          <w:sz w:val="24"/>
        </w:rPr>
      </w:pPr>
    </w:p>
    <w:p w14:paraId="31B09136">
      <w:pPr>
        <w:spacing w:line="360" w:lineRule="auto"/>
        <w:ind w:firstLine="224" w:firstLineChars="100"/>
        <w:rPr>
          <w:sz w:val="24"/>
        </w:rPr>
      </w:pPr>
      <w:r>
        <w:rPr>
          <w:sz w:val="24"/>
        </w:rPr>
        <w:t>投标人名称：</w:t>
      </w:r>
    </w:p>
    <w:p w14:paraId="2222003E">
      <w:pPr>
        <w:spacing w:line="360" w:lineRule="auto"/>
        <w:ind w:firstLine="224" w:firstLineChars="100"/>
        <w:rPr>
          <w:sz w:val="24"/>
        </w:rPr>
      </w:pPr>
    </w:p>
    <w:p w14:paraId="74BE49D1">
      <w:pPr>
        <w:spacing w:line="360" w:lineRule="auto"/>
        <w:ind w:firstLine="224" w:firstLineChars="100"/>
        <w:rPr>
          <w:sz w:val="24"/>
        </w:rPr>
      </w:pPr>
      <w:r>
        <w:rPr>
          <w:sz w:val="24"/>
        </w:rPr>
        <w:t>日期：</w:t>
      </w:r>
    </w:p>
    <w:bookmarkEnd w:id="12"/>
    <w:bookmarkEnd w:id="13"/>
    <w:p w14:paraId="68C29AC2">
      <w:pPr>
        <w:widowControl/>
        <w:jc w:val="left"/>
        <w:rPr>
          <w:sz w:val="24"/>
        </w:rPr>
      </w:pPr>
      <w:r>
        <w:rPr>
          <w:sz w:val="24"/>
        </w:rPr>
        <w:br w:type="page"/>
      </w:r>
    </w:p>
    <w:bookmarkEnd w:id="14"/>
    <w:bookmarkEnd w:id="15"/>
    <w:bookmarkEnd w:id="16"/>
    <w:bookmarkEnd w:id="17"/>
    <w:bookmarkEnd w:id="18"/>
    <w:bookmarkEnd w:id="19"/>
    <w:bookmarkEnd w:id="20"/>
    <w:bookmarkEnd w:id="21"/>
    <w:bookmarkEnd w:id="22"/>
    <w:bookmarkEnd w:id="23"/>
    <w:p w14:paraId="74A5B5C2">
      <w:pPr>
        <w:widowControl/>
        <w:jc w:val="left"/>
        <w:rPr>
          <w:b/>
          <w:sz w:val="24"/>
        </w:rPr>
      </w:pPr>
      <w:r>
        <w:rPr>
          <w:b/>
          <w:sz w:val="24"/>
        </w:rPr>
        <w:t>附件</w:t>
      </w:r>
      <w:r>
        <w:rPr>
          <w:rFonts w:hint="eastAsia"/>
          <w:b/>
          <w:sz w:val="24"/>
        </w:rPr>
        <w:t>3</w:t>
      </w:r>
    </w:p>
    <w:p w14:paraId="6B31EFD3">
      <w:pPr>
        <w:autoSpaceDN w:val="0"/>
        <w:spacing w:line="360" w:lineRule="auto"/>
        <w:jc w:val="center"/>
        <w:rPr>
          <w:b/>
          <w:bCs/>
          <w:sz w:val="24"/>
        </w:rPr>
      </w:pPr>
      <w:r>
        <w:rPr>
          <w:b/>
          <w:bCs/>
          <w:sz w:val="24"/>
        </w:rPr>
        <w:t>开标一览表</w:t>
      </w:r>
    </w:p>
    <w:p w14:paraId="20FFCC7F">
      <w:pPr>
        <w:ind w:right="84"/>
        <w:rPr>
          <w:sz w:val="24"/>
        </w:rPr>
      </w:pPr>
    </w:p>
    <w:p w14:paraId="079863B3">
      <w:pPr>
        <w:spacing w:line="460" w:lineRule="exact"/>
        <w:rPr>
          <w:sz w:val="24"/>
        </w:rPr>
      </w:pPr>
      <w:r>
        <w:rPr>
          <w:sz w:val="24"/>
        </w:rPr>
        <w:t>项目名称：</w:t>
      </w:r>
    </w:p>
    <w:p w14:paraId="23096B03">
      <w:pPr>
        <w:spacing w:line="460" w:lineRule="exact"/>
        <w:rPr>
          <w:sz w:val="24"/>
        </w:rPr>
      </w:pPr>
      <w:r>
        <w:rPr>
          <w:sz w:val="24"/>
        </w:rPr>
        <w:t>项目编号：</w:t>
      </w:r>
    </w:p>
    <w:p w14:paraId="4B886C44">
      <w:pPr>
        <w:spacing w:line="460" w:lineRule="exact"/>
        <w:rPr>
          <w:sz w:val="24"/>
          <w:u w:val="single"/>
        </w:rPr>
      </w:pPr>
      <w:r>
        <w:rPr>
          <w:sz w:val="24"/>
        </w:rPr>
        <w:t>包号：</w:t>
      </w:r>
    </w:p>
    <w:p w14:paraId="144D9C8E">
      <w:pPr>
        <w:spacing w:line="460" w:lineRule="exact"/>
        <w:rPr>
          <w:sz w:val="24"/>
        </w:rPr>
      </w:pPr>
      <w:r>
        <w:rPr>
          <w:sz w:val="24"/>
        </w:rPr>
        <w:t>单位：元</w:t>
      </w:r>
    </w:p>
    <w:tbl>
      <w:tblPr>
        <w:tblStyle w:val="1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5"/>
        <w:gridCol w:w="2180"/>
        <w:gridCol w:w="1375"/>
        <w:gridCol w:w="2050"/>
        <w:gridCol w:w="1678"/>
      </w:tblGrid>
      <w:tr w14:paraId="11049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vAlign w:val="center"/>
          </w:tcPr>
          <w:p w14:paraId="02C28357">
            <w:pPr>
              <w:spacing w:line="460" w:lineRule="exact"/>
              <w:jc w:val="center"/>
              <w:rPr>
                <w:sz w:val="24"/>
              </w:rPr>
            </w:pPr>
            <w:r>
              <w:rPr>
                <w:sz w:val="24"/>
              </w:rPr>
              <w:t>包号</w:t>
            </w:r>
          </w:p>
        </w:tc>
        <w:tc>
          <w:tcPr>
            <w:tcW w:w="1278" w:type="pct"/>
            <w:vAlign w:val="center"/>
          </w:tcPr>
          <w:p w14:paraId="16FFE084">
            <w:pPr>
              <w:spacing w:line="460" w:lineRule="exact"/>
              <w:jc w:val="center"/>
              <w:rPr>
                <w:sz w:val="24"/>
              </w:rPr>
            </w:pPr>
            <w:r>
              <w:rPr>
                <w:sz w:val="24"/>
              </w:rPr>
              <w:t>服务名称</w:t>
            </w:r>
          </w:p>
        </w:tc>
        <w:tc>
          <w:tcPr>
            <w:tcW w:w="806" w:type="pct"/>
            <w:vAlign w:val="center"/>
          </w:tcPr>
          <w:p w14:paraId="0EDC3A8D">
            <w:pPr>
              <w:spacing w:line="460" w:lineRule="exact"/>
              <w:jc w:val="center"/>
              <w:rPr>
                <w:sz w:val="24"/>
              </w:rPr>
            </w:pPr>
            <w:r>
              <w:rPr>
                <w:sz w:val="24"/>
              </w:rPr>
              <w:t>数量</w:t>
            </w:r>
          </w:p>
        </w:tc>
        <w:tc>
          <w:tcPr>
            <w:tcW w:w="1202" w:type="pct"/>
            <w:vAlign w:val="center"/>
          </w:tcPr>
          <w:p w14:paraId="07A910F6">
            <w:pPr>
              <w:spacing w:line="460" w:lineRule="exact"/>
              <w:jc w:val="center"/>
              <w:rPr>
                <w:sz w:val="24"/>
              </w:rPr>
            </w:pPr>
            <w:r>
              <w:rPr>
                <w:sz w:val="24"/>
              </w:rPr>
              <w:t>投标总价</w:t>
            </w:r>
          </w:p>
        </w:tc>
        <w:tc>
          <w:tcPr>
            <w:tcW w:w="984" w:type="pct"/>
            <w:vAlign w:val="center"/>
          </w:tcPr>
          <w:p w14:paraId="44D7C2E1">
            <w:pPr>
              <w:spacing w:line="460" w:lineRule="exact"/>
              <w:jc w:val="center"/>
              <w:rPr>
                <w:sz w:val="24"/>
              </w:rPr>
            </w:pPr>
            <w:r>
              <w:rPr>
                <w:sz w:val="24"/>
              </w:rPr>
              <w:t>备注</w:t>
            </w:r>
          </w:p>
        </w:tc>
      </w:tr>
      <w:tr w14:paraId="696AD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6C277FB4">
            <w:pPr>
              <w:spacing w:line="460" w:lineRule="exact"/>
              <w:rPr>
                <w:sz w:val="24"/>
              </w:rPr>
            </w:pPr>
          </w:p>
        </w:tc>
        <w:tc>
          <w:tcPr>
            <w:tcW w:w="1278" w:type="pct"/>
          </w:tcPr>
          <w:p w14:paraId="0BB190F4">
            <w:pPr>
              <w:spacing w:line="460" w:lineRule="exact"/>
              <w:rPr>
                <w:sz w:val="24"/>
              </w:rPr>
            </w:pPr>
          </w:p>
        </w:tc>
        <w:tc>
          <w:tcPr>
            <w:tcW w:w="806" w:type="pct"/>
          </w:tcPr>
          <w:p w14:paraId="7C1643C2">
            <w:pPr>
              <w:spacing w:line="460" w:lineRule="exact"/>
              <w:rPr>
                <w:sz w:val="24"/>
              </w:rPr>
            </w:pPr>
          </w:p>
        </w:tc>
        <w:tc>
          <w:tcPr>
            <w:tcW w:w="1202" w:type="pct"/>
          </w:tcPr>
          <w:p w14:paraId="408BE2F5">
            <w:pPr>
              <w:spacing w:line="460" w:lineRule="exact"/>
              <w:rPr>
                <w:sz w:val="24"/>
              </w:rPr>
            </w:pPr>
          </w:p>
        </w:tc>
        <w:tc>
          <w:tcPr>
            <w:tcW w:w="984" w:type="pct"/>
          </w:tcPr>
          <w:p w14:paraId="3BEE0B6F">
            <w:pPr>
              <w:spacing w:line="460" w:lineRule="exact"/>
              <w:rPr>
                <w:sz w:val="24"/>
              </w:rPr>
            </w:pPr>
          </w:p>
        </w:tc>
      </w:tr>
      <w:tr w14:paraId="23383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0DCE060A">
            <w:pPr>
              <w:spacing w:line="460" w:lineRule="exact"/>
              <w:rPr>
                <w:sz w:val="24"/>
              </w:rPr>
            </w:pPr>
          </w:p>
        </w:tc>
        <w:tc>
          <w:tcPr>
            <w:tcW w:w="1278" w:type="pct"/>
          </w:tcPr>
          <w:p w14:paraId="4C7B4FA5">
            <w:pPr>
              <w:spacing w:line="460" w:lineRule="exact"/>
              <w:rPr>
                <w:sz w:val="24"/>
              </w:rPr>
            </w:pPr>
          </w:p>
        </w:tc>
        <w:tc>
          <w:tcPr>
            <w:tcW w:w="806" w:type="pct"/>
          </w:tcPr>
          <w:p w14:paraId="2409C0C9">
            <w:pPr>
              <w:spacing w:line="460" w:lineRule="exact"/>
              <w:rPr>
                <w:sz w:val="24"/>
              </w:rPr>
            </w:pPr>
          </w:p>
        </w:tc>
        <w:tc>
          <w:tcPr>
            <w:tcW w:w="1202" w:type="pct"/>
          </w:tcPr>
          <w:p w14:paraId="45FA2B47">
            <w:pPr>
              <w:spacing w:line="460" w:lineRule="exact"/>
              <w:rPr>
                <w:sz w:val="24"/>
              </w:rPr>
            </w:pPr>
          </w:p>
        </w:tc>
        <w:tc>
          <w:tcPr>
            <w:tcW w:w="984" w:type="pct"/>
          </w:tcPr>
          <w:p w14:paraId="15A7B39C">
            <w:pPr>
              <w:spacing w:line="460" w:lineRule="exact"/>
              <w:rPr>
                <w:sz w:val="24"/>
              </w:rPr>
            </w:pPr>
          </w:p>
        </w:tc>
      </w:tr>
      <w:tr w14:paraId="4C47F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492296E5">
            <w:pPr>
              <w:spacing w:line="460" w:lineRule="exact"/>
              <w:rPr>
                <w:sz w:val="24"/>
              </w:rPr>
            </w:pPr>
          </w:p>
        </w:tc>
        <w:tc>
          <w:tcPr>
            <w:tcW w:w="1278" w:type="pct"/>
          </w:tcPr>
          <w:p w14:paraId="5C9A719D">
            <w:pPr>
              <w:spacing w:line="460" w:lineRule="exact"/>
              <w:rPr>
                <w:sz w:val="24"/>
              </w:rPr>
            </w:pPr>
          </w:p>
        </w:tc>
        <w:tc>
          <w:tcPr>
            <w:tcW w:w="806" w:type="pct"/>
          </w:tcPr>
          <w:p w14:paraId="3795D9EB">
            <w:pPr>
              <w:spacing w:line="460" w:lineRule="exact"/>
              <w:rPr>
                <w:sz w:val="24"/>
              </w:rPr>
            </w:pPr>
          </w:p>
        </w:tc>
        <w:tc>
          <w:tcPr>
            <w:tcW w:w="1202" w:type="pct"/>
          </w:tcPr>
          <w:p w14:paraId="514CB2E5">
            <w:pPr>
              <w:spacing w:line="460" w:lineRule="exact"/>
              <w:rPr>
                <w:sz w:val="24"/>
              </w:rPr>
            </w:pPr>
          </w:p>
        </w:tc>
        <w:tc>
          <w:tcPr>
            <w:tcW w:w="984" w:type="pct"/>
          </w:tcPr>
          <w:p w14:paraId="39341169">
            <w:pPr>
              <w:spacing w:line="460" w:lineRule="exact"/>
              <w:rPr>
                <w:sz w:val="24"/>
              </w:rPr>
            </w:pPr>
          </w:p>
        </w:tc>
      </w:tr>
      <w:tr w14:paraId="733B6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0C39D68B">
            <w:pPr>
              <w:spacing w:line="460" w:lineRule="exact"/>
              <w:rPr>
                <w:sz w:val="24"/>
              </w:rPr>
            </w:pPr>
          </w:p>
        </w:tc>
        <w:tc>
          <w:tcPr>
            <w:tcW w:w="1278" w:type="pct"/>
          </w:tcPr>
          <w:p w14:paraId="7C74DD47">
            <w:pPr>
              <w:spacing w:line="460" w:lineRule="exact"/>
              <w:rPr>
                <w:sz w:val="24"/>
              </w:rPr>
            </w:pPr>
          </w:p>
        </w:tc>
        <w:tc>
          <w:tcPr>
            <w:tcW w:w="806" w:type="pct"/>
          </w:tcPr>
          <w:p w14:paraId="687BDBA1">
            <w:pPr>
              <w:spacing w:line="460" w:lineRule="exact"/>
              <w:rPr>
                <w:sz w:val="24"/>
              </w:rPr>
            </w:pPr>
          </w:p>
        </w:tc>
        <w:tc>
          <w:tcPr>
            <w:tcW w:w="1202" w:type="pct"/>
          </w:tcPr>
          <w:p w14:paraId="4B85E795">
            <w:pPr>
              <w:spacing w:line="460" w:lineRule="exact"/>
              <w:rPr>
                <w:sz w:val="24"/>
              </w:rPr>
            </w:pPr>
          </w:p>
        </w:tc>
        <w:tc>
          <w:tcPr>
            <w:tcW w:w="984" w:type="pct"/>
          </w:tcPr>
          <w:p w14:paraId="40ACA2AA">
            <w:pPr>
              <w:spacing w:line="460" w:lineRule="exact"/>
              <w:rPr>
                <w:sz w:val="24"/>
              </w:rPr>
            </w:pPr>
          </w:p>
        </w:tc>
      </w:tr>
      <w:tr w14:paraId="03612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082BD886">
            <w:pPr>
              <w:spacing w:line="460" w:lineRule="exact"/>
              <w:rPr>
                <w:sz w:val="24"/>
              </w:rPr>
            </w:pPr>
          </w:p>
        </w:tc>
        <w:tc>
          <w:tcPr>
            <w:tcW w:w="1278" w:type="pct"/>
          </w:tcPr>
          <w:p w14:paraId="63F76415">
            <w:pPr>
              <w:spacing w:line="460" w:lineRule="exact"/>
              <w:rPr>
                <w:sz w:val="24"/>
              </w:rPr>
            </w:pPr>
          </w:p>
        </w:tc>
        <w:tc>
          <w:tcPr>
            <w:tcW w:w="806" w:type="pct"/>
          </w:tcPr>
          <w:p w14:paraId="3C36F209">
            <w:pPr>
              <w:spacing w:line="460" w:lineRule="exact"/>
              <w:rPr>
                <w:sz w:val="24"/>
              </w:rPr>
            </w:pPr>
          </w:p>
        </w:tc>
        <w:tc>
          <w:tcPr>
            <w:tcW w:w="1202" w:type="pct"/>
          </w:tcPr>
          <w:p w14:paraId="3ADA2BF8">
            <w:pPr>
              <w:spacing w:line="460" w:lineRule="exact"/>
              <w:rPr>
                <w:sz w:val="24"/>
              </w:rPr>
            </w:pPr>
          </w:p>
        </w:tc>
        <w:tc>
          <w:tcPr>
            <w:tcW w:w="984" w:type="pct"/>
          </w:tcPr>
          <w:p w14:paraId="43EBE0F8">
            <w:pPr>
              <w:spacing w:line="460" w:lineRule="exact"/>
              <w:rPr>
                <w:sz w:val="24"/>
              </w:rPr>
            </w:pPr>
          </w:p>
        </w:tc>
      </w:tr>
      <w:tr w14:paraId="14BA7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3B1D43CD">
            <w:pPr>
              <w:spacing w:line="460" w:lineRule="exact"/>
              <w:rPr>
                <w:sz w:val="24"/>
              </w:rPr>
            </w:pPr>
          </w:p>
        </w:tc>
        <w:tc>
          <w:tcPr>
            <w:tcW w:w="1278" w:type="pct"/>
          </w:tcPr>
          <w:p w14:paraId="1812F570">
            <w:pPr>
              <w:spacing w:line="460" w:lineRule="exact"/>
              <w:rPr>
                <w:sz w:val="24"/>
              </w:rPr>
            </w:pPr>
          </w:p>
        </w:tc>
        <w:tc>
          <w:tcPr>
            <w:tcW w:w="806" w:type="pct"/>
          </w:tcPr>
          <w:p w14:paraId="13FA4A09">
            <w:pPr>
              <w:spacing w:line="460" w:lineRule="exact"/>
              <w:rPr>
                <w:sz w:val="24"/>
              </w:rPr>
            </w:pPr>
          </w:p>
        </w:tc>
        <w:tc>
          <w:tcPr>
            <w:tcW w:w="1202" w:type="pct"/>
          </w:tcPr>
          <w:p w14:paraId="3AD520DE">
            <w:pPr>
              <w:spacing w:line="460" w:lineRule="exact"/>
              <w:rPr>
                <w:sz w:val="24"/>
              </w:rPr>
            </w:pPr>
          </w:p>
        </w:tc>
        <w:tc>
          <w:tcPr>
            <w:tcW w:w="984" w:type="pct"/>
          </w:tcPr>
          <w:p w14:paraId="595E0C5E">
            <w:pPr>
              <w:spacing w:line="460" w:lineRule="exact"/>
              <w:rPr>
                <w:sz w:val="24"/>
              </w:rPr>
            </w:pPr>
          </w:p>
        </w:tc>
      </w:tr>
      <w:tr w14:paraId="64BA2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012D7DE8">
            <w:pPr>
              <w:spacing w:line="460" w:lineRule="exact"/>
              <w:rPr>
                <w:sz w:val="24"/>
              </w:rPr>
            </w:pPr>
          </w:p>
        </w:tc>
        <w:tc>
          <w:tcPr>
            <w:tcW w:w="1278" w:type="pct"/>
          </w:tcPr>
          <w:p w14:paraId="486D8E34">
            <w:pPr>
              <w:spacing w:line="460" w:lineRule="exact"/>
              <w:rPr>
                <w:sz w:val="24"/>
              </w:rPr>
            </w:pPr>
          </w:p>
        </w:tc>
        <w:tc>
          <w:tcPr>
            <w:tcW w:w="806" w:type="pct"/>
          </w:tcPr>
          <w:p w14:paraId="75F022E5">
            <w:pPr>
              <w:spacing w:line="460" w:lineRule="exact"/>
              <w:rPr>
                <w:sz w:val="24"/>
              </w:rPr>
            </w:pPr>
          </w:p>
        </w:tc>
        <w:tc>
          <w:tcPr>
            <w:tcW w:w="1202" w:type="pct"/>
          </w:tcPr>
          <w:p w14:paraId="7025A70E">
            <w:pPr>
              <w:spacing w:line="460" w:lineRule="exact"/>
              <w:rPr>
                <w:sz w:val="24"/>
              </w:rPr>
            </w:pPr>
          </w:p>
        </w:tc>
        <w:tc>
          <w:tcPr>
            <w:tcW w:w="984" w:type="pct"/>
          </w:tcPr>
          <w:p w14:paraId="4DD3B0A3">
            <w:pPr>
              <w:spacing w:line="460" w:lineRule="exact"/>
              <w:rPr>
                <w:sz w:val="24"/>
              </w:rPr>
            </w:pPr>
          </w:p>
        </w:tc>
      </w:tr>
      <w:tr w14:paraId="22AF4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49C00A28">
            <w:pPr>
              <w:spacing w:line="460" w:lineRule="exact"/>
              <w:rPr>
                <w:sz w:val="24"/>
              </w:rPr>
            </w:pPr>
          </w:p>
        </w:tc>
        <w:tc>
          <w:tcPr>
            <w:tcW w:w="1278" w:type="pct"/>
          </w:tcPr>
          <w:p w14:paraId="2FDB049C">
            <w:pPr>
              <w:spacing w:line="460" w:lineRule="exact"/>
              <w:rPr>
                <w:sz w:val="24"/>
              </w:rPr>
            </w:pPr>
          </w:p>
        </w:tc>
        <w:tc>
          <w:tcPr>
            <w:tcW w:w="806" w:type="pct"/>
          </w:tcPr>
          <w:p w14:paraId="666CEBEB">
            <w:pPr>
              <w:spacing w:line="460" w:lineRule="exact"/>
              <w:rPr>
                <w:sz w:val="24"/>
              </w:rPr>
            </w:pPr>
          </w:p>
        </w:tc>
        <w:tc>
          <w:tcPr>
            <w:tcW w:w="1202" w:type="pct"/>
          </w:tcPr>
          <w:p w14:paraId="7C97CCBD">
            <w:pPr>
              <w:spacing w:line="460" w:lineRule="exact"/>
              <w:rPr>
                <w:sz w:val="24"/>
              </w:rPr>
            </w:pPr>
          </w:p>
        </w:tc>
        <w:tc>
          <w:tcPr>
            <w:tcW w:w="984" w:type="pct"/>
          </w:tcPr>
          <w:p w14:paraId="60C23145">
            <w:pPr>
              <w:spacing w:line="460" w:lineRule="exact"/>
              <w:rPr>
                <w:sz w:val="24"/>
              </w:rPr>
            </w:pPr>
          </w:p>
        </w:tc>
      </w:tr>
      <w:tr w14:paraId="6E58A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00DB714C">
            <w:pPr>
              <w:spacing w:line="460" w:lineRule="exact"/>
              <w:rPr>
                <w:sz w:val="24"/>
              </w:rPr>
            </w:pPr>
          </w:p>
        </w:tc>
        <w:tc>
          <w:tcPr>
            <w:tcW w:w="1278" w:type="pct"/>
          </w:tcPr>
          <w:p w14:paraId="67026ABA">
            <w:pPr>
              <w:spacing w:line="460" w:lineRule="exact"/>
              <w:rPr>
                <w:sz w:val="24"/>
              </w:rPr>
            </w:pPr>
          </w:p>
        </w:tc>
        <w:tc>
          <w:tcPr>
            <w:tcW w:w="806" w:type="pct"/>
          </w:tcPr>
          <w:p w14:paraId="50E918E8">
            <w:pPr>
              <w:spacing w:line="460" w:lineRule="exact"/>
              <w:rPr>
                <w:sz w:val="24"/>
              </w:rPr>
            </w:pPr>
          </w:p>
        </w:tc>
        <w:tc>
          <w:tcPr>
            <w:tcW w:w="1202" w:type="pct"/>
          </w:tcPr>
          <w:p w14:paraId="37327F33">
            <w:pPr>
              <w:spacing w:line="460" w:lineRule="exact"/>
              <w:rPr>
                <w:sz w:val="24"/>
              </w:rPr>
            </w:pPr>
          </w:p>
        </w:tc>
        <w:tc>
          <w:tcPr>
            <w:tcW w:w="984" w:type="pct"/>
          </w:tcPr>
          <w:p w14:paraId="776A401F">
            <w:pPr>
              <w:spacing w:line="460" w:lineRule="exact"/>
              <w:rPr>
                <w:sz w:val="24"/>
              </w:rPr>
            </w:pPr>
          </w:p>
        </w:tc>
      </w:tr>
      <w:tr w14:paraId="18364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7D5E96B8">
            <w:pPr>
              <w:spacing w:line="460" w:lineRule="exact"/>
              <w:rPr>
                <w:sz w:val="24"/>
              </w:rPr>
            </w:pPr>
          </w:p>
        </w:tc>
        <w:tc>
          <w:tcPr>
            <w:tcW w:w="1278" w:type="pct"/>
          </w:tcPr>
          <w:p w14:paraId="7BE1E7D3">
            <w:pPr>
              <w:spacing w:line="460" w:lineRule="exact"/>
              <w:rPr>
                <w:sz w:val="24"/>
              </w:rPr>
            </w:pPr>
          </w:p>
        </w:tc>
        <w:tc>
          <w:tcPr>
            <w:tcW w:w="806" w:type="pct"/>
          </w:tcPr>
          <w:p w14:paraId="0641F0D7">
            <w:pPr>
              <w:spacing w:line="460" w:lineRule="exact"/>
              <w:rPr>
                <w:sz w:val="24"/>
              </w:rPr>
            </w:pPr>
          </w:p>
        </w:tc>
        <w:tc>
          <w:tcPr>
            <w:tcW w:w="1202" w:type="pct"/>
          </w:tcPr>
          <w:p w14:paraId="799AE0BB">
            <w:pPr>
              <w:spacing w:line="460" w:lineRule="exact"/>
              <w:rPr>
                <w:sz w:val="24"/>
              </w:rPr>
            </w:pPr>
          </w:p>
        </w:tc>
        <w:tc>
          <w:tcPr>
            <w:tcW w:w="984" w:type="pct"/>
          </w:tcPr>
          <w:p w14:paraId="64F4FD06">
            <w:pPr>
              <w:spacing w:line="460" w:lineRule="exact"/>
              <w:rPr>
                <w:sz w:val="24"/>
              </w:rPr>
            </w:pPr>
          </w:p>
        </w:tc>
      </w:tr>
      <w:tr w14:paraId="2ACBF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6E100A86">
            <w:pPr>
              <w:spacing w:line="460" w:lineRule="exact"/>
              <w:rPr>
                <w:sz w:val="24"/>
              </w:rPr>
            </w:pPr>
          </w:p>
        </w:tc>
        <w:tc>
          <w:tcPr>
            <w:tcW w:w="1278" w:type="pct"/>
          </w:tcPr>
          <w:p w14:paraId="36FB7423">
            <w:pPr>
              <w:spacing w:line="460" w:lineRule="exact"/>
              <w:rPr>
                <w:sz w:val="24"/>
              </w:rPr>
            </w:pPr>
          </w:p>
        </w:tc>
        <w:tc>
          <w:tcPr>
            <w:tcW w:w="806" w:type="pct"/>
          </w:tcPr>
          <w:p w14:paraId="1B215637">
            <w:pPr>
              <w:spacing w:line="460" w:lineRule="exact"/>
              <w:rPr>
                <w:sz w:val="24"/>
              </w:rPr>
            </w:pPr>
          </w:p>
        </w:tc>
        <w:tc>
          <w:tcPr>
            <w:tcW w:w="1202" w:type="pct"/>
          </w:tcPr>
          <w:p w14:paraId="289F0A3F">
            <w:pPr>
              <w:spacing w:line="460" w:lineRule="exact"/>
              <w:rPr>
                <w:sz w:val="24"/>
              </w:rPr>
            </w:pPr>
          </w:p>
        </w:tc>
        <w:tc>
          <w:tcPr>
            <w:tcW w:w="984" w:type="pct"/>
          </w:tcPr>
          <w:p w14:paraId="3C5F87A0">
            <w:pPr>
              <w:spacing w:line="460" w:lineRule="exact"/>
              <w:rPr>
                <w:sz w:val="24"/>
              </w:rPr>
            </w:pPr>
          </w:p>
        </w:tc>
      </w:tr>
      <w:tr w14:paraId="1910B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5AF714BF">
            <w:pPr>
              <w:spacing w:line="460" w:lineRule="exact"/>
              <w:rPr>
                <w:sz w:val="24"/>
              </w:rPr>
            </w:pPr>
          </w:p>
        </w:tc>
        <w:tc>
          <w:tcPr>
            <w:tcW w:w="1278" w:type="pct"/>
          </w:tcPr>
          <w:p w14:paraId="30C2774A">
            <w:pPr>
              <w:spacing w:line="460" w:lineRule="exact"/>
              <w:rPr>
                <w:sz w:val="24"/>
              </w:rPr>
            </w:pPr>
          </w:p>
        </w:tc>
        <w:tc>
          <w:tcPr>
            <w:tcW w:w="806" w:type="pct"/>
          </w:tcPr>
          <w:p w14:paraId="2F62BC39">
            <w:pPr>
              <w:spacing w:line="460" w:lineRule="exact"/>
              <w:rPr>
                <w:sz w:val="24"/>
              </w:rPr>
            </w:pPr>
          </w:p>
        </w:tc>
        <w:tc>
          <w:tcPr>
            <w:tcW w:w="1202" w:type="pct"/>
          </w:tcPr>
          <w:p w14:paraId="2DCC50D4">
            <w:pPr>
              <w:spacing w:line="460" w:lineRule="exact"/>
              <w:rPr>
                <w:sz w:val="24"/>
              </w:rPr>
            </w:pPr>
          </w:p>
        </w:tc>
        <w:tc>
          <w:tcPr>
            <w:tcW w:w="984" w:type="pct"/>
          </w:tcPr>
          <w:p w14:paraId="1F5ADC93">
            <w:pPr>
              <w:spacing w:line="460" w:lineRule="exact"/>
              <w:rPr>
                <w:sz w:val="24"/>
              </w:rPr>
            </w:pPr>
          </w:p>
        </w:tc>
      </w:tr>
    </w:tbl>
    <w:p w14:paraId="415DB718">
      <w:pPr>
        <w:spacing w:line="360" w:lineRule="auto"/>
        <w:ind w:right="84" w:firstLine="420"/>
        <w:rPr>
          <w:sz w:val="24"/>
        </w:rPr>
      </w:pPr>
    </w:p>
    <w:p w14:paraId="3867BC91">
      <w:pPr>
        <w:spacing w:line="360" w:lineRule="auto"/>
        <w:ind w:right="84" w:firstLine="420"/>
        <w:rPr>
          <w:sz w:val="24"/>
        </w:rPr>
      </w:pPr>
    </w:p>
    <w:p w14:paraId="16DAB0F3">
      <w:pPr>
        <w:spacing w:line="360" w:lineRule="auto"/>
        <w:ind w:firstLine="3808" w:firstLineChars="1700"/>
        <w:rPr>
          <w:sz w:val="24"/>
        </w:rPr>
      </w:pPr>
      <w:r>
        <w:rPr>
          <w:sz w:val="24"/>
        </w:rPr>
        <w:t>投标人名称：</w:t>
      </w:r>
    </w:p>
    <w:p w14:paraId="4BC6F445">
      <w:pPr>
        <w:spacing w:line="360" w:lineRule="auto"/>
        <w:ind w:firstLine="3808" w:firstLineChars="1700"/>
        <w:rPr>
          <w:sz w:val="24"/>
        </w:rPr>
      </w:pPr>
    </w:p>
    <w:p w14:paraId="59900CBC">
      <w:pPr>
        <w:spacing w:line="360" w:lineRule="auto"/>
        <w:ind w:firstLine="3808" w:firstLineChars="1700"/>
        <w:rPr>
          <w:sz w:val="24"/>
        </w:rPr>
      </w:pPr>
      <w:r>
        <w:rPr>
          <w:sz w:val="24"/>
        </w:rPr>
        <w:t>日期：年月日</w:t>
      </w:r>
    </w:p>
    <w:p w14:paraId="2D010F6E">
      <w:pPr>
        <w:spacing w:line="360" w:lineRule="auto"/>
        <w:ind w:right="84" w:firstLine="420"/>
        <w:rPr>
          <w:position w:val="-40"/>
          <w:sz w:val="24"/>
        </w:rPr>
      </w:pPr>
    </w:p>
    <w:p w14:paraId="0CABDD27">
      <w:pPr>
        <w:spacing w:line="360" w:lineRule="auto"/>
        <w:ind w:right="84" w:firstLine="420"/>
        <w:rPr>
          <w:position w:val="-40"/>
          <w:sz w:val="24"/>
        </w:rPr>
      </w:pPr>
    </w:p>
    <w:p w14:paraId="352A361D">
      <w:pPr>
        <w:spacing w:line="360" w:lineRule="auto"/>
        <w:ind w:right="84" w:firstLine="420"/>
        <w:rPr>
          <w:position w:val="-40"/>
          <w:sz w:val="24"/>
        </w:rPr>
      </w:pPr>
    </w:p>
    <w:p w14:paraId="3BA24C44">
      <w:pPr>
        <w:widowControl/>
        <w:jc w:val="left"/>
        <w:rPr>
          <w:b/>
          <w:sz w:val="24"/>
        </w:rPr>
      </w:pPr>
      <w:r>
        <w:rPr>
          <w:b/>
          <w:sz w:val="24"/>
        </w:rPr>
        <w:br w:type="page"/>
      </w:r>
    </w:p>
    <w:p w14:paraId="20B6956F">
      <w:pPr>
        <w:tabs>
          <w:tab w:val="left" w:pos="360"/>
        </w:tabs>
        <w:spacing w:after="285" w:afterLines="100" w:line="360" w:lineRule="auto"/>
        <w:rPr>
          <w:b/>
          <w:sz w:val="24"/>
        </w:rPr>
      </w:pPr>
      <w:r>
        <w:rPr>
          <w:b/>
          <w:sz w:val="24"/>
        </w:rPr>
        <w:t>附件</w:t>
      </w:r>
      <w:r>
        <w:rPr>
          <w:rFonts w:hint="eastAsia"/>
          <w:b/>
          <w:sz w:val="24"/>
        </w:rPr>
        <w:t>4</w:t>
      </w:r>
    </w:p>
    <w:p w14:paraId="17BBE917">
      <w:pPr>
        <w:autoSpaceDN w:val="0"/>
        <w:spacing w:line="360" w:lineRule="auto"/>
        <w:jc w:val="center"/>
        <w:rPr>
          <w:b/>
          <w:bCs/>
          <w:sz w:val="24"/>
        </w:rPr>
      </w:pPr>
      <w:r>
        <w:rPr>
          <w:b/>
          <w:bCs/>
          <w:sz w:val="24"/>
        </w:rPr>
        <w:t>开标分项一览表</w:t>
      </w:r>
    </w:p>
    <w:p w14:paraId="4186C979">
      <w:pPr>
        <w:ind w:right="84"/>
        <w:rPr>
          <w:sz w:val="24"/>
        </w:rPr>
      </w:pPr>
    </w:p>
    <w:p w14:paraId="61D60144">
      <w:pPr>
        <w:spacing w:line="460" w:lineRule="exact"/>
        <w:ind w:left="192"/>
        <w:rPr>
          <w:sz w:val="24"/>
        </w:rPr>
      </w:pPr>
      <w:r>
        <w:rPr>
          <w:sz w:val="24"/>
        </w:rPr>
        <w:t>项目名称：</w:t>
      </w:r>
    </w:p>
    <w:p w14:paraId="781FCD41">
      <w:pPr>
        <w:spacing w:line="460" w:lineRule="exact"/>
        <w:ind w:left="192"/>
        <w:rPr>
          <w:sz w:val="24"/>
        </w:rPr>
      </w:pPr>
      <w:r>
        <w:rPr>
          <w:sz w:val="24"/>
        </w:rPr>
        <w:t>项目编号：</w:t>
      </w:r>
    </w:p>
    <w:p w14:paraId="5D7BBC90">
      <w:pPr>
        <w:spacing w:line="460" w:lineRule="exact"/>
        <w:ind w:left="192"/>
        <w:rPr>
          <w:sz w:val="24"/>
        </w:rPr>
      </w:pPr>
      <w:r>
        <w:rPr>
          <w:sz w:val="24"/>
        </w:rPr>
        <w:t>包号：</w:t>
      </w:r>
    </w:p>
    <w:p w14:paraId="3D25ADB5">
      <w:pPr>
        <w:spacing w:line="460" w:lineRule="exact"/>
        <w:ind w:firstLine="6496" w:firstLineChars="2900"/>
        <w:rPr>
          <w:sz w:val="24"/>
        </w:rPr>
      </w:pPr>
      <w:r>
        <w:rPr>
          <w:sz w:val="24"/>
        </w:rPr>
        <w:t>单位：元</w:t>
      </w:r>
    </w:p>
    <w:tbl>
      <w:tblPr>
        <w:tblStyle w:val="19"/>
        <w:tblW w:w="90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8"/>
        <w:gridCol w:w="2349"/>
        <w:gridCol w:w="1701"/>
        <w:gridCol w:w="2238"/>
        <w:gridCol w:w="1848"/>
      </w:tblGrid>
      <w:tr w14:paraId="444BC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878" w:type="dxa"/>
            <w:vAlign w:val="center"/>
          </w:tcPr>
          <w:p w14:paraId="165068C1">
            <w:pPr>
              <w:widowControl/>
              <w:jc w:val="center"/>
              <w:rPr>
                <w:b/>
                <w:bCs/>
                <w:kern w:val="0"/>
                <w:sz w:val="24"/>
                <w:szCs w:val="24"/>
              </w:rPr>
            </w:pPr>
            <w:r>
              <w:rPr>
                <w:b/>
                <w:bCs/>
                <w:kern w:val="0"/>
                <w:sz w:val="24"/>
                <w:szCs w:val="24"/>
              </w:rPr>
              <w:t>项号</w:t>
            </w:r>
          </w:p>
        </w:tc>
        <w:tc>
          <w:tcPr>
            <w:tcW w:w="2349" w:type="dxa"/>
            <w:vAlign w:val="center"/>
          </w:tcPr>
          <w:p w14:paraId="7D72A829">
            <w:pPr>
              <w:widowControl/>
              <w:jc w:val="center"/>
              <w:rPr>
                <w:b/>
                <w:bCs/>
                <w:kern w:val="0"/>
                <w:sz w:val="24"/>
                <w:szCs w:val="24"/>
              </w:rPr>
            </w:pPr>
            <w:r>
              <w:rPr>
                <w:b/>
                <w:bCs/>
                <w:kern w:val="0"/>
                <w:sz w:val="24"/>
                <w:szCs w:val="24"/>
              </w:rPr>
              <w:t>服务名称</w:t>
            </w:r>
          </w:p>
        </w:tc>
        <w:tc>
          <w:tcPr>
            <w:tcW w:w="1701" w:type="dxa"/>
            <w:vAlign w:val="center"/>
          </w:tcPr>
          <w:p w14:paraId="191556CA">
            <w:pPr>
              <w:widowControl/>
              <w:jc w:val="center"/>
              <w:rPr>
                <w:b/>
                <w:bCs/>
                <w:kern w:val="0"/>
                <w:sz w:val="24"/>
                <w:szCs w:val="24"/>
              </w:rPr>
            </w:pPr>
            <w:r>
              <w:rPr>
                <w:b/>
                <w:bCs/>
                <w:kern w:val="0"/>
                <w:sz w:val="24"/>
                <w:szCs w:val="24"/>
              </w:rPr>
              <w:t>总价</w:t>
            </w:r>
          </w:p>
        </w:tc>
        <w:tc>
          <w:tcPr>
            <w:tcW w:w="2238" w:type="dxa"/>
            <w:vAlign w:val="center"/>
          </w:tcPr>
          <w:p w14:paraId="1C5E0F83">
            <w:pPr>
              <w:widowControl/>
              <w:jc w:val="center"/>
              <w:rPr>
                <w:b/>
                <w:bCs/>
                <w:kern w:val="0"/>
                <w:sz w:val="24"/>
                <w:szCs w:val="24"/>
              </w:rPr>
            </w:pPr>
            <w:r>
              <w:rPr>
                <w:b/>
                <w:bCs/>
                <w:kern w:val="0"/>
                <w:sz w:val="24"/>
                <w:szCs w:val="24"/>
              </w:rPr>
              <w:t>数量</w:t>
            </w:r>
          </w:p>
        </w:tc>
        <w:tc>
          <w:tcPr>
            <w:tcW w:w="1848" w:type="dxa"/>
            <w:vAlign w:val="center"/>
          </w:tcPr>
          <w:p w14:paraId="7174DD97">
            <w:pPr>
              <w:widowControl/>
              <w:jc w:val="center"/>
              <w:rPr>
                <w:b/>
                <w:bCs/>
                <w:kern w:val="0"/>
                <w:sz w:val="24"/>
                <w:szCs w:val="24"/>
              </w:rPr>
            </w:pPr>
            <w:r>
              <w:rPr>
                <w:b/>
                <w:bCs/>
                <w:kern w:val="0"/>
                <w:sz w:val="24"/>
                <w:szCs w:val="24"/>
              </w:rPr>
              <w:t>备注</w:t>
            </w:r>
          </w:p>
        </w:tc>
      </w:tr>
      <w:tr w14:paraId="49D88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878" w:type="dxa"/>
            <w:vAlign w:val="center"/>
          </w:tcPr>
          <w:p w14:paraId="20BB2DF4">
            <w:pPr>
              <w:widowControl/>
              <w:jc w:val="center"/>
              <w:rPr>
                <w:kern w:val="0"/>
                <w:sz w:val="24"/>
                <w:szCs w:val="24"/>
              </w:rPr>
            </w:pPr>
            <w:r>
              <w:rPr>
                <w:kern w:val="0"/>
                <w:sz w:val="24"/>
                <w:szCs w:val="24"/>
              </w:rPr>
              <w:t>1</w:t>
            </w:r>
          </w:p>
        </w:tc>
        <w:tc>
          <w:tcPr>
            <w:tcW w:w="2349" w:type="dxa"/>
            <w:vAlign w:val="center"/>
          </w:tcPr>
          <w:p w14:paraId="1FC75673">
            <w:pPr>
              <w:widowControl/>
              <w:jc w:val="center"/>
              <w:rPr>
                <w:kern w:val="0"/>
                <w:sz w:val="24"/>
                <w:szCs w:val="24"/>
              </w:rPr>
            </w:pPr>
          </w:p>
        </w:tc>
        <w:tc>
          <w:tcPr>
            <w:tcW w:w="1701" w:type="dxa"/>
            <w:vAlign w:val="center"/>
          </w:tcPr>
          <w:p w14:paraId="77652837">
            <w:pPr>
              <w:widowControl/>
              <w:jc w:val="center"/>
              <w:rPr>
                <w:kern w:val="0"/>
                <w:sz w:val="24"/>
                <w:szCs w:val="24"/>
              </w:rPr>
            </w:pPr>
          </w:p>
        </w:tc>
        <w:tc>
          <w:tcPr>
            <w:tcW w:w="2238" w:type="dxa"/>
            <w:vAlign w:val="center"/>
          </w:tcPr>
          <w:p w14:paraId="5A1BE911">
            <w:pPr>
              <w:widowControl/>
              <w:jc w:val="center"/>
              <w:rPr>
                <w:sz w:val="24"/>
                <w:szCs w:val="24"/>
              </w:rPr>
            </w:pPr>
            <w:r>
              <w:rPr>
                <w:sz w:val="24"/>
                <w:szCs w:val="24"/>
              </w:rPr>
              <w:t>1项</w:t>
            </w:r>
          </w:p>
        </w:tc>
        <w:tc>
          <w:tcPr>
            <w:tcW w:w="1848" w:type="dxa"/>
            <w:vAlign w:val="center"/>
          </w:tcPr>
          <w:p w14:paraId="4A9E3B83">
            <w:pPr>
              <w:widowControl/>
              <w:jc w:val="center"/>
              <w:rPr>
                <w:sz w:val="24"/>
                <w:szCs w:val="24"/>
              </w:rPr>
            </w:pPr>
          </w:p>
        </w:tc>
      </w:tr>
      <w:tr w14:paraId="4FE64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9014" w:type="dxa"/>
            <w:gridSpan w:val="5"/>
            <w:vAlign w:val="center"/>
          </w:tcPr>
          <w:p w14:paraId="0FA623F3">
            <w:pPr>
              <w:widowControl/>
              <w:jc w:val="left"/>
              <w:rPr>
                <w:kern w:val="0"/>
                <w:sz w:val="24"/>
                <w:szCs w:val="24"/>
              </w:rPr>
            </w:pPr>
            <w:r>
              <w:rPr>
                <w:kern w:val="0"/>
                <w:sz w:val="24"/>
                <w:szCs w:val="24"/>
              </w:rPr>
              <w:t>其中</w:t>
            </w:r>
          </w:p>
        </w:tc>
      </w:tr>
      <w:tr w14:paraId="2C830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7BF0548F">
            <w:pPr>
              <w:widowControl/>
              <w:jc w:val="left"/>
              <w:rPr>
                <w:b/>
                <w:sz w:val="24"/>
                <w:szCs w:val="24"/>
              </w:rPr>
            </w:pPr>
            <w:r>
              <w:rPr>
                <w:b/>
                <w:sz w:val="24"/>
                <w:szCs w:val="24"/>
              </w:rPr>
              <w:t>分项名称</w:t>
            </w:r>
          </w:p>
        </w:tc>
        <w:tc>
          <w:tcPr>
            <w:tcW w:w="1701" w:type="dxa"/>
            <w:vAlign w:val="center"/>
          </w:tcPr>
          <w:p w14:paraId="7DAE8674">
            <w:pPr>
              <w:widowControl/>
              <w:jc w:val="center"/>
              <w:rPr>
                <w:b/>
                <w:kern w:val="0"/>
                <w:sz w:val="24"/>
                <w:szCs w:val="24"/>
              </w:rPr>
            </w:pPr>
            <w:r>
              <w:rPr>
                <w:b/>
                <w:kern w:val="0"/>
                <w:sz w:val="24"/>
                <w:szCs w:val="24"/>
              </w:rPr>
              <w:t>价格</w:t>
            </w:r>
          </w:p>
        </w:tc>
        <w:tc>
          <w:tcPr>
            <w:tcW w:w="2238" w:type="dxa"/>
            <w:vAlign w:val="center"/>
          </w:tcPr>
          <w:p w14:paraId="781922F2">
            <w:pPr>
              <w:widowControl/>
              <w:jc w:val="center"/>
              <w:rPr>
                <w:b/>
                <w:kern w:val="0"/>
                <w:sz w:val="24"/>
                <w:szCs w:val="24"/>
              </w:rPr>
            </w:pPr>
            <w:r>
              <w:rPr>
                <w:b/>
                <w:kern w:val="0"/>
                <w:sz w:val="24"/>
                <w:szCs w:val="24"/>
              </w:rPr>
              <w:t>数量</w:t>
            </w:r>
          </w:p>
        </w:tc>
        <w:tc>
          <w:tcPr>
            <w:tcW w:w="1848" w:type="dxa"/>
            <w:vAlign w:val="center"/>
          </w:tcPr>
          <w:p w14:paraId="134C391C">
            <w:pPr>
              <w:widowControl/>
              <w:jc w:val="center"/>
              <w:rPr>
                <w:b/>
                <w:bCs/>
                <w:kern w:val="0"/>
                <w:sz w:val="24"/>
                <w:szCs w:val="24"/>
              </w:rPr>
            </w:pPr>
            <w:r>
              <w:rPr>
                <w:b/>
                <w:bCs/>
                <w:kern w:val="0"/>
                <w:sz w:val="24"/>
                <w:szCs w:val="24"/>
              </w:rPr>
              <w:t>备注</w:t>
            </w:r>
          </w:p>
        </w:tc>
      </w:tr>
      <w:tr w14:paraId="6FF35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1DBBB177">
            <w:pPr>
              <w:widowControl/>
              <w:jc w:val="left"/>
              <w:rPr>
                <w:kern w:val="0"/>
                <w:sz w:val="24"/>
                <w:szCs w:val="24"/>
              </w:rPr>
            </w:pPr>
            <w:r>
              <w:rPr>
                <w:rFonts w:hint="eastAsia"/>
                <w:sz w:val="24"/>
              </w:rPr>
              <w:t>调试费</w:t>
            </w:r>
          </w:p>
        </w:tc>
        <w:tc>
          <w:tcPr>
            <w:tcW w:w="1701" w:type="dxa"/>
            <w:vAlign w:val="center"/>
          </w:tcPr>
          <w:p w14:paraId="4F20461F">
            <w:pPr>
              <w:widowControl/>
              <w:jc w:val="center"/>
              <w:rPr>
                <w:kern w:val="0"/>
                <w:sz w:val="24"/>
                <w:szCs w:val="24"/>
              </w:rPr>
            </w:pPr>
          </w:p>
        </w:tc>
        <w:tc>
          <w:tcPr>
            <w:tcW w:w="2238" w:type="dxa"/>
            <w:vAlign w:val="center"/>
          </w:tcPr>
          <w:p w14:paraId="2B76BBFA">
            <w:pPr>
              <w:widowControl/>
              <w:jc w:val="center"/>
              <w:rPr>
                <w:kern w:val="0"/>
                <w:sz w:val="24"/>
                <w:szCs w:val="24"/>
              </w:rPr>
            </w:pPr>
          </w:p>
        </w:tc>
        <w:tc>
          <w:tcPr>
            <w:tcW w:w="1848" w:type="dxa"/>
            <w:vAlign w:val="center"/>
          </w:tcPr>
          <w:p w14:paraId="3DAE2026">
            <w:pPr>
              <w:widowControl/>
              <w:jc w:val="center"/>
              <w:rPr>
                <w:sz w:val="24"/>
                <w:szCs w:val="24"/>
              </w:rPr>
            </w:pPr>
          </w:p>
        </w:tc>
      </w:tr>
      <w:tr w14:paraId="7ECE4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4B2A3A2A">
            <w:pPr>
              <w:widowControl/>
              <w:jc w:val="left"/>
              <w:rPr>
                <w:kern w:val="0"/>
                <w:sz w:val="24"/>
                <w:szCs w:val="24"/>
              </w:rPr>
            </w:pPr>
            <w:r>
              <w:rPr>
                <w:rFonts w:hint="eastAsia"/>
                <w:sz w:val="24"/>
              </w:rPr>
              <w:t>线路连接费</w:t>
            </w:r>
          </w:p>
        </w:tc>
        <w:tc>
          <w:tcPr>
            <w:tcW w:w="1701" w:type="dxa"/>
            <w:vAlign w:val="center"/>
          </w:tcPr>
          <w:p w14:paraId="6B7A14B2">
            <w:pPr>
              <w:widowControl/>
              <w:jc w:val="center"/>
              <w:rPr>
                <w:kern w:val="0"/>
                <w:sz w:val="24"/>
                <w:szCs w:val="24"/>
              </w:rPr>
            </w:pPr>
          </w:p>
        </w:tc>
        <w:tc>
          <w:tcPr>
            <w:tcW w:w="2238" w:type="dxa"/>
            <w:vAlign w:val="center"/>
          </w:tcPr>
          <w:p w14:paraId="01999329">
            <w:pPr>
              <w:widowControl/>
              <w:jc w:val="center"/>
              <w:rPr>
                <w:kern w:val="0"/>
                <w:sz w:val="24"/>
                <w:szCs w:val="24"/>
              </w:rPr>
            </w:pPr>
          </w:p>
        </w:tc>
        <w:tc>
          <w:tcPr>
            <w:tcW w:w="1848" w:type="dxa"/>
            <w:vAlign w:val="center"/>
          </w:tcPr>
          <w:p w14:paraId="55F9B102">
            <w:pPr>
              <w:widowControl/>
              <w:jc w:val="center"/>
              <w:rPr>
                <w:sz w:val="24"/>
                <w:szCs w:val="24"/>
              </w:rPr>
            </w:pPr>
          </w:p>
        </w:tc>
      </w:tr>
      <w:tr w14:paraId="1ECF0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7994D200">
            <w:pPr>
              <w:widowControl/>
              <w:jc w:val="left"/>
              <w:rPr>
                <w:kern w:val="0"/>
                <w:sz w:val="24"/>
                <w:szCs w:val="24"/>
              </w:rPr>
            </w:pPr>
            <w:r>
              <w:rPr>
                <w:rFonts w:hint="eastAsia"/>
                <w:sz w:val="24"/>
              </w:rPr>
              <w:t>维护维修费</w:t>
            </w:r>
          </w:p>
        </w:tc>
        <w:tc>
          <w:tcPr>
            <w:tcW w:w="1701" w:type="dxa"/>
            <w:vAlign w:val="center"/>
          </w:tcPr>
          <w:p w14:paraId="33B6CE04">
            <w:pPr>
              <w:widowControl/>
              <w:jc w:val="center"/>
              <w:rPr>
                <w:kern w:val="0"/>
                <w:sz w:val="24"/>
                <w:szCs w:val="24"/>
              </w:rPr>
            </w:pPr>
          </w:p>
        </w:tc>
        <w:tc>
          <w:tcPr>
            <w:tcW w:w="2238" w:type="dxa"/>
            <w:vAlign w:val="center"/>
          </w:tcPr>
          <w:p w14:paraId="2A0A8728">
            <w:pPr>
              <w:widowControl/>
              <w:jc w:val="center"/>
              <w:rPr>
                <w:kern w:val="0"/>
                <w:sz w:val="24"/>
                <w:szCs w:val="24"/>
              </w:rPr>
            </w:pPr>
          </w:p>
        </w:tc>
        <w:tc>
          <w:tcPr>
            <w:tcW w:w="1848" w:type="dxa"/>
            <w:vAlign w:val="center"/>
          </w:tcPr>
          <w:p w14:paraId="7663A44E">
            <w:pPr>
              <w:widowControl/>
              <w:jc w:val="center"/>
              <w:rPr>
                <w:sz w:val="24"/>
                <w:szCs w:val="24"/>
              </w:rPr>
            </w:pPr>
          </w:p>
        </w:tc>
      </w:tr>
      <w:tr w14:paraId="28A13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623B35E2">
            <w:pPr>
              <w:widowControl/>
              <w:jc w:val="left"/>
              <w:rPr>
                <w:kern w:val="0"/>
                <w:sz w:val="24"/>
                <w:szCs w:val="24"/>
              </w:rPr>
            </w:pPr>
            <w:r>
              <w:rPr>
                <w:rFonts w:hint="eastAsia"/>
                <w:sz w:val="24"/>
              </w:rPr>
              <w:t>保修费</w:t>
            </w:r>
          </w:p>
        </w:tc>
        <w:tc>
          <w:tcPr>
            <w:tcW w:w="1701" w:type="dxa"/>
            <w:vAlign w:val="center"/>
          </w:tcPr>
          <w:p w14:paraId="21898007">
            <w:pPr>
              <w:widowControl/>
              <w:jc w:val="center"/>
              <w:rPr>
                <w:kern w:val="0"/>
                <w:sz w:val="24"/>
                <w:szCs w:val="24"/>
              </w:rPr>
            </w:pPr>
          </w:p>
        </w:tc>
        <w:tc>
          <w:tcPr>
            <w:tcW w:w="2238" w:type="dxa"/>
            <w:vAlign w:val="center"/>
          </w:tcPr>
          <w:p w14:paraId="1E6CA82C">
            <w:pPr>
              <w:widowControl/>
              <w:jc w:val="center"/>
              <w:rPr>
                <w:kern w:val="0"/>
                <w:sz w:val="24"/>
                <w:szCs w:val="24"/>
              </w:rPr>
            </w:pPr>
          </w:p>
        </w:tc>
        <w:tc>
          <w:tcPr>
            <w:tcW w:w="1848" w:type="dxa"/>
            <w:vAlign w:val="center"/>
          </w:tcPr>
          <w:p w14:paraId="36FB61D5">
            <w:pPr>
              <w:widowControl/>
              <w:jc w:val="center"/>
              <w:rPr>
                <w:sz w:val="24"/>
                <w:szCs w:val="24"/>
              </w:rPr>
            </w:pPr>
          </w:p>
        </w:tc>
      </w:tr>
      <w:tr w14:paraId="7E2C7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1D6697D6">
            <w:pPr>
              <w:widowControl/>
              <w:jc w:val="left"/>
              <w:rPr>
                <w:sz w:val="24"/>
              </w:rPr>
            </w:pPr>
            <w:r>
              <w:rPr>
                <w:rFonts w:hint="eastAsia"/>
                <w:sz w:val="24"/>
              </w:rPr>
              <w:t>测试费</w:t>
            </w:r>
          </w:p>
        </w:tc>
        <w:tc>
          <w:tcPr>
            <w:tcW w:w="1701" w:type="dxa"/>
            <w:vAlign w:val="center"/>
          </w:tcPr>
          <w:p w14:paraId="4681D078">
            <w:pPr>
              <w:widowControl/>
              <w:jc w:val="center"/>
              <w:rPr>
                <w:kern w:val="0"/>
                <w:sz w:val="24"/>
                <w:szCs w:val="24"/>
              </w:rPr>
            </w:pPr>
          </w:p>
        </w:tc>
        <w:tc>
          <w:tcPr>
            <w:tcW w:w="2238" w:type="dxa"/>
            <w:vAlign w:val="center"/>
          </w:tcPr>
          <w:p w14:paraId="7C26342F">
            <w:pPr>
              <w:widowControl/>
              <w:jc w:val="center"/>
              <w:rPr>
                <w:kern w:val="0"/>
                <w:sz w:val="24"/>
                <w:szCs w:val="24"/>
              </w:rPr>
            </w:pPr>
          </w:p>
        </w:tc>
        <w:tc>
          <w:tcPr>
            <w:tcW w:w="1848" w:type="dxa"/>
            <w:vAlign w:val="center"/>
          </w:tcPr>
          <w:p w14:paraId="23E276C8">
            <w:pPr>
              <w:widowControl/>
              <w:jc w:val="center"/>
              <w:rPr>
                <w:kern w:val="0"/>
                <w:sz w:val="24"/>
                <w:szCs w:val="24"/>
              </w:rPr>
            </w:pPr>
          </w:p>
        </w:tc>
      </w:tr>
      <w:tr w14:paraId="2D7AE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28A47AF4">
            <w:pPr>
              <w:widowControl/>
              <w:jc w:val="left"/>
              <w:rPr>
                <w:sz w:val="24"/>
              </w:rPr>
            </w:pPr>
            <w:r>
              <w:rPr>
                <w:sz w:val="24"/>
              </w:rPr>
              <w:t>……</w:t>
            </w:r>
          </w:p>
        </w:tc>
        <w:tc>
          <w:tcPr>
            <w:tcW w:w="1701" w:type="dxa"/>
            <w:vAlign w:val="center"/>
          </w:tcPr>
          <w:p w14:paraId="5BF74603">
            <w:pPr>
              <w:widowControl/>
              <w:jc w:val="center"/>
              <w:rPr>
                <w:kern w:val="0"/>
                <w:sz w:val="24"/>
                <w:szCs w:val="24"/>
              </w:rPr>
            </w:pPr>
          </w:p>
        </w:tc>
        <w:tc>
          <w:tcPr>
            <w:tcW w:w="2238" w:type="dxa"/>
            <w:vAlign w:val="center"/>
          </w:tcPr>
          <w:p w14:paraId="14336C72">
            <w:pPr>
              <w:widowControl/>
              <w:jc w:val="center"/>
              <w:rPr>
                <w:kern w:val="0"/>
                <w:sz w:val="24"/>
                <w:szCs w:val="24"/>
              </w:rPr>
            </w:pPr>
          </w:p>
        </w:tc>
        <w:tc>
          <w:tcPr>
            <w:tcW w:w="1848" w:type="dxa"/>
            <w:vAlign w:val="center"/>
          </w:tcPr>
          <w:p w14:paraId="36F4FBCA">
            <w:pPr>
              <w:widowControl/>
              <w:jc w:val="center"/>
              <w:rPr>
                <w:kern w:val="0"/>
                <w:sz w:val="24"/>
                <w:szCs w:val="24"/>
              </w:rPr>
            </w:pPr>
          </w:p>
        </w:tc>
      </w:tr>
      <w:tr w14:paraId="06E8E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75743D06">
            <w:pPr>
              <w:widowControl/>
              <w:jc w:val="center"/>
              <w:rPr>
                <w:sz w:val="24"/>
              </w:rPr>
            </w:pPr>
          </w:p>
        </w:tc>
        <w:tc>
          <w:tcPr>
            <w:tcW w:w="1701" w:type="dxa"/>
            <w:vAlign w:val="center"/>
          </w:tcPr>
          <w:p w14:paraId="0535FDE1">
            <w:pPr>
              <w:widowControl/>
              <w:jc w:val="center"/>
              <w:rPr>
                <w:kern w:val="0"/>
                <w:sz w:val="24"/>
                <w:szCs w:val="24"/>
              </w:rPr>
            </w:pPr>
          </w:p>
        </w:tc>
        <w:tc>
          <w:tcPr>
            <w:tcW w:w="2238" w:type="dxa"/>
            <w:vAlign w:val="center"/>
          </w:tcPr>
          <w:p w14:paraId="79678906">
            <w:pPr>
              <w:widowControl/>
              <w:jc w:val="center"/>
              <w:rPr>
                <w:kern w:val="0"/>
                <w:sz w:val="24"/>
                <w:szCs w:val="24"/>
              </w:rPr>
            </w:pPr>
          </w:p>
        </w:tc>
        <w:tc>
          <w:tcPr>
            <w:tcW w:w="1848" w:type="dxa"/>
            <w:vAlign w:val="center"/>
          </w:tcPr>
          <w:p w14:paraId="473E7641">
            <w:pPr>
              <w:widowControl/>
              <w:jc w:val="center"/>
              <w:rPr>
                <w:kern w:val="0"/>
                <w:sz w:val="24"/>
                <w:szCs w:val="24"/>
              </w:rPr>
            </w:pPr>
          </w:p>
        </w:tc>
      </w:tr>
    </w:tbl>
    <w:p w14:paraId="5899411C">
      <w:pPr>
        <w:ind w:left="180"/>
        <w:rPr>
          <w:sz w:val="22"/>
          <w:szCs w:val="24"/>
        </w:rPr>
      </w:pPr>
      <w:r>
        <w:rPr>
          <w:sz w:val="22"/>
          <w:szCs w:val="24"/>
        </w:rPr>
        <w:t>注：1. 本表第一行填写本项目投标总价，须与附件2中投标总价保持一致。</w:t>
      </w:r>
    </w:p>
    <w:p w14:paraId="4C242694">
      <w:pPr>
        <w:ind w:left="180" w:firstLine="408" w:firstLineChars="200"/>
      </w:pPr>
      <w:r>
        <w:rPr>
          <w:sz w:val="22"/>
          <w:szCs w:val="24"/>
        </w:rPr>
        <w:t>2. 下面应填写分项价格及分项名称（分项名称可根据实际情况增减、修改），分项价格汇总应等于总价。</w:t>
      </w:r>
    </w:p>
    <w:p w14:paraId="5DA8A9A5">
      <w:pPr>
        <w:spacing w:line="360" w:lineRule="auto"/>
        <w:ind w:firstLine="3808" w:firstLineChars="1700"/>
        <w:rPr>
          <w:sz w:val="24"/>
        </w:rPr>
      </w:pPr>
      <w:r>
        <w:rPr>
          <w:sz w:val="24"/>
        </w:rPr>
        <w:t>投标人名称：</w:t>
      </w:r>
    </w:p>
    <w:p w14:paraId="30CCDE8B">
      <w:pPr>
        <w:spacing w:line="360" w:lineRule="auto"/>
        <w:ind w:firstLine="3808" w:firstLineChars="1700"/>
        <w:rPr>
          <w:sz w:val="24"/>
        </w:rPr>
      </w:pPr>
    </w:p>
    <w:p w14:paraId="59B2EE8E">
      <w:pPr>
        <w:spacing w:line="360" w:lineRule="auto"/>
        <w:ind w:firstLine="3808" w:firstLineChars="1700"/>
        <w:rPr>
          <w:sz w:val="24"/>
        </w:rPr>
      </w:pPr>
      <w:r>
        <w:rPr>
          <w:sz w:val="24"/>
        </w:rPr>
        <w:t>日期：年月日</w:t>
      </w:r>
    </w:p>
    <w:p w14:paraId="1EAB21B0">
      <w:pPr>
        <w:spacing w:line="360" w:lineRule="auto"/>
        <w:ind w:right="85" w:firstLine="448" w:firstLineChars="200"/>
        <w:rPr>
          <w:b/>
          <w:sz w:val="24"/>
        </w:rPr>
      </w:pPr>
      <w:r>
        <w:rPr>
          <w:b/>
          <w:sz w:val="24"/>
        </w:rPr>
        <w:br w:type="page"/>
      </w:r>
    </w:p>
    <w:p w14:paraId="3BF88724">
      <w:pPr>
        <w:tabs>
          <w:tab w:val="left" w:pos="360"/>
        </w:tabs>
        <w:spacing w:after="285" w:afterLines="100" w:line="360" w:lineRule="auto"/>
        <w:rPr>
          <w:b/>
          <w:sz w:val="24"/>
        </w:rPr>
      </w:pPr>
      <w:r>
        <w:rPr>
          <w:b/>
          <w:sz w:val="24"/>
        </w:rPr>
        <w:t>附件</w:t>
      </w:r>
      <w:r>
        <w:rPr>
          <w:rFonts w:hint="eastAsia"/>
          <w:b/>
          <w:sz w:val="24"/>
        </w:rPr>
        <w:t>5</w:t>
      </w:r>
    </w:p>
    <w:p w14:paraId="6122AA06">
      <w:pPr>
        <w:autoSpaceDN w:val="0"/>
        <w:spacing w:line="360" w:lineRule="auto"/>
        <w:jc w:val="center"/>
        <w:rPr>
          <w:b/>
          <w:bCs/>
          <w:sz w:val="24"/>
        </w:rPr>
      </w:pPr>
      <w:r>
        <w:rPr>
          <w:b/>
          <w:bCs/>
          <w:sz w:val="24"/>
        </w:rPr>
        <w:t>商务要求点对点应答表</w:t>
      </w:r>
    </w:p>
    <w:p w14:paraId="14702EDB">
      <w:pPr>
        <w:spacing w:line="460" w:lineRule="exact"/>
        <w:rPr>
          <w:sz w:val="24"/>
        </w:rPr>
      </w:pPr>
    </w:p>
    <w:p w14:paraId="3153A99B">
      <w:pPr>
        <w:spacing w:line="460" w:lineRule="exact"/>
        <w:rPr>
          <w:sz w:val="24"/>
        </w:rPr>
      </w:pPr>
      <w:r>
        <w:rPr>
          <w:sz w:val="24"/>
        </w:rPr>
        <w:t>项目名称：</w:t>
      </w:r>
    </w:p>
    <w:p w14:paraId="37DA497B">
      <w:pPr>
        <w:spacing w:line="460" w:lineRule="exact"/>
        <w:rPr>
          <w:sz w:val="24"/>
        </w:rPr>
      </w:pPr>
      <w:r>
        <w:rPr>
          <w:sz w:val="24"/>
        </w:rPr>
        <w:t>项目编号：</w:t>
      </w:r>
    </w:p>
    <w:p w14:paraId="27F303F4">
      <w:pPr>
        <w:spacing w:line="460" w:lineRule="exact"/>
        <w:rPr>
          <w:sz w:val="24"/>
          <w:u w:val="single"/>
        </w:rPr>
      </w:pPr>
      <w:r>
        <w:rPr>
          <w:sz w:val="24"/>
        </w:rPr>
        <w:t>包号：</w:t>
      </w:r>
    </w:p>
    <w:p w14:paraId="56C2F8EC">
      <w:pPr>
        <w:spacing w:line="460" w:lineRule="exact"/>
        <w:rPr>
          <w:sz w:val="24"/>
          <w:u w:val="single"/>
        </w:rPr>
      </w:pPr>
    </w:p>
    <w:tbl>
      <w:tblPr>
        <w:tblStyle w:val="19"/>
        <w:tblW w:w="5133" w:type="pct"/>
        <w:tblInd w:w="0" w:type="dxa"/>
        <w:tblLayout w:type="autofit"/>
        <w:tblCellMar>
          <w:top w:w="0" w:type="dxa"/>
          <w:left w:w="108" w:type="dxa"/>
          <w:bottom w:w="0" w:type="dxa"/>
          <w:right w:w="108" w:type="dxa"/>
        </w:tblCellMar>
      </w:tblPr>
      <w:tblGrid>
        <w:gridCol w:w="1705"/>
        <w:gridCol w:w="2231"/>
        <w:gridCol w:w="2551"/>
        <w:gridCol w:w="1135"/>
        <w:gridCol w:w="1133"/>
      </w:tblGrid>
      <w:tr w14:paraId="78CE6142">
        <w:tblPrEx>
          <w:tblCellMar>
            <w:top w:w="0" w:type="dxa"/>
            <w:left w:w="108" w:type="dxa"/>
            <w:bottom w:w="0" w:type="dxa"/>
            <w:right w:w="108" w:type="dxa"/>
          </w:tblCellMar>
        </w:tblPrEx>
        <w:trPr>
          <w:trHeight w:val="373" w:hRule="atLeast"/>
        </w:trPr>
        <w:tc>
          <w:tcPr>
            <w:tcW w:w="974" w:type="pct"/>
            <w:tcBorders>
              <w:top w:val="single" w:color="auto" w:sz="8" w:space="0"/>
              <w:left w:val="single" w:color="auto" w:sz="8" w:space="0"/>
              <w:bottom w:val="single" w:color="auto" w:sz="8" w:space="0"/>
              <w:right w:val="single" w:color="auto" w:sz="8" w:space="0"/>
            </w:tcBorders>
            <w:shd w:val="clear" w:color="auto" w:fill="auto"/>
            <w:vAlign w:val="center"/>
          </w:tcPr>
          <w:p w14:paraId="6458CF1D">
            <w:pPr>
              <w:widowControl/>
              <w:jc w:val="center"/>
              <w:rPr>
                <w:color w:val="000000"/>
                <w:kern w:val="0"/>
                <w:szCs w:val="21"/>
              </w:rPr>
            </w:pPr>
            <w:r>
              <w:rPr>
                <w:color w:val="000000"/>
                <w:kern w:val="0"/>
                <w:szCs w:val="21"/>
              </w:rPr>
              <w:t>序号</w:t>
            </w:r>
          </w:p>
        </w:tc>
        <w:tc>
          <w:tcPr>
            <w:tcW w:w="1274" w:type="pct"/>
            <w:tcBorders>
              <w:top w:val="single" w:color="auto" w:sz="8" w:space="0"/>
              <w:left w:val="nil"/>
              <w:bottom w:val="single" w:color="auto" w:sz="8" w:space="0"/>
              <w:right w:val="single" w:color="auto" w:sz="8" w:space="0"/>
            </w:tcBorders>
            <w:shd w:val="clear" w:color="auto" w:fill="auto"/>
            <w:vAlign w:val="center"/>
          </w:tcPr>
          <w:p w14:paraId="17CF9573">
            <w:pPr>
              <w:widowControl/>
              <w:jc w:val="center"/>
              <w:rPr>
                <w:color w:val="000000"/>
                <w:kern w:val="0"/>
                <w:szCs w:val="21"/>
              </w:rPr>
            </w:pPr>
            <w:r>
              <w:rPr>
                <w:color w:val="000000"/>
                <w:kern w:val="0"/>
                <w:szCs w:val="21"/>
              </w:rPr>
              <w:t>招标要求</w:t>
            </w:r>
          </w:p>
        </w:tc>
        <w:tc>
          <w:tcPr>
            <w:tcW w:w="1457" w:type="pct"/>
            <w:tcBorders>
              <w:top w:val="single" w:color="auto" w:sz="8" w:space="0"/>
              <w:left w:val="nil"/>
              <w:bottom w:val="single" w:color="auto" w:sz="8" w:space="0"/>
              <w:right w:val="single" w:color="auto" w:sz="8" w:space="0"/>
            </w:tcBorders>
            <w:shd w:val="clear" w:color="auto" w:fill="auto"/>
            <w:vAlign w:val="center"/>
          </w:tcPr>
          <w:p w14:paraId="680639CB">
            <w:pPr>
              <w:widowControl/>
              <w:jc w:val="center"/>
              <w:rPr>
                <w:color w:val="000000"/>
                <w:kern w:val="0"/>
                <w:szCs w:val="21"/>
              </w:rPr>
            </w:pPr>
            <w:r>
              <w:rPr>
                <w:color w:val="000000"/>
                <w:kern w:val="0"/>
                <w:szCs w:val="21"/>
              </w:rPr>
              <w:t>投标应答</w:t>
            </w:r>
          </w:p>
        </w:tc>
        <w:tc>
          <w:tcPr>
            <w:tcW w:w="648" w:type="pct"/>
            <w:tcBorders>
              <w:top w:val="single" w:color="auto" w:sz="8" w:space="0"/>
              <w:left w:val="nil"/>
              <w:bottom w:val="single" w:color="auto" w:sz="8" w:space="0"/>
              <w:right w:val="single" w:color="auto" w:sz="8" w:space="0"/>
            </w:tcBorders>
            <w:shd w:val="clear" w:color="auto" w:fill="auto"/>
            <w:vAlign w:val="center"/>
          </w:tcPr>
          <w:p w14:paraId="2E9EE09F">
            <w:pPr>
              <w:widowControl/>
              <w:jc w:val="center"/>
              <w:rPr>
                <w:color w:val="000000"/>
                <w:kern w:val="0"/>
                <w:szCs w:val="21"/>
              </w:rPr>
            </w:pPr>
            <w:r>
              <w:rPr>
                <w:color w:val="000000"/>
                <w:kern w:val="0"/>
                <w:szCs w:val="21"/>
              </w:rPr>
              <w:t>偏离说明</w:t>
            </w:r>
          </w:p>
        </w:tc>
        <w:tc>
          <w:tcPr>
            <w:tcW w:w="647" w:type="pct"/>
            <w:tcBorders>
              <w:top w:val="single" w:color="auto" w:sz="8" w:space="0"/>
              <w:left w:val="nil"/>
              <w:bottom w:val="single" w:color="auto" w:sz="8" w:space="0"/>
              <w:right w:val="single" w:color="auto" w:sz="8" w:space="0"/>
            </w:tcBorders>
            <w:shd w:val="clear" w:color="auto" w:fill="auto"/>
            <w:vAlign w:val="center"/>
          </w:tcPr>
          <w:p w14:paraId="3E0E55B3">
            <w:pPr>
              <w:widowControl/>
              <w:jc w:val="center"/>
              <w:rPr>
                <w:color w:val="000000"/>
                <w:kern w:val="0"/>
                <w:szCs w:val="21"/>
              </w:rPr>
            </w:pPr>
            <w:r>
              <w:rPr>
                <w:color w:val="000000"/>
                <w:kern w:val="0"/>
                <w:szCs w:val="21"/>
              </w:rPr>
              <w:t>备注</w:t>
            </w:r>
          </w:p>
        </w:tc>
      </w:tr>
      <w:tr w14:paraId="5C0922F3">
        <w:tblPrEx>
          <w:tblCellMar>
            <w:top w:w="0" w:type="dxa"/>
            <w:left w:w="108" w:type="dxa"/>
            <w:bottom w:w="0" w:type="dxa"/>
            <w:right w:w="108" w:type="dxa"/>
          </w:tblCellMar>
        </w:tblPrEx>
        <w:tc>
          <w:tcPr>
            <w:tcW w:w="5000" w:type="pct"/>
            <w:gridSpan w:val="5"/>
            <w:tcBorders>
              <w:top w:val="single" w:color="auto" w:sz="8" w:space="0"/>
              <w:left w:val="single" w:color="auto" w:sz="8" w:space="0"/>
              <w:bottom w:val="single" w:color="auto" w:sz="8" w:space="0"/>
              <w:right w:val="single" w:color="000000" w:sz="8" w:space="0"/>
            </w:tcBorders>
            <w:shd w:val="clear" w:color="auto" w:fill="auto"/>
            <w:vAlign w:val="center"/>
          </w:tcPr>
          <w:p w14:paraId="75E9682A">
            <w:pPr>
              <w:widowControl/>
              <w:jc w:val="left"/>
              <w:rPr>
                <w:color w:val="000000"/>
                <w:kern w:val="0"/>
                <w:szCs w:val="21"/>
              </w:rPr>
            </w:pPr>
            <w:r>
              <w:rPr>
                <w:color w:val="000000"/>
                <w:kern w:val="0"/>
                <w:szCs w:val="21"/>
              </w:rPr>
              <w:t>（一）报价要求</w:t>
            </w:r>
          </w:p>
        </w:tc>
      </w:tr>
      <w:tr w14:paraId="0F62D728">
        <w:tblPrEx>
          <w:tblCellMar>
            <w:top w:w="0" w:type="dxa"/>
            <w:left w:w="108" w:type="dxa"/>
            <w:bottom w:w="0" w:type="dxa"/>
            <w:right w:w="108" w:type="dxa"/>
          </w:tblCellMar>
        </w:tblPrEx>
        <w:trPr>
          <w:trHeight w:val="46" w:hRule="atLeast"/>
        </w:trPr>
        <w:tc>
          <w:tcPr>
            <w:tcW w:w="974" w:type="pct"/>
            <w:tcBorders>
              <w:top w:val="nil"/>
              <w:left w:val="single" w:color="auto" w:sz="8" w:space="0"/>
              <w:bottom w:val="single" w:color="auto" w:sz="8" w:space="0"/>
              <w:right w:val="single" w:color="auto" w:sz="8" w:space="0"/>
            </w:tcBorders>
            <w:shd w:val="clear" w:color="auto" w:fill="auto"/>
            <w:vAlign w:val="center"/>
          </w:tcPr>
          <w:p w14:paraId="37DC85FA">
            <w:pPr>
              <w:widowControl/>
              <w:jc w:val="left"/>
              <w:rPr>
                <w:color w:val="000000"/>
                <w:kern w:val="0"/>
                <w:szCs w:val="21"/>
              </w:rPr>
            </w:pPr>
            <w:r>
              <w:rPr>
                <w:color w:val="000000"/>
                <w:kern w:val="0"/>
                <w:szCs w:val="21"/>
              </w:rPr>
              <w:t>　</w:t>
            </w:r>
          </w:p>
        </w:tc>
        <w:tc>
          <w:tcPr>
            <w:tcW w:w="1274" w:type="pct"/>
            <w:tcBorders>
              <w:top w:val="nil"/>
              <w:left w:val="nil"/>
              <w:bottom w:val="single" w:color="auto" w:sz="8" w:space="0"/>
              <w:right w:val="single" w:color="auto" w:sz="8" w:space="0"/>
            </w:tcBorders>
            <w:shd w:val="clear" w:color="auto" w:fill="auto"/>
            <w:vAlign w:val="center"/>
          </w:tcPr>
          <w:p w14:paraId="33DAAE58">
            <w:pPr>
              <w:widowControl/>
              <w:jc w:val="left"/>
              <w:rPr>
                <w:color w:val="000000"/>
                <w:kern w:val="0"/>
                <w:szCs w:val="21"/>
              </w:rPr>
            </w:pPr>
            <w:r>
              <w:rPr>
                <w:color w:val="000000"/>
                <w:kern w:val="0"/>
                <w:szCs w:val="21"/>
              </w:rPr>
              <w:t>　</w:t>
            </w:r>
          </w:p>
        </w:tc>
        <w:tc>
          <w:tcPr>
            <w:tcW w:w="1457" w:type="pct"/>
            <w:tcBorders>
              <w:top w:val="nil"/>
              <w:left w:val="nil"/>
              <w:bottom w:val="single" w:color="auto" w:sz="8" w:space="0"/>
              <w:right w:val="single" w:color="auto" w:sz="8" w:space="0"/>
            </w:tcBorders>
            <w:shd w:val="clear" w:color="auto" w:fill="auto"/>
            <w:vAlign w:val="center"/>
          </w:tcPr>
          <w:p w14:paraId="58944043">
            <w:pPr>
              <w:widowControl/>
              <w:jc w:val="left"/>
              <w:rPr>
                <w:color w:val="000000"/>
                <w:kern w:val="0"/>
                <w:szCs w:val="21"/>
              </w:rPr>
            </w:pPr>
            <w:r>
              <w:rPr>
                <w:color w:val="000000"/>
                <w:kern w:val="0"/>
                <w:szCs w:val="21"/>
              </w:rPr>
              <w:t>　</w:t>
            </w:r>
          </w:p>
        </w:tc>
        <w:tc>
          <w:tcPr>
            <w:tcW w:w="648" w:type="pct"/>
            <w:tcBorders>
              <w:top w:val="nil"/>
              <w:left w:val="nil"/>
              <w:bottom w:val="single" w:color="auto" w:sz="8" w:space="0"/>
              <w:right w:val="single" w:color="auto" w:sz="8" w:space="0"/>
            </w:tcBorders>
            <w:shd w:val="clear" w:color="auto" w:fill="auto"/>
            <w:vAlign w:val="center"/>
          </w:tcPr>
          <w:p w14:paraId="7FF5DF88">
            <w:pPr>
              <w:widowControl/>
              <w:jc w:val="left"/>
              <w:rPr>
                <w:color w:val="000000"/>
                <w:kern w:val="0"/>
                <w:szCs w:val="21"/>
              </w:rPr>
            </w:pPr>
            <w:r>
              <w:rPr>
                <w:color w:val="000000"/>
                <w:kern w:val="0"/>
                <w:szCs w:val="21"/>
              </w:rPr>
              <w:t>　</w:t>
            </w:r>
          </w:p>
        </w:tc>
        <w:tc>
          <w:tcPr>
            <w:tcW w:w="647" w:type="pct"/>
            <w:tcBorders>
              <w:top w:val="nil"/>
              <w:left w:val="nil"/>
              <w:bottom w:val="single" w:color="auto" w:sz="8" w:space="0"/>
              <w:right w:val="single" w:color="auto" w:sz="8" w:space="0"/>
            </w:tcBorders>
            <w:shd w:val="clear" w:color="auto" w:fill="auto"/>
            <w:vAlign w:val="center"/>
          </w:tcPr>
          <w:p w14:paraId="4DCD68E1">
            <w:pPr>
              <w:widowControl/>
              <w:jc w:val="left"/>
              <w:rPr>
                <w:color w:val="000000"/>
                <w:kern w:val="0"/>
                <w:szCs w:val="21"/>
              </w:rPr>
            </w:pPr>
            <w:r>
              <w:rPr>
                <w:color w:val="000000"/>
                <w:kern w:val="0"/>
                <w:szCs w:val="21"/>
              </w:rPr>
              <w:t>　</w:t>
            </w:r>
          </w:p>
        </w:tc>
      </w:tr>
      <w:tr w14:paraId="5FF88660">
        <w:tblPrEx>
          <w:tblCellMar>
            <w:top w:w="0" w:type="dxa"/>
            <w:left w:w="108" w:type="dxa"/>
            <w:bottom w:w="0" w:type="dxa"/>
            <w:right w:w="108" w:type="dxa"/>
          </w:tblCellMar>
        </w:tblPrEx>
        <w:tc>
          <w:tcPr>
            <w:tcW w:w="5000" w:type="pct"/>
            <w:gridSpan w:val="5"/>
            <w:tcBorders>
              <w:top w:val="single" w:color="auto" w:sz="8" w:space="0"/>
              <w:left w:val="single" w:color="auto" w:sz="8" w:space="0"/>
              <w:bottom w:val="single" w:color="auto" w:sz="8" w:space="0"/>
              <w:right w:val="single" w:color="000000" w:sz="8" w:space="0"/>
            </w:tcBorders>
            <w:shd w:val="clear" w:color="auto" w:fill="auto"/>
            <w:vAlign w:val="center"/>
          </w:tcPr>
          <w:p w14:paraId="59EE4F2B">
            <w:pPr>
              <w:widowControl/>
              <w:jc w:val="left"/>
              <w:rPr>
                <w:color w:val="000000"/>
                <w:kern w:val="0"/>
                <w:szCs w:val="21"/>
              </w:rPr>
            </w:pPr>
            <w:r>
              <w:rPr>
                <w:color w:val="000000"/>
                <w:kern w:val="0"/>
                <w:szCs w:val="21"/>
              </w:rPr>
              <w:t>（二）服务要求</w:t>
            </w:r>
          </w:p>
        </w:tc>
      </w:tr>
      <w:tr w14:paraId="23D4D7CD">
        <w:tblPrEx>
          <w:tblCellMar>
            <w:top w:w="0" w:type="dxa"/>
            <w:left w:w="108" w:type="dxa"/>
            <w:bottom w:w="0" w:type="dxa"/>
            <w:right w:w="108" w:type="dxa"/>
          </w:tblCellMar>
        </w:tblPrEx>
        <w:tc>
          <w:tcPr>
            <w:tcW w:w="974" w:type="pct"/>
            <w:tcBorders>
              <w:top w:val="nil"/>
              <w:left w:val="single" w:color="auto" w:sz="8" w:space="0"/>
              <w:bottom w:val="single" w:color="auto" w:sz="8" w:space="0"/>
              <w:right w:val="single" w:color="auto" w:sz="8" w:space="0"/>
            </w:tcBorders>
            <w:shd w:val="clear" w:color="auto" w:fill="auto"/>
            <w:vAlign w:val="center"/>
          </w:tcPr>
          <w:p w14:paraId="5EBD1E36">
            <w:pPr>
              <w:widowControl/>
              <w:jc w:val="center"/>
              <w:rPr>
                <w:color w:val="000000"/>
                <w:kern w:val="0"/>
                <w:szCs w:val="21"/>
              </w:rPr>
            </w:pPr>
            <w:r>
              <w:rPr>
                <w:color w:val="000000"/>
                <w:kern w:val="0"/>
                <w:szCs w:val="21"/>
              </w:rPr>
              <w:t>　</w:t>
            </w:r>
          </w:p>
        </w:tc>
        <w:tc>
          <w:tcPr>
            <w:tcW w:w="1274" w:type="pct"/>
            <w:tcBorders>
              <w:top w:val="nil"/>
              <w:left w:val="nil"/>
              <w:bottom w:val="single" w:color="auto" w:sz="8" w:space="0"/>
              <w:right w:val="single" w:color="auto" w:sz="8" w:space="0"/>
            </w:tcBorders>
            <w:shd w:val="clear" w:color="auto" w:fill="auto"/>
            <w:vAlign w:val="center"/>
          </w:tcPr>
          <w:p w14:paraId="7E708854">
            <w:pPr>
              <w:widowControl/>
              <w:jc w:val="left"/>
              <w:rPr>
                <w:color w:val="000000"/>
                <w:kern w:val="0"/>
                <w:szCs w:val="21"/>
              </w:rPr>
            </w:pPr>
            <w:r>
              <w:rPr>
                <w:color w:val="000000"/>
                <w:kern w:val="0"/>
                <w:szCs w:val="21"/>
              </w:rPr>
              <w:t>　</w:t>
            </w:r>
          </w:p>
        </w:tc>
        <w:tc>
          <w:tcPr>
            <w:tcW w:w="1457" w:type="pct"/>
            <w:tcBorders>
              <w:top w:val="nil"/>
              <w:left w:val="nil"/>
              <w:bottom w:val="single" w:color="auto" w:sz="8" w:space="0"/>
              <w:right w:val="single" w:color="auto" w:sz="8" w:space="0"/>
            </w:tcBorders>
            <w:shd w:val="clear" w:color="auto" w:fill="auto"/>
            <w:vAlign w:val="center"/>
          </w:tcPr>
          <w:p w14:paraId="5597D06B">
            <w:pPr>
              <w:widowControl/>
              <w:jc w:val="left"/>
              <w:rPr>
                <w:color w:val="000000"/>
                <w:kern w:val="0"/>
                <w:szCs w:val="21"/>
              </w:rPr>
            </w:pPr>
            <w:r>
              <w:rPr>
                <w:color w:val="000000"/>
                <w:kern w:val="0"/>
                <w:szCs w:val="21"/>
              </w:rPr>
              <w:t>　</w:t>
            </w:r>
          </w:p>
        </w:tc>
        <w:tc>
          <w:tcPr>
            <w:tcW w:w="648" w:type="pct"/>
            <w:tcBorders>
              <w:top w:val="nil"/>
              <w:left w:val="nil"/>
              <w:bottom w:val="single" w:color="auto" w:sz="8" w:space="0"/>
              <w:right w:val="single" w:color="auto" w:sz="8" w:space="0"/>
            </w:tcBorders>
            <w:shd w:val="clear" w:color="auto" w:fill="auto"/>
            <w:vAlign w:val="center"/>
          </w:tcPr>
          <w:p w14:paraId="797DB3D3">
            <w:pPr>
              <w:widowControl/>
              <w:jc w:val="center"/>
              <w:rPr>
                <w:color w:val="000000"/>
                <w:kern w:val="0"/>
                <w:szCs w:val="21"/>
              </w:rPr>
            </w:pPr>
            <w:r>
              <w:rPr>
                <w:color w:val="000000"/>
                <w:kern w:val="0"/>
                <w:szCs w:val="21"/>
              </w:rPr>
              <w:t>　</w:t>
            </w:r>
          </w:p>
        </w:tc>
        <w:tc>
          <w:tcPr>
            <w:tcW w:w="647" w:type="pct"/>
            <w:tcBorders>
              <w:top w:val="nil"/>
              <w:left w:val="nil"/>
              <w:bottom w:val="single" w:color="auto" w:sz="8" w:space="0"/>
              <w:right w:val="single" w:color="auto" w:sz="8" w:space="0"/>
            </w:tcBorders>
            <w:shd w:val="clear" w:color="auto" w:fill="auto"/>
            <w:vAlign w:val="center"/>
          </w:tcPr>
          <w:p w14:paraId="5937AFB2">
            <w:pPr>
              <w:widowControl/>
              <w:jc w:val="center"/>
              <w:rPr>
                <w:color w:val="000000"/>
                <w:kern w:val="0"/>
                <w:szCs w:val="21"/>
              </w:rPr>
            </w:pPr>
            <w:r>
              <w:rPr>
                <w:color w:val="000000"/>
                <w:kern w:val="0"/>
                <w:szCs w:val="21"/>
              </w:rPr>
              <w:t>　</w:t>
            </w:r>
          </w:p>
        </w:tc>
      </w:tr>
      <w:tr w14:paraId="4F3871A9">
        <w:tblPrEx>
          <w:tblCellMar>
            <w:top w:w="0" w:type="dxa"/>
            <w:left w:w="108" w:type="dxa"/>
            <w:bottom w:w="0" w:type="dxa"/>
            <w:right w:w="108" w:type="dxa"/>
          </w:tblCellMar>
        </w:tblPrEx>
        <w:tc>
          <w:tcPr>
            <w:tcW w:w="5000" w:type="pct"/>
            <w:gridSpan w:val="5"/>
            <w:tcBorders>
              <w:top w:val="single" w:color="auto" w:sz="8" w:space="0"/>
              <w:left w:val="single" w:color="auto" w:sz="8" w:space="0"/>
              <w:bottom w:val="single" w:color="auto" w:sz="8" w:space="0"/>
              <w:right w:val="single" w:color="000000" w:sz="8" w:space="0"/>
            </w:tcBorders>
            <w:shd w:val="clear" w:color="auto" w:fill="auto"/>
            <w:vAlign w:val="center"/>
          </w:tcPr>
          <w:p w14:paraId="4C9D243F">
            <w:pPr>
              <w:widowControl/>
              <w:jc w:val="left"/>
              <w:rPr>
                <w:color w:val="000000"/>
                <w:kern w:val="0"/>
                <w:szCs w:val="21"/>
              </w:rPr>
            </w:pPr>
            <w:r>
              <w:rPr>
                <w:color w:val="000000"/>
                <w:kern w:val="0"/>
                <w:szCs w:val="21"/>
              </w:rPr>
              <w:t>（三）时间、地点要求</w:t>
            </w:r>
          </w:p>
        </w:tc>
      </w:tr>
      <w:tr w14:paraId="45504905">
        <w:tblPrEx>
          <w:tblCellMar>
            <w:top w:w="0" w:type="dxa"/>
            <w:left w:w="108" w:type="dxa"/>
            <w:bottom w:w="0" w:type="dxa"/>
            <w:right w:w="108" w:type="dxa"/>
          </w:tblCellMar>
        </w:tblPrEx>
        <w:tc>
          <w:tcPr>
            <w:tcW w:w="974" w:type="pct"/>
            <w:tcBorders>
              <w:top w:val="nil"/>
              <w:left w:val="single" w:color="auto" w:sz="8" w:space="0"/>
              <w:bottom w:val="single" w:color="auto" w:sz="8" w:space="0"/>
              <w:right w:val="single" w:color="auto" w:sz="8" w:space="0"/>
            </w:tcBorders>
            <w:shd w:val="clear" w:color="auto" w:fill="auto"/>
            <w:vAlign w:val="center"/>
          </w:tcPr>
          <w:p w14:paraId="6BB3FCF1">
            <w:pPr>
              <w:widowControl/>
              <w:jc w:val="left"/>
              <w:rPr>
                <w:color w:val="000000"/>
                <w:kern w:val="0"/>
                <w:szCs w:val="21"/>
              </w:rPr>
            </w:pPr>
            <w:r>
              <w:rPr>
                <w:color w:val="000000"/>
                <w:kern w:val="0"/>
                <w:szCs w:val="21"/>
              </w:rPr>
              <w:t>　</w:t>
            </w:r>
          </w:p>
        </w:tc>
        <w:tc>
          <w:tcPr>
            <w:tcW w:w="1274" w:type="pct"/>
            <w:tcBorders>
              <w:top w:val="nil"/>
              <w:left w:val="nil"/>
              <w:bottom w:val="single" w:color="auto" w:sz="8" w:space="0"/>
              <w:right w:val="single" w:color="auto" w:sz="8" w:space="0"/>
            </w:tcBorders>
            <w:shd w:val="clear" w:color="auto" w:fill="auto"/>
            <w:vAlign w:val="center"/>
          </w:tcPr>
          <w:p w14:paraId="30FAC98A">
            <w:pPr>
              <w:widowControl/>
              <w:jc w:val="left"/>
              <w:rPr>
                <w:color w:val="000000"/>
                <w:kern w:val="0"/>
                <w:szCs w:val="21"/>
              </w:rPr>
            </w:pPr>
            <w:r>
              <w:rPr>
                <w:color w:val="000000"/>
                <w:kern w:val="0"/>
                <w:szCs w:val="21"/>
              </w:rPr>
              <w:t>　</w:t>
            </w:r>
          </w:p>
        </w:tc>
        <w:tc>
          <w:tcPr>
            <w:tcW w:w="1457" w:type="pct"/>
            <w:tcBorders>
              <w:top w:val="nil"/>
              <w:left w:val="nil"/>
              <w:bottom w:val="single" w:color="auto" w:sz="8" w:space="0"/>
              <w:right w:val="single" w:color="auto" w:sz="8" w:space="0"/>
            </w:tcBorders>
            <w:shd w:val="clear" w:color="auto" w:fill="auto"/>
            <w:vAlign w:val="center"/>
          </w:tcPr>
          <w:p w14:paraId="4A835189">
            <w:pPr>
              <w:widowControl/>
              <w:jc w:val="left"/>
              <w:rPr>
                <w:color w:val="000000"/>
                <w:kern w:val="0"/>
                <w:szCs w:val="21"/>
              </w:rPr>
            </w:pPr>
            <w:r>
              <w:rPr>
                <w:color w:val="000000"/>
                <w:kern w:val="0"/>
                <w:szCs w:val="21"/>
              </w:rPr>
              <w:t>　</w:t>
            </w:r>
          </w:p>
        </w:tc>
        <w:tc>
          <w:tcPr>
            <w:tcW w:w="648" w:type="pct"/>
            <w:tcBorders>
              <w:top w:val="nil"/>
              <w:left w:val="nil"/>
              <w:bottom w:val="single" w:color="auto" w:sz="8" w:space="0"/>
              <w:right w:val="single" w:color="auto" w:sz="8" w:space="0"/>
            </w:tcBorders>
            <w:shd w:val="clear" w:color="auto" w:fill="auto"/>
            <w:vAlign w:val="center"/>
          </w:tcPr>
          <w:p w14:paraId="3466CD86">
            <w:pPr>
              <w:widowControl/>
              <w:jc w:val="left"/>
              <w:rPr>
                <w:color w:val="000000"/>
                <w:kern w:val="0"/>
                <w:szCs w:val="21"/>
              </w:rPr>
            </w:pPr>
            <w:r>
              <w:rPr>
                <w:color w:val="000000"/>
                <w:kern w:val="0"/>
                <w:szCs w:val="21"/>
              </w:rPr>
              <w:t>　</w:t>
            </w:r>
          </w:p>
        </w:tc>
        <w:tc>
          <w:tcPr>
            <w:tcW w:w="647" w:type="pct"/>
            <w:tcBorders>
              <w:top w:val="nil"/>
              <w:left w:val="nil"/>
              <w:bottom w:val="single" w:color="auto" w:sz="8" w:space="0"/>
              <w:right w:val="single" w:color="auto" w:sz="8" w:space="0"/>
            </w:tcBorders>
            <w:shd w:val="clear" w:color="auto" w:fill="auto"/>
            <w:vAlign w:val="center"/>
          </w:tcPr>
          <w:p w14:paraId="1854AB56">
            <w:pPr>
              <w:widowControl/>
              <w:jc w:val="left"/>
              <w:rPr>
                <w:color w:val="000000"/>
                <w:kern w:val="0"/>
                <w:szCs w:val="21"/>
              </w:rPr>
            </w:pPr>
            <w:r>
              <w:rPr>
                <w:color w:val="000000"/>
                <w:kern w:val="0"/>
                <w:szCs w:val="21"/>
              </w:rPr>
              <w:t>　</w:t>
            </w:r>
          </w:p>
        </w:tc>
      </w:tr>
      <w:tr w14:paraId="5452C546">
        <w:tblPrEx>
          <w:tblCellMar>
            <w:top w:w="0" w:type="dxa"/>
            <w:left w:w="108" w:type="dxa"/>
            <w:bottom w:w="0" w:type="dxa"/>
            <w:right w:w="108" w:type="dxa"/>
          </w:tblCellMar>
        </w:tblPrEx>
        <w:tc>
          <w:tcPr>
            <w:tcW w:w="5000" w:type="pct"/>
            <w:gridSpan w:val="5"/>
            <w:tcBorders>
              <w:top w:val="single" w:color="auto" w:sz="8" w:space="0"/>
              <w:left w:val="single" w:color="auto" w:sz="8" w:space="0"/>
              <w:bottom w:val="single" w:color="auto" w:sz="8" w:space="0"/>
              <w:right w:val="single" w:color="000000" w:sz="8" w:space="0"/>
            </w:tcBorders>
            <w:shd w:val="clear" w:color="auto" w:fill="auto"/>
            <w:vAlign w:val="center"/>
          </w:tcPr>
          <w:p w14:paraId="2C50DEA7">
            <w:pPr>
              <w:widowControl/>
              <w:jc w:val="left"/>
              <w:rPr>
                <w:color w:val="000000"/>
                <w:kern w:val="0"/>
                <w:szCs w:val="21"/>
              </w:rPr>
            </w:pPr>
            <w:r>
              <w:rPr>
                <w:color w:val="000000"/>
                <w:kern w:val="0"/>
                <w:szCs w:val="21"/>
              </w:rPr>
              <w:t>（四）付款方式</w:t>
            </w:r>
          </w:p>
        </w:tc>
      </w:tr>
      <w:tr w14:paraId="4CD96DE2">
        <w:tblPrEx>
          <w:tblCellMar>
            <w:top w:w="0" w:type="dxa"/>
            <w:left w:w="108" w:type="dxa"/>
            <w:bottom w:w="0" w:type="dxa"/>
            <w:right w:w="108" w:type="dxa"/>
          </w:tblCellMar>
        </w:tblPrEx>
        <w:tc>
          <w:tcPr>
            <w:tcW w:w="974" w:type="pct"/>
            <w:tcBorders>
              <w:top w:val="nil"/>
              <w:left w:val="single" w:color="auto" w:sz="8" w:space="0"/>
              <w:bottom w:val="single" w:color="auto" w:sz="8" w:space="0"/>
              <w:right w:val="single" w:color="auto" w:sz="8" w:space="0"/>
            </w:tcBorders>
            <w:shd w:val="clear" w:color="auto" w:fill="auto"/>
            <w:vAlign w:val="center"/>
          </w:tcPr>
          <w:p w14:paraId="14B4F466">
            <w:pPr>
              <w:widowControl/>
              <w:jc w:val="left"/>
              <w:rPr>
                <w:color w:val="000000"/>
                <w:kern w:val="0"/>
                <w:szCs w:val="21"/>
              </w:rPr>
            </w:pPr>
            <w:r>
              <w:rPr>
                <w:color w:val="000000"/>
                <w:kern w:val="0"/>
                <w:szCs w:val="21"/>
              </w:rPr>
              <w:t>　</w:t>
            </w:r>
          </w:p>
        </w:tc>
        <w:tc>
          <w:tcPr>
            <w:tcW w:w="1274" w:type="pct"/>
            <w:tcBorders>
              <w:top w:val="nil"/>
              <w:left w:val="nil"/>
              <w:bottom w:val="single" w:color="auto" w:sz="8" w:space="0"/>
              <w:right w:val="single" w:color="auto" w:sz="8" w:space="0"/>
            </w:tcBorders>
            <w:shd w:val="clear" w:color="auto" w:fill="auto"/>
            <w:vAlign w:val="center"/>
          </w:tcPr>
          <w:p w14:paraId="1D35D964">
            <w:pPr>
              <w:widowControl/>
              <w:jc w:val="left"/>
              <w:rPr>
                <w:color w:val="000000"/>
                <w:kern w:val="0"/>
                <w:szCs w:val="21"/>
              </w:rPr>
            </w:pPr>
            <w:r>
              <w:rPr>
                <w:color w:val="000000"/>
                <w:kern w:val="0"/>
                <w:szCs w:val="21"/>
              </w:rPr>
              <w:t>　</w:t>
            </w:r>
          </w:p>
        </w:tc>
        <w:tc>
          <w:tcPr>
            <w:tcW w:w="1457" w:type="pct"/>
            <w:tcBorders>
              <w:top w:val="nil"/>
              <w:left w:val="nil"/>
              <w:bottom w:val="single" w:color="auto" w:sz="8" w:space="0"/>
              <w:right w:val="single" w:color="auto" w:sz="8" w:space="0"/>
            </w:tcBorders>
            <w:shd w:val="clear" w:color="auto" w:fill="auto"/>
            <w:vAlign w:val="center"/>
          </w:tcPr>
          <w:p w14:paraId="6012B5D9">
            <w:pPr>
              <w:widowControl/>
              <w:jc w:val="left"/>
              <w:rPr>
                <w:color w:val="000000"/>
                <w:kern w:val="0"/>
                <w:szCs w:val="21"/>
              </w:rPr>
            </w:pPr>
            <w:r>
              <w:rPr>
                <w:color w:val="000000"/>
                <w:kern w:val="0"/>
                <w:szCs w:val="21"/>
              </w:rPr>
              <w:t>　</w:t>
            </w:r>
          </w:p>
        </w:tc>
        <w:tc>
          <w:tcPr>
            <w:tcW w:w="648" w:type="pct"/>
            <w:tcBorders>
              <w:top w:val="nil"/>
              <w:left w:val="nil"/>
              <w:bottom w:val="single" w:color="auto" w:sz="8" w:space="0"/>
              <w:right w:val="single" w:color="auto" w:sz="8" w:space="0"/>
            </w:tcBorders>
            <w:shd w:val="clear" w:color="auto" w:fill="auto"/>
            <w:vAlign w:val="center"/>
          </w:tcPr>
          <w:p w14:paraId="1FE984E6">
            <w:pPr>
              <w:widowControl/>
              <w:jc w:val="left"/>
              <w:rPr>
                <w:color w:val="000000"/>
                <w:kern w:val="0"/>
                <w:szCs w:val="21"/>
              </w:rPr>
            </w:pPr>
            <w:r>
              <w:rPr>
                <w:color w:val="000000"/>
                <w:kern w:val="0"/>
                <w:szCs w:val="21"/>
              </w:rPr>
              <w:t>　</w:t>
            </w:r>
          </w:p>
        </w:tc>
        <w:tc>
          <w:tcPr>
            <w:tcW w:w="647" w:type="pct"/>
            <w:tcBorders>
              <w:top w:val="nil"/>
              <w:left w:val="nil"/>
              <w:bottom w:val="single" w:color="auto" w:sz="8" w:space="0"/>
              <w:right w:val="single" w:color="auto" w:sz="8" w:space="0"/>
            </w:tcBorders>
            <w:shd w:val="clear" w:color="auto" w:fill="auto"/>
            <w:vAlign w:val="center"/>
          </w:tcPr>
          <w:p w14:paraId="7E34A40D">
            <w:pPr>
              <w:widowControl/>
              <w:jc w:val="left"/>
              <w:rPr>
                <w:color w:val="000000"/>
                <w:kern w:val="0"/>
                <w:szCs w:val="21"/>
              </w:rPr>
            </w:pPr>
            <w:r>
              <w:rPr>
                <w:color w:val="000000"/>
                <w:kern w:val="0"/>
                <w:szCs w:val="21"/>
              </w:rPr>
              <w:t>　</w:t>
            </w:r>
          </w:p>
        </w:tc>
      </w:tr>
      <w:tr w14:paraId="6750D962">
        <w:tblPrEx>
          <w:tblCellMar>
            <w:top w:w="0" w:type="dxa"/>
            <w:left w:w="108" w:type="dxa"/>
            <w:bottom w:w="0" w:type="dxa"/>
            <w:right w:w="108" w:type="dxa"/>
          </w:tblCellMar>
        </w:tblPrEx>
        <w:tc>
          <w:tcPr>
            <w:tcW w:w="5000" w:type="pct"/>
            <w:gridSpan w:val="5"/>
            <w:tcBorders>
              <w:top w:val="single" w:color="auto" w:sz="8" w:space="0"/>
              <w:left w:val="single" w:color="auto" w:sz="8" w:space="0"/>
              <w:bottom w:val="single" w:color="auto" w:sz="8" w:space="0"/>
              <w:right w:val="single" w:color="000000" w:sz="8" w:space="0"/>
            </w:tcBorders>
            <w:shd w:val="clear" w:color="auto" w:fill="auto"/>
            <w:vAlign w:val="center"/>
          </w:tcPr>
          <w:p w14:paraId="45198F87">
            <w:pPr>
              <w:widowControl/>
              <w:jc w:val="left"/>
              <w:rPr>
                <w:color w:val="000000"/>
                <w:kern w:val="0"/>
                <w:szCs w:val="21"/>
              </w:rPr>
            </w:pPr>
            <w:r>
              <w:rPr>
                <w:color w:val="000000"/>
                <w:kern w:val="0"/>
                <w:szCs w:val="21"/>
              </w:rPr>
              <w:t>（五）投标保证金和履约保证金</w:t>
            </w:r>
          </w:p>
        </w:tc>
      </w:tr>
      <w:tr w14:paraId="09792869">
        <w:tblPrEx>
          <w:tblCellMar>
            <w:top w:w="0" w:type="dxa"/>
            <w:left w:w="108" w:type="dxa"/>
            <w:bottom w:w="0" w:type="dxa"/>
            <w:right w:w="108" w:type="dxa"/>
          </w:tblCellMar>
        </w:tblPrEx>
        <w:tc>
          <w:tcPr>
            <w:tcW w:w="974" w:type="pct"/>
            <w:tcBorders>
              <w:top w:val="nil"/>
              <w:left w:val="single" w:color="auto" w:sz="8" w:space="0"/>
              <w:bottom w:val="single" w:color="auto" w:sz="8" w:space="0"/>
              <w:right w:val="single" w:color="auto" w:sz="8" w:space="0"/>
            </w:tcBorders>
            <w:shd w:val="clear" w:color="auto" w:fill="auto"/>
            <w:vAlign w:val="center"/>
          </w:tcPr>
          <w:p w14:paraId="5E217B4E">
            <w:pPr>
              <w:widowControl/>
              <w:jc w:val="left"/>
              <w:rPr>
                <w:color w:val="000000"/>
                <w:kern w:val="0"/>
                <w:szCs w:val="21"/>
              </w:rPr>
            </w:pPr>
            <w:r>
              <w:rPr>
                <w:color w:val="000000"/>
                <w:kern w:val="0"/>
                <w:szCs w:val="21"/>
              </w:rPr>
              <w:t>　</w:t>
            </w:r>
          </w:p>
        </w:tc>
        <w:tc>
          <w:tcPr>
            <w:tcW w:w="1274" w:type="pct"/>
            <w:tcBorders>
              <w:top w:val="nil"/>
              <w:left w:val="nil"/>
              <w:bottom w:val="single" w:color="auto" w:sz="8" w:space="0"/>
              <w:right w:val="single" w:color="auto" w:sz="8" w:space="0"/>
            </w:tcBorders>
            <w:shd w:val="clear" w:color="auto" w:fill="auto"/>
            <w:vAlign w:val="center"/>
          </w:tcPr>
          <w:p w14:paraId="4E2B8987">
            <w:pPr>
              <w:widowControl/>
              <w:jc w:val="left"/>
              <w:rPr>
                <w:color w:val="000000"/>
                <w:kern w:val="0"/>
                <w:szCs w:val="21"/>
              </w:rPr>
            </w:pPr>
            <w:r>
              <w:rPr>
                <w:color w:val="000000"/>
                <w:kern w:val="0"/>
                <w:szCs w:val="21"/>
              </w:rPr>
              <w:t>　</w:t>
            </w:r>
          </w:p>
        </w:tc>
        <w:tc>
          <w:tcPr>
            <w:tcW w:w="1457" w:type="pct"/>
            <w:tcBorders>
              <w:top w:val="nil"/>
              <w:left w:val="nil"/>
              <w:bottom w:val="single" w:color="auto" w:sz="8" w:space="0"/>
              <w:right w:val="single" w:color="auto" w:sz="8" w:space="0"/>
            </w:tcBorders>
            <w:shd w:val="clear" w:color="auto" w:fill="auto"/>
            <w:vAlign w:val="center"/>
          </w:tcPr>
          <w:p w14:paraId="6164B1C5">
            <w:pPr>
              <w:widowControl/>
              <w:jc w:val="left"/>
              <w:rPr>
                <w:color w:val="000000"/>
                <w:kern w:val="0"/>
                <w:szCs w:val="21"/>
              </w:rPr>
            </w:pPr>
            <w:r>
              <w:rPr>
                <w:color w:val="000000"/>
                <w:kern w:val="0"/>
                <w:szCs w:val="21"/>
              </w:rPr>
              <w:t>　</w:t>
            </w:r>
          </w:p>
        </w:tc>
        <w:tc>
          <w:tcPr>
            <w:tcW w:w="648" w:type="pct"/>
            <w:tcBorders>
              <w:top w:val="nil"/>
              <w:left w:val="nil"/>
              <w:bottom w:val="single" w:color="auto" w:sz="8" w:space="0"/>
              <w:right w:val="single" w:color="auto" w:sz="8" w:space="0"/>
            </w:tcBorders>
            <w:shd w:val="clear" w:color="auto" w:fill="auto"/>
            <w:vAlign w:val="center"/>
          </w:tcPr>
          <w:p w14:paraId="67ADF30E">
            <w:pPr>
              <w:widowControl/>
              <w:jc w:val="left"/>
              <w:rPr>
                <w:color w:val="000000"/>
                <w:kern w:val="0"/>
                <w:szCs w:val="21"/>
              </w:rPr>
            </w:pPr>
            <w:r>
              <w:rPr>
                <w:color w:val="000000"/>
                <w:kern w:val="0"/>
                <w:szCs w:val="21"/>
              </w:rPr>
              <w:t>　</w:t>
            </w:r>
          </w:p>
        </w:tc>
        <w:tc>
          <w:tcPr>
            <w:tcW w:w="647" w:type="pct"/>
            <w:tcBorders>
              <w:top w:val="nil"/>
              <w:left w:val="nil"/>
              <w:bottom w:val="single" w:color="auto" w:sz="8" w:space="0"/>
              <w:right w:val="single" w:color="auto" w:sz="8" w:space="0"/>
            </w:tcBorders>
            <w:shd w:val="clear" w:color="auto" w:fill="auto"/>
            <w:vAlign w:val="center"/>
          </w:tcPr>
          <w:p w14:paraId="7926E3B6">
            <w:pPr>
              <w:widowControl/>
              <w:jc w:val="left"/>
              <w:rPr>
                <w:color w:val="000000"/>
                <w:kern w:val="0"/>
                <w:szCs w:val="21"/>
              </w:rPr>
            </w:pPr>
            <w:r>
              <w:rPr>
                <w:color w:val="000000"/>
                <w:kern w:val="0"/>
                <w:szCs w:val="21"/>
              </w:rPr>
              <w:t>　</w:t>
            </w:r>
          </w:p>
        </w:tc>
      </w:tr>
    </w:tbl>
    <w:p w14:paraId="75D7C446">
      <w:pPr>
        <w:spacing w:line="620" w:lineRule="exact"/>
        <w:rPr>
          <w:sz w:val="24"/>
        </w:rPr>
      </w:pPr>
      <w:r>
        <w:rPr>
          <w:sz w:val="24"/>
        </w:rPr>
        <w:t>注：</w:t>
      </w:r>
    </w:p>
    <w:p w14:paraId="51193F4C">
      <w:pPr>
        <w:spacing w:line="360" w:lineRule="auto"/>
        <w:rPr>
          <w:sz w:val="24"/>
        </w:rPr>
      </w:pPr>
      <w:r>
        <w:rPr>
          <w:sz w:val="24"/>
        </w:rPr>
        <w:t>1. 不如实填写偏离情况的投标文件将视为虚假材料。</w:t>
      </w:r>
    </w:p>
    <w:p w14:paraId="507E4510">
      <w:pPr>
        <w:spacing w:line="360" w:lineRule="auto"/>
        <w:rPr>
          <w:sz w:val="24"/>
        </w:rPr>
      </w:pPr>
      <w:r>
        <w:rPr>
          <w:sz w:val="24"/>
        </w:rPr>
        <w:t>2. 招标要求指招标文件中规定的具体要求，投标应答指投标文件的具体内容。</w:t>
      </w:r>
    </w:p>
    <w:p w14:paraId="4D303256">
      <w:pPr>
        <w:spacing w:line="360" w:lineRule="auto"/>
        <w:rPr>
          <w:sz w:val="24"/>
        </w:rPr>
      </w:pPr>
      <w:r>
        <w:rPr>
          <w:rFonts w:hint="eastAsia"/>
          <w:sz w:val="24"/>
        </w:rPr>
        <w:t>3</w:t>
      </w:r>
      <w:r>
        <w:rPr>
          <w:sz w:val="24"/>
        </w:rPr>
        <w:t>. 偏离说明指招标要求与投标应答之间的不同之处。</w:t>
      </w:r>
    </w:p>
    <w:p w14:paraId="738D1477">
      <w:pPr>
        <w:spacing w:line="360" w:lineRule="auto"/>
        <w:rPr>
          <w:sz w:val="24"/>
        </w:rPr>
      </w:pPr>
    </w:p>
    <w:p w14:paraId="6F381C02">
      <w:pPr>
        <w:spacing w:line="360" w:lineRule="auto"/>
        <w:ind w:firstLine="3808" w:firstLineChars="1700"/>
        <w:rPr>
          <w:sz w:val="24"/>
        </w:rPr>
      </w:pPr>
      <w:r>
        <w:rPr>
          <w:sz w:val="24"/>
        </w:rPr>
        <w:t>投标人名称：</w:t>
      </w:r>
    </w:p>
    <w:p w14:paraId="00730F04">
      <w:pPr>
        <w:spacing w:line="360" w:lineRule="auto"/>
        <w:ind w:firstLine="3808" w:firstLineChars="1700"/>
        <w:rPr>
          <w:sz w:val="24"/>
        </w:rPr>
      </w:pPr>
    </w:p>
    <w:p w14:paraId="32A72E01">
      <w:pPr>
        <w:spacing w:line="360" w:lineRule="auto"/>
        <w:ind w:firstLine="3808" w:firstLineChars="1700"/>
        <w:rPr>
          <w:sz w:val="24"/>
        </w:rPr>
      </w:pPr>
      <w:r>
        <w:rPr>
          <w:sz w:val="24"/>
        </w:rPr>
        <w:t>日期：年月日</w:t>
      </w:r>
    </w:p>
    <w:p w14:paraId="246756B8">
      <w:pPr>
        <w:spacing w:line="360" w:lineRule="auto"/>
        <w:ind w:right="84" w:firstLine="224" w:firstLineChars="100"/>
        <w:rPr>
          <w:b/>
          <w:sz w:val="24"/>
        </w:rPr>
      </w:pPr>
      <w:r>
        <w:rPr>
          <w:b/>
          <w:sz w:val="24"/>
        </w:rPr>
        <w:br w:type="page"/>
      </w:r>
    </w:p>
    <w:p w14:paraId="1E299A87">
      <w:pPr>
        <w:tabs>
          <w:tab w:val="left" w:pos="360"/>
        </w:tabs>
        <w:spacing w:after="285" w:afterLines="100" w:line="360" w:lineRule="auto"/>
        <w:rPr>
          <w:b/>
          <w:sz w:val="24"/>
        </w:rPr>
      </w:pPr>
      <w:r>
        <w:rPr>
          <w:b/>
          <w:sz w:val="24"/>
        </w:rPr>
        <w:t>附件</w:t>
      </w:r>
      <w:r>
        <w:rPr>
          <w:rFonts w:hint="eastAsia"/>
          <w:b/>
          <w:sz w:val="24"/>
        </w:rPr>
        <w:t>6</w:t>
      </w:r>
    </w:p>
    <w:p w14:paraId="469848BA">
      <w:pPr>
        <w:autoSpaceDN w:val="0"/>
        <w:spacing w:line="360" w:lineRule="auto"/>
        <w:jc w:val="center"/>
        <w:rPr>
          <w:b/>
          <w:bCs/>
          <w:sz w:val="24"/>
        </w:rPr>
      </w:pPr>
      <w:r>
        <w:rPr>
          <w:b/>
          <w:bCs/>
          <w:sz w:val="24"/>
        </w:rPr>
        <w:t>技术要求点对点应答表</w:t>
      </w:r>
    </w:p>
    <w:p w14:paraId="7A34AA5A">
      <w:pPr>
        <w:spacing w:line="460" w:lineRule="exact"/>
        <w:rPr>
          <w:sz w:val="24"/>
        </w:rPr>
      </w:pPr>
    </w:p>
    <w:p w14:paraId="36A2F066">
      <w:pPr>
        <w:spacing w:line="460" w:lineRule="exact"/>
        <w:rPr>
          <w:sz w:val="24"/>
        </w:rPr>
      </w:pPr>
      <w:r>
        <w:rPr>
          <w:sz w:val="24"/>
        </w:rPr>
        <w:t>项目名称：</w:t>
      </w:r>
    </w:p>
    <w:p w14:paraId="29AC6170">
      <w:pPr>
        <w:spacing w:line="460" w:lineRule="exact"/>
        <w:rPr>
          <w:sz w:val="24"/>
        </w:rPr>
      </w:pPr>
      <w:r>
        <w:rPr>
          <w:sz w:val="24"/>
        </w:rPr>
        <w:t>项目编号：</w:t>
      </w:r>
    </w:p>
    <w:p w14:paraId="5DB6AFF1">
      <w:pPr>
        <w:spacing w:line="460" w:lineRule="exact"/>
        <w:rPr>
          <w:sz w:val="24"/>
          <w:u w:val="single"/>
        </w:rPr>
      </w:pPr>
      <w:r>
        <w:rPr>
          <w:sz w:val="24"/>
        </w:rPr>
        <w:t>包号：</w:t>
      </w:r>
    </w:p>
    <w:p w14:paraId="3418A81C">
      <w:pPr>
        <w:spacing w:line="460" w:lineRule="exact"/>
        <w:rPr>
          <w:sz w:val="24"/>
          <w:u w:val="single"/>
        </w:rPr>
      </w:pPr>
    </w:p>
    <w:tbl>
      <w:tblPr>
        <w:tblStyle w:val="19"/>
        <w:tblW w:w="93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3"/>
        <w:gridCol w:w="3922"/>
        <w:gridCol w:w="2438"/>
        <w:gridCol w:w="1289"/>
        <w:gridCol w:w="843"/>
      </w:tblGrid>
      <w:tr w14:paraId="436F6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843" w:type="dxa"/>
            <w:shd w:val="clear" w:color="auto" w:fill="auto"/>
            <w:vAlign w:val="center"/>
          </w:tcPr>
          <w:p w14:paraId="740B5F43">
            <w:pPr>
              <w:widowControl/>
              <w:snapToGrid w:val="0"/>
              <w:jc w:val="center"/>
              <w:rPr>
                <w:kern w:val="0"/>
                <w:sz w:val="24"/>
                <w:szCs w:val="21"/>
              </w:rPr>
            </w:pPr>
            <w:r>
              <w:rPr>
                <w:kern w:val="0"/>
                <w:sz w:val="24"/>
                <w:szCs w:val="21"/>
              </w:rPr>
              <w:t>序号</w:t>
            </w:r>
          </w:p>
        </w:tc>
        <w:tc>
          <w:tcPr>
            <w:tcW w:w="3922" w:type="dxa"/>
            <w:shd w:val="clear" w:color="auto" w:fill="auto"/>
            <w:vAlign w:val="center"/>
          </w:tcPr>
          <w:p w14:paraId="4B091811">
            <w:pPr>
              <w:widowControl/>
              <w:snapToGrid w:val="0"/>
              <w:jc w:val="center"/>
              <w:rPr>
                <w:kern w:val="0"/>
                <w:sz w:val="24"/>
                <w:szCs w:val="21"/>
              </w:rPr>
            </w:pPr>
            <w:r>
              <w:rPr>
                <w:kern w:val="0"/>
                <w:sz w:val="24"/>
                <w:szCs w:val="21"/>
              </w:rPr>
              <w:t>招标要求</w:t>
            </w:r>
          </w:p>
        </w:tc>
        <w:tc>
          <w:tcPr>
            <w:tcW w:w="2438" w:type="dxa"/>
            <w:shd w:val="clear" w:color="auto" w:fill="auto"/>
            <w:vAlign w:val="center"/>
          </w:tcPr>
          <w:p w14:paraId="682CC6CF">
            <w:pPr>
              <w:widowControl/>
              <w:snapToGrid w:val="0"/>
              <w:jc w:val="center"/>
              <w:rPr>
                <w:kern w:val="0"/>
                <w:sz w:val="24"/>
                <w:szCs w:val="21"/>
              </w:rPr>
            </w:pPr>
            <w:r>
              <w:rPr>
                <w:kern w:val="0"/>
                <w:sz w:val="24"/>
                <w:szCs w:val="21"/>
              </w:rPr>
              <w:t>投标应答</w:t>
            </w:r>
          </w:p>
        </w:tc>
        <w:tc>
          <w:tcPr>
            <w:tcW w:w="1289" w:type="dxa"/>
            <w:shd w:val="clear" w:color="auto" w:fill="auto"/>
            <w:vAlign w:val="center"/>
          </w:tcPr>
          <w:p w14:paraId="7AC166E5">
            <w:pPr>
              <w:widowControl/>
              <w:snapToGrid w:val="0"/>
              <w:jc w:val="center"/>
              <w:rPr>
                <w:kern w:val="0"/>
                <w:sz w:val="24"/>
                <w:szCs w:val="21"/>
              </w:rPr>
            </w:pPr>
            <w:r>
              <w:rPr>
                <w:kern w:val="0"/>
                <w:sz w:val="24"/>
                <w:szCs w:val="21"/>
              </w:rPr>
              <w:t>偏离说明</w:t>
            </w:r>
          </w:p>
        </w:tc>
        <w:tc>
          <w:tcPr>
            <w:tcW w:w="843" w:type="dxa"/>
            <w:shd w:val="clear" w:color="auto" w:fill="auto"/>
            <w:vAlign w:val="center"/>
          </w:tcPr>
          <w:p w14:paraId="1CEE907A">
            <w:pPr>
              <w:widowControl/>
              <w:snapToGrid w:val="0"/>
              <w:jc w:val="center"/>
              <w:rPr>
                <w:kern w:val="0"/>
                <w:sz w:val="24"/>
                <w:szCs w:val="21"/>
              </w:rPr>
            </w:pPr>
            <w:r>
              <w:rPr>
                <w:kern w:val="0"/>
                <w:sz w:val="24"/>
                <w:szCs w:val="21"/>
              </w:rPr>
              <w:t>备注</w:t>
            </w:r>
          </w:p>
        </w:tc>
      </w:tr>
      <w:tr w14:paraId="0B253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2466687B">
            <w:pPr>
              <w:widowControl/>
              <w:snapToGrid w:val="0"/>
              <w:jc w:val="center"/>
              <w:rPr>
                <w:kern w:val="0"/>
                <w:sz w:val="24"/>
                <w:szCs w:val="21"/>
              </w:rPr>
            </w:pPr>
            <w:r>
              <w:rPr>
                <w:kern w:val="0"/>
                <w:sz w:val="24"/>
                <w:szCs w:val="21"/>
              </w:rPr>
              <w:t>1</w:t>
            </w:r>
          </w:p>
        </w:tc>
        <w:tc>
          <w:tcPr>
            <w:tcW w:w="3922" w:type="dxa"/>
            <w:shd w:val="clear" w:color="auto" w:fill="auto"/>
            <w:vAlign w:val="center"/>
          </w:tcPr>
          <w:p w14:paraId="1F81DDFF">
            <w:pPr>
              <w:widowControl/>
              <w:snapToGrid w:val="0"/>
              <w:jc w:val="left"/>
              <w:rPr>
                <w:kern w:val="0"/>
                <w:sz w:val="24"/>
                <w:szCs w:val="21"/>
              </w:rPr>
            </w:pPr>
            <w:r>
              <w:rPr>
                <w:kern w:val="0"/>
                <w:sz w:val="24"/>
                <w:szCs w:val="21"/>
              </w:rPr>
              <w:t>（一）</w:t>
            </w:r>
            <w:r>
              <w:rPr>
                <w:sz w:val="24"/>
              </w:rPr>
              <w:t>投标人须承诺所提供的服务、人员及设备符合相关强制性规定</w:t>
            </w:r>
          </w:p>
        </w:tc>
        <w:tc>
          <w:tcPr>
            <w:tcW w:w="2438" w:type="dxa"/>
            <w:shd w:val="clear" w:color="auto" w:fill="auto"/>
            <w:vAlign w:val="center"/>
          </w:tcPr>
          <w:p w14:paraId="4DB23DB2">
            <w:pPr>
              <w:widowControl/>
              <w:snapToGrid w:val="0"/>
              <w:jc w:val="center"/>
              <w:rPr>
                <w:kern w:val="0"/>
                <w:sz w:val="24"/>
                <w:szCs w:val="21"/>
              </w:rPr>
            </w:pPr>
          </w:p>
        </w:tc>
        <w:tc>
          <w:tcPr>
            <w:tcW w:w="1289" w:type="dxa"/>
            <w:shd w:val="clear" w:color="auto" w:fill="auto"/>
            <w:vAlign w:val="center"/>
          </w:tcPr>
          <w:p w14:paraId="720FC01D">
            <w:pPr>
              <w:widowControl/>
              <w:snapToGrid w:val="0"/>
              <w:jc w:val="center"/>
              <w:rPr>
                <w:kern w:val="0"/>
                <w:sz w:val="24"/>
                <w:szCs w:val="21"/>
              </w:rPr>
            </w:pPr>
          </w:p>
        </w:tc>
        <w:tc>
          <w:tcPr>
            <w:tcW w:w="843" w:type="dxa"/>
            <w:shd w:val="clear" w:color="auto" w:fill="auto"/>
            <w:vAlign w:val="center"/>
          </w:tcPr>
          <w:p w14:paraId="4873FBEA">
            <w:pPr>
              <w:widowControl/>
              <w:snapToGrid w:val="0"/>
              <w:jc w:val="center"/>
              <w:rPr>
                <w:kern w:val="0"/>
                <w:sz w:val="24"/>
                <w:szCs w:val="21"/>
              </w:rPr>
            </w:pPr>
          </w:p>
        </w:tc>
      </w:tr>
      <w:tr w14:paraId="3C720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35" w:type="dxa"/>
            <w:gridSpan w:val="5"/>
            <w:shd w:val="clear" w:color="auto" w:fill="auto"/>
            <w:vAlign w:val="center"/>
          </w:tcPr>
          <w:p w14:paraId="5E79530D">
            <w:pPr>
              <w:widowControl/>
              <w:snapToGrid w:val="0"/>
              <w:ind w:firstLine="336" w:firstLineChars="150"/>
              <w:rPr>
                <w:kern w:val="0"/>
                <w:sz w:val="24"/>
                <w:szCs w:val="21"/>
              </w:rPr>
            </w:pPr>
            <w:r>
              <w:rPr>
                <w:kern w:val="0"/>
                <w:sz w:val="24"/>
                <w:szCs w:val="21"/>
              </w:rPr>
              <w:t>2. 项目需求书要求</w:t>
            </w:r>
          </w:p>
        </w:tc>
      </w:tr>
      <w:tr w14:paraId="23151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55650255">
            <w:pPr>
              <w:widowControl/>
              <w:snapToGrid w:val="0"/>
              <w:jc w:val="center"/>
              <w:rPr>
                <w:kern w:val="0"/>
                <w:sz w:val="24"/>
                <w:szCs w:val="21"/>
              </w:rPr>
            </w:pPr>
            <w:r>
              <w:rPr>
                <w:kern w:val="0"/>
                <w:sz w:val="24"/>
                <w:szCs w:val="21"/>
              </w:rPr>
              <w:t>序号</w:t>
            </w:r>
          </w:p>
        </w:tc>
        <w:tc>
          <w:tcPr>
            <w:tcW w:w="3922" w:type="dxa"/>
            <w:shd w:val="clear" w:color="auto" w:fill="auto"/>
            <w:vAlign w:val="center"/>
          </w:tcPr>
          <w:p w14:paraId="1FC26574">
            <w:pPr>
              <w:widowControl/>
              <w:snapToGrid w:val="0"/>
              <w:jc w:val="center"/>
              <w:rPr>
                <w:kern w:val="0"/>
                <w:sz w:val="24"/>
                <w:szCs w:val="21"/>
              </w:rPr>
            </w:pPr>
            <w:r>
              <w:rPr>
                <w:kern w:val="0"/>
                <w:sz w:val="24"/>
                <w:szCs w:val="21"/>
              </w:rPr>
              <w:t>招标要求</w:t>
            </w:r>
          </w:p>
        </w:tc>
        <w:tc>
          <w:tcPr>
            <w:tcW w:w="2438" w:type="dxa"/>
            <w:shd w:val="clear" w:color="auto" w:fill="auto"/>
            <w:vAlign w:val="center"/>
          </w:tcPr>
          <w:p w14:paraId="0089FC9B">
            <w:pPr>
              <w:widowControl/>
              <w:snapToGrid w:val="0"/>
              <w:jc w:val="center"/>
              <w:rPr>
                <w:kern w:val="0"/>
                <w:sz w:val="24"/>
                <w:szCs w:val="21"/>
              </w:rPr>
            </w:pPr>
            <w:r>
              <w:rPr>
                <w:kern w:val="0"/>
                <w:sz w:val="24"/>
                <w:szCs w:val="21"/>
              </w:rPr>
              <w:t>投标应答</w:t>
            </w:r>
          </w:p>
        </w:tc>
        <w:tc>
          <w:tcPr>
            <w:tcW w:w="1289" w:type="dxa"/>
            <w:shd w:val="clear" w:color="auto" w:fill="auto"/>
            <w:vAlign w:val="center"/>
          </w:tcPr>
          <w:p w14:paraId="5EC98693">
            <w:pPr>
              <w:widowControl/>
              <w:snapToGrid w:val="0"/>
              <w:jc w:val="center"/>
              <w:rPr>
                <w:kern w:val="0"/>
                <w:sz w:val="24"/>
                <w:szCs w:val="21"/>
              </w:rPr>
            </w:pPr>
            <w:r>
              <w:rPr>
                <w:kern w:val="0"/>
                <w:sz w:val="24"/>
                <w:szCs w:val="21"/>
              </w:rPr>
              <w:t>偏离说明</w:t>
            </w:r>
          </w:p>
        </w:tc>
        <w:tc>
          <w:tcPr>
            <w:tcW w:w="843" w:type="dxa"/>
            <w:shd w:val="clear" w:color="auto" w:fill="auto"/>
            <w:vAlign w:val="center"/>
          </w:tcPr>
          <w:p w14:paraId="7DAE2920">
            <w:pPr>
              <w:widowControl/>
              <w:snapToGrid w:val="0"/>
              <w:jc w:val="center"/>
              <w:rPr>
                <w:kern w:val="0"/>
                <w:sz w:val="24"/>
                <w:szCs w:val="21"/>
              </w:rPr>
            </w:pPr>
            <w:r>
              <w:rPr>
                <w:kern w:val="0"/>
                <w:sz w:val="24"/>
                <w:szCs w:val="21"/>
              </w:rPr>
              <w:t>备注</w:t>
            </w:r>
          </w:p>
        </w:tc>
      </w:tr>
      <w:tr w14:paraId="36633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10E5659A">
            <w:pPr>
              <w:widowControl/>
              <w:snapToGrid w:val="0"/>
              <w:jc w:val="center"/>
              <w:rPr>
                <w:kern w:val="0"/>
                <w:sz w:val="24"/>
                <w:szCs w:val="21"/>
              </w:rPr>
            </w:pPr>
          </w:p>
        </w:tc>
        <w:tc>
          <w:tcPr>
            <w:tcW w:w="3922" w:type="dxa"/>
            <w:shd w:val="clear" w:color="auto" w:fill="auto"/>
            <w:vAlign w:val="center"/>
          </w:tcPr>
          <w:p w14:paraId="5798A7EF">
            <w:pPr>
              <w:widowControl/>
              <w:snapToGrid w:val="0"/>
              <w:jc w:val="center"/>
              <w:rPr>
                <w:kern w:val="0"/>
                <w:sz w:val="24"/>
                <w:szCs w:val="21"/>
              </w:rPr>
            </w:pPr>
          </w:p>
        </w:tc>
        <w:tc>
          <w:tcPr>
            <w:tcW w:w="2438" w:type="dxa"/>
            <w:shd w:val="clear" w:color="auto" w:fill="auto"/>
            <w:vAlign w:val="center"/>
          </w:tcPr>
          <w:p w14:paraId="35C0B423">
            <w:pPr>
              <w:widowControl/>
              <w:snapToGrid w:val="0"/>
              <w:jc w:val="center"/>
              <w:rPr>
                <w:kern w:val="0"/>
                <w:sz w:val="24"/>
                <w:szCs w:val="21"/>
              </w:rPr>
            </w:pPr>
          </w:p>
        </w:tc>
        <w:tc>
          <w:tcPr>
            <w:tcW w:w="1289" w:type="dxa"/>
            <w:shd w:val="clear" w:color="auto" w:fill="auto"/>
            <w:vAlign w:val="center"/>
          </w:tcPr>
          <w:p w14:paraId="6B8A2679">
            <w:pPr>
              <w:widowControl/>
              <w:snapToGrid w:val="0"/>
              <w:jc w:val="center"/>
              <w:rPr>
                <w:kern w:val="0"/>
                <w:sz w:val="24"/>
                <w:szCs w:val="21"/>
              </w:rPr>
            </w:pPr>
          </w:p>
        </w:tc>
        <w:tc>
          <w:tcPr>
            <w:tcW w:w="843" w:type="dxa"/>
            <w:shd w:val="clear" w:color="auto" w:fill="auto"/>
            <w:vAlign w:val="center"/>
          </w:tcPr>
          <w:p w14:paraId="54AD50CA">
            <w:pPr>
              <w:widowControl/>
              <w:snapToGrid w:val="0"/>
              <w:jc w:val="center"/>
              <w:rPr>
                <w:kern w:val="0"/>
                <w:sz w:val="24"/>
                <w:szCs w:val="21"/>
              </w:rPr>
            </w:pPr>
          </w:p>
        </w:tc>
      </w:tr>
      <w:tr w14:paraId="79E2A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5FB4DF5F">
            <w:pPr>
              <w:widowControl/>
              <w:snapToGrid w:val="0"/>
              <w:jc w:val="center"/>
              <w:rPr>
                <w:kern w:val="0"/>
                <w:sz w:val="24"/>
                <w:szCs w:val="21"/>
              </w:rPr>
            </w:pPr>
          </w:p>
        </w:tc>
        <w:tc>
          <w:tcPr>
            <w:tcW w:w="3922" w:type="dxa"/>
            <w:shd w:val="clear" w:color="auto" w:fill="auto"/>
            <w:vAlign w:val="center"/>
          </w:tcPr>
          <w:p w14:paraId="4CC4F6FC">
            <w:pPr>
              <w:widowControl/>
              <w:snapToGrid w:val="0"/>
              <w:jc w:val="center"/>
              <w:rPr>
                <w:kern w:val="0"/>
                <w:sz w:val="24"/>
                <w:szCs w:val="21"/>
              </w:rPr>
            </w:pPr>
          </w:p>
        </w:tc>
        <w:tc>
          <w:tcPr>
            <w:tcW w:w="2438" w:type="dxa"/>
            <w:shd w:val="clear" w:color="auto" w:fill="auto"/>
            <w:vAlign w:val="center"/>
          </w:tcPr>
          <w:p w14:paraId="28C5F380">
            <w:pPr>
              <w:widowControl/>
              <w:snapToGrid w:val="0"/>
              <w:jc w:val="center"/>
              <w:rPr>
                <w:kern w:val="0"/>
                <w:sz w:val="24"/>
                <w:szCs w:val="21"/>
              </w:rPr>
            </w:pPr>
          </w:p>
        </w:tc>
        <w:tc>
          <w:tcPr>
            <w:tcW w:w="1289" w:type="dxa"/>
            <w:shd w:val="clear" w:color="auto" w:fill="auto"/>
            <w:vAlign w:val="center"/>
          </w:tcPr>
          <w:p w14:paraId="5F0DFDD0">
            <w:pPr>
              <w:widowControl/>
              <w:snapToGrid w:val="0"/>
              <w:jc w:val="center"/>
              <w:rPr>
                <w:kern w:val="0"/>
                <w:sz w:val="24"/>
                <w:szCs w:val="21"/>
              </w:rPr>
            </w:pPr>
          </w:p>
        </w:tc>
        <w:tc>
          <w:tcPr>
            <w:tcW w:w="843" w:type="dxa"/>
            <w:shd w:val="clear" w:color="auto" w:fill="auto"/>
            <w:vAlign w:val="center"/>
          </w:tcPr>
          <w:p w14:paraId="06FC671D">
            <w:pPr>
              <w:widowControl/>
              <w:snapToGrid w:val="0"/>
              <w:jc w:val="center"/>
              <w:rPr>
                <w:kern w:val="0"/>
                <w:sz w:val="24"/>
                <w:szCs w:val="21"/>
              </w:rPr>
            </w:pPr>
          </w:p>
        </w:tc>
      </w:tr>
      <w:tr w14:paraId="3D357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7D66A33E">
            <w:pPr>
              <w:widowControl/>
              <w:snapToGrid w:val="0"/>
              <w:jc w:val="center"/>
              <w:rPr>
                <w:kern w:val="0"/>
                <w:sz w:val="24"/>
                <w:szCs w:val="21"/>
              </w:rPr>
            </w:pPr>
          </w:p>
        </w:tc>
        <w:tc>
          <w:tcPr>
            <w:tcW w:w="3922" w:type="dxa"/>
            <w:shd w:val="clear" w:color="auto" w:fill="auto"/>
            <w:vAlign w:val="center"/>
          </w:tcPr>
          <w:p w14:paraId="7D22EBEC">
            <w:pPr>
              <w:widowControl/>
              <w:snapToGrid w:val="0"/>
              <w:jc w:val="center"/>
              <w:rPr>
                <w:kern w:val="0"/>
                <w:sz w:val="24"/>
                <w:szCs w:val="21"/>
              </w:rPr>
            </w:pPr>
          </w:p>
        </w:tc>
        <w:tc>
          <w:tcPr>
            <w:tcW w:w="2438" w:type="dxa"/>
            <w:shd w:val="clear" w:color="auto" w:fill="auto"/>
            <w:vAlign w:val="center"/>
          </w:tcPr>
          <w:p w14:paraId="14E08767">
            <w:pPr>
              <w:widowControl/>
              <w:snapToGrid w:val="0"/>
              <w:jc w:val="center"/>
              <w:rPr>
                <w:kern w:val="0"/>
                <w:sz w:val="24"/>
                <w:szCs w:val="21"/>
              </w:rPr>
            </w:pPr>
          </w:p>
        </w:tc>
        <w:tc>
          <w:tcPr>
            <w:tcW w:w="1289" w:type="dxa"/>
            <w:shd w:val="clear" w:color="auto" w:fill="auto"/>
            <w:vAlign w:val="center"/>
          </w:tcPr>
          <w:p w14:paraId="3351FB35">
            <w:pPr>
              <w:widowControl/>
              <w:snapToGrid w:val="0"/>
              <w:jc w:val="center"/>
              <w:rPr>
                <w:kern w:val="0"/>
                <w:sz w:val="24"/>
                <w:szCs w:val="21"/>
              </w:rPr>
            </w:pPr>
          </w:p>
        </w:tc>
        <w:tc>
          <w:tcPr>
            <w:tcW w:w="843" w:type="dxa"/>
            <w:shd w:val="clear" w:color="auto" w:fill="auto"/>
            <w:vAlign w:val="center"/>
          </w:tcPr>
          <w:p w14:paraId="084F8705">
            <w:pPr>
              <w:widowControl/>
              <w:snapToGrid w:val="0"/>
              <w:jc w:val="center"/>
              <w:rPr>
                <w:kern w:val="0"/>
                <w:sz w:val="24"/>
                <w:szCs w:val="21"/>
              </w:rPr>
            </w:pPr>
          </w:p>
        </w:tc>
      </w:tr>
      <w:tr w14:paraId="207C9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5C881F74">
            <w:pPr>
              <w:widowControl/>
              <w:snapToGrid w:val="0"/>
              <w:jc w:val="center"/>
              <w:rPr>
                <w:kern w:val="0"/>
                <w:sz w:val="24"/>
                <w:szCs w:val="21"/>
              </w:rPr>
            </w:pPr>
          </w:p>
        </w:tc>
        <w:tc>
          <w:tcPr>
            <w:tcW w:w="3922" w:type="dxa"/>
            <w:shd w:val="clear" w:color="auto" w:fill="auto"/>
            <w:vAlign w:val="center"/>
          </w:tcPr>
          <w:p w14:paraId="70A5AE0F">
            <w:pPr>
              <w:widowControl/>
              <w:snapToGrid w:val="0"/>
              <w:jc w:val="center"/>
              <w:rPr>
                <w:kern w:val="0"/>
                <w:sz w:val="24"/>
                <w:szCs w:val="21"/>
              </w:rPr>
            </w:pPr>
          </w:p>
        </w:tc>
        <w:tc>
          <w:tcPr>
            <w:tcW w:w="2438" w:type="dxa"/>
            <w:shd w:val="clear" w:color="auto" w:fill="auto"/>
            <w:vAlign w:val="center"/>
          </w:tcPr>
          <w:p w14:paraId="23E3BDB5">
            <w:pPr>
              <w:widowControl/>
              <w:snapToGrid w:val="0"/>
              <w:jc w:val="center"/>
              <w:rPr>
                <w:kern w:val="0"/>
                <w:sz w:val="24"/>
                <w:szCs w:val="21"/>
              </w:rPr>
            </w:pPr>
          </w:p>
        </w:tc>
        <w:tc>
          <w:tcPr>
            <w:tcW w:w="1289" w:type="dxa"/>
            <w:shd w:val="clear" w:color="auto" w:fill="auto"/>
            <w:vAlign w:val="center"/>
          </w:tcPr>
          <w:p w14:paraId="1DE275A8">
            <w:pPr>
              <w:widowControl/>
              <w:snapToGrid w:val="0"/>
              <w:jc w:val="center"/>
              <w:rPr>
                <w:kern w:val="0"/>
                <w:sz w:val="24"/>
                <w:szCs w:val="21"/>
              </w:rPr>
            </w:pPr>
          </w:p>
        </w:tc>
        <w:tc>
          <w:tcPr>
            <w:tcW w:w="843" w:type="dxa"/>
            <w:shd w:val="clear" w:color="auto" w:fill="auto"/>
            <w:vAlign w:val="center"/>
          </w:tcPr>
          <w:p w14:paraId="090A0579">
            <w:pPr>
              <w:widowControl/>
              <w:snapToGrid w:val="0"/>
              <w:jc w:val="center"/>
              <w:rPr>
                <w:kern w:val="0"/>
                <w:sz w:val="24"/>
                <w:szCs w:val="21"/>
              </w:rPr>
            </w:pPr>
          </w:p>
        </w:tc>
      </w:tr>
      <w:tr w14:paraId="7D77A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3BAB77DA">
            <w:pPr>
              <w:widowControl/>
              <w:snapToGrid w:val="0"/>
              <w:jc w:val="center"/>
              <w:rPr>
                <w:kern w:val="0"/>
                <w:sz w:val="24"/>
                <w:szCs w:val="21"/>
              </w:rPr>
            </w:pPr>
          </w:p>
        </w:tc>
        <w:tc>
          <w:tcPr>
            <w:tcW w:w="3922" w:type="dxa"/>
            <w:shd w:val="clear" w:color="auto" w:fill="auto"/>
            <w:vAlign w:val="center"/>
          </w:tcPr>
          <w:p w14:paraId="7945DED6">
            <w:pPr>
              <w:widowControl/>
              <w:snapToGrid w:val="0"/>
              <w:jc w:val="center"/>
              <w:rPr>
                <w:kern w:val="0"/>
                <w:sz w:val="24"/>
                <w:szCs w:val="21"/>
              </w:rPr>
            </w:pPr>
          </w:p>
        </w:tc>
        <w:tc>
          <w:tcPr>
            <w:tcW w:w="2438" w:type="dxa"/>
            <w:shd w:val="clear" w:color="auto" w:fill="auto"/>
            <w:vAlign w:val="center"/>
          </w:tcPr>
          <w:p w14:paraId="47ECEBD3">
            <w:pPr>
              <w:widowControl/>
              <w:snapToGrid w:val="0"/>
              <w:jc w:val="center"/>
              <w:rPr>
                <w:kern w:val="0"/>
                <w:sz w:val="24"/>
                <w:szCs w:val="21"/>
              </w:rPr>
            </w:pPr>
          </w:p>
        </w:tc>
        <w:tc>
          <w:tcPr>
            <w:tcW w:w="1289" w:type="dxa"/>
            <w:shd w:val="clear" w:color="auto" w:fill="auto"/>
            <w:vAlign w:val="center"/>
          </w:tcPr>
          <w:p w14:paraId="18587863">
            <w:pPr>
              <w:widowControl/>
              <w:snapToGrid w:val="0"/>
              <w:jc w:val="center"/>
              <w:rPr>
                <w:kern w:val="0"/>
                <w:sz w:val="24"/>
                <w:szCs w:val="21"/>
              </w:rPr>
            </w:pPr>
          </w:p>
        </w:tc>
        <w:tc>
          <w:tcPr>
            <w:tcW w:w="843" w:type="dxa"/>
            <w:shd w:val="clear" w:color="auto" w:fill="auto"/>
            <w:vAlign w:val="center"/>
          </w:tcPr>
          <w:p w14:paraId="36EE54EA">
            <w:pPr>
              <w:widowControl/>
              <w:snapToGrid w:val="0"/>
              <w:jc w:val="center"/>
              <w:rPr>
                <w:kern w:val="0"/>
                <w:sz w:val="24"/>
                <w:szCs w:val="21"/>
              </w:rPr>
            </w:pPr>
          </w:p>
        </w:tc>
      </w:tr>
    </w:tbl>
    <w:p w14:paraId="1CABD11C">
      <w:pPr>
        <w:spacing w:line="620" w:lineRule="exact"/>
        <w:rPr>
          <w:sz w:val="24"/>
        </w:rPr>
      </w:pPr>
      <w:r>
        <w:rPr>
          <w:sz w:val="24"/>
        </w:rPr>
        <w:t>注：</w:t>
      </w:r>
    </w:p>
    <w:p w14:paraId="5857FC9B">
      <w:pPr>
        <w:spacing w:line="360" w:lineRule="auto"/>
        <w:rPr>
          <w:sz w:val="24"/>
        </w:rPr>
      </w:pPr>
      <w:r>
        <w:rPr>
          <w:sz w:val="24"/>
        </w:rPr>
        <w:t>1. 不如实填写偏离情况的投标文件将视为虚假材料。</w:t>
      </w:r>
    </w:p>
    <w:p w14:paraId="6CAC234A">
      <w:pPr>
        <w:spacing w:line="360" w:lineRule="auto"/>
        <w:rPr>
          <w:sz w:val="24"/>
        </w:rPr>
      </w:pPr>
      <w:r>
        <w:rPr>
          <w:sz w:val="24"/>
        </w:rPr>
        <w:t>2. 招标要求指招标文件中规定的具体要求，投标应答指投标文件的具体内容。</w:t>
      </w:r>
    </w:p>
    <w:p w14:paraId="54D589BC">
      <w:pPr>
        <w:spacing w:line="360" w:lineRule="auto"/>
        <w:rPr>
          <w:sz w:val="24"/>
        </w:rPr>
      </w:pPr>
      <w:r>
        <w:rPr>
          <w:sz w:val="24"/>
        </w:rPr>
        <w:t>3. 偏离说明指招标要求与投标应答之间的不同之处。</w:t>
      </w:r>
    </w:p>
    <w:p w14:paraId="684B16CF">
      <w:pPr>
        <w:spacing w:line="360" w:lineRule="auto"/>
        <w:rPr>
          <w:sz w:val="24"/>
        </w:rPr>
      </w:pPr>
      <w:r>
        <w:rPr>
          <w:sz w:val="24"/>
        </w:rPr>
        <w:t>4. 投标人在上表“项目需求书要求”的投标应答中必须列出具体数值或内容。如投标人未应答或只注明“符合”、“满足”等类似无具体内容的表述，将被视为不符合招标文件要求。投标人自行承担由此造成的一切后果。</w:t>
      </w:r>
    </w:p>
    <w:p w14:paraId="442612C4">
      <w:pPr>
        <w:spacing w:line="360" w:lineRule="auto"/>
        <w:rPr>
          <w:sz w:val="24"/>
        </w:rPr>
      </w:pPr>
    </w:p>
    <w:p w14:paraId="5A31250E">
      <w:pPr>
        <w:spacing w:line="360" w:lineRule="auto"/>
        <w:ind w:firstLine="3808" w:firstLineChars="1700"/>
        <w:rPr>
          <w:sz w:val="24"/>
        </w:rPr>
      </w:pPr>
      <w:r>
        <w:rPr>
          <w:sz w:val="24"/>
        </w:rPr>
        <w:t>投标人名称：</w:t>
      </w:r>
    </w:p>
    <w:p w14:paraId="7D8184A4">
      <w:pPr>
        <w:spacing w:line="360" w:lineRule="auto"/>
        <w:ind w:firstLine="3808" w:firstLineChars="1700"/>
        <w:rPr>
          <w:sz w:val="24"/>
        </w:rPr>
      </w:pPr>
    </w:p>
    <w:p w14:paraId="171DB458">
      <w:pPr>
        <w:spacing w:line="360" w:lineRule="auto"/>
        <w:ind w:firstLine="3808" w:firstLineChars="1700"/>
        <w:rPr>
          <w:sz w:val="24"/>
        </w:rPr>
      </w:pPr>
      <w:r>
        <w:rPr>
          <w:sz w:val="24"/>
        </w:rPr>
        <w:t>日期：年月日</w:t>
      </w:r>
    </w:p>
    <w:p w14:paraId="3AC41A3F">
      <w:pPr>
        <w:autoSpaceDE w:val="0"/>
        <w:autoSpaceDN w:val="0"/>
        <w:adjustRightInd w:val="0"/>
        <w:spacing w:line="560" w:lineRule="exact"/>
        <w:jc w:val="left"/>
        <w:rPr>
          <w:kern w:val="0"/>
          <w:sz w:val="24"/>
          <w:u w:val="single"/>
        </w:rPr>
      </w:pPr>
    </w:p>
    <w:p w14:paraId="4CCF5D2E">
      <w:pPr>
        <w:widowControl/>
        <w:jc w:val="left"/>
        <w:rPr>
          <w:b/>
          <w:sz w:val="24"/>
        </w:rPr>
      </w:pPr>
      <w:r>
        <w:rPr>
          <w:b/>
          <w:sz w:val="24"/>
        </w:rPr>
        <w:br w:type="page"/>
      </w:r>
    </w:p>
    <w:p w14:paraId="1A891ACC">
      <w:pPr>
        <w:tabs>
          <w:tab w:val="left" w:pos="360"/>
        </w:tabs>
        <w:spacing w:after="285" w:afterLines="100" w:line="360" w:lineRule="auto"/>
        <w:rPr>
          <w:b/>
          <w:sz w:val="24"/>
        </w:rPr>
      </w:pPr>
      <w:r>
        <w:rPr>
          <w:b/>
          <w:sz w:val="24"/>
        </w:rPr>
        <w:t>附件</w:t>
      </w:r>
      <w:r>
        <w:rPr>
          <w:rFonts w:hint="eastAsia"/>
          <w:b/>
          <w:sz w:val="24"/>
        </w:rPr>
        <w:t>7</w:t>
      </w:r>
    </w:p>
    <w:p w14:paraId="1F9570A6">
      <w:pPr>
        <w:autoSpaceDN w:val="0"/>
        <w:spacing w:line="360" w:lineRule="auto"/>
        <w:jc w:val="center"/>
        <w:rPr>
          <w:b/>
          <w:bCs/>
          <w:sz w:val="24"/>
        </w:rPr>
      </w:pPr>
      <w:r>
        <w:rPr>
          <w:b/>
          <w:sz w:val="24"/>
        </w:rPr>
        <w:t>主要相关项目业绩一览表</w:t>
      </w:r>
    </w:p>
    <w:p w14:paraId="75BDFE53">
      <w:pPr>
        <w:spacing w:line="460" w:lineRule="exact"/>
        <w:ind w:left="192"/>
        <w:rPr>
          <w:sz w:val="24"/>
        </w:rPr>
      </w:pPr>
    </w:p>
    <w:p w14:paraId="450206D7">
      <w:pPr>
        <w:spacing w:line="460" w:lineRule="exact"/>
        <w:rPr>
          <w:sz w:val="24"/>
        </w:rPr>
      </w:pPr>
      <w:r>
        <w:rPr>
          <w:sz w:val="24"/>
        </w:rPr>
        <w:t>项目名称：</w:t>
      </w:r>
    </w:p>
    <w:p w14:paraId="66CBDC2E">
      <w:pPr>
        <w:spacing w:line="460" w:lineRule="exact"/>
        <w:rPr>
          <w:sz w:val="24"/>
        </w:rPr>
      </w:pPr>
      <w:r>
        <w:rPr>
          <w:sz w:val="24"/>
        </w:rPr>
        <w:t>项目编号：</w:t>
      </w:r>
    </w:p>
    <w:p w14:paraId="66960734">
      <w:pPr>
        <w:spacing w:line="460" w:lineRule="exact"/>
        <w:rPr>
          <w:sz w:val="24"/>
          <w:u w:val="single"/>
        </w:rPr>
      </w:pPr>
      <w:r>
        <w:rPr>
          <w:sz w:val="24"/>
        </w:rPr>
        <w:t>包号：</w:t>
      </w:r>
    </w:p>
    <w:p w14:paraId="2304B271">
      <w:pPr>
        <w:spacing w:line="460" w:lineRule="exact"/>
        <w:ind w:left="192"/>
        <w:rPr>
          <w:sz w:val="24"/>
        </w:rPr>
      </w:pPr>
    </w:p>
    <w:tbl>
      <w:tblPr>
        <w:tblStyle w:val="19"/>
        <w:tblW w:w="94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4"/>
        <w:gridCol w:w="1615"/>
        <w:gridCol w:w="1239"/>
        <w:gridCol w:w="1239"/>
        <w:gridCol w:w="2131"/>
        <w:gridCol w:w="1379"/>
        <w:gridCol w:w="1003"/>
      </w:tblGrid>
      <w:tr w14:paraId="1E6A3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5A8A6F9C">
            <w:pPr>
              <w:snapToGrid w:val="0"/>
              <w:jc w:val="center"/>
              <w:rPr>
                <w:sz w:val="24"/>
              </w:rPr>
            </w:pPr>
            <w:r>
              <w:rPr>
                <w:sz w:val="24"/>
              </w:rPr>
              <w:t>序号</w:t>
            </w:r>
          </w:p>
        </w:tc>
        <w:tc>
          <w:tcPr>
            <w:tcW w:w="1615" w:type="dxa"/>
            <w:tcBorders>
              <w:top w:val="single" w:color="auto" w:sz="4" w:space="0"/>
              <w:left w:val="single" w:color="auto" w:sz="4" w:space="0"/>
              <w:bottom w:val="single" w:color="auto" w:sz="4" w:space="0"/>
              <w:right w:val="single" w:color="auto" w:sz="4" w:space="0"/>
            </w:tcBorders>
            <w:vAlign w:val="center"/>
          </w:tcPr>
          <w:p w14:paraId="172F4B52">
            <w:pPr>
              <w:snapToGrid w:val="0"/>
              <w:jc w:val="center"/>
              <w:rPr>
                <w:sz w:val="24"/>
              </w:rPr>
            </w:pPr>
            <w:r>
              <w:rPr>
                <w:sz w:val="24"/>
              </w:rPr>
              <w:t>用户单位名称</w:t>
            </w:r>
          </w:p>
        </w:tc>
        <w:tc>
          <w:tcPr>
            <w:tcW w:w="1239" w:type="dxa"/>
            <w:tcBorders>
              <w:top w:val="single" w:color="auto" w:sz="4" w:space="0"/>
              <w:left w:val="single" w:color="auto" w:sz="4" w:space="0"/>
              <w:bottom w:val="single" w:color="auto" w:sz="4" w:space="0"/>
              <w:right w:val="single" w:color="auto" w:sz="4" w:space="0"/>
            </w:tcBorders>
            <w:vAlign w:val="center"/>
          </w:tcPr>
          <w:p w14:paraId="27AA3715">
            <w:pPr>
              <w:snapToGrid w:val="0"/>
              <w:jc w:val="center"/>
              <w:rPr>
                <w:sz w:val="24"/>
              </w:rPr>
            </w:pPr>
            <w:r>
              <w:rPr>
                <w:sz w:val="24"/>
              </w:rPr>
              <w:t>项目内容</w:t>
            </w:r>
          </w:p>
        </w:tc>
        <w:tc>
          <w:tcPr>
            <w:tcW w:w="1239" w:type="dxa"/>
            <w:tcBorders>
              <w:top w:val="single" w:color="auto" w:sz="4" w:space="0"/>
              <w:left w:val="single" w:color="auto" w:sz="4" w:space="0"/>
              <w:bottom w:val="single" w:color="auto" w:sz="4" w:space="0"/>
              <w:right w:val="single" w:color="auto" w:sz="4" w:space="0"/>
            </w:tcBorders>
            <w:vAlign w:val="center"/>
          </w:tcPr>
          <w:p w14:paraId="46258377">
            <w:pPr>
              <w:snapToGrid w:val="0"/>
              <w:jc w:val="center"/>
              <w:rPr>
                <w:sz w:val="24"/>
              </w:rPr>
            </w:pPr>
            <w:r>
              <w:rPr>
                <w:sz w:val="24"/>
              </w:rPr>
              <w:t>实施地点</w:t>
            </w:r>
          </w:p>
        </w:tc>
        <w:tc>
          <w:tcPr>
            <w:tcW w:w="0" w:type="auto"/>
            <w:tcBorders>
              <w:top w:val="single" w:color="auto" w:sz="4" w:space="0"/>
              <w:left w:val="single" w:color="auto" w:sz="4" w:space="0"/>
              <w:bottom w:val="single" w:color="auto" w:sz="4" w:space="0"/>
              <w:right w:val="single" w:color="auto" w:sz="4" w:space="0"/>
            </w:tcBorders>
            <w:vAlign w:val="center"/>
          </w:tcPr>
          <w:p w14:paraId="01E69942">
            <w:pPr>
              <w:snapToGrid w:val="0"/>
              <w:jc w:val="center"/>
              <w:rPr>
                <w:sz w:val="24"/>
              </w:rPr>
            </w:pPr>
            <w:r>
              <w:rPr>
                <w:sz w:val="24"/>
              </w:rPr>
              <w:t>用户联系人及联系方式</w:t>
            </w:r>
          </w:p>
        </w:tc>
        <w:tc>
          <w:tcPr>
            <w:tcW w:w="0" w:type="auto"/>
            <w:tcBorders>
              <w:top w:val="single" w:color="auto" w:sz="4" w:space="0"/>
              <w:left w:val="single" w:color="auto" w:sz="4" w:space="0"/>
              <w:bottom w:val="single" w:color="auto" w:sz="4" w:space="0"/>
              <w:right w:val="single" w:color="auto" w:sz="4" w:space="0"/>
            </w:tcBorders>
            <w:vAlign w:val="center"/>
          </w:tcPr>
          <w:p w14:paraId="193760EC">
            <w:pPr>
              <w:snapToGrid w:val="0"/>
              <w:jc w:val="center"/>
              <w:rPr>
                <w:sz w:val="24"/>
              </w:rPr>
            </w:pPr>
            <w:r>
              <w:rPr>
                <w:sz w:val="24"/>
              </w:rPr>
              <w:t>项目起止时间</w:t>
            </w:r>
          </w:p>
        </w:tc>
        <w:tc>
          <w:tcPr>
            <w:tcW w:w="0" w:type="auto"/>
            <w:tcBorders>
              <w:top w:val="single" w:color="auto" w:sz="4" w:space="0"/>
              <w:left w:val="single" w:color="auto" w:sz="4" w:space="0"/>
              <w:bottom w:val="single" w:color="auto" w:sz="4" w:space="0"/>
              <w:right w:val="single" w:color="auto" w:sz="4" w:space="0"/>
            </w:tcBorders>
            <w:vAlign w:val="center"/>
          </w:tcPr>
          <w:p w14:paraId="4F533D87">
            <w:pPr>
              <w:snapToGrid w:val="0"/>
              <w:jc w:val="center"/>
              <w:rPr>
                <w:sz w:val="24"/>
              </w:rPr>
            </w:pPr>
            <w:r>
              <w:rPr>
                <w:sz w:val="24"/>
              </w:rPr>
              <w:t>合同金额</w:t>
            </w:r>
          </w:p>
        </w:tc>
      </w:tr>
      <w:tr w14:paraId="7C016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01E88CDD">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22337ADB">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40E602B0">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2E2CEE5F">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24ADC424">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111C2F10">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4A570439">
            <w:pPr>
              <w:snapToGrid w:val="0"/>
              <w:jc w:val="center"/>
              <w:rPr>
                <w:sz w:val="24"/>
              </w:rPr>
            </w:pPr>
          </w:p>
        </w:tc>
      </w:tr>
      <w:tr w14:paraId="1BC3E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2DA84DD5">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376C5FF7">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5069C45D">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51DC13FC">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494081E9">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2EDAF2D2">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03DDC9E7">
            <w:pPr>
              <w:snapToGrid w:val="0"/>
              <w:jc w:val="center"/>
              <w:rPr>
                <w:sz w:val="24"/>
              </w:rPr>
            </w:pPr>
          </w:p>
        </w:tc>
      </w:tr>
      <w:tr w14:paraId="4542E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2DE3D311">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32B11D84">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1DBE12BC">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2BFEDB74">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08F8F1A9">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46C5A7B7">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4C6D37BB">
            <w:pPr>
              <w:snapToGrid w:val="0"/>
              <w:jc w:val="center"/>
              <w:rPr>
                <w:sz w:val="24"/>
              </w:rPr>
            </w:pPr>
          </w:p>
        </w:tc>
      </w:tr>
      <w:tr w14:paraId="1196E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496D5B8E">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6FDA297A">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1CA0763A">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4E9E4439">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1152D1DA">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510973BF">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268EADDA">
            <w:pPr>
              <w:snapToGrid w:val="0"/>
              <w:jc w:val="center"/>
              <w:rPr>
                <w:sz w:val="24"/>
              </w:rPr>
            </w:pPr>
          </w:p>
        </w:tc>
      </w:tr>
      <w:tr w14:paraId="1BCC2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046AD570">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0F87428F">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0039E2B3">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3941AA33">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749F85A3">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3F77D017">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441174E5">
            <w:pPr>
              <w:snapToGrid w:val="0"/>
              <w:jc w:val="center"/>
              <w:rPr>
                <w:sz w:val="24"/>
              </w:rPr>
            </w:pPr>
          </w:p>
        </w:tc>
      </w:tr>
      <w:tr w14:paraId="2DDA5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663B3579">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17128143">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6DDF96F4">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7C28FB11">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58B3FF18">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75273046">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04B969C7">
            <w:pPr>
              <w:snapToGrid w:val="0"/>
              <w:jc w:val="center"/>
              <w:rPr>
                <w:sz w:val="24"/>
              </w:rPr>
            </w:pPr>
          </w:p>
        </w:tc>
      </w:tr>
      <w:tr w14:paraId="3DBD4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4E0525DA">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7E5C59E9">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584EC4D4">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763AE269">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0467B7C7">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12982F95">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0F93F746">
            <w:pPr>
              <w:snapToGrid w:val="0"/>
              <w:jc w:val="center"/>
              <w:rPr>
                <w:sz w:val="24"/>
              </w:rPr>
            </w:pPr>
          </w:p>
        </w:tc>
      </w:tr>
      <w:tr w14:paraId="5E043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14CDAC7B">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70EEC87F">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36049AB6">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5925C423">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3F5AF00B">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413A09C6">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763A033B">
            <w:pPr>
              <w:snapToGrid w:val="0"/>
              <w:jc w:val="center"/>
              <w:rPr>
                <w:sz w:val="24"/>
              </w:rPr>
            </w:pPr>
          </w:p>
        </w:tc>
      </w:tr>
      <w:tr w14:paraId="7269F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36D53DDB">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70F5423F">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4DECB767">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4721ECC9">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22A3911E">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05068F5B">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020005E7">
            <w:pPr>
              <w:snapToGrid w:val="0"/>
              <w:jc w:val="center"/>
              <w:rPr>
                <w:sz w:val="24"/>
              </w:rPr>
            </w:pPr>
          </w:p>
        </w:tc>
      </w:tr>
      <w:tr w14:paraId="2DEE8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6F8DC92A">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72E65EDE">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33F64F96">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4017294D">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625F6BBD">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71A58BC8">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53D913C0">
            <w:pPr>
              <w:snapToGrid w:val="0"/>
              <w:jc w:val="center"/>
              <w:rPr>
                <w:sz w:val="24"/>
              </w:rPr>
            </w:pPr>
          </w:p>
        </w:tc>
      </w:tr>
      <w:tr w14:paraId="78867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7BBF1AB9">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43D5C01F">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1462A290">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1494DAE0">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4FD0CFED">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5A516842">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69455060">
            <w:pPr>
              <w:snapToGrid w:val="0"/>
              <w:jc w:val="center"/>
              <w:rPr>
                <w:sz w:val="24"/>
              </w:rPr>
            </w:pPr>
          </w:p>
        </w:tc>
      </w:tr>
    </w:tbl>
    <w:p w14:paraId="4C9AD87F">
      <w:pPr>
        <w:spacing w:line="560" w:lineRule="exact"/>
        <w:rPr>
          <w:sz w:val="24"/>
        </w:rPr>
      </w:pPr>
      <w:r>
        <w:rPr>
          <w:sz w:val="24"/>
        </w:rPr>
        <w:t>备注：若招标文件第二部分评分因素及评标标准中要求提供业绩的，投标人所列业绩应按其要求将证明材料按顺序附后。</w:t>
      </w:r>
    </w:p>
    <w:p w14:paraId="06FEC5B2">
      <w:pPr>
        <w:spacing w:line="560" w:lineRule="exact"/>
        <w:rPr>
          <w:sz w:val="24"/>
        </w:rPr>
      </w:pPr>
    </w:p>
    <w:p w14:paraId="155034A4">
      <w:pPr>
        <w:spacing w:line="360" w:lineRule="auto"/>
        <w:ind w:firstLine="3808" w:firstLineChars="1700"/>
        <w:rPr>
          <w:sz w:val="24"/>
        </w:rPr>
      </w:pPr>
      <w:r>
        <w:rPr>
          <w:sz w:val="24"/>
        </w:rPr>
        <w:t>投标人名称：</w:t>
      </w:r>
    </w:p>
    <w:p w14:paraId="4BFAC71C">
      <w:pPr>
        <w:spacing w:line="360" w:lineRule="auto"/>
        <w:ind w:firstLine="3808" w:firstLineChars="1700"/>
        <w:rPr>
          <w:sz w:val="24"/>
        </w:rPr>
      </w:pPr>
    </w:p>
    <w:p w14:paraId="01B0F736">
      <w:pPr>
        <w:spacing w:line="360" w:lineRule="auto"/>
        <w:ind w:firstLine="3808" w:firstLineChars="1700"/>
        <w:rPr>
          <w:sz w:val="24"/>
        </w:rPr>
      </w:pPr>
      <w:r>
        <w:rPr>
          <w:sz w:val="24"/>
        </w:rPr>
        <w:t>日期：年月日</w:t>
      </w:r>
    </w:p>
    <w:p w14:paraId="08EBB149">
      <w:pPr>
        <w:widowControl/>
        <w:jc w:val="left"/>
        <w:rPr>
          <w:rFonts w:hAnsiTheme="minorEastAsia"/>
          <w:b/>
          <w:sz w:val="24"/>
        </w:rPr>
      </w:pPr>
      <w:r>
        <w:rPr>
          <w:rFonts w:hAnsiTheme="minorEastAsia"/>
          <w:b/>
          <w:sz w:val="24"/>
        </w:rPr>
        <w:br w:type="page"/>
      </w:r>
    </w:p>
    <w:p w14:paraId="6339AF70">
      <w:pPr>
        <w:spacing w:line="460" w:lineRule="exact"/>
        <w:rPr>
          <w:b/>
          <w:sz w:val="24"/>
        </w:rPr>
      </w:pPr>
      <w:r>
        <w:rPr>
          <w:rFonts w:hAnsiTheme="minorEastAsia"/>
          <w:b/>
          <w:sz w:val="24"/>
        </w:rPr>
        <w:t>附件</w:t>
      </w:r>
      <w:r>
        <w:rPr>
          <w:rFonts w:hint="eastAsia"/>
          <w:b/>
          <w:sz w:val="24"/>
        </w:rPr>
        <w:t>8</w:t>
      </w:r>
    </w:p>
    <w:p w14:paraId="362A07A6">
      <w:pPr>
        <w:autoSpaceDN w:val="0"/>
        <w:spacing w:line="360" w:lineRule="auto"/>
        <w:jc w:val="center"/>
        <w:rPr>
          <w:b/>
          <w:bCs/>
          <w:sz w:val="24"/>
        </w:rPr>
      </w:pPr>
      <w:r>
        <w:rPr>
          <w:rFonts w:hint="eastAsia"/>
          <w:b/>
          <w:bCs/>
          <w:sz w:val="24"/>
        </w:rPr>
        <w:t>投标</w:t>
      </w:r>
      <w:r>
        <w:rPr>
          <w:b/>
          <w:bCs/>
          <w:sz w:val="24"/>
        </w:rPr>
        <w:t>代表人授权书</w:t>
      </w:r>
    </w:p>
    <w:p w14:paraId="6A90F8C5">
      <w:pPr>
        <w:spacing w:line="360" w:lineRule="auto"/>
        <w:rPr>
          <w:sz w:val="24"/>
          <w:szCs w:val="21"/>
        </w:rPr>
      </w:pPr>
    </w:p>
    <w:p w14:paraId="43CCD215">
      <w:pPr>
        <w:spacing w:line="360" w:lineRule="auto"/>
        <w:rPr>
          <w:sz w:val="24"/>
          <w:szCs w:val="21"/>
        </w:rPr>
      </w:pPr>
      <w:r>
        <w:rPr>
          <w:sz w:val="24"/>
          <w:szCs w:val="21"/>
        </w:rPr>
        <w:t>致：天津</w:t>
      </w:r>
      <w:r>
        <w:rPr>
          <w:rFonts w:hint="eastAsia"/>
          <w:sz w:val="24"/>
          <w:szCs w:val="21"/>
        </w:rPr>
        <w:t>市滨海新区</w:t>
      </w:r>
      <w:r>
        <w:rPr>
          <w:sz w:val="24"/>
          <w:szCs w:val="21"/>
        </w:rPr>
        <w:t>政府采购中心</w:t>
      </w:r>
    </w:p>
    <w:p w14:paraId="2BEE169B">
      <w:pPr>
        <w:spacing w:line="360" w:lineRule="auto"/>
        <w:ind w:firstLine="448" w:firstLineChars="200"/>
        <w:rPr>
          <w:sz w:val="24"/>
          <w:szCs w:val="21"/>
        </w:rPr>
      </w:pPr>
      <w:r>
        <w:rPr>
          <w:rFonts w:hint="eastAsia"/>
          <w:sz w:val="24"/>
          <w:szCs w:val="21"/>
        </w:rPr>
        <w:t>我单位</w:t>
      </w:r>
      <w:r>
        <w:rPr>
          <w:sz w:val="24"/>
          <w:szCs w:val="21"/>
        </w:rPr>
        <w:t>授权委托本月</w:t>
      </w:r>
      <w:r>
        <w:rPr>
          <w:rFonts w:hint="eastAsia"/>
          <w:sz w:val="24"/>
          <w:szCs w:val="21"/>
        </w:rPr>
        <w:t>/上月（本月尚未缴纳社保的，则填写上月）由我单位缴纳社会保险的</w:t>
      </w:r>
      <w:r>
        <w:rPr>
          <w:sz w:val="24"/>
          <w:szCs w:val="21"/>
        </w:rPr>
        <w:t>在职职工_______________（姓名）（身份证号码：____________________、联系电话：_______________）作为投标代表人以我方的名义参加贵中心组织的______________________项目（项目编号：_______________）的投标活动，并代表我方全权办理针对上述项目的投标、开标、投标文件澄清、签约等一切具体事务和签署相关文件。</w:t>
      </w:r>
    </w:p>
    <w:p w14:paraId="7BCE9808">
      <w:pPr>
        <w:spacing w:line="360" w:lineRule="auto"/>
        <w:ind w:firstLine="448" w:firstLineChars="200"/>
        <w:rPr>
          <w:sz w:val="24"/>
          <w:szCs w:val="21"/>
        </w:rPr>
      </w:pPr>
      <w:r>
        <w:rPr>
          <w:sz w:val="24"/>
          <w:szCs w:val="21"/>
        </w:rPr>
        <w:t>我方对</w:t>
      </w:r>
      <w:r>
        <w:rPr>
          <w:rFonts w:hint="eastAsia"/>
          <w:sz w:val="24"/>
          <w:szCs w:val="21"/>
        </w:rPr>
        <w:t>投标代表人</w:t>
      </w:r>
      <w:r>
        <w:rPr>
          <w:sz w:val="24"/>
          <w:szCs w:val="21"/>
        </w:rPr>
        <w:t>的签名事项负全部责任。</w:t>
      </w:r>
    </w:p>
    <w:p w14:paraId="0DBE291A">
      <w:pPr>
        <w:spacing w:line="360" w:lineRule="auto"/>
        <w:ind w:firstLine="448" w:firstLineChars="200"/>
        <w:rPr>
          <w:sz w:val="24"/>
          <w:szCs w:val="21"/>
        </w:rPr>
      </w:pPr>
      <w:r>
        <w:rPr>
          <w:sz w:val="24"/>
          <w:szCs w:val="21"/>
        </w:rPr>
        <w:t>本授权书至投标有效期结束前始终有效。</w:t>
      </w:r>
    </w:p>
    <w:p w14:paraId="25A4FB96">
      <w:pPr>
        <w:spacing w:line="360" w:lineRule="auto"/>
        <w:ind w:firstLine="448" w:firstLineChars="200"/>
        <w:rPr>
          <w:sz w:val="24"/>
          <w:szCs w:val="21"/>
        </w:rPr>
      </w:pPr>
      <w:r>
        <w:rPr>
          <w:sz w:val="24"/>
          <w:szCs w:val="21"/>
        </w:rPr>
        <w:t>投标代表人无转委托权，特此委托。</w:t>
      </w:r>
    </w:p>
    <w:p w14:paraId="33D53289">
      <w:pPr>
        <w:spacing w:line="360" w:lineRule="auto"/>
        <w:ind w:firstLine="448" w:firstLineChars="200"/>
        <w:rPr>
          <w:sz w:val="24"/>
        </w:rPr>
      </w:pPr>
    </w:p>
    <w:p w14:paraId="771339AD">
      <w:pPr>
        <w:spacing w:line="360" w:lineRule="auto"/>
        <w:ind w:firstLine="448" w:firstLineChars="200"/>
        <w:rPr>
          <w:sz w:val="24"/>
        </w:rPr>
      </w:pPr>
    </w:p>
    <w:p w14:paraId="4D8135ED">
      <w:pPr>
        <w:spacing w:line="360" w:lineRule="auto"/>
        <w:ind w:firstLine="448" w:firstLineChars="200"/>
        <w:rPr>
          <w:sz w:val="24"/>
        </w:rPr>
      </w:pPr>
    </w:p>
    <w:p w14:paraId="35DFF128">
      <w:pPr>
        <w:spacing w:line="360" w:lineRule="auto"/>
        <w:ind w:firstLine="4704" w:firstLineChars="2100"/>
        <w:rPr>
          <w:sz w:val="24"/>
        </w:rPr>
      </w:pPr>
      <w:r>
        <w:rPr>
          <w:sz w:val="24"/>
        </w:rPr>
        <w:t>年月日</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4"/>
        <w:gridCol w:w="4264"/>
      </w:tblGrid>
      <w:tr w14:paraId="22C64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tcPr>
          <w:p w14:paraId="7176279D">
            <w:pPr>
              <w:spacing w:line="360" w:lineRule="auto"/>
              <w:jc w:val="left"/>
              <w:rPr>
                <w:sz w:val="24"/>
              </w:rPr>
            </w:pPr>
            <w:r>
              <w:rPr>
                <w:sz w:val="24"/>
              </w:rPr>
              <w:t>投标代表人身份证正面</w:t>
            </w:r>
          </w:p>
          <w:p w14:paraId="14F1A911">
            <w:pPr>
              <w:spacing w:line="360" w:lineRule="auto"/>
              <w:jc w:val="left"/>
              <w:rPr>
                <w:sz w:val="24"/>
              </w:rPr>
            </w:pPr>
          </w:p>
          <w:p w14:paraId="66E8C2EE">
            <w:pPr>
              <w:spacing w:line="360" w:lineRule="auto"/>
              <w:jc w:val="left"/>
              <w:rPr>
                <w:sz w:val="24"/>
              </w:rPr>
            </w:pPr>
          </w:p>
          <w:p w14:paraId="742B88E9">
            <w:pPr>
              <w:spacing w:line="360" w:lineRule="auto"/>
              <w:jc w:val="left"/>
              <w:rPr>
                <w:sz w:val="24"/>
              </w:rPr>
            </w:pPr>
          </w:p>
          <w:p w14:paraId="3AA7B610">
            <w:pPr>
              <w:spacing w:line="360" w:lineRule="auto"/>
              <w:jc w:val="left"/>
              <w:rPr>
                <w:sz w:val="24"/>
              </w:rPr>
            </w:pPr>
          </w:p>
          <w:p w14:paraId="7AE25034">
            <w:pPr>
              <w:spacing w:line="360" w:lineRule="auto"/>
              <w:jc w:val="left"/>
              <w:rPr>
                <w:sz w:val="24"/>
              </w:rPr>
            </w:pPr>
          </w:p>
        </w:tc>
        <w:tc>
          <w:tcPr>
            <w:tcW w:w="4264" w:type="dxa"/>
          </w:tcPr>
          <w:p w14:paraId="7EE20AE3">
            <w:pPr>
              <w:spacing w:line="360" w:lineRule="auto"/>
              <w:jc w:val="left"/>
              <w:rPr>
                <w:sz w:val="24"/>
              </w:rPr>
            </w:pPr>
            <w:r>
              <w:rPr>
                <w:sz w:val="24"/>
              </w:rPr>
              <w:t>投标代表人身份证背面</w:t>
            </w:r>
          </w:p>
        </w:tc>
      </w:tr>
    </w:tbl>
    <w:p w14:paraId="471D96B2">
      <w:pPr>
        <w:widowControl/>
        <w:jc w:val="left"/>
        <w:rPr>
          <w:sz w:val="24"/>
        </w:rPr>
      </w:pPr>
      <w:r>
        <w:rPr>
          <w:sz w:val="24"/>
        </w:rPr>
        <w:br w:type="page"/>
      </w:r>
    </w:p>
    <w:p w14:paraId="7B0E8C36">
      <w:pPr>
        <w:spacing w:line="460" w:lineRule="exact"/>
        <w:ind w:right="444"/>
        <w:rPr>
          <w:b/>
          <w:sz w:val="24"/>
        </w:rPr>
      </w:pPr>
      <w:r>
        <w:rPr>
          <w:rFonts w:hAnsiTheme="minorEastAsia"/>
          <w:b/>
          <w:sz w:val="24"/>
        </w:rPr>
        <w:t>附件</w:t>
      </w:r>
      <w:r>
        <w:rPr>
          <w:rFonts w:hint="eastAsia"/>
          <w:b/>
          <w:sz w:val="24"/>
        </w:rPr>
        <w:t>9-1</w:t>
      </w:r>
    </w:p>
    <w:p w14:paraId="76155460">
      <w:pPr>
        <w:autoSpaceDE w:val="0"/>
        <w:autoSpaceDN w:val="0"/>
        <w:spacing w:line="480" w:lineRule="auto"/>
        <w:jc w:val="center"/>
        <w:rPr>
          <w:sz w:val="24"/>
          <w:szCs w:val="24"/>
        </w:rPr>
      </w:pPr>
      <w:r>
        <w:rPr>
          <w:rFonts w:hint="eastAsia" w:hAnsiTheme="minorEastAsia"/>
          <w:b/>
          <w:sz w:val="24"/>
          <w:szCs w:val="24"/>
        </w:rPr>
        <w:t>中小企业声明函（服务）</w:t>
      </w:r>
    </w:p>
    <w:p w14:paraId="37A774F0">
      <w:pPr>
        <w:widowControl/>
        <w:spacing w:line="500" w:lineRule="exact"/>
        <w:ind w:firstLine="448" w:firstLineChars="200"/>
        <w:jc w:val="left"/>
        <w:rPr>
          <w:sz w:val="24"/>
          <w:szCs w:val="24"/>
        </w:rPr>
      </w:pPr>
      <w:r>
        <w:rPr>
          <w:rFonts w:hint="eastAsia" w:hAnsiTheme="minorEastAsia"/>
          <w:sz w:val="24"/>
          <w:szCs w:val="24"/>
        </w:rPr>
        <w:t>本公司（联合体）郑重声明，根据《政府采购促进中小企业发展管理办法》（财库﹝</w:t>
      </w:r>
      <w:r>
        <w:rPr>
          <w:sz w:val="24"/>
          <w:szCs w:val="24"/>
        </w:rPr>
        <w:t>2020</w:t>
      </w:r>
      <w:r>
        <w:rPr>
          <w:rFonts w:hint="eastAsia" w:hAnsiTheme="minorEastAsia"/>
          <w:sz w:val="24"/>
          <w:szCs w:val="24"/>
        </w:rPr>
        <w:t>﹞</w:t>
      </w:r>
      <w:r>
        <w:rPr>
          <w:sz w:val="24"/>
          <w:szCs w:val="24"/>
        </w:rPr>
        <w:t>46</w:t>
      </w:r>
      <w:r>
        <w:rPr>
          <w:rFonts w:hint="eastAsia" w:hAnsiTheme="minorEastAsia"/>
          <w:sz w:val="24"/>
          <w:szCs w:val="24"/>
        </w:rPr>
        <w:t>号）的规定，本公司（联合体）参加</w:t>
      </w:r>
      <w:r>
        <w:rPr>
          <w:rFonts w:hint="eastAsia" w:hAnsiTheme="minorEastAsia"/>
          <w:b/>
          <w:sz w:val="24"/>
          <w:szCs w:val="24"/>
          <w:u w:val="single"/>
        </w:rPr>
        <w:t>（请填写项目名称）</w:t>
      </w:r>
      <w:r>
        <w:rPr>
          <w:rFonts w:hint="eastAsia" w:hAnsiTheme="minorEastAsia"/>
          <w:sz w:val="24"/>
          <w:szCs w:val="24"/>
        </w:rPr>
        <w:t>采购活动，服务全部由符合政策要求的中小企业承接。相关企业（含联合体中的中小企业、签订分包意向协议的中小企业）的具体情况如下：</w:t>
      </w:r>
    </w:p>
    <w:p w14:paraId="3E7C7E23">
      <w:pPr>
        <w:autoSpaceDE w:val="0"/>
        <w:autoSpaceDN w:val="0"/>
        <w:spacing w:line="500" w:lineRule="exact"/>
        <w:ind w:firstLine="448" w:firstLineChars="200"/>
        <w:jc w:val="left"/>
        <w:rPr>
          <w:sz w:val="24"/>
          <w:szCs w:val="24"/>
        </w:rPr>
      </w:pPr>
      <w:r>
        <w:rPr>
          <w:sz w:val="24"/>
          <w:szCs w:val="24"/>
        </w:rPr>
        <w:t>1.</w:t>
      </w:r>
      <w:r>
        <w:rPr>
          <w:rFonts w:hint="eastAsia" w:hAnsiTheme="minorEastAsia"/>
          <w:sz w:val="24"/>
          <w:szCs w:val="24"/>
          <w:u w:val="single"/>
        </w:rPr>
        <w:t>（</w:t>
      </w:r>
      <w:r>
        <w:rPr>
          <w:rFonts w:hint="eastAsia" w:hAnsiTheme="minorEastAsia"/>
          <w:b/>
          <w:sz w:val="24"/>
          <w:szCs w:val="24"/>
        </w:rPr>
        <w:t>请填写标的名称</w:t>
      </w:r>
      <w:r>
        <w:rPr>
          <w:rFonts w:hint="eastAsia" w:hAnsiTheme="minorEastAsia"/>
          <w:sz w:val="24"/>
          <w:szCs w:val="24"/>
        </w:rPr>
        <w:t>），属于</w:t>
      </w:r>
      <w:r>
        <w:rPr>
          <w:rFonts w:hint="eastAsia" w:hAnsiTheme="minorEastAsia"/>
          <w:b/>
          <w:sz w:val="24"/>
          <w:szCs w:val="24"/>
        </w:rPr>
        <w:t>（请填写本项目采购文件中明确的所属行业）</w:t>
      </w:r>
      <w:r>
        <w:rPr>
          <w:rFonts w:hint="eastAsia" w:hAnsiTheme="minorEastAsia"/>
          <w:sz w:val="24"/>
          <w:szCs w:val="24"/>
        </w:rPr>
        <w:t>行业；承接企业为</w:t>
      </w:r>
      <w:r>
        <w:rPr>
          <w:rFonts w:hint="eastAsia" w:hAnsiTheme="minorEastAsia"/>
          <w:sz w:val="24"/>
          <w:szCs w:val="24"/>
          <w:u w:val="single"/>
        </w:rPr>
        <w:t>（</w:t>
      </w:r>
      <w:r>
        <w:rPr>
          <w:rFonts w:hint="eastAsia" w:hAnsiTheme="minorEastAsia"/>
          <w:b/>
          <w:sz w:val="24"/>
          <w:szCs w:val="24"/>
        </w:rPr>
        <w:t>请填写承接该标的企业名称</w:t>
      </w:r>
      <w:r>
        <w:rPr>
          <w:rFonts w:hint="eastAsia" w:hAnsiTheme="minorEastAsia"/>
          <w:sz w:val="24"/>
          <w:szCs w:val="24"/>
        </w:rPr>
        <w:t>），从业人员人，营业收入为万元，资产总额为万元，属于</w:t>
      </w:r>
      <w:r>
        <w:rPr>
          <w:rFonts w:hint="eastAsia" w:hAnsiTheme="minorEastAsia"/>
          <w:sz w:val="24"/>
          <w:szCs w:val="24"/>
          <w:u w:val="single"/>
        </w:rPr>
        <w:t>（</w:t>
      </w:r>
      <w:r>
        <w:rPr>
          <w:rFonts w:hint="eastAsia" w:hAnsiTheme="minorEastAsia"/>
          <w:b/>
          <w:sz w:val="24"/>
          <w:szCs w:val="24"/>
        </w:rPr>
        <w:t>请根据中小企业划分标准填写中型企业</w:t>
      </w:r>
      <w:r>
        <w:rPr>
          <w:b/>
          <w:sz w:val="24"/>
          <w:szCs w:val="24"/>
        </w:rPr>
        <w:t>/</w:t>
      </w:r>
      <w:r>
        <w:rPr>
          <w:rFonts w:hint="eastAsia" w:hAnsiTheme="minorEastAsia"/>
          <w:b/>
          <w:sz w:val="24"/>
          <w:szCs w:val="24"/>
        </w:rPr>
        <w:t>小型企业</w:t>
      </w:r>
      <w:r>
        <w:rPr>
          <w:b/>
          <w:sz w:val="24"/>
          <w:szCs w:val="24"/>
        </w:rPr>
        <w:t>/</w:t>
      </w:r>
      <w:r>
        <w:rPr>
          <w:rFonts w:hint="eastAsia" w:hAnsiTheme="minorEastAsia"/>
          <w:b/>
          <w:sz w:val="24"/>
          <w:szCs w:val="24"/>
        </w:rPr>
        <w:t>微型企业</w:t>
      </w:r>
      <w:r>
        <w:rPr>
          <w:rFonts w:hint="eastAsia" w:hAnsiTheme="minorEastAsia"/>
          <w:sz w:val="24"/>
          <w:szCs w:val="24"/>
        </w:rPr>
        <w:t>）；</w:t>
      </w:r>
    </w:p>
    <w:p w14:paraId="5D5A672C">
      <w:pPr>
        <w:autoSpaceDE w:val="0"/>
        <w:autoSpaceDN w:val="0"/>
        <w:spacing w:line="500" w:lineRule="exact"/>
        <w:ind w:firstLine="448" w:firstLineChars="200"/>
        <w:jc w:val="left"/>
        <w:rPr>
          <w:sz w:val="24"/>
          <w:szCs w:val="24"/>
        </w:rPr>
      </w:pPr>
      <w:r>
        <w:rPr>
          <w:sz w:val="24"/>
          <w:szCs w:val="24"/>
        </w:rPr>
        <w:t>2.</w:t>
      </w:r>
      <w:r>
        <w:rPr>
          <w:rFonts w:hint="eastAsia" w:hAnsiTheme="minorEastAsia"/>
          <w:sz w:val="24"/>
          <w:szCs w:val="24"/>
          <w:u w:val="single"/>
        </w:rPr>
        <w:t>（</w:t>
      </w:r>
      <w:r>
        <w:rPr>
          <w:rFonts w:hint="eastAsia" w:hAnsiTheme="minorEastAsia"/>
          <w:b/>
          <w:sz w:val="24"/>
          <w:szCs w:val="24"/>
        </w:rPr>
        <w:t>请填写标的名称</w:t>
      </w:r>
      <w:r>
        <w:rPr>
          <w:rFonts w:hint="eastAsia" w:hAnsiTheme="minorEastAsia"/>
          <w:sz w:val="24"/>
          <w:szCs w:val="24"/>
        </w:rPr>
        <w:t>），属于</w:t>
      </w:r>
      <w:r>
        <w:rPr>
          <w:rFonts w:hint="eastAsia" w:hAnsiTheme="minorEastAsia"/>
          <w:b/>
          <w:sz w:val="24"/>
          <w:szCs w:val="24"/>
        </w:rPr>
        <w:t>（请填写本项目采购文件中明确的所属行业）</w:t>
      </w:r>
      <w:r>
        <w:rPr>
          <w:rFonts w:hint="eastAsia" w:hAnsiTheme="minorEastAsia"/>
          <w:sz w:val="24"/>
          <w:szCs w:val="24"/>
        </w:rPr>
        <w:t>行业；承接企业为</w:t>
      </w:r>
      <w:r>
        <w:rPr>
          <w:rFonts w:hint="eastAsia" w:hAnsiTheme="minorEastAsia"/>
          <w:sz w:val="24"/>
          <w:szCs w:val="24"/>
          <w:u w:val="single"/>
        </w:rPr>
        <w:t>（</w:t>
      </w:r>
      <w:r>
        <w:rPr>
          <w:rFonts w:hint="eastAsia" w:hAnsiTheme="minorEastAsia"/>
          <w:b/>
          <w:sz w:val="24"/>
          <w:szCs w:val="24"/>
        </w:rPr>
        <w:t>请填写承接该标的企业名称</w:t>
      </w:r>
      <w:r>
        <w:rPr>
          <w:rFonts w:hint="eastAsia" w:hAnsiTheme="minorEastAsia"/>
          <w:sz w:val="24"/>
          <w:szCs w:val="24"/>
        </w:rPr>
        <w:t>），从业人员人，营业收入为万元，资产总额为万元，属于</w:t>
      </w:r>
      <w:r>
        <w:rPr>
          <w:rFonts w:hint="eastAsia" w:hAnsiTheme="minorEastAsia"/>
          <w:sz w:val="24"/>
          <w:szCs w:val="24"/>
          <w:u w:val="single"/>
        </w:rPr>
        <w:t>（</w:t>
      </w:r>
      <w:r>
        <w:rPr>
          <w:rFonts w:hint="eastAsia" w:hAnsiTheme="minorEastAsia"/>
          <w:b/>
          <w:sz w:val="24"/>
          <w:szCs w:val="24"/>
        </w:rPr>
        <w:t>请根据中小企业划分标准填写中型企业</w:t>
      </w:r>
      <w:r>
        <w:rPr>
          <w:b/>
          <w:sz w:val="24"/>
          <w:szCs w:val="24"/>
        </w:rPr>
        <w:t>/</w:t>
      </w:r>
      <w:r>
        <w:rPr>
          <w:rFonts w:hint="eastAsia" w:hAnsiTheme="minorEastAsia"/>
          <w:b/>
          <w:sz w:val="24"/>
          <w:szCs w:val="24"/>
        </w:rPr>
        <w:t>小型企业</w:t>
      </w:r>
      <w:r>
        <w:rPr>
          <w:b/>
          <w:sz w:val="24"/>
          <w:szCs w:val="24"/>
        </w:rPr>
        <w:t>/</w:t>
      </w:r>
      <w:r>
        <w:rPr>
          <w:rFonts w:hint="eastAsia" w:hAnsiTheme="minorEastAsia"/>
          <w:b/>
          <w:sz w:val="24"/>
          <w:szCs w:val="24"/>
        </w:rPr>
        <w:t>微型企业</w:t>
      </w:r>
      <w:r>
        <w:rPr>
          <w:rFonts w:hint="eastAsia" w:hAnsiTheme="minorEastAsia"/>
          <w:sz w:val="24"/>
          <w:szCs w:val="24"/>
        </w:rPr>
        <w:t>）；</w:t>
      </w:r>
    </w:p>
    <w:p w14:paraId="064FF994">
      <w:pPr>
        <w:autoSpaceDE w:val="0"/>
        <w:autoSpaceDN w:val="0"/>
        <w:spacing w:line="500" w:lineRule="exact"/>
        <w:ind w:left="641"/>
        <w:jc w:val="left"/>
        <w:rPr>
          <w:sz w:val="24"/>
          <w:szCs w:val="24"/>
        </w:rPr>
      </w:pPr>
      <w:r>
        <w:rPr>
          <w:sz w:val="24"/>
          <w:szCs w:val="24"/>
        </w:rPr>
        <w:t>……</w:t>
      </w:r>
    </w:p>
    <w:p w14:paraId="74BA1547">
      <w:pPr>
        <w:autoSpaceDE w:val="0"/>
        <w:autoSpaceDN w:val="0"/>
        <w:spacing w:line="500" w:lineRule="exact"/>
        <w:ind w:firstLine="448" w:firstLineChars="200"/>
        <w:jc w:val="left"/>
        <w:rPr>
          <w:sz w:val="24"/>
          <w:szCs w:val="24"/>
        </w:rPr>
      </w:pPr>
      <w:r>
        <w:rPr>
          <w:rFonts w:hint="eastAsia" w:hAnsiTheme="minorEastAsia"/>
          <w:sz w:val="24"/>
          <w:szCs w:val="24"/>
        </w:rPr>
        <w:t>以上企业，不属于大型企业的分支机构，不存在控股股东为大型企业的情形，也不存在与大型企业的负责人为同一人的情形。</w:t>
      </w:r>
    </w:p>
    <w:p w14:paraId="3578C6E3">
      <w:pPr>
        <w:autoSpaceDE w:val="0"/>
        <w:autoSpaceDN w:val="0"/>
        <w:spacing w:line="500" w:lineRule="exact"/>
        <w:ind w:firstLine="448" w:firstLineChars="200"/>
        <w:jc w:val="left"/>
        <w:rPr>
          <w:sz w:val="24"/>
          <w:szCs w:val="24"/>
        </w:rPr>
      </w:pPr>
      <w:r>
        <w:rPr>
          <w:rFonts w:hint="eastAsia" w:hAnsiTheme="minorEastAsia"/>
          <w:sz w:val="24"/>
          <w:szCs w:val="24"/>
        </w:rPr>
        <w:t>本企业对上述声明内容的真实性负责。如有虚假，将依法承担相应责任。</w:t>
      </w:r>
    </w:p>
    <w:p w14:paraId="494A4BF3">
      <w:pPr>
        <w:autoSpaceDE w:val="0"/>
        <w:autoSpaceDN w:val="0"/>
        <w:spacing w:line="500" w:lineRule="exact"/>
        <w:ind w:left="3840"/>
        <w:jc w:val="left"/>
        <w:rPr>
          <w:sz w:val="24"/>
          <w:szCs w:val="24"/>
        </w:rPr>
      </w:pPr>
      <w:r>
        <w:rPr>
          <w:rFonts w:hint="eastAsia" w:hAnsiTheme="minorEastAsia"/>
          <w:sz w:val="24"/>
          <w:szCs w:val="24"/>
        </w:rPr>
        <w:t>投标人名称：</w:t>
      </w:r>
    </w:p>
    <w:p w14:paraId="54AE71AD">
      <w:pPr>
        <w:autoSpaceDE w:val="0"/>
        <w:autoSpaceDN w:val="0"/>
        <w:spacing w:line="500" w:lineRule="exact"/>
        <w:ind w:left="3840"/>
        <w:jc w:val="left"/>
        <w:rPr>
          <w:sz w:val="32"/>
        </w:rPr>
      </w:pPr>
      <w:r>
        <w:rPr>
          <w:rFonts w:hint="eastAsia" w:hAnsiTheme="minorEastAsia"/>
          <w:sz w:val="24"/>
          <w:szCs w:val="24"/>
        </w:rPr>
        <w:t>日期：</w:t>
      </w:r>
    </w:p>
    <w:p w14:paraId="422C83CD">
      <w:pPr>
        <w:spacing w:line="360" w:lineRule="auto"/>
        <w:ind w:right="84" w:firstLine="224" w:firstLineChars="100"/>
        <w:rPr>
          <w:b/>
          <w:sz w:val="24"/>
          <w:szCs w:val="24"/>
        </w:rPr>
      </w:pPr>
      <w:r>
        <w:rPr>
          <w:rFonts w:hint="eastAsia" w:hAnsiTheme="minorEastAsia"/>
          <w:b/>
          <w:sz w:val="24"/>
          <w:szCs w:val="24"/>
        </w:rPr>
        <w:t>注：</w:t>
      </w:r>
    </w:p>
    <w:p w14:paraId="33F43691">
      <w:pPr>
        <w:spacing w:line="360" w:lineRule="auto"/>
        <w:ind w:right="84" w:firstLine="224" w:firstLineChars="100"/>
        <w:rPr>
          <w:b/>
          <w:sz w:val="24"/>
          <w:szCs w:val="24"/>
        </w:rPr>
      </w:pPr>
      <w:r>
        <w:rPr>
          <w:b/>
          <w:sz w:val="24"/>
          <w:szCs w:val="24"/>
        </w:rPr>
        <w:t>1.</w:t>
      </w:r>
      <w:r>
        <w:rPr>
          <w:rFonts w:hint="eastAsia" w:hAnsiTheme="minorEastAsia"/>
          <w:b/>
          <w:sz w:val="24"/>
          <w:szCs w:val="24"/>
        </w:rPr>
        <w:t>标的名称须按照采购文件中明确的标的名称进行填写；所属行业须按照采购文件中明确的所属行业进行填写，否则不享受中小企业扶持政策。</w:t>
      </w:r>
    </w:p>
    <w:p w14:paraId="154B90BE">
      <w:pPr>
        <w:spacing w:line="360" w:lineRule="auto"/>
        <w:ind w:right="84" w:firstLine="224" w:firstLineChars="100"/>
        <w:rPr>
          <w:b/>
          <w:sz w:val="24"/>
          <w:szCs w:val="24"/>
        </w:rPr>
      </w:pPr>
      <w:r>
        <w:rPr>
          <w:b/>
          <w:sz w:val="24"/>
          <w:szCs w:val="24"/>
        </w:rPr>
        <w:t>2.</w:t>
      </w:r>
      <w:r>
        <w:rPr>
          <w:rFonts w:hint="eastAsia" w:hAnsiTheme="minorEastAsia"/>
          <w:b/>
          <w:sz w:val="24"/>
          <w:szCs w:val="24"/>
        </w:rPr>
        <w:t>从业人员、营业收入、资产总额填报上一年度数据，无上一年度数据的新成立企业可不填报。除新成立企业外，上表填写不全的，不享受中小企业扶持政策。</w:t>
      </w:r>
    </w:p>
    <w:p w14:paraId="40D6718C">
      <w:pPr>
        <w:spacing w:line="360" w:lineRule="auto"/>
        <w:ind w:right="84" w:firstLine="224" w:firstLineChars="100"/>
        <w:rPr>
          <w:b/>
          <w:sz w:val="24"/>
          <w:szCs w:val="24"/>
        </w:rPr>
      </w:pPr>
      <w:r>
        <w:rPr>
          <w:b/>
          <w:sz w:val="24"/>
          <w:szCs w:val="24"/>
        </w:rPr>
        <w:t>3.</w:t>
      </w:r>
      <w:r>
        <w:rPr>
          <w:rFonts w:hint="eastAsia" w:hAnsiTheme="minorEastAsia"/>
          <w:b/>
          <w:sz w:val="24"/>
          <w:szCs w:val="24"/>
        </w:rPr>
        <w:t>中标（成交）供应商享受中小企业扶持政策的，将随中标（成交）结果同时公告其《中小企业声明函》，接受社会监督。</w:t>
      </w:r>
    </w:p>
    <w:p w14:paraId="3C89BD77">
      <w:pPr>
        <w:autoSpaceDN w:val="0"/>
        <w:spacing w:line="360" w:lineRule="auto"/>
        <w:jc w:val="center"/>
        <w:rPr>
          <w:b/>
          <w:sz w:val="24"/>
        </w:rPr>
      </w:pPr>
      <w:r>
        <w:rPr>
          <w:b/>
          <w:sz w:val="24"/>
        </w:rPr>
        <w:br w:type="page"/>
      </w:r>
    </w:p>
    <w:p w14:paraId="2DAFB90B">
      <w:pPr>
        <w:autoSpaceDN w:val="0"/>
        <w:spacing w:line="360" w:lineRule="auto"/>
        <w:rPr>
          <w:b/>
          <w:sz w:val="24"/>
        </w:rPr>
      </w:pPr>
      <w:r>
        <w:rPr>
          <w:rFonts w:hint="eastAsia" w:hAnsiTheme="minorEastAsia"/>
          <w:b/>
          <w:sz w:val="24"/>
        </w:rPr>
        <w:t xml:space="preserve">附件 </w:t>
      </w:r>
      <w:r>
        <w:rPr>
          <w:rFonts w:hint="eastAsia"/>
          <w:b/>
          <w:sz w:val="24"/>
        </w:rPr>
        <w:t>9-2</w:t>
      </w:r>
    </w:p>
    <w:p w14:paraId="39BFCC67">
      <w:pPr>
        <w:autoSpaceDN w:val="0"/>
        <w:spacing w:line="360" w:lineRule="auto"/>
        <w:rPr>
          <w:b/>
          <w:bCs/>
          <w:sz w:val="24"/>
        </w:rPr>
      </w:pPr>
      <w:r>
        <w:rPr>
          <w:rFonts w:hint="eastAsia" w:hAnsiTheme="minorEastAsia"/>
          <w:b/>
          <w:kern w:val="0"/>
          <w:sz w:val="24"/>
          <w:szCs w:val="21"/>
        </w:rPr>
        <w:t>若投标人不是残疾人福利性单位，投标文件中可不提供此声明函</w:t>
      </w:r>
    </w:p>
    <w:p w14:paraId="00B0CC0F">
      <w:pPr>
        <w:autoSpaceDN w:val="0"/>
        <w:spacing w:line="360" w:lineRule="auto"/>
        <w:jc w:val="center"/>
        <w:rPr>
          <w:b/>
          <w:bCs/>
          <w:sz w:val="24"/>
        </w:rPr>
      </w:pPr>
    </w:p>
    <w:p w14:paraId="6F4ECAE8">
      <w:pPr>
        <w:autoSpaceDN w:val="0"/>
        <w:spacing w:line="360" w:lineRule="auto"/>
        <w:jc w:val="center"/>
        <w:rPr>
          <w:b/>
          <w:bCs/>
          <w:sz w:val="24"/>
        </w:rPr>
      </w:pPr>
      <w:r>
        <w:rPr>
          <w:rFonts w:hint="eastAsia" w:hAnsiTheme="minorEastAsia"/>
          <w:b/>
          <w:bCs/>
          <w:sz w:val="24"/>
        </w:rPr>
        <w:t>残疾人福利性单位声明函</w:t>
      </w:r>
    </w:p>
    <w:p w14:paraId="37DA3D19">
      <w:pPr>
        <w:spacing w:line="588" w:lineRule="exact"/>
        <w:rPr>
          <w:b/>
          <w:spacing w:val="6"/>
          <w:sz w:val="30"/>
          <w:szCs w:val="30"/>
        </w:rPr>
      </w:pPr>
    </w:p>
    <w:p w14:paraId="78804A63">
      <w:pPr>
        <w:snapToGrid w:val="0"/>
        <w:spacing w:line="360" w:lineRule="auto"/>
        <w:ind w:firstLine="448" w:firstLineChars="200"/>
        <w:rPr>
          <w:sz w:val="24"/>
          <w:szCs w:val="21"/>
        </w:rPr>
      </w:pPr>
      <w:r>
        <w:rPr>
          <w:rFonts w:hint="eastAsia" w:hAnsiTheme="minorEastAsia"/>
          <w:sz w:val="24"/>
          <w:szCs w:val="21"/>
        </w:rPr>
        <w:t>本单位郑重声明，根据《财政部民政部中国残疾人联合会关于促进残疾人就业政府采购政策的通知》（财库〔</w:t>
      </w:r>
      <w:r>
        <w:rPr>
          <w:rFonts w:hint="eastAsia"/>
          <w:sz w:val="24"/>
          <w:szCs w:val="21"/>
        </w:rPr>
        <w:t>2017</w:t>
      </w:r>
      <w:r>
        <w:rPr>
          <w:rFonts w:hint="eastAsia" w:hAnsiTheme="minorEastAsia"/>
          <w:sz w:val="24"/>
          <w:szCs w:val="21"/>
        </w:rPr>
        <w:t>〕</w:t>
      </w:r>
      <w:r>
        <w:rPr>
          <w:rFonts w:hint="eastAsia"/>
          <w:sz w:val="24"/>
          <w:szCs w:val="21"/>
        </w:rPr>
        <w:t>141</w:t>
      </w:r>
      <w:r>
        <w:rPr>
          <w:rFonts w:hint="eastAsia" w:hAnsiTheme="minorEastAsia"/>
          <w:sz w:val="24"/>
          <w:szCs w:val="21"/>
        </w:rPr>
        <w:t>号）的规定，本单位为符合条件的残疾人福利性单位，且本单位参加</w:t>
      </w:r>
      <w:r>
        <w:rPr>
          <w:rFonts w:hint="eastAsia"/>
          <w:sz w:val="24"/>
          <w:szCs w:val="21"/>
        </w:rPr>
        <w:t>______</w:t>
      </w:r>
      <w:r>
        <w:rPr>
          <w:rFonts w:hint="eastAsia" w:hAnsiTheme="minorEastAsia"/>
          <w:sz w:val="24"/>
          <w:szCs w:val="21"/>
        </w:rPr>
        <w:t>单位的</w:t>
      </w:r>
      <w:r>
        <w:rPr>
          <w:rFonts w:hint="eastAsia"/>
          <w:sz w:val="24"/>
          <w:szCs w:val="21"/>
        </w:rPr>
        <w:t>______</w:t>
      </w:r>
      <w:r>
        <w:rPr>
          <w:rFonts w:hint="eastAsia" w:hAnsiTheme="minorEastAsia"/>
          <w:sz w:val="24"/>
          <w:szCs w:val="21"/>
        </w:rPr>
        <w:t>项目采购活动提供本单位制造的货物（由本单位承担工程</w:t>
      </w:r>
      <w:r>
        <w:rPr>
          <w:rFonts w:hint="eastAsia"/>
          <w:sz w:val="24"/>
          <w:szCs w:val="21"/>
        </w:rPr>
        <w:t>/</w:t>
      </w:r>
      <w:r>
        <w:rPr>
          <w:rFonts w:hint="eastAsia" w:hAnsiTheme="minorEastAsia"/>
          <w:sz w:val="24"/>
          <w:szCs w:val="21"/>
        </w:rPr>
        <w:t>提供服务），或者提供其他残疾人福利性单位制造的货物（不包括使用非残疾人福利性单位注册商标的货物）。</w:t>
      </w:r>
    </w:p>
    <w:p w14:paraId="4BCE5248">
      <w:pPr>
        <w:snapToGrid w:val="0"/>
        <w:spacing w:line="360" w:lineRule="auto"/>
        <w:ind w:firstLine="448" w:firstLineChars="200"/>
        <w:rPr>
          <w:sz w:val="24"/>
          <w:szCs w:val="21"/>
        </w:rPr>
      </w:pPr>
      <w:r>
        <w:rPr>
          <w:rFonts w:hint="eastAsia" w:hAnsiTheme="minorEastAsia"/>
          <w:sz w:val="24"/>
          <w:szCs w:val="21"/>
        </w:rPr>
        <w:t>本单位对上述声明的真实性负责。如有虚假，将依法承担相应责任。</w:t>
      </w:r>
    </w:p>
    <w:p w14:paraId="66BD3F19">
      <w:pPr>
        <w:snapToGrid w:val="0"/>
        <w:spacing w:line="360" w:lineRule="auto"/>
        <w:ind w:firstLine="448" w:firstLineChars="200"/>
        <w:rPr>
          <w:sz w:val="24"/>
          <w:szCs w:val="21"/>
        </w:rPr>
      </w:pPr>
    </w:p>
    <w:p w14:paraId="40E8BAE3">
      <w:pPr>
        <w:snapToGrid w:val="0"/>
        <w:spacing w:line="360" w:lineRule="auto"/>
        <w:ind w:firstLine="448" w:firstLineChars="200"/>
        <w:rPr>
          <w:sz w:val="24"/>
          <w:szCs w:val="21"/>
        </w:rPr>
      </w:pPr>
    </w:p>
    <w:p w14:paraId="4F141D6D">
      <w:pPr>
        <w:snapToGrid w:val="0"/>
        <w:spacing w:line="360" w:lineRule="auto"/>
        <w:ind w:firstLine="448" w:firstLineChars="200"/>
        <w:jc w:val="left"/>
        <w:rPr>
          <w:sz w:val="24"/>
          <w:szCs w:val="21"/>
        </w:rPr>
      </w:pPr>
      <w:r>
        <w:rPr>
          <w:rFonts w:hint="eastAsia" w:hAnsiTheme="minorEastAsia"/>
          <w:sz w:val="24"/>
          <w:szCs w:val="21"/>
        </w:rPr>
        <w:t>投标人名称：</w:t>
      </w:r>
    </w:p>
    <w:p w14:paraId="3B39A4D5">
      <w:pPr>
        <w:snapToGrid w:val="0"/>
        <w:spacing w:line="360" w:lineRule="auto"/>
        <w:ind w:firstLine="448" w:firstLineChars="200"/>
        <w:jc w:val="left"/>
        <w:rPr>
          <w:sz w:val="24"/>
          <w:szCs w:val="21"/>
        </w:rPr>
      </w:pPr>
    </w:p>
    <w:p w14:paraId="15F14B1E">
      <w:pPr>
        <w:snapToGrid w:val="0"/>
        <w:spacing w:line="360" w:lineRule="auto"/>
        <w:ind w:firstLine="448" w:firstLineChars="200"/>
        <w:jc w:val="left"/>
        <w:rPr>
          <w:sz w:val="24"/>
          <w:szCs w:val="21"/>
        </w:rPr>
      </w:pPr>
      <w:r>
        <w:rPr>
          <w:rFonts w:hint="eastAsia" w:hAnsiTheme="minorEastAsia"/>
          <w:sz w:val="24"/>
          <w:szCs w:val="21"/>
        </w:rPr>
        <w:t>日期：年月日</w:t>
      </w:r>
    </w:p>
    <w:p w14:paraId="14A555B2">
      <w:pPr>
        <w:snapToGrid w:val="0"/>
        <w:spacing w:line="360" w:lineRule="auto"/>
        <w:ind w:firstLine="448" w:firstLineChars="200"/>
        <w:jc w:val="left"/>
        <w:rPr>
          <w:sz w:val="24"/>
          <w:szCs w:val="21"/>
        </w:rPr>
      </w:pPr>
    </w:p>
    <w:p w14:paraId="46B12BEA">
      <w:pPr>
        <w:snapToGrid w:val="0"/>
        <w:spacing w:line="360" w:lineRule="auto"/>
        <w:ind w:firstLine="448" w:firstLineChars="200"/>
        <w:jc w:val="left"/>
        <w:rPr>
          <w:sz w:val="24"/>
          <w:szCs w:val="21"/>
        </w:rPr>
      </w:pPr>
    </w:p>
    <w:p w14:paraId="0337A277">
      <w:pPr>
        <w:snapToGrid w:val="0"/>
        <w:spacing w:line="360" w:lineRule="auto"/>
        <w:ind w:firstLine="448" w:firstLineChars="200"/>
        <w:rPr>
          <w:sz w:val="24"/>
          <w:szCs w:val="21"/>
        </w:rPr>
      </w:pPr>
      <w:r>
        <w:rPr>
          <w:rFonts w:hint="eastAsia" w:hAnsiTheme="minorEastAsia"/>
          <w:sz w:val="24"/>
          <w:szCs w:val="21"/>
        </w:rPr>
        <w:t>注：</w:t>
      </w:r>
    </w:p>
    <w:p w14:paraId="416C6850">
      <w:pPr>
        <w:snapToGrid w:val="0"/>
        <w:spacing w:line="360" w:lineRule="auto"/>
        <w:ind w:firstLine="448" w:firstLineChars="200"/>
        <w:rPr>
          <w:b/>
          <w:sz w:val="24"/>
          <w:szCs w:val="21"/>
        </w:rPr>
      </w:pPr>
      <w:r>
        <w:rPr>
          <w:b/>
          <w:sz w:val="24"/>
          <w:szCs w:val="21"/>
        </w:rPr>
        <w:t>中标供应商为残疾人福利性单位的，将随中标结果同时公告其《残疾人福利性单位声明函》，接受社会监督。</w:t>
      </w:r>
    </w:p>
    <w:p w14:paraId="66B4DA40">
      <w:pPr>
        <w:snapToGrid w:val="0"/>
        <w:spacing w:line="360" w:lineRule="auto"/>
        <w:ind w:firstLine="448" w:firstLineChars="200"/>
        <w:rPr>
          <w:b/>
          <w:sz w:val="24"/>
          <w:szCs w:val="21"/>
        </w:rPr>
      </w:pPr>
      <w:r>
        <w:rPr>
          <w:b/>
          <w:kern w:val="0"/>
          <w:sz w:val="24"/>
          <w:szCs w:val="21"/>
        </w:rPr>
        <w:t>若不是残疾人福利性单位，投标文件中可不提供此声明函。</w:t>
      </w:r>
    </w:p>
    <w:p w14:paraId="364FA5B9">
      <w:pPr>
        <w:widowControl/>
        <w:jc w:val="left"/>
        <w:rPr>
          <w:b/>
          <w:sz w:val="24"/>
        </w:rPr>
      </w:pPr>
      <w:r>
        <w:rPr>
          <w:b/>
          <w:sz w:val="24"/>
        </w:rPr>
        <w:br w:type="page"/>
      </w:r>
    </w:p>
    <w:p w14:paraId="1F955889">
      <w:pPr>
        <w:spacing w:line="560" w:lineRule="exact"/>
        <w:jc w:val="left"/>
        <w:rPr>
          <w:b/>
          <w:sz w:val="24"/>
        </w:rPr>
      </w:pPr>
      <w:r>
        <w:rPr>
          <w:rFonts w:hAnsiTheme="minorEastAsia"/>
          <w:b/>
          <w:sz w:val="24"/>
        </w:rPr>
        <w:t>附件</w:t>
      </w:r>
      <w:r>
        <w:rPr>
          <w:rFonts w:hint="eastAsia"/>
          <w:b/>
          <w:sz w:val="24"/>
        </w:rPr>
        <w:t>10</w:t>
      </w:r>
      <w:r>
        <w:rPr>
          <w:rFonts w:hAnsiTheme="minorEastAsia"/>
          <w:b/>
          <w:sz w:val="24"/>
        </w:rPr>
        <w:t>：招标文件第</w:t>
      </w:r>
      <w:r>
        <w:rPr>
          <w:rFonts w:hint="eastAsia" w:hAnsiTheme="minorEastAsia"/>
          <w:b/>
          <w:sz w:val="24"/>
        </w:rPr>
        <w:t>一</w:t>
      </w:r>
      <w:r>
        <w:rPr>
          <w:rFonts w:hAnsiTheme="minorEastAsia"/>
          <w:b/>
          <w:sz w:val="24"/>
        </w:rPr>
        <w:t>部分供应商资格要求的证件</w:t>
      </w:r>
    </w:p>
    <w:p w14:paraId="452794FD">
      <w:pPr>
        <w:spacing w:line="560" w:lineRule="exact"/>
        <w:jc w:val="left"/>
        <w:rPr>
          <w:sz w:val="28"/>
        </w:rPr>
      </w:pPr>
    </w:p>
    <w:p w14:paraId="1CD754DA">
      <w:pPr>
        <w:spacing w:line="560" w:lineRule="exact"/>
        <w:jc w:val="left"/>
        <w:rPr>
          <w:sz w:val="28"/>
        </w:rPr>
      </w:pPr>
    </w:p>
    <w:p w14:paraId="0BE679B3">
      <w:pPr>
        <w:spacing w:line="560" w:lineRule="exact"/>
        <w:jc w:val="left"/>
        <w:rPr>
          <w:sz w:val="28"/>
        </w:rPr>
      </w:pPr>
    </w:p>
    <w:p w14:paraId="3DB04893">
      <w:pPr>
        <w:spacing w:line="560" w:lineRule="exact"/>
        <w:jc w:val="left"/>
        <w:rPr>
          <w:sz w:val="28"/>
        </w:rPr>
      </w:pPr>
    </w:p>
    <w:p w14:paraId="7201A06E">
      <w:pPr>
        <w:spacing w:line="560" w:lineRule="exact"/>
        <w:jc w:val="left"/>
        <w:rPr>
          <w:sz w:val="28"/>
        </w:rPr>
      </w:pPr>
    </w:p>
    <w:p w14:paraId="24E436D7">
      <w:pPr>
        <w:spacing w:line="560" w:lineRule="exact"/>
        <w:jc w:val="left"/>
        <w:rPr>
          <w:sz w:val="28"/>
        </w:rPr>
      </w:pPr>
    </w:p>
    <w:p w14:paraId="04A86077">
      <w:pPr>
        <w:spacing w:line="560" w:lineRule="exact"/>
        <w:jc w:val="left"/>
        <w:rPr>
          <w:sz w:val="28"/>
        </w:rPr>
      </w:pPr>
    </w:p>
    <w:p w14:paraId="40054A13">
      <w:pPr>
        <w:spacing w:line="560" w:lineRule="exact"/>
        <w:jc w:val="left"/>
        <w:rPr>
          <w:sz w:val="28"/>
        </w:rPr>
      </w:pPr>
    </w:p>
    <w:p w14:paraId="5F7A560C">
      <w:pPr>
        <w:spacing w:line="560" w:lineRule="exact"/>
        <w:jc w:val="left"/>
        <w:rPr>
          <w:sz w:val="28"/>
        </w:rPr>
      </w:pPr>
    </w:p>
    <w:p w14:paraId="0806733A">
      <w:pPr>
        <w:spacing w:line="560" w:lineRule="exact"/>
        <w:jc w:val="left"/>
        <w:rPr>
          <w:sz w:val="28"/>
        </w:rPr>
      </w:pPr>
    </w:p>
    <w:p w14:paraId="290E75D9">
      <w:pPr>
        <w:spacing w:line="560" w:lineRule="exact"/>
        <w:jc w:val="left"/>
        <w:rPr>
          <w:sz w:val="28"/>
        </w:rPr>
      </w:pPr>
    </w:p>
    <w:p w14:paraId="02BBD94E">
      <w:pPr>
        <w:spacing w:line="560" w:lineRule="exact"/>
        <w:jc w:val="left"/>
        <w:rPr>
          <w:sz w:val="28"/>
        </w:rPr>
      </w:pPr>
    </w:p>
    <w:p w14:paraId="13A944BC">
      <w:pPr>
        <w:spacing w:line="560" w:lineRule="exact"/>
        <w:jc w:val="left"/>
        <w:rPr>
          <w:sz w:val="28"/>
        </w:rPr>
      </w:pPr>
    </w:p>
    <w:p w14:paraId="2C135DE2">
      <w:pPr>
        <w:spacing w:line="560" w:lineRule="exact"/>
        <w:jc w:val="left"/>
        <w:rPr>
          <w:sz w:val="28"/>
        </w:rPr>
      </w:pPr>
    </w:p>
    <w:p w14:paraId="411C2567">
      <w:pPr>
        <w:spacing w:line="560" w:lineRule="exact"/>
        <w:jc w:val="left"/>
        <w:rPr>
          <w:sz w:val="28"/>
        </w:rPr>
      </w:pPr>
    </w:p>
    <w:p w14:paraId="45EDB4C6">
      <w:pPr>
        <w:spacing w:line="560" w:lineRule="exact"/>
        <w:jc w:val="left"/>
        <w:rPr>
          <w:sz w:val="28"/>
        </w:rPr>
      </w:pPr>
    </w:p>
    <w:p w14:paraId="1B97A3A3">
      <w:pPr>
        <w:spacing w:line="560" w:lineRule="exact"/>
        <w:jc w:val="left"/>
        <w:rPr>
          <w:sz w:val="28"/>
        </w:rPr>
      </w:pPr>
    </w:p>
    <w:p w14:paraId="70E545B5">
      <w:pPr>
        <w:spacing w:line="560" w:lineRule="exact"/>
        <w:jc w:val="left"/>
        <w:rPr>
          <w:sz w:val="28"/>
        </w:rPr>
      </w:pPr>
    </w:p>
    <w:p w14:paraId="50E5EDA9">
      <w:pPr>
        <w:spacing w:line="560" w:lineRule="exact"/>
        <w:jc w:val="left"/>
        <w:rPr>
          <w:sz w:val="28"/>
        </w:rPr>
      </w:pPr>
    </w:p>
    <w:p w14:paraId="7390D13C">
      <w:pPr>
        <w:spacing w:line="560" w:lineRule="exact"/>
        <w:jc w:val="left"/>
        <w:rPr>
          <w:sz w:val="28"/>
        </w:rPr>
      </w:pPr>
    </w:p>
    <w:p w14:paraId="7BBA331C">
      <w:pPr>
        <w:spacing w:line="560" w:lineRule="exact"/>
        <w:jc w:val="left"/>
        <w:rPr>
          <w:sz w:val="28"/>
        </w:rPr>
      </w:pPr>
    </w:p>
    <w:p w14:paraId="64D7BAC5">
      <w:pPr>
        <w:spacing w:line="560" w:lineRule="exact"/>
        <w:jc w:val="left"/>
        <w:rPr>
          <w:sz w:val="28"/>
        </w:rPr>
      </w:pPr>
    </w:p>
    <w:p w14:paraId="4D023198">
      <w:pPr>
        <w:spacing w:line="560" w:lineRule="exact"/>
        <w:jc w:val="left"/>
        <w:rPr>
          <w:sz w:val="28"/>
        </w:rPr>
      </w:pPr>
    </w:p>
    <w:p w14:paraId="22D394C6">
      <w:pPr>
        <w:widowControl/>
        <w:jc w:val="left"/>
        <w:rPr>
          <w:rFonts w:hAnsiTheme="minorEastAsia"/>
          <w:b/>
          <w:sz w:val="24"/>
        </w:rPr>
      </w:pPr>
      <w:r>
        <w:rPr>
          <w:rFonts w:hAnsiTheme="minorEastAsia"/>
          <w:b/>
          <w:sz w:val="24"/>
        </w:rPr>
        <w:br w:type="page"/>
      </w:r>
    </w:p>
    <w:p w14:paraId="5F9BCEE1">
      <w:pPr>
        <w:snapToGrid w:val="0"/>
        <w:spacing w:line="360" w:lineRule="auto"/>
        <w:rPr>
          <w:b/>
          <w:bCs/>
          <w:sz w:val="24"/>
        </w:rPr>
      </w:pPr>
      <w:r>
        <w:rPr>
          <w:b/>
          <w:sz w:val="24"/>
        </w:rPr>
        <w:t>附件1</w:t>
      </w:r>
      <w:r>
        <w:rPr>
          <w:rFonts w:hint="eastAsia"/>
          <w:b/>
          <w:sz w:val="24"/>
        </w:rPr>
        <w:t>1</w:t>
      </w:r>
      <w:r>
        <w:rPr>
          <w:b/>
          <w:sz w:val="24"/>
        </w:rPr>
        <w:t>：招标文件</w:t>
      </w:r>
      <w:r>
        <w:rPr>
          <w:b/>
          <w:bCs/>
          <w:sz w:val="24"/>
        </w:rPr>
        <w:t>评分因素及评标标准中要求的证明材料电子件、方案等</w:t>
      </w:r>
    </w:p>
    <w:p w14:paraId="7DA24AC7">
      <w:pPr>
        <w:tabs>
          <w:tab w:val="left" w:pos="412"/>
          <w:tab w:val="left" w:pos="618"/>
        </w:tabs>
        <w:spacing w:line="520" w:lineRule="exact"/>
        <w:jc w:val="center"/>
        <w:rPr>
          <w:sz w:val="24"/>
          <w:szCs w:val="21"/>
        </w:rPr>
      </w:pPr>
    </w:p>
    <w:p w14:paraId="602A7A1C">
      <w:pPr>
        <w:tabs>
          <w:tab w:val="left" w:pos="412"/>
          <w:tab w:val="left" w:pos="618"/>
        </w:tabs>
        <w:spacing w:line="520" w:lineRule="exact"/>
        <w:jc w:val="center"/>
        <w:rPr>
          <w:sz w:val="24"/>
          <w:szCs w:val="21"/>
        </w:rPr>
      </w:pPr>
    </w:p>
    <w:p w14:paraId="7C76B040">
      <w:pPr>
        <w:tabs>
          <w:tab w:val="left" w:pos="412"/>
          <w:tab w:val="left" w:pos="618"/>
        </w:tabs>
        <w:spacing w:line="520" w:lineRule="exact"/>
        <w:jc w:val="center"/>
        <w:rPr>
          <w:sz w:val="24"/>
          <w:szCs w:val="21"/>
        </w:rPr>
      </w:pPr>
    </w:p>
    <w:p w14:paraId="6B9088BE">
      <w:pPr>
        <w:widowControl/>
        <w:jc w:val="left"/>
        <w:rPr>
          <w:sz w:val="24"/>
          <w:szCs w:val="21"/>
        </w:rPr>
      </w:pPr>
      <w:r>
        <w:rPr>
          <w:sz w:val="24"/>
          <w:szCs w:val="21"/>
        </w:rPr>
        <w:br w:type="page"/>
      </w:r>
    </w:p>
    <w:p w14:paraId="7E0581E1">
      <w:pPr>
        <w:snapToGrid w:val="0"/>
        <w:spacing w:line="360" w:lineRule="auto"/>
        <w:rPr>
          <w:b/>
          <w:sz w:val="24"/>
          <w:szCs w:val="21"/>
        </w:rPr>
      </w:pPr>
      <w:r>
        <w:rPr>
          <w:b/>
          <w:bCs/>
          <w:sz w:val="24"/>
        </w:rPr>
        <w:t>附件1</w:t>
      </w:r>
      <w:r>
        <w:rPr>
          <w:rFonts w:hint="eastAsia"/>
          <w:b/>
          <w:bCs/>
          <w:sz w:val="24"/>
        </w:rPr>
        <w:t>2</w:t>
      </w:r>
      <w:r>
        <w:rPr>
          <w:b/>
          <w:bCs/>
          <w:sz w:val="24"/>
        </w:rPr>
        <w:t>：</w:t>
      </w:r>
      <w:r>
        <w:rPr>
          <w:b/>
          <w:sz w:val="24"/>
        </w:rPr>
        <w:t>投标人认为需要提供的其他资料</w:t>
      </w:r>
    </w:p>
    <w:p w14:paraId="7E4EF619">
      <w:pPr>
        <w:tabs>
          <w:tab w:val="left" w:pos="412"/>
          <w:tab w:val="left" w:pos="618"/>
        </w:tabs>
        <w:spacing w:line="520" w:lineRule="exact"/>
        <w:jc w:val="center"/>
        <w:rPr>
          <w:sz w:val="24"/>
          <w:szCs w:val="21"/>
        </w:rPr>
      </w:pPr>
    </w:p>
    <w:p w14:paraId="4A6AB879">
      <w:pPr>
        <w:pStyle w:val="15"/>
        <w:rPr>
          <w:rFonts w:ascii="Times New Roman" w:hAnsi="Times New Roman"/>
          <w:sz w:val="24"/>
          <w:szCs w:val="21"/>
        </w:rPr>
      </w:pPr>
    </w:p>
    <w:sectPr>
      <w:footerReference r:id="rId4" w:type="default"/>
      <w:pgSz w:w="11906" w:h="16838"/>
      <w:pgMar w:top="1440" w:right="1797" w:bottom="1440" w:left="1797" w:header="851" w:footer="992" w:gutter="0"/>
      <w:pgNumType w:start="1"/>
      <w:cols w:space="425" w:num="1"/>
      <w:docGrid w:type="linesAndChars" w:linePitch="285" w:charSpace="-34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Cambria">
    <w:panose1 w:val="02040503050406030204"/>
    <w:charset w:val="00"/>
    <w:family w:val="roman"/>
    <w:pitch w:val="default"/>
    <w:sig w:usb0="E00002FF" w:usb1="400004FF" w:usb2="00000000" w:usb3="00000000" w:csb0="2000019F" w:csb1="00000000"/>
  </w:font>
  <w:font w:name="Consolas">
    <w:panose1 w:val="020B0609020204030204"/>
    <w:charset w:val="00"/>
    <w:family w:val="auto"/>
    <w:pitch w:val="default"/>
    <w:sig w:usb0="E10002FF" w:usb1="4000FCFF" w:usb2="00000009" w:usb3="00000000" w:csb0="6000019F" w:csb1="DFD70000"/>
  </w:font>
  <w:font w:name=".......">
    <w:altName w:val="宋体"/>
    <w:panose1 w:val="00000000000000000000"/>
    <w:charset w:val="86"/>
    <w:family w:val="roman"/>
    <w:pitch w:val="default"/>
    <w:sig w:usb0="00000000" w:usb1="00000000" w:usb2="00000010" w:usb3="00000000" w:csb0="00040000"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modern"/>
    <w:pitch w:val="default"/>
    <w:sig w:usb0="800002BF" w:usb1="38CF7CFA" w:usb2="00000016" w:usb3="00000000" w:csb0="00040001" w:csb1="00000000"/>
  </w:font>
  <w:font w:name="����">
    <w:altName w:val="微软雅黑"/>
    <w:panose1 w:val="00000000000000000000"/>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521CEC">
    <w:pPr>
      <w:pStyle w:val="13"/>
      <w:jc w:val="center"/>
    </w:pPr>
    <w:r>
      <w:rPr>
        <w:b/>
      </w:rPr>
      <w:fldChar w:fldCharType="begin"/>
    </w:r>
    <w:r>
      <w:rPr>
        <w:b/>
      </w:rPr>
      <w:instrText xml:space="preserve">PAGE  \* Arabic  \* MERGEFORMAT</w:instrText>
    </w:r>
    <w:r>
      <w:rPr>
        <w:b/>
      </w:rPr>
      <w:fldChar w:fldCharType="separate"/>
    </w:r>
    <w:r>
      <w:rPr>
        <w:b/>
        <w:lang w:val="zh-CN"/>
      </w:rPr>
      <w:t>10</w:t>
    </w:r>
    <w:r>
      <w:rPr>
        <w:b/>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AA7DD7">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D00215"/>
    <w:multiLevelType w:val="singleLevel"/>
    <w:tmpl w:val="9BD00215"/>
    <w:lvl w:ilvl="0" w:tentative="0">
      <w:start w:val="1"/>
      <w:numFmt w:val="decimal"/>
      <w:suff w:val="nothing"/>
      <w:lvlText w:val="%1、"/>
      <w:lvlJc w:val="left"/>
    </w:lvl>
  </w:abstractNum>
  <w:abstractNum w:abstractNumId="1">
    <w:nsid w:val="BCF5A594"/>
    <w:multiLevelType w:val="singleLevel"/>
    <w:tmpl w:val="BCF5A594"/>
    <w:lvl w:ilvl="0" w:tentative="0">
      <w:start w:val="2"/>
      <w:numFmt w:val="decimal"/>
      <w:suff w:val="nothing"/>
      <w:lvlText w:val="%1、"/>
      <w:lvlJc w:val="left"/>
    </w:lvl>
  </w:abstractNum>
  <w:abstractNum w:abstractNumId="2">
    <w:nsid w:val="DB4A9401"/>
    <w:multiLevelType w:val="singleLevel"/>
    <w:tmpl w:val="DB4A9401"/>
    <w:lvl w:ilvl="0" w:tentative="0">
      <w:start w:val="1"/>
      <w:numFmt w:val="decimal"/>
      <w:suff w:val="nothing"/>
      <w:lvlText w:val="%1、"/>
      <w:lvlJc w:val="left"/>
    </w:lvl>
  </w:abstractNum>
  <w:abstractNum w:abstractNumId="3">
    <w:nsid w:val="DF1D2495"/>
    <w:multiLevelType w:val="singleLevel"/>
    <w:tmpl w:val="DF1D2495"/>
    <w:lvl w:ilvl="0" w:tentative="0">
      <w:start w:val="1"/>
      <w:numFmt w:val="decimal"/>
      <w:suff w:val="nothing"/>
      <w:lvlText w:val="%1、"/>
      <w:lvlJc w:val="left"/>
    </w:lvl>
  </w:abstractNum>
  <w:abstractNum w:abstractNumId="4">
    <w:nsid w:val="E912AD8D"/>
    <w:multiLevelType w:val="singleLevel"/>
    <w:tmpl w:val="E912AD8D"/>
    <w:lvl w:ilvl="0" w:tentative="0">
      <w:start w:val="2"/>
      <w:numFmt w:val="decimal"/>
      <w:lvlText w:val="%1."/>
      <w:lvlJc w:val="left"/>
      <w:pPr>
        <w:tabs>
          <w:tab w:val="left" w:pos="312"/>
        </w:tabs>
      </w:pPr>
    </w:lvl>
  </w:abstractNum>
  <w:abstractNum w:abstractNumId="5">
    <w:nsid w:val="1A1D1152"/>
    <w:multiLevelType w:val="multilevel"/>
    <w:tmpl w:val="1A1D1152"/>
    <w:lvl w:ilvl="0" w:tentative="0">
      <w:start w:val="1"/>
      <w:numFmt w:val="bullet"/>
      <w:lvlText w:val=""/>
      <w:lvlJc w:val="left"/>
      <w:pPr>
        <w:ind w:left="866" w:hanging="420"/>
      </w:pPr>
      <w:rPr>
        <w:rFonts w:hint="default" w:ascii="Wingdings" w:hAnsi="Wingdings"/>
      </w:rPr>
    </w:lvl>
    <w:lvl w:ilvl="1" w:tentative="0">
      <w:start w:val="1"/>
      <w:numFmt w:val="bullet"/>
      <w:lvlText w:val=""/>
      <w:lvlJc w:val="left"/>
      <w:pPr>
        <w:ind w:left="1286" w:hanging="420"/>
      </w:pPr>
      <w:rPr>
        <w:rFonts w:hint="default" w:ascii="Wingdings" w:hAnsi="Wingdings"/>
      </w:rPr>
    </w:lvl>
    <w:lvl w:ilvl="2" w:tentative="0">
      <w:start w:val="1"/>
      <w:numFmt w:val="bullet"/>
      <w:lvlText w:val=""/>
      <w:lvlJc w:val="left"/>
      <w:pPr>
        <w:ind w:left="1706" w:hanging="420"/>
      </w:pPr>
      <w:rPr>
        <w:rFonts w:hint="default" w:ascii="Wingdings" w:hAnsi="Wingdings"/>
      </w:rPr>
    </w:lvl>
    <w:lvl w:ilvl="3" w:tentative="0">
      <w:start w:val="1"/>
      <w:numFmt w:val="bullet"/>
      <w:lvlText w:val=""/>
      <w:lvlJc w:val="left"/>
      <w:pPr>
        <w:ind w:left="2126" w:hanging="420"/>
      </w:pPr>
      <w:rPr>
        <w:rFonts w:hint="default" w:ascii="Wingdings" w:hAnsi="Wingdings"/>
      </w:rPr>
    </w:lvl>
    <w:lvl w:ilvl="4" w:tentative="0">
      <w:start w:val="1"/>
      <w:numFmt w:val="bullet"/>
      <w:lvlText w:val=""/>
      <w:lvlJc w:val="left"/>
      <w:pPr>
        <w:ind w:left="2546" w:hanging="420"/>
      </w:pPr>
      <w:rPr>
        <w:rFonts w:hint="default" w:ascii="Wingdings" w:hAnsi="Wingdings"/>
      </w:rPr>
    </w:lvl>
    <w:lvl w:ilvl="5" w:tentative="0">
      <w:start w:val="1"/>
      <w:numFmt w:val="bullet"/>
      <w:lvlText w:val=""/>
      <w:lvlJc w:val="left"/>
      <w:pPr>
        <w:ind w:left="2966" w:hanging="420"/>
      </w:pPr>
      <w:rPr>
        <w:rFonts w:hint="default" w:ascii="Wingdings" w:hAnsi="Wingdings"/>
      </w:rPr>
    </w:lvl>
    <w:lvl w:ilvl="6" w:tentative="0">
      <w:start w:val="1"/>
      <w:numFmt w:val="bullet"/>
      <w:lvlText w:val=""/>
      <w:lvlJc w:val="left"/>
      <w:pPr>
        <w:ind w:left="3386" w:hanging="420"/>
      </w:pPr>
      <w:rPr>
        <w:rFonts w:hint="default" w:ascii="Wingdings" w:hAnsi="Wingdings"/>
      </w:rPr>
    </w:lvl>
    <w:lvl w:ilvl="7" w:tentative="0">
      <w:start w:val="1"/>
      <w:numFmt w:val="bullet"/>
      <w:lvlText w:val=""/>
      <w:lvlJc w:val="left"/>
      <w:pPr>
        <w:ind w:left="3806" w:hanging="420"/>
      </w:pPr>
      <w:rPr>
        <w:rFonts w:hint="default" w:ascii="Wingdings" w:hAnsi="Wingdings"/>
      </w:rPr>
    </w:lvl>
    <w:lvl w:ilvl="8" w:tentative="0">
      <w:start w:val="1"/>
      <w:numFmt w:val="bullet"/>
      <w:lvlText w:val=""/>
      <w:lvlJc w:val="left"/>
      <w:pPr>
        <w:ind w:left="4226" w:hanging="420"/>
      </w:pPr>
      <w:rPr>
        <w:rFonts w:hint="default" w:ascii="Wingdings" w:hAnsi="Wingdings"/>
      </w:rPr>
    </w:lvl>
  </w:abstractNum>
  <w:abstractNum w:abstractNumId="6">
    <w:nsid w:val="2E4CA392"/>
    <w:multiLevelType w:val="singleLevel"/>
    <w:tmpl w:val="2E4CA392"/>
    <w:lvl w:ilvl="0" w:tentative="0">
      <w:start w:val="1"/>
      <w:numFmt w:val="decimal"/>
      <w:suff w:val="nothing"/>
      <w:lvlText w:val="%1、"/>
      <w:lvlJc w:val="left"/>
    </w:lvl>
  </w:abstractNum>
  <w:abstractNum w:abstractNumId="7">
    <w:nsid w:val="367F6A45"/>
    <w:multiLevelType w:val="multilevel"/>
    <w:tmpl w:val="367F6A45"/>
    <w:lvl w:ilvl="0" w:tentative="0">
      <w:start w:val="1"/>
      <w:numFmt w:val="decimal"/>
      <w:pStyle w:val="4"/>
      <w:lvlText w:val="%1."/>
      <w:lvlJc w:val="left"/>
      <w:pPr>
        <w:ind w:left="360" w:hanging="360"/>
      </w:pPr>
      <w:rPr>
        <w:rFonts w:hint="default"/>
      </w:rPr>
    </w:lvl>
    <w:lvl w:ilvl="1" w:tentative="0">
      <w:start w:val="1"/>
      <w:numFmt w:val="decimal"/>
      <w:pStyle w:val="3"/>
      <w:lvlText w:val="%1.%2"/>
      <w:lvlJc w:val="left"/>
      <w:pPr>
        <w:tabs>
          <w:tab w:val="left" w:pos="432"/>
        </w:tabs>
        <w:ind w:left="432" w:hanging="432"/>
      </w:pPr>
      <w:rPr>
        <w:rFonts w:hint="default"/>
      </w:rPr>
    </w:lvl>
    <w:lvl w:ilvl="2" w:tentative="0">
      <w:start w:val="1"/>
      <w:numFmt w:val="lowerLetter"/>
      <w:pStyle w:val="8"/>
      <w:lvlText w:val="%3."/>
      <w:lvlJc w:val="left"/>
      <w:pPr>
        <w:ind w:left="792" w:hanging="360"/>
      </w:pPr>
      <w:rPr>
        <w:rFonts w:hint="default"/>
      </w:rPr>
    </w:lvl>
    <w:lvl w:ilvl="3" w:tentative="0">
      <w:start w:val="1"/>
      <w:numFmt w:val="lowerRoman"/>
      <w:pStyle w:val="10"/>
      <w:lvlText w:val="%4."/>
      <w:lvlJc w:val="left"/>
      <w:pPr>
        <w:ind w:left="1152" w:hanging="360"/>
      </w:pPr>
      <w:rPr>
        <w:rFonts w:hint="default"/>
      </w:rPr>
    </w:lvl>
    <w:lvl w:ilvl="4" w:tentative="0">
      <w:start w:val="1"/>
      <w:numFmt w:val="lowerLetter"/>
      <w:pStyle w:val="16"/>
      <w:lvlText w:val="(%5)"/>
      <w:lvlJc w:val="left"/>
      <w:pPr>
        <w:ind w:left="1512" w:hanging="360"/>
      </w:pPr>
      <w:rPr>
        <w:rFonts w:hint="default"/>
      </w:rPr>
    </w:lvl>
    <w:lvl w:ilvl="5" w:tentative="0">
      <w:start w:val="1"/>
      <w:numFmt w:val="lowerRoman"/>
      <w:lvlText w:val="(%6)"/>
      <w:lvlJc w:val="left"/>
      <w:pPr>
        <w:ind w:left="1872" w:hanging="360"/>
      </w:pPr>
      <w:rPr>
        <w:rFonts w:hint="default"/>
      </w:rPr>
    </w:lvl>
    <w:lvl w:ilvl="6" w:tentative="0">
      <w:start w:val="1"/>
      <w:numFmt w:val="decimal"/>
      <w:lvlText w:val="%7."/>
      <w:lvlJc w:val="left"/>
      <w:pPr>
        <w:ind w:left="2232" w:hanging="360"/>
      </w:pPr>
      <w:rPr>
        <w:rFonts w:hint="default"/>
      </w:rPr>
    </w:lvl>
    <w:lvl w:ilvl="7" w:tentative="0">
      <w:start w:val="1"/>
      <w:numFmt w:val="lowerLetter"/>
      <w:lvlText w:val="%8."/>
      <w:lvlJc w:val="left"/>
      <w:pPr>
        <w:ind w:left="2592" w:hanging="360"/>
      </w:pPr>
      <w:rPr>
        <w:rFonts w:hint="default"/>
      </w:rPr>
    </w:lvl>
    <w:lvl w:ilvl="8" w:tentative="0">
      <w:start w:val="1"/>
      <w:numFmt w:val="lowerRoman"/>
      <w:lvlText w:val="%9."/>
      <w:lvlJc w:val="left"/>
      <w:pPr>
        <w:ind w:left="2952" w:hanging="360"/>
      </w:pPr>
      <w:rPr>
        <w:rFonts w:hint="default"/>
      </w:rPr>
    </w:lvl>
  </w:abstractNum>
  <w:abstractNum w:abstractNumId="8">
    <w:nsid w:val="60AF5324"/>
    <w:multiLevelType w:val="multilevel"/>
    <w:tmpl w:val="60AF5324"/>
    <w:lvl w:ilvl="0" w:tentative="0">
      <w:start w:val="1"/>
      <w:numFmt w:val="decimal"/>
      <w:lvlText w:val="%1."/>
      <w:lvlJc w:val="left"/>
      <w:pPr>
        <w:ind w:left="360" w:hanging="360"/>
      </w:pPr>
      <w:rPr>
        <w:rFonts w:hint="default" w:eastAsia="等线"/>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730432B4"/>
    <w:multiLevelType w:val="multilevel"/>
    <w:tmpl w:val="730432B4"/>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7"/>
  </w:num>
  <w:num w:numId="2">
    <w:abstractNumId w:val="4"/>
  </w:num>
  <w:num w:numId="3">
    <w:abstractNumId w:val="8"/>
  </w:num>
  <w:num w:numId="4">
    <w:abstractNumId w:val="9"/>
  </w:num>
  <w:num w:numId="5">
    <w:abstractNumId w:val="0"/>
  </w:num>
  <w:num w:numId="6">
    <w:abstractNumId w:val="6"/>
  </w:num>
  <w:num w:numId="7">
    <w:abstractNumId w:val="2"/>
  </w:num>
  <w:num w:numId="8">
    <w:abstractNumId w:val="1"/>
  </w:num>
  <w:num w:numId="9">
    <w:abstractNumId w:val="3"/>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D09"/>
    <w:rsid w:val="000014E1"/>
    <w:rsid w:val="00001FD1"/>
    <w:rsid w:val="00010DCF"/>
    <w:rsid w:val="00011B73"/>
    <w:rsid w:val="00013068"/>
    <w:rsid w:val="00013701"/>
    <w:rsid w:val="00013BB7"/>
    <w:rsid w:val="000142F9"/>
    <w:rsid w:val="00017C2D"/>
    <w:rsid w:val="00025169"/>
    <w:rsid w:val="000279E6"/>
    <w:rsid w:val="000308AC"/>
    <w:rsid w:val="00031715"/>
    <w:rsid w:val="00032015"/>
    <w:rsid w:val="00036A32"/>
    <w:rsid w:val="000403B6"/>
    <w:rsid w:val="00040BFA"/>
    <w:rsid w:val="0004130F"/>
    <w:rsid w:val="00042FFE"/>
    <w:rsid w:val="00045920"/>
    <w:rsid w:val="00046460"/>
    <w:rsid w:val="00046B3D"/>
    <w:rsid w:val="00050365"/>
    <w:rsid w:val="00053AAE"/>
    <w:rsid w:val="00055AED"/>
    <w:rsid w:val="00056208"/>
    <w:rsid w:val="0005643C"/>
    <w:rsid w:val="00056EF3"/>
    <w:rsid w:val="000607D4"/>
    <w:rsid w:val="00065BDD"/>
    <w:rsid w:val="0007081F"/>
    <w:rsid w:val="00072919"/>
    <w:rsid w:val="00074F44"/>
    <w:rsid w:val="000756A0"/>
    <w:rsid w:val="00075A17"/>
    <w:rsid w:val="00075AF1"/>
    <w:rsid w:val="00075C85"/>
    <w:rsid w:val="00076BA5"/>
    <w:rsid w:val="000826F9"/>
    <w:rsid w:val="00086439"/>
    <w:rsid w:val="00092400"/>
    <w:rsid w:val="000A260B"/>
    <w:rsid w:val="000A5CEA"/>
    <w:rsid w:val="000A62E5"/>
    <w:rsid w:val="000B1CA7"/>
    <w:rsid w:val="000B2975"/>
    <w:rsid w:val="000B4BF2"/>
    <w:rsid w:val="000B5BA1"/>
    <w:rsid w:val="000B78E8"/>
    <w:rsid w:val="000C337F"/>
    <w:rsid w:val="000C4541"/>
    <w:rsid w:val="000C6CA8"/>
    <w:rsid w:val="000C7A3F"/>
    <w:rsid w:val="000C7D81"/>
    <w:rsid w:val="000D26D7"/>
    <w:rsid w:val="000D2F5A"/>
    <w:rsid w:val="000D321F"/>
    <w:rsid w:val="000D3C29"/>
    <w:rsid w:val="000D514E"/>
    <w:rsid w:val="000D5DE9"/>
    <w:rsid w:val="000D690F"/>
    <w:rsid w:val="000E50F9"/>
    <w:rsid w:val="000E5380"/>
    <w:rsid w:val="000E6A76"/>
    <w:rsid w:val="000F08EE"/>
    <w:rsid w:val="000F1202"/>
    <w:rsid w:val="000F1454"/>
    <w:rsid w:val="000F48D9"/>
    <w:rsid w:val="000F4D4E"/>
    <w:rsid w:val="000F5C82"/>
    <w:rsid w:val="000F6957"/>
    <w:rsid w:val="001057D8"/>
    <w:rsid w:val="001148E6"/>
    <w:rsid w:val="001165C6"/>
    <w:rsid w:val="00120B9A"/>
    <w:rsid w:val="00121CDE"/>
    <w:rsid w:val="00123BF8"/>
    <w:rsid w:val="001256ED"/>
    <w:rsid w:val="0012609D"/>
    <w:rsid w:val="00126B4D"/>
    <w:rsid w:val="001303B1"/>
    <w:rsid w:val="00130AD2"/>
    <w:rsid w:val="00130B12"/>
    <w:rsid w:val="00132342"/>
    <w:rsid w:val="00136F51"/>
    <w:rsid w:val="00136FA7"/>
    <w:rsid w:val="001411F4"/>
    <w:rsid w:val="001415E2"/>
    <w:rsid w:val="00141664"/>
    <w:rsid w:val="001418B8"/>
    <w:rsid w:val="00143B4D"/>
    <w:rsid w:val="0014712D"/>
    <w:rsid w:val="00147C7C"/>
    <w:rsid w:val="001524A8"/>
    <w:rsid w:val="001548C7"/>
    <w:rsid w:val="00155128"/>
    <w:rsid w:val="001659F0"/>
    <w:rsid w:val="00166A23"/>
    <w:rsid w:val="001704C8"/>
    <w:rsid w:val="001707F2"/>
    <w:rsid w:val="00170AF0"/>
    <w:rsid w:val="00173561"/>
    <w:rsid w:val="00176E4F"/>
    <w:rsid w:val="00181ED5"/>
    <w:rsid w:val="001834DA"/>
    <w:rsid w:val="001837F4"/>
    <w:rsid w:val="00184B7F"/>
    <w:rsid w:val="00185D85"/>
    <w:rsid w:val="00187959"/>
    <w:rsid w:val="00190D07"/>
    <w:rsid w:val="00193BCD"/>
    <w:rsid w:val="0019431D"/>
    <w:rsid w:val="00194FBC"/>
    <w:rsid w:val="00196A86"/>
    <w:rsid w:val="00196D6B"/>
    <w:rsid w:val="00196E07"/>
    <w:rsid w:val="001A0C29"/>
    <w:rsid w:val="001A142F"/>
    <w:rsid w:val="001A2919"/>
    <w:rsid w:val="001A3DE3"/>
    <w:rsid w:val="001A46F9"/>
    <w:rsid w:val="001A6C7C"/>
    <w:rsid w:val="001A7B79"/>
    <w:rsid w:val="001B5BEA"/>
    <w:rsid w:val="001B72DA"/>
    <w:rsid w:val="001B7417"/>
    <w:rsid w:val="001B78FF"/>
    <w:rsid w:val="001C0D8C"/>
    <w:rsid w:val="001C0E64"/>
    <w:rsid w:val="001C100F"/>
    <w:rsid w:val="001C1981"/>
    <w:rsid w:val="001C1AFF"/>
    <w:rsid w:val="001C3CB7"/>
    <w:rsid w:val="001C50CC"/>
    <w:rsid w:val="001D1850"/>
    <w:rsid w:val="001D4FB9"/>
    <w:rsid w:val="001E2963"/>
    <w:rsid w:val="001E3CB7"/>
    <w:rsid w:val="001E5483"/>
    <w:rsid w:val="001F185D"/>
    <w:rsid w:val="001F1DE0"/>
    <w:rsid w:val="001F2B50"/>
    <w:rsid w:val="001F345B"/>
    <w:rsid w:val="001F4AD6"/>
    <w:rsid w:val="001F65EF"/>
    <w:rsid w:val="001F6DCF"/>
    <w:rsid w:val="002027E3"/>
    <w:rsid w:val="00203828"/>
    <w:rsid w:val="00206328"/>
    <w:rsid w:val="002113A2"/>
    <w:rsid w:val="00212E26"/>
    <w:rsid w:val="00214D65"/>
    <w:rsid w:val="00215764"/>
    <w:rsid w:val="0021638D"/>
    <w:rsid w:val="00220883"/>
    <w:rsid w:val="00230077"/>
    <w:rsid w:val="002320BD"/>
    <w:rsid w:val="00233239"/>
    <w:rsid w:val="00234459"/>
    <w:rsid w:val="00234778"/>
    <w:rsid w:val="00235557"/>
    <w:rsid w:val="00240A5B"/>
    <w:rsid w:val="00243CBF"/>
    <w:rsid w:val="00243DC1"/>
    <w:rsid w:val="00244482"/>
    <w:rsid w:val="0024790F"/>
    <w:rsid w:val="00247A26"/>
    <w:rsid w:val="00250531"/>
    <w:rsid w:val="00251ED7"/>
    <w:rsid w:val="00253145"/>
    <w:rsid w:val="0025399D"/>
    <w:rsid w:val="00254F93"/>
    <w:rsid w:val="00256A4A"/>
    <w:rsid w:val="00256FF5"/>
    <w:rsid w:val="002575F6"/>
    <w:rsid w:val="00261C83"/>
    <w:rsid w:val="00264E8A"/>
    <w:rsid w:val="00265753"/>
    <w:rsid w:val="00265B2C"/>
    <w:rsid w:val="00266956"/>
    <w:rsid w:val="00266AAA"/>
    <w:rsid w:val="00274CF5"/>
    <w:rsid w:val="00275C48"/>
    <w:rsid w:val="00275DE7"/>
    <w:rsid w:val="00277AEF"/>
    <w:rsid w:val="002804EC"/>
    <w:rsid w:val="00280C49"/>
    <w:rsid w:val="002825C7"/>
    <w:rsid w:val="00283662"/>
    <w:rsid w:val="002850F6"/>
    <w:rsid w:val="00291CD4"/>
    <w:rsid w:val="00292BE5"/>
    <w:rsid w:val="00293728"/>
    <w:rsid w:val="00293B4A"/>
    <w:rsid w:val="002948B5"/>
    <w:rsid w:val="00294986"/>
    <w:rsid w:val="00294EAF"/>
    <w:rsid w:val="00295416"/>
    <w:rsid w:val="00295883"/>
    <w:rsid w:val="0029610C"/>
    <w:rsid w:val="00297EAE"/>
    <w:rsid w:val="002A1B62"/>
    <w:rsid w:val="002A39AE"/>
    <w:rsid w:val="002A4B3C"/>
    <w:rsid w:val="002A5E55"/>
    <w:rsid w:val="002A7AEA"/>
    <w:rsid w:val="002B3887"/>
    <w:rsid w:val="002B3BB4"/>
    <w:rsid w:val="002B3BFC"/>
    <w:rsid w:val="002B4BC0"/>
    <w:rsid w:val="002B538F"/>
    <w:rsid w:val="002C05E5"/>
    <w:rsid w:val="002C3B1D"/>
    <w:rsid w:val="002C696D"/>
    <w:rsid w:val="002D09CD"/>
    <w:rsid w:val="002D17E4"/>
    <w:rsid w:val="002D1D64"/>
    <w:rsid w:val="002D41E9"/>
    <w:rsid w:val="002D5B4E"/>
    <w:rsid w:val="002D5B5F"/>
    <w:rsid w:val="002E079A"/>
    <w:rsid w:val="002E1053"/>
    <w:rsid w:val="002E4551"/>
    <w:rsid w:val="002F1119"/>
    <w:rsid w:val="002F245E"/>
    <w:rsid w:val="002F4792"/>
    <w:rsid w:val="002F4FD8"/>
    <w:rsid w:val="002F7322"/>
    <w:rsid w:val="003036EA"/>
    <w:rsid w:val="00307016"/>
    <w:rsid w:val="0031086D"/>
    <w:rsid w:val="00313073"/>
    <w:rsid w:val="0031461A"/>
    <w:rsid w:val="003159EF"/>
    <w:rsid w:val="00320416"/>
    <w:rsid w:val="00321DA5"/>
    <w:rsid w:val="00322EA4"/>
    <w:rsid w:val="00325832"/>
    <w:rsid w:val="00325D0D"/>
    <w:rsid w:val="00330315"/>
    <w:rsid w:val="0033138A"/>
    <w:rsid w:val="00333F74"/>
    <w:rsid w:val="00343849"/>
    <w:rsid w:val="00343BA7"/>
    <w:rsid w:val="003473CD"/>
    <w:rsid w:val="0035257E"/>
    <w:rsid w:val="00355EEA"/>
    <w:rsid w:val="00355F01"/>
    <w:rsid w:val="003562E3"/>
    <w:rsid w:val="00357222"/>
    <w:rsid w:val="0036407A"/>
    <w:rsid w:val="00364265"/>
    <w:rsid w:val="00367868"/>
    <w:rsid w:val="0037085F"/>
    <w:rsid w:val="00371639"/>
    <w:rsid w:val="00373357"/>
    <w:rsid w:val="00373C07"/>
    <w:rsid w:val="00374D2C"/>
    <w:rsid w:val="0037542C"/>
    <w:rsid w:val="00377781"/>
    <w:rsid w:val="003778E8"/>
    <w:rsid w:val="00377DFB"/>
    <w:rsid w:val="00381EC7"/>
    <w:rsid w:val="003839AE"/>
    <w:rsid w:val="00383A58"/>
    <w:rsid w:val="003903CD"/>
    <w:rsid w:val="003904F7"/>
    <w:rsid w:val="003918BD"/>
    <w:rsid w:val="00391FD0"/>
    <w:rsid w:val="0039235B"/>
    <w:rsid w:val="003926CA"/>
    <w:rsid w:val="00394B36"/>
    <w:rsid w:val="00395727"/>
    <w:rsid w:val="003A4B1D"/>
    <w:rsid w:val="003A543A"/>
    <w:rsid w:val="003A7FEB"/>
    <w:rsid w:val="003B1443"/>
    <w:rsid w:val="003B2D9F"/>
    <w:rsid w:val="003B691D"/>
    <w:rsid w:val="003B6D2D"/>
    <w:rsid w:val="003B78E0"/>
    <w:rsid w:val="003C71A3"/>
    <w:rsid w:val="003C7A89"/>
    <w:rsid w:val="003D2EF8"/>
    <w:rsid w:val="003D5104"/>
    <w:rsid w:val="003D7C19"/>
    <w:rsid w:val="003E2404"/>
    <w:rsid w:val="003E2BBE"/>
    <w:rsid w:val="003E4B1B"/>
    <w:rsid w:val="003E5355"/>
    <w:rsid w:val="003E5E39"/>
    <w:rsid w:val="003E6E8F"/>
    <w:rsid w:val="003E71CA"/>
    <w:rsid w:val="003E7FA5"/>
    <w:rsid w:val="003F2099"/>
    <w:rsid w:val="003F26E5"/>
    <w:rsid w:val="003F64B7"/>
    <w:rsid w:val="003F68DF"/>
    <w:rsid w:val="003F6B18"/>
    <w:rsid w:val="003F7025"/>
    <w:rsid w:val="0040134A"/>
    <w:rsid w:val="00402BE6"/>
    <w:rsid w:val="00403986"/>
    <w:rsid w:val="0040553A"/>
    <w:rsid w:val="004055D4"/>
    <w:rsid w:val="0040569C"/>
    <w:rsid w:val="00410A95"/>
    <w:rsid w:val="00411416"/>
    <w:rsid w:val="00412894"/>
    <w:rsid w:val="00413972"/>
    <w:rsid w:val="004153D6"/>
    <w:rsid w:val="00415D1E"/>
    <w:rsid w:val="00415D39"/>
    <w:rsid w:val="00416AFE"/>
    <w:rsid w:val="004176FC"/>
    <w:rsid w:val="00424BD8"/>
    <w:rsid w:val="00424D37"/>
    <w:rsid w:val="00424F07"/>
    <w:rsid w:val="00426703"/>
    <w:rsid w:val="004267C9"/>
    <w:rsid w:val="00427F8D"/>
    <w:rsid w:val="00431536"/>
    <w:rsid w:val="00431C42"/>
    <w:rsid w:val="00432C99"/>
    <w:rsid w:val="004377AC"/>
    <w:rsid w:val="00437DB0"/>
    <w:rsid w:val="00441FDF"/>
    <w:rsid w:val="004424FE"/>
    <w:rsid w:val="00443C74"/>
    <w:rsid w:val="00445313"/>
    <w:rsid w:val="00446120"/>
    <w:rsid w:val="004519C8"/>
    <w:rsid w:val="00454160"/>
    <w:rsid w:val="004559D5"/>
    <w:rsid w:val="00455F7E"/>
    <w:rsid w:val="00457B84"/>
    <w:rsid w:val="00460809"/>
    <w:rsid w:val="00460AE2"/>
    <w:rsid w:val="00461A5D"/>
    <w:rsid w:val="00467BBC"/>
    <w:rsid w:val="004708E2"/>
    <w:rsid w:val="00472C82"/>
    <w:rsid w:val="004740E4"/>
    <w:rsid w:val="004748EF"/>
    <w:rsid w:val="00480BCD"/>
    <w:rsid w:val="004826E0"/>
    <w:rsid w:val="004833B1"/>
    <w:rsid w:val="004933AF"/>
    <w:rsid w:val="00495ECD"/>
    <w:rsid w:val="004A0F57"/>
    <w:rsid w:val="004A18BA"/>
    <w:rsid w:val="004A1E95"/>
    <w:rsid w:val="004A3709"/>
    <w:rsid w:val="004A3B65"/>
    <w:rsid w:val="004A4934"/>
    <w:rsid w:val="004A4E98"/>
    <w:rsid w:val="004A59B1"/>
    <w:rsid w:val="004A7516"/>
    <w:rsid w:val="004A7F72"/>
    <w:rsid w:val="004B08A0"/>
    <w:rsid w:val="004B0FBD"/>
    <w:rsid w:val="004B2DBB"/>
    <w:rsid w:val="004B3F28"/>
    <w:rsid w:val="004B725D"/>
    <w:rsid w:val="004C13B0"/>
    <w:rsid w:val="004C3AC0"/>
    <w:rsid w:val="004D30C6"/>
    <w:rsid w:val="004D5F22"/>
    <w:rsid w:val="004D6293"/>
    <w:rsid w:val="004D6546"/>
    <w:rsid w:val="004E0B40"/>
    <w:rsid w:val="004E38E3"/>
    <w:rsid w:val="004F55DE"/>
    <w:rsid w:val="004F5DC4"/>
    <w:rsid w:val="004F7B5C"/>
    <w:rsid w:val="0050174C"/>
    <w:rsid w:val="00502349"/>
    <w:rsid w:val="00502D44"/>
    <w:rsid w:val="00503972"/>
    <w:rsid w:val="00505330"/>
    <w:rsid w:val="00506C8E"/>
    <w:rsid w:val="00506CD1"/>
    <w:rsid w:val="005131C3"/>
    <w:rsid w:val="00513A4E"/>
    <w:rsid w:val="005152A6"/>
    <w:rsid w:val="005201BE"/>
    <w:rsid w:val="00524604"/>
    <w:rsid w:val="00525EE9"/>
    <w:rsid w:val="005268A6"/>
    <w:rsid w:val="005268E6"/>
    <w:rsid w:val="0053021A"/>
    <w:rsid w:val="00530D50"/>
    <w:rsid w:val="00531FCF"/>
    <w:rsid w:val="005329BE"/>
    <w:rsid w:val="0053326A"/>
    <w:rsid w:val="005334B4"/>
    <w:rsid w:val="005349D4"/>
    <w:rsid w:val="00537D63"/>
    <w:rsid w:val="005407BF"/>
    <w:rsid w:val="00542508"/>
    <w:rsid w:val="00543FCF"/>
    <w:rsid w:val="00544107"/>
    <w:rsid w:val="005449BE"/>
    <w:rsid w:val="005506BE"/>
    <w:rsid w:val="005506C7"/>
    <w:rsid w:val="005506CE"/>
    <w:rsid w:val="0055079B"/>
    <w:rsid w:val="005509D8"/>
    <w:rsid w:val="00550ADF"/>
    <w:rsid w:val="00550B2F"/>
    <w:rsid w:val="00555DDD"/>
    <w:rsid w:val="0055739D"/>
    <w:rsid w:val="0056011E"/>
    <w:rsid w:val="00562957"/>
    <w:rsid w:val="0056453E"/>
    <w:rsid w:val="00565F6E"/>
    <w:rsid w:val="00570D6F"/>
    <w:rsid w:val="0057120E"/>
    <w:rsid w:val="00571853"/>
    <w:rsid w:val="005718A8"/>
    <w:rsid w:val="00572118"/>
    <w:rsid w:val="00572CCF"/>
    <w:rsid w:val="00572E0A"/>
    <w:rsid w:val="005737C6"/>
    <w:rsid w:val="0057515A"/>
    <w:rsid w:val="00575DF4"/>
    <w:rsid w:val="00577CA1"/>
    <w:rsid w:val="00580546"/>
    <w:rsid w:val="005842A0"/>
    <w:rsid w:val="0058472E"/>
    <w:rsid w:val="00584D37"/>
    <w:rsid w:val="005862AB"/>
    <w:rsid w:val="0059202A"/>
    <w:rsid w:val="00593EC0"/>
    <w:rsid w:val="0059473B"/>
    <w:rsid w:val="005953CA"/>
    <w:rsid w:val="005960BA"/>
    <w:rsid w:val="00596608"/>
    <w:rsid w:val="005A2B3D"/>
    <w:rsid w:val="005A6731"/>
    <w:rsid w:val="005B352D"/>
    <w:rsid w:val="005B631B"/>
    <w:rsid w:val="005B6420"/>
    <w:rsid w:val="005C463B"/>
    <w:rsid w:val="005C5EB1"/>
    <w:rsid w:val="005D1B17"/>
    <w:rsid w:val="005D3683"/>
    <w:rsid w:val="005D3AB2"/>
    <w:rsid w:val="005D792B"/>
    <w:rsid w:val="005E0072"/>
    <w:rsid w:val="005E0F39"/>
    <w:rsid w:val="005E2966"/>
    <w:rsid w:val="005E6149"/>
    <w:rsid w:val="005E7FF4"/>
    <w:rsid w:val="005F09CC"/>
    <w:rsid w:val="005F2890"/>
    <w:rsid w:val="005F297C"/>
    <w:rsid w:val="005F3EB2"/>
    <w:rsid w:val="005F5EF3"/>
    <w:rsid w:val="006001B2"/>
    <w:rsid w:val="006014DA"/>
    <w:rsid w:val="006038D0"/>
    <w:rsid w:val="006044CF"/>
    <w:rsid w:val="006117A3"/>
    <w:rsid w:val="00611A86"/>
    <w:rsid w:val="00612BD3"/>
    <w:rsid w:val="00613FFB"/>
    <w:rsid w:val="00616B13"/>
    <w:rsid w:val="006179E3"/>
    <w:rsid w:val="00620130"/>
    <w:rsid w:val="00621FD4"/>
    <w:rsid w:val="00622893"/>
    <w:rsid w:val="00625361"/>
    <w:rsid w:val="0062548D"/>
    <w:rsid w:val="00627EB6"/>
    <w:rsid w:val="00630B07"/>
    <w:rsid w:val="00631029"/>
    <w:rsid w:val="00632268"/>
    <w:rsid w:val="006336ED"/>
    <w:rsid w:val="00633921"/>
    <w:rsid w:val="00635DAE"/>
    <w:rsid w:val="00637E05"/>
    <w:rsid w:val="00641801"/>
    <w:rsid w:val="00645C89"/>
    <w:rsid w:val="006478CA"/>
    <w:rsid w:val="00650C68"/>
    <w:rsid w:val="006633CF"/>
    <w:rsid w:val="0066588E"/>
    <w:rsid w:val="00665F3D"/>
    <w:rsid w:val="00670BE5"/>
    <w:rsid w:val="0067102C"/>
    <w:rsid w:val="006741E5"/>
    <w:rsid w:val="006802EF"/>
    <w:rsid w:val="00684B67"/>
    <w:rsid w:val="00685987"/>
    <w:rsid w:val="00690AD3"/>
    <w:rsid w:val="00690E39"/>
    <w:rsid w:val="006910E6"/>
    <w:rsid w:val="00692004"/>
    <w:rsid w:val="0069344F"/>
    <w:rsid w:val="00695CDD"/>
    <w:rsid w:val="00695E9E"/>
    <w:rsid w:val="006A1C8A"/>
    <w:rsid w:val="006A437D"/>
    <w:rsid w:val="006A4BDB"/>
    <w:rsid w:val="006A5D28"/>
    <w:rsid w:val="006A6F51"/>
    <w:rsid w:val="006A75E7"/>
    <w:rsid w:val="006B0EC3"/>
    <w:rsid w:val="006B52A7"/>
    <w:rsid w:val="006B5D2F"/>
    <w:rsid w:val="006B6887"/>
    <w:rsid w:val="006C0461"/>
    <w:rsid w:val="006C23C2"/>
    <w:rsid w:val="006C59A5"/>
    <w:rsid w:val="006C7FB3"/>
    <w:rsid w:val="006E0CD2"/>
    <w:rsid w:val="006E17B5"/>
    <w:rsid w:val="006E1997"/>
    <w:rsid w:val="006E2EB7"/>
    <w:rsid w:val="006E76A5"/>
    <w:rsid w:val="006F0645"/>
    <w:rsid w:val="006F1700"/>
    <w:rsid w:val="006F239F"/>
    <w:rsid w:val="0070070A"/>
    <w:rsid w:val="00703FBD"/>
    <w:rsid w:val="0071193F"/>
    <w:rsid w:val="0071299E"/>
    <w:rsid w:val="007236BA"/>
    <w:rsid w:val="007238DD"/>
    <w:rsid w:val="00723D02"/>
    <w:rsid w:val="00723D84"/>
    <w:rsid w:val="00723EDE"/>
    <w:rsid w:val="00724717"/>
    <w:rsid w:val="00725838"/>
    <w:rsid w:val="0072660C"/>
    <w:rsid w:val="007268B8"/>
    <w:rsid w:val="00726F9F"/>
    <w:rsid w:val="00727446"/>
    <w:rsid w:val="00727CF8"/>
    <w:rsid w:val="00730404"/>
    <w:rsid w:val="00731AB7"/>
    <w:rsid w:val="0074180F"/>
    <w:rsid w:val="007446DE"/>
    <w:rsid w:val="00745DED"/>
    <w:rsid w:val="00746019"/>
    <w:rsid w:val="00746D3F"/>
    <w:rsid w:val="00750AB2"/>
    <w:rsid w:val="007532A0"/>
    <w:rsid w:val="00753331"/>
    <w:rsid w:val="00755358"/>
    <w:rsid w:val="007558DB"/>
    <w:rsid w:val="00755AB9"/>
    <w:rsid w:val="00757B8F"/>
    <w:rsid w:val="00757FB9"/>
    <w:rsid w:val="00760746"/>
    <w:rsid w:val="00765303"/>
    <w:rsid w:val="00765A27"/>
    <w:rsid w:val="00766299"/>
    <w:rsid w:val="00766870"/>
    <w:rsid w:val="00767923"/>
    <w:rsid w:val="007702C7"/>
    <w:rsid w:val="00771DD4"/>
    <w:rsid w:val="007737A3"/>
    <w:rsid w:val="007738A0"/>
    <w:rsid w:val="0077606A"/>
    <w:rsid w:val="0078146D"/>
    <w:rsid w:val="00781801"/>
    <w:rsid w:val="00784C33"/>
    <w:rsid w:val="007879E2"/>
    <w:rsid w:val="0079081E"/>
    <w:rsid w:val="0079363C"/>
    <w:rsid w:val="00793B6E"/>
    <w:rsid w:val="0079785B"/>
    <w:rsid w:val="007A4BB5"/>
    <w:rsid w:val="007A4FB6"/>
    <w:rsid w:val="007A5AEB"/>
    <w:rsid w:val="007A6AA6"/>
    <w:rsid w:val="007B1550"/>
    <w:rsid w:val="007B1B3A"/>
    <w:rsid w:val="007B3991"/>
    <w:rsid w:val="007B4E82"/>
    <w:rsid w:val="007B5D7F"/>
    <w:rsid w:val="007B66EC"/>
    <w:rsid w:val="007B7C1E"/>
    <w:rsid w:val="007C1B8F"/>
    <w:rsid w:val="007C1D1B"/>
    <w:rsid w:val="007D6EC1"/>
    <w:rsid w:val="007E1B6D"/>
    <w:rsid w:val="007E4CD6"/>
    <w:rsid w:val="007E59DB"/>
    <w:rsid w:val="007E73D8"/>
    <w:rsid w:val="007E78B2"/>
    <w:rsid w:val="007F1F0C"/>
    <w:rsid w:val="007F23EB"/>
    <w:rsid w:val="007F5589"/>
    <w:rsid w:val="007F55DE"/>
    <w:rsid w:val="007F79A8"/>
    <w:rsid w:val="008005A8"/>
    <w:rsid w:val="00802CE5"/>
    <w:rsid w:val="00805098"/>
    <w:rsid w:val="00807A77"/>
    <w:rsid w:val="00814C9A"/>
    <w:rsid w:val="008150AD"/>
    <w:rsid w:val="0081595F"/>
    <w:rsid w:val="00816543"/>
    <w:rsid w:val="00823A7E"/>
    <w:rsid w:val="008259FC"/>
    <w:rsid w:val="008304DA"/>
    <w:rsid w:val="00832534"/>
    <w:rsid w:val="0083284E"/>
    <w:rsid w:val="00834EDE"/>
    <w:rsid w:val="008353B1"/>
    <w:rsid w:val="00835D1F"/>
    <w:rsid w:val="00837228"/>
    <w:rsid w:val="00843AA7"/>
    <w:rsid w:val="008444AE"/>
    <w:rsid w:val="008465BF"/>
    <w:rsid w:val="00851B4B"/>
    <w:rsid w:val="008527D8"/>
    <w:rsid w:val="00852A19"/>
    <w:rsid w:val="00852DD8"/>
    <w:rsid w:val="00852EBB"/>
    <w:rsid w:val="008545E7"/>
    <w:rsid w:val="0085585F"/>
    <w:rsid w:val="00855FFB"/>
    <w:rsid w:val="00856C7F"/>
    <w:rsid w:val="00861293"/>
    <w:rsid w:val="0086630A"/>
    <w:rsid w:val="00867821"/>
    <w:rsid w:val="00872A7C"/>
    <w:rsid w:val="00874016"/>
    <w:rsid w:val="008763F1"/>
    <w:rsid w:val="00880769"/>
    <w:rsid w:val="00883479"/>
    <w:rsid w:val="00883953"/>
    <w:rsid w:val="00885DD4"/>
    <w:rsid w:val="00886809"/>
    <w:rsid w:val="0088750D"/>
    <w:rsid w:val="008879C5"/>
    <w:rsid w:val="00890051"/>
    <w:rsid w:val="00890E84"/>
    <w:rsid w:val="0089306D"/>
    <w:rsid w:val="008951B3"/>
    <w:rsid w:val="00895914"/>
    <w:rsid w:val="008A1E8A"/>
    <w:rsid w:val="008A24A3"/>
    <w:rsid w:val="008A64B8"/>
    <w:rsid w:val="008B113A"/>
    <w:rsid w:val="008B202B"/>
    <w:rsid w:val="008B3001"/>
    <w:rsid w:val="008B3CFE"/>
    <w:rsid w:val="008B5DBC"/>
    <w:rsid w:val="008B73BC"/>
    <w:rsid w:val="008C3C92"/>
    <w:rsid w:val="008C4E8A"/>
    <w:rsid w:val="008C5330"/>
    <w:rsid w:val="008C73D5"/>
    <w:rsid w:val="008D32B0"/>
    <w:rsid w:val="008D394D"/>
    <w:rsid w:val="008D4422"/>
    <w:rsid w:val="008D640B"/>
    <w:rsid w:val="008E36A1"/>
    <w:rsid w:val="008E3C04"/>
    <w:rsid w:val="008E56E2"/>
    <w:rsid w:val="008E57F5"/>
    <w:rsid w:val="008F35A8"/>
    <w:rsid w:val="008F46E4"/>
    <w:rsid w:val="008F734E"/>
    <w:rsid w:val="009016E3"/>
    <w:rsid w:val="0090233C"/>
    <w:rsid w:val="009039FB"/>
    <w:rsid w:val="0090766A"/>
    <w:rsid w:val="00911275"/>
    <w:rsid w:val="00913750"/>
    <w:rsid w:val="00913815"/>
    <w:rsid w:val="00913F09"/>
    <w:rsid w:val="00917496"/>
    <w:rsid w:val="0092151E"/>
    <w:rsid w:val="0092600D"/>
    <w:rsid w:val="00931D42"/>
    <w:rsid w:val="00932AD3"/>
    <w:rsid w:val="009332B8"/>
    <w:rsid w:val="0093523E"/>
    <w:rsid w:val="00935C40"/>
    <w:rsid w:val="0093630E"/>
    <w:rsid w:val="00936E99"/>
    <w:rsid w:val="0094212E"/>
    <w:rsid w:val="0094458A"/>
    <w:rsid w:val="0094466C"/>
    <w:rsid w:val="00945846"/>
    <w:rsid w:val="00947EC9"/>
    <w:rsid w:val="00951A8D"/>
    <w:rsid w:val="009533CE"/>
    <w:rsid w:val="00955B43"/>
    <w:rsid w:val="00955B47"/>
    <w:rsid w:val="0095612C"/>
    <w:rsid w:val="00960975"/>
    <w:rsid w:val="00962A82"/>
    <w:rsid w:val="009662F0"/>
    <w:rsid w:val="00967BE2"/>
    <w:rsid w:val="0097354D"/>
    <w:rsid w:val="009739A9"/>
    <w:rsid w:val="00973E20"/>
    <w:rsid w:val="00974B43"/>
    <w:rsid w:val="009761E9"/>
    <w:rsid w:val="00977FB6"/>
    <w:rsid w:val="009809F0"/>
    <w:rsid w:val="009820A2"/>
    <w:rsid w:val="009829B0"/>
    <w:rsid w:val="00984AB0"/>
    <w:rsid w:val="0098544D"/>
    <w:rsid w:val="00987484"/>
    <w:rsid w:val="009908ED"/>
    <w:rsid w:val="009916E2"/>
    <w:rsid w:val="00993DBF"/>
    <w:rsid w:val="00994D53"/>
    <w:rsid w:val="0099688A"/>
    <w:rsid w:val="009A02C9"/>
    <w:rsid w:val="009A0D32"/>
    <w:rsid w:val="009A2C84"/>
    <w:rsid w:val="009A3371"/>
    <w:rsid w:val="009A3D6A"/>
    <w:rsid w:val="009A3F39"/>
    <w:rsid w:val="009A418D"/>
    <w:rsid w:val="009A4641"/>
    <w:rsid w:val="009A5F5B"/>
    <w:rsid w:val="009A70B1"/>
    <w:rsid w:val="009A7596"/>
    <w:rsid w:val="009B477B"/>
    <w:rsid w:val="009B50B5"/>
    <w:rsid w:val="009C0EA3"/>
    <w:rsid w:val="009C69C7"/>
    <w:rsid w:val="009C6FBB"/>
    <w:rsid w:val="009C792A"/>
    <w:rsid w:val="009D061F"/>
    <w:rsid w:val="009D187B"/>
    <w:rsid w:val="009D1E28"/>
    <w:rsid w:val="009D2385"/>
    <w:rsid w:val="009D24A0"/>
    <w:rsid w:val="009D49FE"/>
    <w:rsid w:val="009D52B6"/>
    <w:rsid w:val="009D5C8E"/>
    <w:rsid w:val="009E0499"/>
    <w:rsid w:val="009E105F"/>
    <w:rsid w:val="009E2558"/>
    <w:rsid w:val="009E3B6B"/>
    <w:rsid w:val="009E44DC"/>
    <w:rsid w:val="009E7D35"/>
    <w:rsid w:val="009F2269"/>
    <w:rsid w:val="009F3382"/>
    <w:rsid w:val="009F598A"/>
    <w:rsid w:val="009F5AC3"/>
    <w:rsid w:val="009F60C9"/>
    <w:rsid w:val="00A002FE"/>
    <w:rsid w:val="00A02228"/>
    <w:rsid w:val="00A03C90"/>
    <w:rsid w:val="00A03EDD"/>
    <w:rsid w:val="00A044CA"/>
    <w:rsid w:val="00A05682"/>
    <w:rsid w:val="00A06370"/>
    <w:rsid w:val="00A06870"/>
    <w:rsid w:val="00A071FC"/>
    <w:rsid w:val="00A07548"/>
    <w:rsid w:val="00A11FFD"/>
    <w:rsid w:val="00A12C8D"/>
    <w:rsid w:val="00A148A6"/>
    <w:rsid w:val="00A15361"/>
    <w:rsid w:val="00A15D9F"/>
    <w:rsid w:val="00A2223B"/>
    <w:rsid w:val="00A252F0"/>
    <w:rsid w:val="00A264A9"/>
    <w:rsid w:val="00A26C90"/>
    <w:rsid w:val="00A317D9"/>
    <w:rsid w:val="00A3561D"/>
    <w:rsid w:val="00A35793"/>
    <w:rsid w:val="00A35BC5"/>
    <w:rsid w:val="00A36777"/>
    <w:rsid w:val="00A41A92"/>
    <w:rsid w:val="00A43224"/>
    <w:rsid w:val="00A440E2"/>
    <w:rsid w:val="00A45815"/>
    <w:rsid w:val="00A5132F"/>
    <w:rsid w:val="00A5241A"/>
    <w:rsid w:val="00A53C66"/>
    <w:rsid w:val="00A54763"/>
    <w:rsid w:val="00A55CB3"/>
    <w:rsid w:val="00A57696"/>
    <w:rsid w:val="00A60795"/>
    <w:rsid w:val="00A60AF2"/>
    <w:rsid w:val="00A62455"/>
    <w:rsid w:val="00A63263"/>
    <w:rsid w:val="00A635D6"/>
    <w:rsid w:val="00A64F8F"/>
    <w:rsid w:val="00A711EB"/>
    <w:rsid w:val="00A77D06"/>
    <w:rsid w:val="00A8009D"/>
    <w:rsid w:val="00A80AAB"/>
    <w:rsid w:val="00A81A7A"/>
    <w:rsid w:val="00A82EE7"/>
    <w:rsid w:val="00A90C1C"/>
    <w:rsid w:val="00A90DDC"/>
    <w:rsid w:val="00A90E13"/>
    <w:rsid w:val="00A92667"/>
    <w:rsid w:val="00A92A1A"/>
    <w:rsid w:val="00A936E7"/>
    <w:rsid w:val="00A9562A"/>
    <w:rsid w:val="00A959A5"/>
    <w:rsid w:val="00A97408"/>
    <w:rsid w:val="00A97998"/>
    <w:rsid w:val="00A979D9"/>
    <w:rsid w:val="00AA0DD9"/>
    <w:rsid w:val="00AA0FDA"/>
    <w:rsid w:val="00AA1865"/>
    <w:rsid w:val="00AA2CF3"/>
    <w:rsid w:val="00AA3118"/>
    <w:rsid w:val="00AA6B88"/>
    <w:rsid w:val="00AA772B"/>
    <w:rsid w:val="00AB0817"/>
    <w:rsid w:val="00AB0F96"/>
    <w:rsid w:val="00AB1AAB"/>
    <w:rsid w:val="00AB1AB2"/>
    <w:rsid w:val="00AB1F49"/>
    <w:rsid w:val="00AB2E38"/>
    <w:rsid w:val="00AB3D31"/>
    <w:rsid w:val="00AB472B"/>
    <w:rsid w:val="00AB6076"/>
    <w:rsid w:val="00AC04F7"/>
    <w:rsid w:val="00AC0B2F"/>
    <w:rsid w:val="00AC3AB3"/>
    <w:rsid w:val="00AC6628"/>
    <w:rsid w:val="00AC6BDD"/>
    <w:rsid w:val="00AC7CD8"/>
    <w:rsid w:val="00AD4123"/>
    <w:rsid w:val="00AE15EA"/>
    <w:rsid w:val="00AE1773"/>
    <w:rsid w:val="00AE183F"/>
    <w:rsid w:val="00AE20C6"/>
    <w:rsid w:val="00AE2C34"/>
    <w:rsid w:val="00AE2ECF"/>
    <w:rsid w:val="00AE4505"/>
    <w:rsid w:val="00AE52B0"/>
    <w:rsid w:val="00AE5C1F"/>
    <w:rsid w:val="00AF06D9"/>
    <w:rsid w:val="00AF3DA6"/>
    <w:rsid w:val="00AF4C34"/>
    <w:rsid w:val="00AF65F0"/>
    <w:rsid w:val="00B012DE"/>
    <w:rsid w:val="00B05458"/>
    <w:rsid w:val="00B07152"/>
    <w:rsid w:val="00B10B2D"/>
    <w:rsid w:val="00B1328E"/>
    <w:rsid w:val="00B136A7"/>
    <w:rsid w:val="00B13707"/>
    <w:rsid w:val="00B13CD0"/>
    <w:rsid w:val="00B208E4"/>
    <w:rsid w:val="00B2233E"/>
    <w:rsid w:val="00B24A31"/>
    <w:rsid w:val="00B25107"/>
    <w:rsid w:val="00B2567C"/>
    <w:rsid w:val="00B26508"/>
    <w:rsid w:val="00B31F81"/>
    <w:rsid w:val="00B32A76"/>
    <w:rsid w:val="00B32C88"/>
    <w:rsid w:val="00B331B2"/>
    <w:rsid w:val="00B37FB0"/>
    <w:rsid w:val="00B4237D"/>
    <w:rsid w:val="00B424BA"/>
    <w:rsid w:val="00B42656"/>
    <w:rsid w:val="00B443B4"/>
    <w:rsid w:val="00B45888"/>
    <w:rsid w:val="00B45B15"/>
    <w:rsid w:val="00B51D96"/>
    <w:rsid w:val="00B53BAF"/>
    <w:rsid w:val="00B53BD7"/>
    <w:rsid w:val="00B55825"/>
    <w:rsid w:val="00B558D2"/>
    <w:rsid w:val="00B56096"/>
    <w:rsid w:val="00B601A7"/>
    <w:rsid w:val="00B62B11"/>
    <w:rsid w:val="00B6637D"/>
    <w:rsid w:val="00B666EF"/>
    <w:rsid w:val="00B671A0"/>
    <w:rsid w:val="00B672EC"/>
    <w:rsid w:val="00B703FD"/>
    <w:rsid w:val="00B714B3"/>
    <w:rsid w:val="00B7176B"/>
    <w:rsid w:val="00B728F9"/>
    <w:rsid w:val="00B73509"/>
    <w:rsid w:val="00B8141F"/>
    <w:rsid w:val="00B83D1A"/>
    <w:rsid w:val="00B84566"/>
    <w:rsid w:val="00B85D52"/>
    <w:rsid w:val="00B86890"/>
    <w:rsid w:val="00B90E88"/>
    <w:rsid w:val="00B91501"/>
    <w:rsid w:val="00B9219B"/>
    <w:rsid w:val="00B92D7E"/>
    <w:rsid w:val="00BA126A"/>
    <w:rsid w:val="00BA33E7"/>
    <w:rsid w:val="00BA48C0"/>
    <w:rsid w:val="00BA4E83"/>
    <w:rsid w:val="00BB09D4"/>
    <w:rsid w:val="00BB21E1"/>
    <w:rsid w:val="00BB6976"/>
    <w:rsid w:val="00BC035C"/>
    <w:rsid w:val="00BC2979"/>
    <w:rsid w:val="00BC3170"/>
    <w:rsid w:val="00BC5201"/>
    <w:rsid w:val="00BC5D73"/>
    <w:rsid w:val="00BC6742"/>
    <w:rsid w:val="00BC74D7"/>
    <w:rsid w:val="00BC78CE"/>
    <w:rsid w:val="00BD0EA1"/>
    <w:rsid w:val="00BD11D6"/>
    <w:rsid w:val="00BD3DB6"/>
    <w:rsid w:val="00BD5A2E"/>
    <w:rsid w:val="00BD751A"/>
    <w:rsid w:val="00BE0257"/>
    <w:rsid w:val="00BE20B2"/>
    <w:rsid w:val="00BE4FFC"/>
    <w:rsid w:val="00BF121B"/>
    <w:rsid w:val="00BF1387"/>
    <w:rsid w:val="00BF27F1"/>
    <w:rsid w:val="00BF3297"/>
    <w:rsid w:val="00BF3B42"/>
    <w:rsid w:val="00BF402E"/>
    <w:rsid w:val="00BF4915"/>
    <w:rsid w:val="00C01AD0"/>
    <w:rsid w:val="00C030CD"/>
    <w:rsid w:val="00C045E5"/>
    <w:rsid w:val="00C05020"/>
    <w:rsid w:val="00C0504F"/>
    <w:rsid w:val="00C0765F"/>
    <w:rsid w:val="00C07C56"/>
    <w:rsid w:val="00C137F2"/>
    <w:rsid w:val="00C1421A"/>
    <w:rsid w:val="00C1584D"/>
    <w:rsid w:val="00C23233"/>
    <w:rsid w:val="00C23D41"/>
    <w:rsid w:val="00C243BC"/>
    <w:rsid w:val="00C24668"/>
    <w:rsid w:val="00C25308"/>
    <w:rsid w:val="00C258AC"/>
    <w:rsid w:val="00C27942"/>
    <w:rsid w:val="00C337B7"/>
    <w:rsid w:val="00C352E4"/>
    <w:rsid w:val="00C37976"/>
    <w:rsid w:val="00C37DF9"/>
    <w:rsid w:val="00C425FC"/>
    <w:rsid w:val="00C45B01"/>
    <w:rsid w:val="00C4698B"/>
    <w:rsid w:val="00C55371"/>
    <w:rsid w:val="00C553EC"/>
    <w:rsid w:val="00C555A4"/>
    <w:rsid w:val="00C55AB7"/>
    <w:rsid w:val="00C55ACC"/>
    <w:rsid w:val="00C56A67"/>
    <w:rsid w:val="00C6143B"/>
    <w:rsid w:val="00C637D6"/>
    <w:rsid w:val="00C64598"/>
    <w:rsid w:val="00C6657F"/>
    <w:rsid w:val="00C67013"/>
    <w:rsid w:val="00C70374"/>
    <w:rsid w:val="00C720A2"/>
    <w:rsid w:val="00C7230E"/>
    <w:rsid w:val="00C72A5F"/>
    <w:rsid w:val="00C74859"/>
    <w:rsid w:val="00C8474B"/>
    <w:rsid w:val="00C90170"/>
    <w:rsid w:val="00C90EDD"/>
    <w:rsid w:val="00C92ED5"/>
    <w:rsid w:val="00CA05BC"/>
    <w:rsid w:val="00CA0D71"/>
    <w:rsid w:val="00CA262C"/>
    <w:rsid w:val="00CA2A97"/>
    <w:rsid w:val="00CA3960"/>
    <w:rsid w:val="00CB0677"/>
    <w:rsid w:val="00CB1696"/>
    <w:rsid w:val="00CB39AA"/>
    <w:rsid w:val="00CC3889"/>
    <w:rsid w:val="00CC3D49"/>
    <w:rsid w:val="00CD0B61"/>
    <w:rsid w:val="00CD214D"/>
    <w:rsid w:val="00CD2457"/>
    <w:rsid w:val="00CD3E4C"/>
    <w:rsid w:val="00CD4977"/>
    <w:rsid w:val="00CD4D29"/>
    <w:rsid w:val="00CD5427"/>
    <w:rsid w:val="00CD620E"/>
    <w:rsid w:val="00CE143E"/>
    <w:rsid w:val="00CE33FF"/>
    <w:rsid w:val="00CE48BF"/>
    <w:rsid w:val="00CF1AAC"/>
    <w:rsid w:val="00CF31B8"/>
    <w:rsid w:val="00CF3D52"/>
    <w:rsid w:val="00CF4653"/>
    <w:rsid w:val="00CF492A"/>
    <w:rsid w:val="00CF4DE8"/>
    <w:rsid w:val="00CF5CBE"/>
    <w:rsid w:val="00CF6792"/>
    <w:rsid w:val="00CF6EAD"/>
    <w:rsid w:val="00D03B36"/>
    <w:rsid w:val="00D06931"/>
    <w:rsid w:val="00D12CAF"/>
    <w:rsid w:val="00D13280"/>
    <w:rsid w:val="00D13923"/>
    <w:rsid w:val="00D15990"/>
    <w:rsid w:val="00D16098"/>
    <w:rsid w:val="00D16A49"/>
    <w:rsid w:val="00D2261A"/>
    <w:rsid w:val="00D260FE"/>
    <w:rsid w:val="00D31467"/>
    <w:rsid w:val="00D3372F"/>
    <w:rsid w:val="00D43D4D"/>
    <w:rsid w:val="00D470D2"/>
    <w:rsid w:val="00D5068B"/>
    <w:rsid w:val="00D57E7B"/>
    <w:rsid w:val="00D616C1"/>
    <w:rsid w:val="00D65F9B"/>
    <w:rsid w:val="00D6662E"/>
    <w:rsid w:val="00D6763D"/>
    <w:rsid w:val="00D679E2"/>
    <w:rsid w:val="00D73247"/>
    <w:rsid w:val="00D76D82"/>
    <w:rsid w:val="00D8223A"/>
    <w:rsid w:val="00D8458A"/>
    <w:rsid w:val="00D85E94"/>
    <w:rsid w:val="00D872E5"/>
    <w:rsid w:val="00D873D6"/>
    <w:rsid w:val="00D87A4B"/>
    <w:rsid w:val="00D87A82"/>
    <w:rsid w:val="00D94293"/>
    <w:rsid w:val="00D9463C"/>
    <w:rsid w:val="00D94BC3"/>
    <w:rsid w:val="00D9515A"/>
    <w:rsid w:val="00DA065A"/>
    <w:rsid w:val="00DA1C99"/>
    <w:rsid w:val="00DA30D4"/>
    <w:rsid w:val="00DA3B07"/>
    <w:rsid w:val="00DA43E2"/>
    <w:rsid w:val="00DA44A4"/>
    <w:rsid w:val="00DA4AE5"/>
    <w:rsid w:val="00DA5924"/>
    <w:rsid w:val="00DA6E94"/>
    <w:rsid w:val="00DA75BE"/>
    <w:rsid w:val="00DB1959"/>
    <w:rsid w:val="00DB32FF"/>
    <w:rsid w:val="00DB3474"/>
    <w:rsid w:val="00DB491A"/>
    <w:rsid w:val="00DB682A"/>
    <w:rsid w:val="00DB6FD4"/>
    <w:rsid w:val="00DC1E27"/>
    <w:rsid w:val="00DC5888"/>
    <w:rsid w:val="00DD1519"/>
    <w:rsid w:val="00DD1FB1"/>
    <w:rsid w:val="00DD4A57"/>
    <w:rsid w:val="00DD4D01"/>
    <w:rsid w:val="00DD65D1"/>
    <w:rsid w:val="00DD66F0"/>
    <w:rsid w:val="00DD7985"/>
    <w:rsid w:val="00DE45AA"/>
    <w:rsid w:val="00DE4901"/>
    <w:rsid w:val="00DE5B26"/>
    <w:rsid w:val="00DE766C"/>
    <w:rsid w:val="00DE78D0"/>
    <w:rsid w:val="00DF03C2"/>
    <w:rsid w:val="00DF12BE"/>
    <w:rsid w:val="00DF2A97"/>
    <w:rsid w:val="00DF70B1"/>
    <w:rsid w:val="00DF7E40"/>
    <w:rsid w:val="00E03E6D"/>
    <w:rsid w:val="00E0438B"/>
    <w:rsid w:val="00E07B01"/>
    <w:rsid w:val="00E12E28"/>
    <w:rsid w:val="00E15D14"/>
    <w:rsid w:val="00E20F2B"/>
    <w:rsid w:val="00E227FF"/>
    <w:rsid w:val="00E22C56"/>
    <w:rsid w:val="00E235A2"/>
    <w:rsid w:val="00E25042"/>
    <w:rsid w:val="00E26969"/>
    <w:rsid w:val="00E269BA"/>
    <w:rsid w:val="00E3578B"/>
    <w:rsid w:val="00E40D53"/>
    <w:rsid w:val="00E40E5F"/>
    <w:rsid w:val="00E41D23"/>
    <w:rsid w:val="00E4390F"/>
    <w:rsid w:val="00E455E0"/>
    <w:rsid w:val="00E511F8"/>
    <w:rsid w:val="00E53369"/>
    <w:rsid w:val="00E575B1"/>
    <w:rsid w:val="00E578C5"/>
    <w:rsid w:val="00E60CAD"/>
    <w:rsid w:val="00E618AE"/>
    <w:rsid w:val="00E619CC"/>
    <w:rsid w:val="00E6480D"/>
    <w:rsid w:val="00E658A6"/>
    <w:rsid w:val="00E67265"/>
    <w:rsid w:val="00E70592"/>
    <w:rsid w:val="00E716E0"/>
    <w:rsid w:val="00E71BED"/>
    <w:rsid w:val="00E74899"/>
    <w:rsid w:val="00E753DF"/>
    <w:rsid w:val="00E77325"/>
    <w:rsid w:val="00E81B33"/>
    <w:rsid w:val="00E81D71"/>
    <w:rsid w:val="00E839EF"/>
    <w:rsid w:val="00E84D20"/>
    <w:rsid w:val="00E85C37"/>
    <w:rsid w:val="00E902A9"/>
    <w:rsid w:val="00E92A1C"/>
    <w:rsid w:val="00E92C60"/>
    <w:rsid w:val="00E940DA"/>
    <w:rsid w:val="00E94513"/>
    <w:rsid w:val="00E96E45"/>
    <w:rsid w:val="00EA3BA2"/>
    <w:rsid w:val="00EA48B8"/>
    <w:rsid w:val="00EA6EC8"/>
    <w:rsid w:val="00EA795D"/>
    <w:rsid w:val="00EB01B6"/>
    <w:rsid w:val="00EB1F35"/>
    <w:rsid w:val="00EB39C5"/>
    <w:rsid w:val="00EB47D5"/>
    <w:rsid w:val="00EB6C44"/>
    <w:rsid w:val="00EC07CF"/>
    <w:rsid w:val="00EC0FB5"/>
    <w:rsid w:val="00EC29FA"/>
    <w:rsid w:val="00EC2CB4"/>
    <w:rsid w:val="00EC2FAA"/>
    <w:rsid w:val="00EC36BA"/>
    <w:rsid w:val="00EC3ACA"/>
    <w:rsid w:val="00EC4477"/>
    <w:rsid w:val="00EC6E7D"/>
    <w:rsid w:val="00ED080B"/>
    <w:rsid w:val="00ED0E03"/>
    <w:rsid w:val="00ED3B82"/>
    <w:rsid w:val="00ED3E72"/>
    <w:rsid w:val="00ED4B6D"/>
    <w:rsid w:val="00ED6893"/>
    <w:rsid w:val="00EE1326"/>
    <w:rsid w:val="00EE564B"/>
    <w:rsid w:val="00EE5B7A"/>
    <w:rsid w:val="00EE79D6"/>
    <w:rsid w:val="00EF0D03"/>
    <w:rsid w:val="00EF0E84"/>
    <w:rsid w:val="00EF18D1"/>
    <w:rsid w:val="00EF35FB"/>
    <w:rsid w:val="00EF5154"/>
    <w:rsid w:val="00EF5351"/>
    <w:rsid w:val="00EF7338"/>
    <w:rsid w:val="00F041C4"/>
    <w:rsid w:val="00F04F5F"/>
    <w:rsid w:val="00F04FF1"/>
    <w:rsid w:val="00F06129"/>
    <w:rsid w:val="00F06646"/>
    <w:rsid w:val="00F0691A"/>
    <w:rsid w:val="00F07FF9"/>
    <w:rsid w:val="00F1082E"/>
    <w:rsid w:val="00F120EE"/>
    <w:rsid w:val="00F1385D"/>
    <w:rsid w:val="00F238DF"/>
    <w:rsid w:val="00F24726"/>
    <w:rsid w:val="00F25204"/>
    <w:rsid w:val="00F25738"/>
    <w:rsid w:val="00F25935"/>
    <w:rsid w:val="00F306C7"/>
    <w:rsid w:val="00F32F05"/>
    <w:rsid w:val="00F33DDF"/>
    <w:rsid w:val="00F374A1"/>
    <w:rsid w:val="00F40389"/>
    <w:rsid w:val="00F40717"/>
    <w:rsid w:val="00F41B8B"/>
    <w:rsid w:val="00F436AA"/>
    <w:rsid w:val="00F43FF6"/>
    <w:rsid w:val="00F51AD2"/>
    <w:rsid w:val="00F53829"/>
    <w:rsid w:val="00F57097"/>
    <w:rsid w:val="00F61CAD"/>
    <w:rsid w:val="00F62AA7"/>
    <w:rsid w:val="00F66060"/>
    <w:rsid w:val="00F66DD2"/>
    <w:rsid w:val="00F67C9D"/>
    <w:rsid w:val="00F70820"/>
    <w:rsid w:val="00F749C4"/>
    <w:rsid w:val="00F81A86"/>
    <w:rsid w:val="00F86DB5"/>
    <w:rsid w:val="00F86E3C"/>
    <w:rsid w:val="00F86E7B"/>
    <w:rsid w:val="00F9117A"/>
    <w:rsid w:val="00F91EB6"/>
    <w:rsid w:val="00F92891"/>
    <w:rsid w:val="00F97162"/>
    <w:rsid w:val="00FA16EF"/>
    <w:rsid w:val="00FA4865"/>
    <w:rsid w:val="00FA4AA2"/>
    <w:rsid w:val="00FB0A47"/>
    <w:rsid w:val="00FB3025"/>
    <w:rsid w:val="00FB56AE"/>
    <w:rsid w:val="00FB5E5B"/>
    <w:rsid w:val="00FC4DF5"/>
    <w:rsid w:val="00FC5736"/>
    <w:rsid w:val="00FC5AA6"/>
    <w:rsid w:val="00FC6823"/>
    <w:rsid w:val="00FC7BCC"/>
    <w:rsid w:val="00FC7FDF"/>
    <w:rsid w:val="00FD2929"/>
    <w:rsid w:val="00FD3118"/>
    <w:rsid w:val="00FD4590"/>
    <w:rsid w:val="00FD796D"/>
    <w:rsid w:val="00FE251C"/>
    <w:rsid w:val="00FE3329"/>
    <w:rsid w:val="00FE4A64"/>
    <w:rsid w:val="00FF004C"/>
    <w:rsid w:val="00FF00AD"/>
    <w:rsid w:val="00FF2317"/>
    <w:rsid w:val="00FF3D7F"/>
    <w:rsid w:val="00FF5906"/>
    <w:rsid w:val="00FF67C0"/>
    <w:rsid w:val="01821049"/>
    <w:rsid w:val="028B5457"/>
    <w:rsid w:val="053F19CA"/>
    <w:rsid w:val="07372051"/>
    <w:rsid w:val="0B810491"/>
    <w:rsid w:val="0E1E1875"/>
    <w:rsid w:val="0E2B5D40"/>
    <w:rsid w:val="1300779B"/>
    <w:rsid w:val="1522684C"/>
    <w:rsid w:val="16FA2753"/>
    <w:rsid w:val="18A62B93"/>
    <w:rsid w:val="1B8E1D11"/>
    <w:rsid w:val="1E601A36"/>
    <w:rsid w:val="1EC65D3D"/>
    <w:rsid w:val="23723533"/>
    <w:rsid w:val="23A777BF"/>
    <w:rsid w:val="247B1377"/>
    <w:rsid w:val="256471D1"/>
    <w:rsid w:val="274E3D18"/>
    <w:rsid w:val="287405B8"/>
    <w:rsid w:val="2AA50EFC"/>
    <w:rsid w:val="2B5244B4"/>
    <w:rsid w:val="2B971F94"/>
    <w:rsid w:val="2D856DC3"/>
    <w:rsid w:val="2FB82068"/>
    <w:rsid w:val="309E695F"/>
    <w:rsid w:val="30E20088"/>
    <w:rsid w:val="340F388A"/>
    <w:rsid w:val="36631C6B"/>
    <w:rsid w:val="38B16CBE"/>
    <w:rsid w:val="3A086DB2"/>
    <w:rsid w:val="3CAF79B9"/>
    <w:rsid w:val="3D8A3F82"/>
    <w:rsid w:val="3F3B19D7"/>
    <w:rsid w:val="40AB565D"/>
    <w:rsid w:val="412A715F"/>
    <w:rsid w:val="43DD4E0B"/>
    <w:rsid w:val="477F5399"/>
    <w:rsid w:val="48D52AE9"/>
    <w:rsid w:val="4B8169C4"/>
    <w:rsid w:val="4ED00ADA"/>
    <w:rsid w:val="5454427C"/>
    <w:rsid w:val="5488095A"/>
    <w:rsid w:val="54F63F7F"/>
    <w:rsid w:val="589F492D"/>
    <w:rsid w:val="5BD15905"/>
    <w:rsid w:val="6486074F"/>
    <w:rsid w:val="64C71494"/>
    <w:rsid w:val="67141A6E"/>
    <w:rsid w:val="6B6712DB"/>
    <w:rsid w:val="711C66C3"/>
    <w:rsid w:val="72BB3CBA"/>
    <w:rsid w:val="73D56FFD"/>
    <w:rsid w:val="75503C81"/>
    <w:rsid w:val="763E532E"/>
    <w:rsid w:val="797D616D"/>
    <w:rsid w:val="7B8545C4"/>
    <w:rsid w:val="7E334FFB"/>
    <w:rsid w:val="7E9A50C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iPriority="1" w:semiHidden="0"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qFormat="1" w:uiPriority="1" w:semiHidden="0" w:name="List Number 2"/>
    <w:lsdException w:qFormat="1" w:uiPriority="18" w:semiHidden="0" w:name="List Number 3"/>
    <w:lsdException w:qFormat="1" w:uiPriority="18" w:semiHidden="0" w:name="List Number 4"/>
    <w:lsdException w:qFormat="1" w:uiPriority="18" w:semiHidden="0"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qFormat="1" w:uiPriority="99" w:name="Body Text 2"/>
    <w:lsdException w:uiPriority="99" w:name="Body Text 3"/>
    <w:lsdException w:qFormat="1" w:uiPriority="99" w:name="Body Text Indent 2"/>
    <w:lsdException w:qFormat="1"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2">
    <w:name w:val="heading 3"/>
    <w:basedOn w:val="1"/>
    <w:next w:val="1"/>
    <w:link w:val="38"/>
    <w:qFormat/>
    <w:uiPriority w:val="0"/>
    <w:pPr>
      <w:keepNext/>
      <w:keepLines/>
      <w:spacing w:before="260" w:after="260" w:line="416" w:lineRule="auto"/>
      <w:outlineLvl w:val="2"/>
    </w:pPr>
    <w:rPr>
      <w:b/>
      <w:bCs/>
      <w:sz w:val="32"/>
      <w:szCs w:val="32"/>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3">
    <w:name w:val="List Number 2"/>
    <w:basedOn w:val="1"/>
    <w:unhideWhenUsed/>
    <w:qFormat/>
    <w:uiPriority w:val="1"/>
    <w:pPr>
      <w:widowControl/>
      <w:numPr>
        <w:ilvl w:val="1"/>
        <w:numId w:val="1"/>
      </w:numPr>
      <w:ind w:left="431" w:hanging="431"/>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4">
    <w:name w:val="List Number"/>
    <w:basedOn w:val="1"/>
    <w:unhideWhenUsed/>
    <w:qFormat/>
    <w:uiPriority w:val="1"/>
    <w:pPr>
      <w:widowControl/>
      <w:numPr>
        <w:ilvl w:val="0"/>
        <w:numId w:val="1"/>
      </w:numPr>
      <w:ind w:left="357" w:hanging="357"/>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5">
    <w:name w:val="annotation text"/>
    <w:basedOn w:val="1"/>
    <w:link w:val="52"/>
    <w:semiHidden/>
    <w:unhideWhenUsed/>
    <w:qFormat/>
    <w:uiPriority w:val="99"/>
    <w:pPr>
      <w:jc w:val="left"/>
    </w:pPr>
  </w:style>
  <w:style w:type="paragraph" w:styleId="6">
    <w:name w:val="Body Text"/>
    <w:basedOn w:val="1"/>
    <w:link w:val="51"/>
    <w:semiHidden/>
    <w:unhideWhenUsed/>
    <w:qFormat/>
    <w:uiPriority w:val="99"/>
    <w:pPr>
      <w:spacing w:after="120"/>
    </w:pPr>
  </w:style>
  <w:style w:type="paragraph" w:styleId="7">
    <w:name w:val="Body Text Indent"/>
    <w:basedOn w:val="1"/>
    <w:link w:val="30"/>
    <w:qFormat/>
    <w:uiPriority w:val="0"/>
    <w:pPr>
      <w:tabs>
        <w:tab w:val="left" w:pos="480"/>
      </w:tabs>
      <w:spacing w:line="560" w:lineRule="exact"/>
      <w:ind w:firstLine="480"/>
      <w:jc w:val="left"/>
    </w:pPr>
    <w:rPr>
      <w:rFonts w:ascii="宋体" w:hAnsi="宋体"/>
      <w:sz w:val="24"/>
    </w:rPr>
  </w:style>
  <w:style w:type="paragraph" w:styleId="8">
    <w:name w:val="List Number 3"/>
    <w:basedOn w:val="1"/>
    <w:unhideWhenUsed/>
    <w:qFormat/>
    <w:uiPriority w:val="18"/>
    <w:pPr>
      <w:widowControl/>
      <w:numPr>
        <w:ilvl w:val="2"/>
        <w:numId w:val="1"/>
      </w:numPr>
      <w:spacing w:before="40" w:after="160"/>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9">
    <w:name w:val="Plain Text"/>
    <w:basedOn w:val="1"/>
    <w:link w:val="42"/>
    <w:qFormat/>
    <w:uiPriority w:val="0"/>
    <w:rPr>
      <w:rFonts w:ascii="宋体" w:hAnsi="Courier New"/>
    </w:rPr>
  </w:style>
  <w:style w:type="paragraph" w:styleId="10">
    <w:name w:val="List Number 4"/>
    <w:basedOn w:val="1"/>
    <w:unhideWhenUsed/>
    <w:qFormat/>
    <w:uiPriority w:val="18"/>
    <w:pPr>
      <w:widowControl/>
      <w:numPr>
        <w:ilvl w:val="3"/>
        <w:numId w:val="1"/>
      </w:numPr>
      <w:spacing w:before="40" w:after="160"/>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11">
    <w:name w:val="Date"/>
    <w:basedOn w:val="1"/>
    <w:next w:val="1"/>
    <w:link w:val="35"/>
    <w:qFormat/>
    <w:uiPriority w:val="0"/>
    <w:pPr>
      <w:adjustRightInd w:val="0"/>
      <w:spacing w:line="360" w:lineRule="atLeast"/>
      <w:textAlignment w:val="baseline"/>
    </w:pPr>
    <w:rPr>
      <w:sz w:val="32"/>
    </w:rPr>
  </w:style>
  <w:style w:type="paragraph" w:styleId="12">
    <w:name w:val="Body Text Indent 2"/>
    <w:basedOn w:val="1"/>
    <w:link w:val="37"/>
    <w:semiHidden/>
    <w:unhideWhenUsed/>
    <w:qFormat/>
    <w:uiPriority w:val="99"/>
    <w:pPr>
      <w:spacing w:after="120" w:line="480" w:lineRule="auto"/>
      <w:ind w:left="420" w:leftChars="200"/>
    </w:pPr>
  </w:style>
  <w:style w:type="paragraph" w:styleId="13">
    <w:name w:val="footer"/>
    <w:basedOn w:val="1"/>
    <w:link w:val="34"/>
    <w:unhideWhenUsed/>
    <w:qFormat/>
    <w:uiPriority w:val="99"/>
    <w:pPr>
      <w:tabs>
        <w:tab w:val="center" w:pos="4153"/>
        <w:tab w:val="right" w:pos="8306"/>
      </w:tabs>
      <w:snapToGrid w:val="0"/>
      <w:jc w:val="left"/>
    </w:pPr>
    <w:rPr>
      <w:sz w:val="18"/>
      <w:szCs w:val="18"/>
    </w:rPr>
  </w:style>
  <w:style w:type="paragraph" w:styleId="14">
    <w:name w:val="header"/>
    <w:basedOn w:val="1"/>
    <w:link w:val="33"/>
    <w:unhideWhenUsed/>
    <w:qFormat/>
    <w:uiPriority w:val="99"/>
    <w:pPr>
      <w:pBdr>
        <w:bottom w:val="single" w:color="auto" w:sz="6" w:space="1"/>
      </w:pBdr>
      <w:tabs>
        <w:tab w:val="center" w:pos="4153"/>
        <w:tab w:val="right" w:pos="8306"/>
      </w:tabs>
      <w:snapToGrid w:val="0"/>
      <w:jc w:val="center"/>
    </w:pPr>
    <w:rPr>
      <w:sz w:val="18"/>
      <w:szCs w:val="18"/>
    </w:rPr>
  </w:style>
  <w:style w:type="paragraph" w:styleId="15">
    <w:name w:val="Subtitle"/>
    <w:basedOn w:val="1"/>
    <w:next w:val="1"/>
    <w:link w:val="32"/>
    <w:qFormat/>
    <w:uiPriority w:val="11"/>
    <w:pPr>
      <w:spacing w:before="240" w:after="60" w:line="312" w:lineRule="auto"/>
      <w:jc w:val="center"/>
      <w:outlineLvl w:val="1"/>
    </w:pPr>
    <w:rPr>
      <w:rFonts w:ascii="Cambria" w:hAnsi="Cambria"/>
      <w:b/>
      <w:bCs/>
      <w:kern w:val="28"/>
      <w:sz w:val="32"/>
      <w:szCs w:val="32"/>
    </w:rPr>
  </w:style>
  <w:style w:type="paragraph" w:styleId="16">
    <w:name w:val="List Number 5"/>
    <w:basedOn w:val="1"/>
    <w:unhideWhenUsed/>
    <w:qFormat/>
    <w:uiPriority w:val="18"/>
    <w:pPr>
      <w:widowControl/>
      <w:numPr>
        <w:ilvl w:val="4"/>
        <w:numId w:val="1"/>
      </w:numPr>
      <w:spacing w:before="40" w:after="160"/>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17">
    <w:name w:val="Body Text Indent 3"/>
    <w:basedOn w:val="1"/>
    <w:link w:val="43"/>
    <w:semiHidden/>
    <w:unhideWhenUsed/>
    <w:qFormat/>
    <w:uiPriority w:val="99"/>
    <w:pPr>
      <w:spacing w:after="120"/>
      <w:ind w:left="420" w:leftChars="200"/>
    </w:pPr>
    <w:rPr>
      <w:sz w:val="16"/>
      <w:szCs w:val="16"/>
    </w:rPr>
  </w:style>
  <w:style w:type="paragraph" w:styleId="18">
    <w:name w:val="Body Text 2"/>
    <w:basedOn w:val="1"/>
    <w:link w:val="39"/>
    <w:semiHidden/>
    <w:unhideWhenUsed/>
    <w:qFormat/>
    <w:uiPriority w:val="99"/>
    <w:pPr>
      <w:spacing w:after="120" w:line="480" w:lineRule="auto"/>
    </w:pPr>
  </w:style>
  <w:style w:type="table" w:styleId="20">
    <w:name w:val="Table Grid"/>
    <w:basedOn w:val="1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2">
    <w:name w:val="Strong"/>
    <w:basedOn w:val="21"/>
    <w:qFormat/>
    <w:uiPriority w:val="22"/>
    <w:rPr>
      <w:b/>
      <w:bCs/>
    </w:rPr>
  </w:style>
  <w:style w:type="character" w:styleId="23">
    <w:name w:val="FollowedHyperlink"/>
    <w:basedOn w:val="21"/>
    <w:semiHidden/>
    <w:unhideWhenUsed/>
    <w:qFormat/>
    <w:uiPriority w:val="99"/>
    <w:rPr>
      <w:color w:val="800080" w:themeColor="followedHyperlink"/>
      <w:u w:val="single"/>
      <w14:textFill>
        <w14:solidFill>
          <w14:schemeClr w14:val="folHlink"/>
        </w14:solidFill>
      </w14:textFill>
    </w:rPr>
  </w:style>
  <w:style w:type="character" w:styleId="24">
    <w:name w:val="HTML Definition"/>
    <w:basedOn w:val="21"/>
    <w:semiHidden/>
    <w:unhideWhenUsed/>
    <w:qFormat/>
    <w:uiPriority w:val="99"/>
    <w:rPr>
      <w:i/>
      <w:iCs/>
      <w:color w:val="555555"/>
      <w:sz w:val="18"/>
      <w:szCs w:val="18"/>
      <w:bdr w:val="single" w:color="CCCCCC" w:sz="6" w:space="0"/>
      <w:shd w:val="clear" w:fill="FFFFFF"/>
    </w:rPr>
  </w:style>
  <w:style w:type="character" w:styleId="25">
    <w:name w:val="Hyperlink"/>
    <w:basedOn w:val="21"/>
    <w:unhideWhenUsed/>
    <w:qFormat/>
    <w:uiPriority w:val="99"/>
    <w:rPr>
      <w:color w:val="0000FF" w:themeColor="hyperlink"/>
      <w:u w:val="single"/>
      <w14:textFill>
        <w14:solidFill>
          <w14:schemeClr w14:val="hlink"/>
        </w14:solidFill>
      </w14:textFill>
    </w:rPr>
  </w:style>
  <w:style w:type="character" w:styleId="26">
    <w:name w:val="HTML Code"/>
    <w:basedOn w:val="21"/>
    <w:semiHidden/>
    <w:unhideWhenUsed/>
    <w:qFormat/>
    <w:uiPriority w:val="99"/>
    <w:rPr>
      <w:rFonts w:ascii="Consolas" w:hAnsi="Consolas" w:eastAsia="Consolas" w:cs="Consolas"/>
      <w:color w:val="C7254E"/>
      <w:sz w:val="21"/>
      <w:szCs w:val="21"/>
      <w:shd w:val="clear" w:fill="F9F2F4"/>
    </w:rPr>
  </w:style>
  <w:style w:type="character" w:styleId="27">
    <w:name w:val="HTML Cite"/>
    <w:basedOn w:val="21"/>
    <w:semiHidden/>
    <w:unhideWhenUsed/>
    <w:qFormat/>
    <w:uiPriority w:val="99"/>
  </w:style>
  <w:style w:type="character" w:styleId="28">
    <w:name w:val="HTML Keyboard"/>
    <w:basedOn w:val="21"/>
    <w:semiHidden/>
    <w:unhideWhenUsed/>
    <w:qFormat/>
    <w:uiPriority w:val="99"/>
    <w:rPr>
      <w:rFonts w:hint="default" w:ascii="Consolas" w:hAnsi="Consolas" w:eastAsia="Consolas" w:cs="Consolas"/>
      <w:sz w:val="21"/>
      <w:szCs w:val="21"/>
    </w:rPr>
  </w:style>
  <w:style w:type="character" w:styleId="29">
    <w:name w:val="HTML Sample"/>
    <w:basedOn w:val="21"/>
    <w:semiHidden/>
    <w:unhideWhenUsed/>
    <w:qFormat/>
    <w:uiPriority w:val="99"/>
    <w:rPr>
      <w:rFonts w:hint="default" w:ascii="Consolas" w:hAnsi="Consolas" w:eastAsia="Consolas" w:cs="Consolas"/>
      <w:sz w:val="21"/>
      <w:szCs w:val="21"/>
    </w:rPr>
  </w:style>
  <w:style w:type="character" w:customStyle="1" w:styleId="30">
    <w:name w:val="正文文本缩进 Char"/>
    <w:basedOn w:val="21"/>
    <w:link w:val="7"/>
    <w:qFormat/>
    <w:uiPriority w:val="0"/>
    <w:rPr>
      <w:rFonts w:ascii="宋体" w:hAnsi="宋体" w:eastAsia="宋体" w:cs="Times New Roman"/>
      <w:sz w:val="24"/>
      <w:szCs w:val="20"/>
    </w:rPr>
  </w:style>
  <w:style w:type="paragraph" w:customStyle="1" w:styleId="31">
    <w:name w:val="Default"/>
    <w:link w:val="50"/>
    <w:qFormat/>
    <w:uiPriority w:val="0"/>
    <w:pPr>
      <w:widowControl w:val="0"/>
      <w:autoSpaceDE w:val="0"/>
      <w:autoSpaceDN w:val="0"/>
      <w:adjustRightInd w:val="0"/>
    </w:pPr>
    <w:rPr>
      <w:rFonts w:ascii="......." w:hAnsi="Calibri" w:eastAsia="......." w:cs="......."/>
      <w:color w:val="000000"/>
      <w:kern w:val="0"/>
      <w:sz w:val="24"/>
      <w:szCs w:val="24"/>
      <w:lang w:val="en-US" w:eastAsia="zh-CN" w:bidi="ar-SA"/>
    </w:rPr>
  </w:style>
  <w:style w:type="character" w:customStyle="1" w:styleId="32">
    <w:name w:val="副标题 Char"/>
    <w:basedOn w:val="21"/>
    <w:link w:val="15"/>
    <w:qFormat/>
    <w:uiPriority w:val="11"/>
    <w:rPr>
      <w:rFonts w:ascii="Cambria" w:hAnsi="Cambria" w:eastAsia="宋体" w:cs="Times New Roman"/>
      <w:b/>
      <w:bCs/>
      <w:kern w:val="28"/>
      <w:sz w:val="32"/>
      <w:szCs w:val="32"/>
    </w:rPr>
  </w:style>
  <w:style w:type="character" w:customStyle="1" w:styleId="33">
    <w:name w:val="页眉 Char"/>
    <w:basedOn w:val="21"/>
    <w:link w:val="14"/>
    <w:qFormat/>
    <w:uiPriority w:val="99"/>
    <w:rPr>
      <w:rFonts w:ascii="Times New Roman" w:hAnsi="Times New Roman" w:eastAsia="宋体" w:cs="Times New Roman"/>
      <w:sz w:val="18"/>
      <w:szCs w:val="18"/>
    </w:rPr>
  </w:style>
  <w:style w:type="character" w:customStyle="1" w:styleId="34">
    <w:name w:val="页脚 Char"/>
    <w:basedOn w:val="21"/>
    <w:link w:val="13"/>
    <w:qFormat/>
    <w:uiPriority w:val="99"/>
    <w:rPr>
      <w:rFonts w:ascii="Times New Roman" w:hAnsi="Times New Roman" w:eastAsia="宋体" w:cs="Times New Roman"/>
      <w:sz w:val="18"/>
      <w:szCs w:val="18"/>
    </w:rPr>
  </w:style>
  <w:style w:type="character" w:customStyle="1" w:styleId="35">
    <w:name w:val="日期 Char"/>
    <w:basedOn w:val="21"/>
    <w:link w:val="11"/>
    <w:qFormat/>
    <w:uiPriority w:val="0"/>
    <w:rPr>
      <w:rFonts w:ascii="Times New Roman" w:hAnsi="Times New Roman" w:eastAsia="宋体" w:cs="Times New Roman"/>
      <w:sz w:val="32"/>
      <w:szCs w:val="20"/>
    </w:rPr>
  </w:style>
  <w:style w:type="paragraph" w:styleId="36">
    <w:name w:val="List Paragraph"/>
    <w:basedOn w:val="1"/>
    <w:link w:val="55"/>
    <w:qFormat/>
    <w:uiPriority w:val="34"/>
    <w:pPr>
      <w:ind w:firstLine="420" w:firstLineChars="200"/>
    </w:pPr>
  </w:style>
  <w:style w:type="character" w:customStyle="1" w:styleId="37">
    <w:name w:val="正文文本缩进 2 Char"/>
    <w:basedOn w:val="21"/>
    <w:link w:val="12"/>
    <w:semiHidden/>
    <w:qFormat/>
    <w:uiPriority w:val="99"/>
    <w:rPr>
      <w:rFonts w:ascii="Times New Roman" w:hAnsi="Times New Roman" w:eastAsia="宋体" w:cs="Times New Roman"/>
      <w:szCs w:val="20"/>
    </w:rPr>
  </w:style>
  <w:style w:type="character" w:customStyle="1" w:styleId="38">
    <w:name w:val="标题 3 Char"/>
    <w:basedOn w:val="21"/>
    <w:link w:val="2"/>
    <w:qFormat/>
    <w:uiPriority w:val="0"/>
    <w:rPr>
      <w:rFonts w:ascii="Times New Roman" w:hAnsi="Times New Roman" w:eastAsia="宋体" w:cs="Times New Roman"/>
      <w:b/>
      <w:bCs/>
      <w:sz w:val="32"/>
      <w:szCs w:val="32"/>
    </w:rPr>
  </w:style>
  <w:style w:type="character" w:customStyle="1" w:styleId="39">
    <w:name w:val="正文文本 2 Char"/>
    <w:basedOn w:val="21"/>
    <w:link w:val="18"/>
    <w:semiHidden/>
    <w:qFormat/>
    <w:uiPriority w:val="99"/>
    <w:rPr>
      <w:rFonts w:ascii="Times New Roman" w:hAnsi="Times New Roman" w:eastAsia="宋体" w:cs="Times New Roman"/>
      <w:szCs w:val="20"/>
    </w:rPr>
  </w:style>
  <w:style w:type="paragraph" w:customStyle="1" w:styleId="40">
    <w:name w:val="Char"/>
    <w:basedOn w:val="1"/>
    <w:autoRedefine/>
    <w:qFormat/>
    <w:uiPriority w:val="0"/>
    <w:pPr>
      <w:tabs>
        <w:tab w:val="left" w:pos="360"/>
      </w:tabs>
    </w:pPr>
    <w:rPr>
      <w:sz w:val="24"/>
      <w:szCs w:val="24"/>
    </w:rPr>
  </w:style>
  <w:style w:type="character" w:customStyle="1" w:styleId="41">
    <w:name w:val="纯文本 Char"/>
    <w:basedOn w:val="21"/>
    <w:semiHidden/>
    <w:qFormat/>
    <w:uiPriority w:val="99"/>
    <w:rPr>
      <w:rFonts w:ascii="宋体" w:hAnsi="Courier New" w:eastAsia="宋体" w:cs="Courier New"/>
      <w:szCs w:val="21"/>
    </w:rPr>
  </w:style>
  <w:style w:type="character" w:customStyle="1" w:styleId="42">
    <w:name w:val="纯文本 Char1"/>
    <w:link w:val="9"/>
    <w:qFormat/>
    <w:locked/>
    <w:uiPriority w:val="0"/>
    <w:rPr>
      <w:rFonts w:ascii="宋体" w:hAnsi="Courier New" w:eastAsia="宋体" w:cs="Times New Roman"/>
      <w:szCs w:val="20"/>
    </w:rPr>
  </w:style>
  <w:style w:type="character" w:customStyle="1" w:styleId="43">
    <w:name w:val="正文文本缩进 3 Char"/>
    <w:basedOn w:val="21"/>
    <w:link w:val="17"/>
    <w:semiHidden/>
    <w:qFormat/>
    <w:uiPriority w:val="99"/>
    <w:rPr>
      <w:rFonts w:ascii="Times New Roman" w:hAnsi="Times New Roman" w:eastAsia="宋体" w:cs="Times New Roman"/>
      <w:sz w:val="16"/>
      <w:szCs w:val="16"/>
    </w:rPr>
  </w:style>
  <w:style w:type="paragraph" w:customStyle="1" w:styleId="44">
    <w:name w:val="正文_1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5">
    <w:name w:val="正文_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6">
    <w:name w:val="正文_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7">
    <w:name w:val="正文_1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8">
    <w:name w:val="Char1"/>
    <w:basedOn w:val="1"/>
    <w:autoRedefine/>
    <w:qFormat/>
    <w:uiPriority w:val="0"/>
    <w:pPr>
      <w:tabs>
        <w:tab w:val="left" w:pos="360"/>
      </w:tabs>
    </w:pPr>
    <w:rPr>
      <w:sz w:val="24"/>
      <w:szCs w:val="24"/>
    </w:rPr>
  </w:style>
  <w:style w:type="paragraph" w:customStyle="1" w:styleId="49">
    <w:name w:val="列出段落1"/>
    <w:basedOn w:val="1"/>
    <w:semiHidden/>
    <w:qFormat/>
    <w:uiPriority w:val="34"/>
    <w:pPr>
      <w:widowControl/>
      <w:spacing w:before="40" w:after="160"/>
      <w:ind w:firstLine="420" w:firstLineChars="200"/>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character" w:customStyle="1" w:styleId="50">
    <w:name w:val="Default Char"/>
    <w:link w:val="31"/>
    <w:qFormat/>
    <w:locked/>
    <w:uiPriority w:val="0"/>
    <w:rPr>
      <w:rFonts w:ascii="......." w:hAnsi="Calibri" w:eastAsia="......." w:cs="......."/>
      <w:color w:val="000000"/>
      <w:kern w:val="0"/>
      <w:sz w:val="24"/>
      <w:szCs w:val="24"/>
    </w:rPr>
  </w:style>
  <w:style w:type="character" w:customStyle="1" w:styleId="51">
    <w:name w:val="正文文本 Char"/>
    <w:basedOn w:val="21"/>
    <w:link w:val="6"/>
    <w:semiHidden/>
    <w:qFormat/>
    <w:uiPriority w:val="99"/>
    <w:rPr>
      <w:rFonts w:ascii="Times New Roman" w:hAnsi="Times New Roman" w:eastAsia="宋体" w:cs="Times New Roman"/>
      <w:szCs w:val="20"/>
    </w:rPr>
  </w:style>
  <w:style w:type="character" w:customStyle="1" w:styleId="52">
    <w:name w:val="批注文字 Char"/>
    <w:basedOn w:val="21"/>
    <w:link w:val="5"/>
    <w:semiHidden/>
    <w:qFormat/>
    <w:uiPriority w:val="99"/>
    <w:rPr>
      <w:rFonts w:ascii="Times New Roman" w:hAnsi="Times New Roman" w:eastAsia="宋体" w:cs="Times New Roman"/>
      <w:szCs w:val="20"/>
    </w:rPr>
  </w:style>
  <w:style w:type="paragraph" w:customStyle="1" w:styleId="53">
    <w:name w:val="Char2"/>
    <w:basedOn w:val="1"/>
    <w:qFormat/>
    <w:uiPriority w:val="0"/>
    <w:pPr>
      <w:tabs>
        <w:tab w:val="left" w:pos="360"/>
      </w:tabs>
    </w:pPr>
    <w:rPr>
      <w:sz w:val="24"/>
      <w:szCs w:val="24"/>
    </w:rPr>
  </w:style>
  <w:style w:type="character" w:customStyle="1" w:styleId="54">
    <w:name w:val="NormalCharacter"/>
    <w:semiHidden/>
    <w:qFormat/>
    <w:uiPriority w:val="0"/>
  </w:style>
  <w:style w:type="character" w:customStyle="1" w:styleId="55">
    <w:name w:val="列出段落 Char"/>
    <w:link w:val="36"/>
    <w:qFormat/>
    <w:uiPriority w:val="34"/>
    <w:rPr>
      <w:rFonts w:ascii="Times New Roman" w:hAnsi="Times New Roman" w:eastAsia="宋体" w:cs="Times New Roman"/>
      <w:szCs w:val="20"/>
    </w:rPr>
  </w:style>
  <w:style w:type="character" w:customStyle="1" w:styleId="56">
    <w:name w:val="old"/>
    <w:basedOn w:val="21"/>
    <w:qFormat/>
    <w:uiPriority w:val="0"/>
    <w:rPr>
      <w:color w:val="999999"/>
    </w:rPr>
  </w:style>
  <w:style w:type="character" w:customStyle="1" w:styleId="57">
    <w:name w:val="filename"/>
    <w:basedOn w:val="21"/>
    <w:qFormat/>
    <w:uiPriority w:val="0"/>
    <w:rPr>
      <w:color w:val="777777"/>
      <w:sz w:val="16"/>
      <w:szCs w:val="16"/>
    </w:rPr>
  </w:style>
  <w:style w:type="character" w:customStyle="1" w:styleId="58">
    <w:name w:val="action"/>
    <w:basedOn w:val="21"/>
    <w:qFormat/>
    <w:uiPriority w:val="0"/>
    <w:rPr>
      <w:b/>
      <w:bCs/>
      <w:sz w:val="16"/>
      <w:szCs w:val="16"/>
      <w:shd w:val="clear" w:fill="FFFFFF"/>
    </w:rPr>
  </w:style>
  <w:style w:type="character" w:customStyle="1" w:styleId="59">
    <w:name w:val="checked"/>
    <w:basedOn w:val="21"/>
    <w:qFormat/>
    <w:uiPriority w:val="0"/>
  </w:style>
  <w:style w:type="character" w:customStyle="1" w:styleId="60">
    <w:name w:val="checked1"/>
    <w:basedOn w:val="21"/>
    <w:qFormat/>
    <w:uiPriority w:val="0"/>
  </w:style>
  <w:style w:type="character" w:customStyle="1" w:styleId="61">
    <w:name w:val="hover3"/>
    <w:basedOn w:val="21"/>
    <w:qFormat/>
    <w:uiPriority w:val="0"/>
    <w:rPr>
      <w:shd w:val="clear" w:fill="EEEEEE"/>
    </w:rPr>
  </w:style>
  <w:style w:type="character" w:customStyle="1" w:styleId="62">
    <w:name w:val="hour_am"/>
    <w:basedOn w:val="21"/>
    <w:qFormat/>
    <w:uiPriority w:val="0"/>
  </w:style>
  <w:style w:type="character" w:customStyle="1" w:styleId="63">
    <w:name w:val="l-btn-left"/>
    <w:basedOn w:val="21"/>
    <w:qFormat/>
    <w:uiPriority w:val="0"/>
  </w:style>
  <w:style w:type="character" w:customStyle="1" w:styleId="64">
    <w:name w:val="l-btn-left1"/>
    <w:basedOn w:val="21"/>
    <w:qFormat/>
    <w:uiPriority w:val="0"/>
  </w:style>
  <w:style w:type="character" w:customStyle="1" w:styleId="65">
    <w:name w:val="l-btn-left2"/>
    <w:basedOn w:val="21"/>
    <w:qFormat/>
    <w:uiPriority w:val="0"/>
  </w:style>
  <w:style w:type="character" w:customStyle="1" w:styleId="66">
    <w:name w:val="l-btn-icon-left"/>
    <w:basedOn w:val="21"/>
    <w:qFormat/>
    <w:uiPriority w:val="0"/>
  </w:style>
  <w:style w:type="character" w:customStyle="1" w:styleId="67">
    <w:name w:val="l-btn-icon-right"/>
    <w:basedOn w:val="21"/>
    <w:qFormat/>
    <w:uiPriority w:val="0"/>
  </w:style>
  <w:style w:type="character" w:customStyle="1" w:styleId="68">
    <w:name w:val="l-btn-empty"/>
    <w:basedOn w:val="21"/>
    <w:qFormat/>
    <w:uiPriority w:val="0"/>
  </w:style>
  <w:style w:type="character" w:customStyle="1" w:styleId="69">
    <w:name w:val="hour_pm"/>
    <w:basedOn w:val="21"/>
    <w:qFormat/>
    <w:uiPriority w:val="0"/>
  </w:style>
  <w:style w:type="character" w:customStyle="1" w:styleId="70">
    <w:name w:val="l-btn-text"/>
    <w:basedOn w:val="21"/>
    <w:qFormat/>
    <w:uiPriority w:val="0"/>
    <w:rPr>
      <w:sz w:val="18"/>
      <w:szCs w:val="18"/>
    </w:rPr>
  </w:style>
  <w:style w:type="character" w:customStyle="1" w:styleId="71">
    <w:name w:val="l-btn-text1"/>
    <w:basedOn w:val="21"/>
    <w:qFormat/>
    <w:uiPriority w:val="0"/>
  </w:style>
  <w:style w:type="paragraph" w:customStyle="1" w:styleId="72">
    <w:name w:val="_Style 71"/>
    <w:basedOn w:val="1"/>
    <w:next w:val="1"/>
    <w:qFormat/>
    <w:uiPriority w:val="0"/>
    <w:pPr>
      <w:pBdr>
        <w:bottom w:val="single" w:color="auto" w:sz="6" w:space="1"/>
      </w:pBdr>
      <w:jc w:val="center"/>
    </w:pPr>
    <w:rPr>
      <w:rFonts w:ascii="Arial" w:eastAsia="宋体"/>
      <w:vanish/>
      <w:sz w:val="16"/>
    </w:rPr>
  </w:style>
  <w:style w:type="paragraph" w:customStyle="1" w:styleId="73">
    <w:name w:val="_Style 72"/>
    <w:basedOn w:val="1"/>
    <w:next w:val="1"/>
    <w:qFormat/>
    <w:uiPriority w:val="0"/>
    <w:pPr>
      <w:pBdr>
        <w:top w:val="single" w:color="auto" w:sz="6" w:space="1"/>
      </w:pBdr>
      <w:jc w:val="center"/>
    </w:pPr>
    <w:rPr>
      <w:rFonts w:ascii="Arial" w:eastAsia="宋体"/>
      <w:vanish/>
      <w:sz w:val="16"/>
    </w:rPr>
  </w:style>
  <w:style w:type="character" w:customStyle="1" w:styleId="74">
    <w:name w:val="control-label9"/>
    <w:basedOn w:val="21"/>
    <w:qFormat/>
    <w:uiPriority w:val="0"/>
    <w:rPr>
      <w:color w:val="A94442"/>
    </w:rPr>
  </w:style>
  <w:style w:type="paragraph" w:customStyle="1" w:styleId="75">
    <w:name w:val="彩色列表 - 着色 11"/>
    <w:basedOn w:val="1"/>
    <w:qFormat/>
    <w:uiPriority w:val="34"/>
    <w:pPr>
      <w:ind w:firstLine="420" w:firstLineChars="200"/>
    </w:pPr>
    <w:rPr>
      <w:rFonts w:ascii="等线" w:hAnsi="等线" w:eastAsia="等线"/>
    </w:rPr>
  </w:style>
  <w:style w:type="paragraph" w:customStyle="1" w:styleId="76">
    <w:name w:val="_Style 1"/>
    <w:basedOn w:val="1"/>
    <w:qFormat/>
    <w:uiPriority w:val="34"/>
    <w:pPr>
      <w:ind w:firstLine="420" w:firstLineChars="200"/>
    </w:pPr>
    <w:rPr>
      <w:rFonts w:ascii="Calibri" w:hAnsi="Calibri"/>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C2523A6-AC45-4EF8-9CE4-ED069FD05B60}">
  <ds:schemaRefs/>
</ds:datastoreItem>
</file>

<file path=docProps/app.xml><?xml version="1.0" encoding="utf-8"?>
<Properties xmlns="http://schemas.openxmlformats.org/officeDocument/2006/extended-properties" xmlns:vt="http://schemas.openxmlformats.org/officeDocument/2006/docPropsVTypes">
  <Template>Normal</Template>
  <Company>MS</Company>
  <Pages>66</Pages>
  <Words>21239</Words>
  <Characters>22676</Characters>
  <Lines>216</Lines>
  <Paragraphs>61</Paragraphs>
  <TotalTime>9</TotalTime>
  <ScaleCrop>false</ScaleCrop>
  <LinksUpToDate>false</LinksUpToDate>
  <CharactersWithSpaces>22897</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2022-05-09T06:54:00Z</dcterms:created>
  <dc:creator>未定义</dc:creator>
  <cp:lastModifiedBy>WPS_1622597887</cp:lastModifiedBy>
  <dcterms:modified xsi:type="dcterms:W3CDTF">2026-07-15T03:00:39Z</dcterms:modified>
  <cp:revision>127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B05104C044B749CEADDE09399D8F7816_13</vt:lpwstr>
  </property>
  <property fmtid="{D5CDD505-2E9C-101B-9397-08002B2CF9AE}" pid="4" name="KSOTemplateDocerSaveRecord">
    <vt:lpwstr>eyJoZGlkIjoiNmU4NTFjZDUyMjczN2VlYmNmMGM4NjZkOTA5ZTkwNGQiLCJ1c2VySWQiOiIxMjEzMjA2NDAwIn0=</vt:lpwstr>
  </property>
</Properties>
</file>