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137795</wp:posOffset>
                </wp:positionH>
                <wp:positionV relativeFrom="paragraph">
                  <wp:posOffset>786765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85pt;margin-top:61.95pt;height:0pt;width:56.7pt;z-index:251661312;mso-width-relative:page;mso-height-relative:page;" filled="f" stroked="t" coordsize="21600,21600" o:gfxdata="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tlaB5NYAAAAKAQAADwAAAAAAAAABACAAAAAiAAAAZHJzL2Rv&#10;d25yZXYueG1sUEsBAhQAFAAAAAgAh07iQGiMd6/KAQAAXQMAAA4AAAAAAAAAAQAgAAAAJQEAAGRy&#10;cy9lMm9Eb2MueG1sUEsFBgAAAAAGAAYAWQEAAGE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天津开放大学海教园校区空调维保服务</w:t>
      </w:r>
      <w:r>
        <w:rPr>
          <w:rFonts w:eastAsia="黑体"/>
          <w:b/>
          <w:spacing w:val="40"/>
          <w:w w:val="66"/>
          <w:sz w:val="60"/>
          <w:szCs w:val="60"/>
        </w:rPr>
        <w:t>项目</w:t>
      </w:r>
    </w:p>
    <w:p>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350520</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7.6pt;height:0pt;width:150.75pt;z-index:251659264;mso-width-relative:page;mso-height-relative:page;" filled="f" stroked="t" coordsize="21600,21600" o:gfxdata="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zX9pA1QAAAAgBAAAPAAAAAAAAAAEAIAAAACIAAABkcnMv&#10;ZG93bnJldi54bWxQSwECFAAUAAAACACHTuJAA3AHc80BAABeAwAADgAAAAAAAAABACAAAAAkAQAA&#10;ZHJzL2Uyb0RvYy54bWxQSwUGAAAAAAYABgBZAQAAYw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pPr>
        <w:ind w:right="1025"/>
        <w:jc w:val="center"/>
        <w:rPr>
          <w:rFonts w:eastAsia="黑体"/>
          <w:b/>
          <w:spacing w:val="40"/>
          <w:w w:val="66"/>
          <w:sz w:val="60"/>
          <w:szCs w:val="60"/>
        </w:rPr>
      </w:pPr>
    </w:p>
    <w:p>
      <w:pPr>
        <w:jc w:val="center"/>
        <w:rPr>
          <w:rFonts w:eastAsia="黑体"/>
          <w:b/>
          <w:spacing w:val="40"/>
          <w:w w:val="66"/>
          <w:sz w:val="15"/>
          <w:szCs w:val="15"/>
        </w:rPr>
      </w:pPr>
      <w:r>
        <w:rPr>
          <w:rFonts w:eastAsia="黑体"/>
          <w:b/>
          <w:spacing w:val="40"/>
          <w:w w:val="66"/>
          <w:sz w:val="56"/>
          <w:szCs w:val="56"/>
        </w:rPr>
        <w:t xml:space="preserve">            </w:t>
      </w:r>
    </w:p>
    <w:p>
      <w:pPr>
        <w:jc w:val="center"/>
        <w:rPr>
          <w:rFonts w:eastAsia="黑体"/>
          <w:spacing w:val="40"/>
          <w:w w:val="66"/>
          <w:sz w:val="32"/>
          <w:szCs w:val="32"/>
        </w:rPr>
      </w:pPr>
      <w:r>
        <w:rPr>
          <w:rFonts w:eastAsia="黑体"/>
          <w:spacing w:val="40"/>
          <w:w w:val="66"/>
          <w:sz w:val="32"/>
          <w:szCs w:val="32"/>
        </w:rPr>
        <w:t>（项目编号：TGPC-2026-D-</w:t>
      </w:r>
      <w:r>
        <w:rPr>
          <w:rFonts w:hint="eastAsia" w:eastAsia="黑体"/>
          <w:spacing w:val="40"/>
          <w:w w:val="66"/>
          <w:sz w:val="32"/>
          <w:szCs w:val="32"/>
          <w:lang w:val="en-US" w:eastAsia="zh-CN"/>
        </w:rPr>
        <w:t>0690</w:t>
      </w:r>
      <w:r>
        <w:rPr>
          <w:rFonts w:eastAsia="黑体"/>
          <w:spacing w:val="40"/>
          <w:w w:val="66"/>
          <w:sz w:val="32"/>
          <w:szCs w:val="32"/>
        </w:rPr>
        <w:t>）</w:t>
      </w:r>
    </w:p>
    <w:p>
      <w:pPr>
        <w:rPr>
          <w:sz w:val="40"/>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 xml:space="preserve">2026. </w:t>
      </w:r>
      <w:r>
        <w:rPr>
          <w:rFonts w:hint="eastAsia" w:eastAsia="仿宋_GB2312"/>
          <w:b/>
          <w:bCs/>
          <w:kern w:val="0"/>
          <w:sz w:val="44"/>
          <w:szCs w:val="44"/>
          <w:lang w:val="en-US" w:eastAsia="zh-CN"/>
        </w:rPr>
        <w:t>7</w:t>
      </w:r>
    </w:p>
    <w:p>
      <w:pPr>
        <w:tabs>
          <w:tab w:val="left" w:pos="3281"/>
          <w:tab w:val="center" w:pos="4711"/>
        </w:tabs>
        <w:jc w:val="center"/>
        <w:rPr>
          <w:rFonts w:eastAsia="仿宋_GB2312"/>
          <w:b/>
          <w:bCs/>
          <w:kern w:val="0"/>
          <w:sz w:val="44"/>
          <w:szCs w:val="44"/>
        </w:rPr>
      </w:pPr>
    </w:p>
    <w:p>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pPr>
        <w:tabs>
          <w:tab w:val="left" w:pos="3281"/>
          <w:tab w:val="center" w:pos="4711"/>
        </w:tabs>
        <w:jc w:val="center"/>
        <w:rPr>
          <w:b/>
          <w:bCs/>
          <w:spacing w:val="20"/>
          <w:w w:val="66"/>
          <w:sz w:val="36"/>
          <w:szCs w:val="32"/>
        </w:rPr>
      </w:pPr>
      <w:r>
        <w:rPr>
          <w:b/>
          <w:bCs/>
          <w:spacing w:val="20"/>
          <w:w w:val="66"/>
          <w:sz w:val="36"/>
          <w:szCs w:val="32"/>
        </w:rPr>
        <w:t>目  录</w:t>
      </w:r>
    </w:p>
    <w:p>
      <w:pPr>
        <w:tabs>
          <w:tab w:val="left" w:pos="3281"/>
          <w:tab w:val="center" w:pos="4711"/>
        </w:tabs>
        <w:spacing w:line="360" w:lineRule="auto"/>
        <w:jc w:val="center"/>
        <w:rPr>
          <w:rFonts w:eastAsia="仿宋_GB2312"/>
          <w:b/>
          <w:bCs/>
          <w:spacing w:val="20"/>
          <w:w w:val="66"/>
          <w:sz w:val="28"/>
          <w:szCs w:val="28"/>
        </w:rPr>
      </w:pPr>
    </w:p>
    <w:p>
      <w:pPr>
        <w:pStyle w:val="11"/>
        <w:rPr>
          <w:sz w:val="28"/>
          <w:szCs w:val="28"/>
        </w:rPr>
      </w:pPr>
      <w:r>
        <w:rPr>
          <w:sz w:val="28"/>
          <w:szCs w:val="28"/>
        </w:rPr>
        <w:t>第一部分  磋商邀请函</w:t>
      </w:r>
    </w:p>
    <w:p/>
    <w:p>
      <w:pPr>
        <w:pStyle w:val="11"/>
        <w:rPr>
          <w:sz w:val="28"/>
          <w:szCs w:val="28"/>
        </w:rPr>
      </w:pPr>
      <w:r>
        <w:rPr>
          <w:sz w:val="28"/>
          <w:szCs w:val="28"/>
        </w:rPr>
        <w:t>第二部分  磋商项目</w:t>
      </w:r>
      <w:r>
        <w:rPr>
          <w:rFonts w:hint="eastAsia"/>
          <w:sz w:val="28"/>
          <w:szCs w:val="28"/>
        </w:rPr>
        <w:t>需求</w:t>
      </w:r>
    </w:p>
    <w:p/>
    <w:p>
      <w:pPr>
        <w:pStyle w:val="11"/>
        <w:rPr>
          <w:sz w:val="28"/>
          <w:szCs w:val="28"/>
        </w:rPr>
      </w:pPr>
      <w:r>
        <w:rPr>
          <w:sz w:val="28"/>
          <w:szCs w:val="28"/>
        </w:rPr>
        <w:t>第三部分  供应商须知</w:t>
      </w:r>
    </w:p>
    <w:p/>
    <w:p>
      <w:pPr>
        <w:pStyle w:val="11"/>
        <w:rPr>
          <w:sz w:val="28"/>
          <w:szCs w:val="28"/>
        </w:rPr>
      </w:pPr>
      <w:r>
        <w:rPr>
          <w:sz w:val="28"/>
          <w:szCs w:val="28"/>
        </w:rPr>
        <w:t>第四部分  合同草案</w:t>
      </w:r>
    </w:p>
    <w:p/>
    <w:p>
      <w:pPr>
        <w:pStyle w:val="11"/>
        <w:rPr>
          <w:sz w:val="28"/>
          <w:szCs w:val="28"/>
        </w:rPr>
      </w:pPr>
      <w:r>
        <w:rPr>
          <w:sz w:val="28"/>
          <w:szCs w:val="28"/>
        </w:rPr>
        <w:t>第五部分  响应文件格式</w:t>
      </w:r>
    </w:p>
    <w:p>
      <w:pPr>
        <w:tabs>
          <w:tab w:val="left" w:pos="3281"/>
          <w:tab w:val="center" w:pos="4711"/>
        </w:tabs>
        <w:spacing w:line="360" w:lineRule="auto"/>
        <w:jc w:val="center"/>
        <w:rPr>
          <w:rFonts w:eastAsia="仿宋_GB2312"/>
          <w:b/>
          <w:bCs/>
          <w:spacing w:val="20"/>
          <w:w w:val="66"/>
          <w:sz w:val="28"/>
          <w:szCs w:val="28"/>
        </w:rPr>
      </w:pPr>
    </w:p>
    <w:p>
      <w:pPr>
        <w:tabs>
          <w:tab w:val="left" w:pos="3281"/>
          <w:tab w:val="center" w:pos="4711"/>
        </w:tabs>
        <w:jc w:val="center"/>
        <w:rPr>
          <w:rFonts w:eastAsia="仿宋_GB2312"/>
          <w:b/>
          <w:bCs/>
          <w:spacing w:val="20"/>
          <w:w w:val="66"/>
          <w:sz w:val="44"/>
          <w:szCs w:val="44"/>
        </w:rPr>
      </w:pPr>
    </w:p>
    <w:p>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受天津开放大学委托，天津市政府采购中心对</w:t>
      </w:r>
      <w:r>
        <w:rPr>
          <w:rFonts w:hint="eastAsia" w:ascii="Times New Roman" w:hAnsi="Times New Roman" w:cs="Times New Roman" w:eastAsiaTheme="minorEastAsia"/>
          <w:color w:val="auto"/>
          <w:szCs w:val="32"/>
        </w:rPr>
        <w:t>天津开放大学海教园校区空调维保服务项目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天津开放大学海教园校区空调维保服务项目</w:t>
      </w:r>
      <w:r>
        <w:rPr>
          <w:rFonts w:ascii="Times New Roman" w:hAnsi="Times New Roman" w:eastAsia="宋体" w:cs="Times New Roman"/>
          <w:color w:val="auto"/>
        </w:rPr>
        <w:t xml:space="preserve">  </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（二）项目编号：TGPC-2026-D-0</w:t>
      </w:r>
      <w:r>
        <w:rPr>
          <w:rFonts w:hint="eastAsia" w:ascii="Times New Roman" w:hAnsi="Times New Roman" w:eastAsia="宋体" w:cs="Times New Roman"/>
          <w:color w:val="auto"/>
          <w:lang w:val="en-US" w:eastAsia="zh-CN"/>
        </w:rPr>
        <w:t>690</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791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026"/>
        <w:gridCol w:w="1446"/>
        <w:gridCol w:w="1735"/>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93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38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 w:hRule="atLeast"/>
          <w:jc w:val="center"/>
        </w:trPr>
        <w:tc>
          <w:tcPr>
            <w:tcW w:w="93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385" w:type="dxa"/>
            <w:vAlign w:val="center"/>
          </w:tcPr>
          <w:p>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空调维保服务</w:t>
            </w:r>
          </w:p>
        </w:tc>
        <w:tc>
          <w:tcPr>
            <w:tcW w:w="1026" w:type="dxa"/>
            <w:vAlign w:val="center"/>
          </w:tcPr>
          <w:p>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200000</w:t>
            </w:r>
            <w:r>
              <w:rPr>
                <w:rFonts w:ascii="Times New Roman" w:hAnsi="Times New Roman" w:eastAsia="宋体" w:cs="Times New Roman"/>
                <w:color w:val="auto"/>
                <w:sz w:val="21"/>
                <w:szCs w:val="21"/>
              </w:rPr>
              <w:t>元</w:t>
            </w:r>
          </w:p>
        </w:tc>
        <w:tc>
          <w:tcPr>
            <w:tcW w:w="1446" w:type="dxa"/>
            <w:vAlign w:val="center"/>
          </w:tcPr>
          <w:p>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200000</w:t>
            </w:r>
            <w:r>
              <w:rPr>
                <w:rFonts w:ascii="Times New Roman" w:hAnsi="Times New Roman" w:eastAsia="宋体" w:cs="Times New Roman"/>
                <w:color w:val="auto"/>
                <w:sz w:val="21"/>
                <w:szCs w:val="21"/>
              </w:rPr>
              <w:t>元</w:t>
            </w:r>
          </w:p>
        </w:tc>
        <w:tc>
          <w:tcPr>
            <w:tcW w:w="1735" w:type="dxa"/>
            <w:vAlign w:val="center"/>
          </w:tcPr>
          <w:p>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合同规定的服务起始之日起1年的服务期</w:t>
            </w:r>
          </w:p>
        </w:tc>
        <w:tc>
          <w:tcPr>
            <w:tcW w:w="1389" w:type="dxa"/>
            <w:vAlign w:val="center"/>
          </w:tcPr>
          <w:p>
            <w:pPr>
              <w:pStyle w:val="29"/>
              <w:adjustRightInd/>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工业</w:t>
            </w:r>
          </w:p>
        </w:tc>
      </w:tr>
    </w:tbl>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pPr>
        <w:pStyle w:val="29"/>
        <w:spacing w:line="360" w:lineRule="auto"/>
        <w:ind w:firstLine="480" w:firstLineChars="200"/>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投标人具备建筑业企业资质证书(建筑机电安装工程专业承包)，提供证书电子件</w:t>
      </w:r>
      <w:r>
        <w:rPr>
          <w:rFonts w:ascii="Times New Roman" w:hAnsi="Times New Roman" w:eastAsia="宋体" w:cs="Times New Roman"/>
          <w:color w:val="auto"/>
        </w:rPr>
        <w:t>；</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投标人具备安全生产许可证，提供证书电子件</w:t>
      </w:r>
      <w:r>
        <w:rPr>
          <w:rFonts w:ascii="Times New Roman" w:hAnsi="Times New Roman" w:eastAsia="宋体" w:cs="Times New Roman"/>
          <w:color w:val="auto"/>
        </w:rPr>
        <w:t>；</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第十八条规定的条件，提供以下材料：</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四</w:t>
      </w:r>
      <w:r>
        <w:rPr>
          <w:rFonts w:ascii="Times New Roman" w:hAnsi="Times New Roman" w:cs="Times New Roman" w:eastAsiaTheme="minorEastAsia"/>
          <w:color w:val="auto"/>
          <w:highlight w:val="none"/>
        </w:rPr>
        <w:t>）本项目专门面向小微企业采购，提供《中小企业声明函》。</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23"/>
        <w:tblW w:w="91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1891"/>
        <w:gridCol w:w="1891"/>
        <w:gridCol w:w="2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03</w:t>
            </w:r>
            <w:r>
              <w:rPr>
                <w:rFonts w:ascii="Times New Roman" w:hAnsi="Times New Roman" w:eastAsia="宋体" w:cs="Times New Roman"/>
                <w:color w:val="auto"/>
                <w:sz w:val="21"/>
                <w:szCs w:val="21"/>
              </w:rPr>
              <w:t>日</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10</w:t>
            </w:r>
            <w:r>
              <w:rPr>
                <w:rFonts w:ascii="Times New Roman" w:hAnsi="Times New Roman" w:eastAsia="宋体" w:cs="Times New Roman"/>
                <w:color w:val="auto"/>
                <w:sz w:val="21"/>
                <w:szCs w:val="21"/>
              </w:rPr>
              <w:t>日</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日9:00</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日9:30</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0"/>
          <w:rFonts w:ascii="Times New Roman" w:hAnsi="Times New Roman" w:eastAsia="宋体" w:cs="Times New Roman"/>
        </w:rPr>
        <w:t>http://tjgpc.zwfwb.tj.gov.cn</w:t>
      </w:r>
      <w:r>
        <w:rPr>
          <w:rStyle w:val="20"/>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姜凡 傅耀</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（一）采购人名称：天津开放大学 </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 天津市津南区同心路36号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 周老师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（四）采购人联系电话：022-23671675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联系部门：天津开放大学</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联系地址：天津市津南区同心路36号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lang w:val="en-US" w:eastAsia="zh-CN"/>
        </w:rPr>
        <w:t>范</w:t>
      </w:r>
      <w:r>
        <w:rPr>
          <w:rFonts w:ascii="Times New Roman" w:hAnsi="Times New Roman" w:eastAsia="宋体" w:cs="Times New Roman"/>
          <w:color w:val="auto"/>
        </w:rPr>
        <w:t>老师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联系方式：022-88972199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22"/>
        <w:tblW w:w="73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blHeader/>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pPr>
              <w:tabs>
                <w:tab w:val="left" w:pos="750"/>
                <w:tab w:val="left" w:pos="840"/>
              </w:tabs>
              <w:adjustRightInd w:val="0"/>
              <w:snapToGrid w:val="0"/>
              <w:jc w:val="center"/>
              <w:rPr>
                <w:color w:val="auto"/>
                <w:sz w:val="24"/>
              </w:rPr>
            </w:pPr>
            <w:r>
              <w:rPr>
                <w:color w:val="auto"/>
                <w:sz w:val="24"/>
              </w:rPr>
              <w:t>费率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pPr>
              <w:tabs>
                <w:tab w:val="left" w:pos="750"/>
                <w:tab w:val="left" w:pos="840"/>
              </w:tabs>
              <w:adjustRightInd w:val="0"/>
              <w:snapToGrid w:val="0"/>
              <w:jc w:val="center"/>
              <w:rPr>
                <w:color w:val="auto"/>
                <w:sz w:val="24"/>
              </w:rPr>
            </w:pPr>
            <w:r>
              <w:rPr>
                <w:color w:val="auto"/>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pPr>
              <w:tabs>
                <w:tab w:val="left" w:pos="750"/>
                <w:tab w:val="left" w:pos="840"/>
              </w:tabs>
              <w:adjustRightInd w:val="0"/>
              <w:snapToGrid w:val="0"/>
              <w:jc w:val="center"/>
              <w:rPr>
                <w:color w:val="auto"/>
                <w:sz w:val="24"/>
              </w:rPr>
            </w:pPr>
            <w:r>
              <w:rPr>
                <w:color w:val="auto"/>
                <w:sz w:val="24"/>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pPr>
              <w:tabs>
                <w:tab w:val="left" w:pos="750"/>
                <w:tab w:val="left" w:pos="840"/>
              </w:tabs>
              <w:adjustRightInd w:val="0"/>
              <w:snapToGrid w:val="0"/>
              <w:jc w:val="center"/>
              <w:rPr>
                <w:color w:val="auto"/>
                <w:sz w:val="24"/>
              </w:rPr>
            </w:pPr>
            <w:r>
              <w:rPr>
                <w:color w:val="auto"/>
                <w:sz w:val="24"/>
              </w:rPr>
              <w:t>0.45%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pPr>
              <w:tabs>
                <w:tab w:val="left" w:pos="750"/>
                <w:tab w:val="left" w:pos="840"/>
              </w:tabs>
              <w:adjustRightInd w:val="0"/>
              <w:snapToGrid w:val="0"/>
              <w:jc w:val="center"/>
              <w:rPr>
                <w:color w:val="auto"/>
                <w:sz w:val="24"/>
              </w:rPr>
            </w:pPr>
            <w:r>
              <w:rPr>
                <w:color w:val="auto"/>
                <w:sz w:val="24"/>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pPr>
              <w:tabs>
                <w:tab w:val="left" w:pos="750"/>
                <w:tab w:val="left" w:pos="840"/>
              </w:tabs>
              <w:adjustRightInd w:val="0"/>
              <w:snapToGrid w:val="0"/>
              <w:jc w:val="center"/>
              <w:rPr>
                <w:color w:val="auto"/>
                <w:sz w:val="24"/>
              </w:rPr>
            </w:pPr>
            <w:r>
              <w:rPr>
                <w:color w:val="auto"/>
                <w:sz w:val="24"/>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pPr>
              <w:tabs>
                <w:tab w:val="left" w:pos="750"/>
                <w:tab w:val="left" w:pos="840"/>
              </w:tabs>
              <w:adjustRightInd w:val="0"/>
              <w:snapToGrid w:val="0"/>
              <w:jc w:val="center"/>
              <w:rPr>
                <w:color w:val="auto"/>
                <w:sz w:val="24"/>
              </w:rPr>
            </w:pPr>
            <w:r>
              <w:rPr>
                <w:color w:val="auto"/>
                <w:sz w:val="24"/>
              </w:rPr>
              <w:t>0.05%</w:t>
            </w:r>
          </w:p>
        </w:tc>
      </w:tr>
    </w:tbl>
    <w:p>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pPr>
        <w:pStyle w:val="29"/>
        <w:spacing w:line="360" w:lineRule="auto"/>
        <w:ind w:firstLine="480" w:firstLineChars="200"/>
        <w:jc w:val="both"/>
        <w:rPr>
          <w:rFonts w:ascii="Times New Roman" w:hAnsi="Times New Roman" w:eastAsia="宋体" w:cs="Times New Roman"/>
          <w:color w:val="FF0000"/>
        </w:rPr>
      </w:pPr>
    </w:p>
    <w:p>
      <w:pPr>
        <w:pStyle w:val="29"/>
        <w:spacing w:line="360" w:lineRule="auto"/>
        <w:jc w:val="both"/>
        <w:rPr>
          <w:rFonts w:ascii="Times New Roman" w:hAnsi="Times New Roman" w:eastAsia="宋体" w:cs="Times New Roman"/>
          <w:color w:val="auto"/>
        </w:rPr>
      </w:pPr>
    </w:p>
    <w:p>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480" w:firstLineChars="200"/>
        <w:jc w:val="both"/>
        <w:rPr>
          <w:rFonts w:ascii="Times New Roman" w:hAnsi="Times New Roman" w:eastAsia="宋体" w:cs="Times New Roman"/>
          <w:color w:val="auto"/>
          <w:kern w:val="2"/>
        </w:rPr>
      </w:pPr>
    </w:p>
    <w:p>
      <w:pPr>
        <w:pStyle w:val="12"/>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pPr>
        <w:widowControl/>
        <w:spacing w:line="360" w:lineRule="auto"/>
        <w:ind w:firstLine="480" w:firstLineChars="200"/>
        <w:jc w:val="left"/>
        <w:rPr>
          <w:color w:val="auto"/>
          <w:sz w:val="24"/>
        </w:rPr>
      </w:pPr>
      <w:r>
        <w:rPr>
          <w:rFonts w:hint="eastAsia"/>
          <w:color w:val="auto"/>
          <w:sz w:val="24"/>
        </w:rPr>
        <w:t>一、项目背景</w:t>
      </w:r>
    </w:p>
    <w:p>
      <w:pPr>
        <w:tabs>
          <w:tab w:val="left" w:pos="210"/>
        </w:tabs>
        <w:autoSpaceDE w:val="0"/>
        <w:autoSpaceDN w:val="0"/>
        <w:adjustRightInd w:val="0"/>
        <w:spacing w:line="360" w:lineRule="auto"/>
        <w:ind w:firstLine="480" w:firstLineChars="200"/>
        <w:outlineLvl w:val="0"/>
        <w:rPr>
          <w:bCs/>
          <w:color w:val="auto"/>
          <w:sz w:val="24"/>
        </w:rPr>
      </w:pPr>
      <w:r>
        <w:rPr>
          <w:rFonts w:hint="eastAsia"/>
          <w:color w:val="auto"/>
          <w:sz w:val="24"/>
          <w:szCs w:val="24"/>
        </w:rPr>
        <w:t>天津开放大学海教园校区空调维保服务，是欧科多联机室内机，室外机，新风机组空调设备提供清洗消毒（每年2次）、检漏、日常维修、每月例行巡检及应急维修等服务。</w:t>
      </w:r>
    </w:p>
    <w:p>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color w:val="auto"/>
          <w:sz w:val="24"/>
          <w:szCs w:val="24"/>
        </w:rPr>
        <w:t>详见项目需求书。</w:t>
      </w:r>
    </w:p>
    <w:p>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pPr>
        <w:spacing w:line="360" w:lineRule="auto"/>
        <w:ind w:firstLine="480" w:firstLineChars="200"/>
        <w:rPr>
          <w:rFonts w:eastAsiaTheme="minorEastAsia"/>
          <w:color w:val="auto"/>
          <w:sz w:val="24"/>
        </w:rPr>
      </w:pPr>
      <w:r>
        <w:rPr>
          <w:rFonts w:eastAsiaTheme="minorEastAsia"/>
          <w:color w:val="auto"/>
          <w:sz w:val="24"/>
        </w:rPr>
        <w:t>1. 投标报价以人民币填列。</w:t>
      </w:r>
    </w:p>
    <w:p>
      <w:pPr>
        <w:spacing w:line="360" w:lineRule="auto"/>
        <w:ind w:firstLine="480" w:firstLineChars="200"/>
        <w:rPr>
          <w:rFonts w:eastAsiaTheme="minorEastAsia"/>
          <w:color w:val="auto"/>
          <w:sz w:val="24"/>
        </w:rPr>
      </w:pPr>
      <w:r>
        <w:rPr>
          <w:rFonts w:eastAsiaTheme="minorEastAsia"/>
          <w:color w:val="auto"/>
          <w:sz w:val="24"/>
        </w:rPr>
        <w:t>2. 投标人的报价应包括：人员费用、维保费、维修费、备品备件费、管理费及税金等为完成竞争性磋商文件规定全部任务所需的一切应有费用。</w:t>
      </w:r>
    </w:p>
    <w:p>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时间要求：合同规定的服务起始之日起1年的服务期（特殊情况以合同为准）。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rPr>
        <w:t>津南区海教园同心路36号</w:t>
      </w:r>
      <w:r>
        <w:rPr>
          <w:rFonts w:ascii="Times New Roman" w:hAnsi="Times New Roman" w:cs="Times New Roman" w:eastAsiaTheme="minorEastAsia"/>
          <w:color w:val="auto"/>
          <w:kern w:val="2"/>
        </w:rPr>
        <w:t>（特殊情况以合同为准）。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szCs w:val="21"/>
        </w:rPr>
        <w:t>按季度付款，服务合格，每季度末支付年合同金额的25%</w:t>
      </w:r>
      <w:r>
        <w:rPr>
          <w:rFonts w:ascii="Times New Roman" w:hAnsi="Times New Roman" w:cs="Times New Roman" w:eastAsiaTheme="minorEastAsia"/>
          <w:color w:val="auto"/>
        </w:rPr>
        <w:t>（特殊情况以合同为准）。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22"/>
        <w:tblW w:w="1053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pPr>
              <w:widowControl/>
              <w:adjustRightInd w:val="0"/>
              <w:snapToGrid w:val="0"/>
              <w:rPr>
                <w:kern w:val="0"/>
                <w:sz w:val="24"/>
                <w:szCs w:val="24"/>
              </w:rPr>
            </w:pPr>
            <w:r>
              <w:rPr>
                <w:kern w:val="0"/>
                <w:sz w:val="24"/>
                <w:szCs w:val="24"/>
              </w:rPr>
              <w:t>（1）报价超过采购预算的，响应无效，未超过采购预算的报价按以下公式进行计算。</w:t>
            </w:r>
          </w:p>
          <w:p>
            <w:pPr>
              <w:widowControl/>
              <w:adjustRightInd w:val="0"/>
              <w:snapToGrid w:val="0"/>
              <w:rPr>
                <w:kern w:val="0"/>
                <w:sz w:val="24"/>
                <w:szCs w:val="24"/>
              </w:rPr>
            </w:pPr>
            <w:r>
              <w:rPr>
                <w:kern w:val="0"/>
                <w:sz w:val="24"/>
                <w:szCs w:val="24"/>
              </w:rPr>
              <w:t>（2）价格得分=（评标基准价/报价）×20</w:t>
            </w:r>
          </w:p>
          <w:p>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5" w:hRule="atLeast"/>
          <w:jc w:val="center"/>
        </w:trPr>
        <w:tc>
          <w:tcPr>
            <w:tcW w:w="9393" w:type="dxa"/>
            <w:gridSpan w:val="3"/>
            <w:shd w:val="clear" w:color="auto" w:fill="auto"/>
            <w:vAlign w:val="center"/>
          </w:tcPr>
          <w:p>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20</w:t>
            </w:r>
            <w:r>
              <w:rPr>
                <w:color w:val="000000"/>
                <w:kern w:val="0"/>
                <w:sz w:val="24"/>
                <w:szCs w:val="24"/>
              </w:rPr>
              <w:t>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pPr>
              <w:widowControl/>
              <w:adjustRightInd w:val="0"/>
              <w:snapToGrid w:val="0"/>
              <w:rPr>
                <w:kern w:val="0"/>
                <w:sz w:val="24"/>
                <w:szCs w:val="24"/>
              </w:rPr>
            </w:pPr>
            <w:r>
              <w:rPr>
                <w:kern w:val="0"/>
                <w:sz w:val="24"/>
                <w:szCs w:val="24"/>
              </w:rPr>
              <w:t>完全按照以</w:t>
            </w:r>
            <w:r>
              <w:rPr>
                <w:color w:val="auto"/>
                <w:kern w:val="0"/>
                <w:sz w:val="24"/>
                <w:szCs w:val="24"/>
              </w:rPr>
              <w:t>下要求提供投标人曾实施</w:t>
            </w:r>
            <w:r>
              <w:rPr>
                <w:rFonts w:hint="eastAsia"/>
                <w:color w:val="auto"/>
                <w:kern w:val="0"/>
                <w:sz w:val="24"/>
                <w:szCs w:val="24"/>
                <w:lang w:val="en-US" w:eastAsia="zh-CN"/>
              </w:rPr>
              <w:t>空调维保服务</w:t>
            </w:r>
            <w:r>
              <w:rPr>
                <w:color w:val="auto"/>
                <w:kern w:val="0"/>
                <w:sz w:val="24"/>
                <w:szCs w:val="24"/>
              </w:rPr>
              <w:t>业绩，提供</w:t>
            </w:r>
            <w:r>
              <w:rPr>
                <w:kern w:val="0"/>
                <w:sz w:val="24"/>
                <w:szCs w:val="24"/>
              </w:rPr>
              <w:t>的证明材料均不得遮挡涂黑，否则不予认定加分。</w:t>
            </w:r>
          </w:p>
          <w:p>
            <w:pPr>
              <w:widowControl/>
              <w:adjustRightInd w:val="0"/>
              <w:snapToGrid w:val="0"/>
              <w:rPr>
                <w:kern w:val="0"/>
                <w:sz w:val="24"/>
                <w:szCs w:val="24"/>
              </w:rPr>
            </w:pPr>
            <w:r>
              <w:rPr>
                <w:kern w:val="0"/>
                <w:sz w:val="24"/>
                <w:szCs w:val="24"/>
              </w:rPr>
              <w:t>合同原件电子件。包括买卖双方名称及盖章、服务内容</w:t>
            </w:r>
            <w:r>
              <w:rPr>
                <w:bCs/>
                <w:sz w:val="24"/>
              </w:rPr>
              <w:t>、合同签订日期（应为202</w:t>
            </w:r>
            <w:r>
              <w:rPr>
                <w:rFonts w:hint="eastAsia"/>
                <w:bCs/>
                <w:sz w:val="24"/>
              </w:rPr>
              <w:t>3</w:t>
            </w:r>
            <w:r>
              <w:rPr>
                <w:bCs/>
                <w:sz w:val="24"/>
              </w:rPr>
              <w:t>年1月1日或以后）</w:t>
            </w:r>
            <w:r>
              <w:rPr>
                <w:kern w:val="0"/>
                <w:sz w:val="24"/>
                <w:szCs w:val="24"/>
              </w:rPr>
              <w:t>。</w:t>
            </w:r>
          </w:p>
          <w:p>
            <w:pPr>
              <w:widowControl/>
              <w:adjustRightInd w:val="0"/>
              <w:snapToGrid w:val="0"/>
              <w:rPr>
                <w:color w:val="FF0000"/>
                <w:kern w:val="0"/>
                <w:sz w:val="24"/>
                <w:szCs w:val="24"/>
              </w:rPr>
            </w:pPr>
            <w:r>
              <w:rPr>
                <w:kern w:val="0"/>
                <w:sz w:val="24"/>
                <w:szCs w:val="24"/>
              </w:rPr>
              <w:t>每个业绩2分，最多10分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投入人员评价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投入的</w:t>
            </w:r>
            <w:r>
              <w:rPr>
                <w:rFonts w:hint="eastAsia"/>
                <w:color w:val="auto"/>
                <w:kern w:val="0"/>
                <w:sz w:val="24"/>
                <w:szCs w:val="24"/>
                <w:lang w:val="en-US" w:eastAsia="zh-CN"/>
              </w:rPr>
              <w:t>人员</w:t>
            </w:r>
            <w:r>
              <w:rPr>
                <w:color w:val="auto"/>
                <w:kern w:val="0"/>
                <w:sz w:val="24"/>
                <w:szCs w:val="24"/>
              </w:rPr>
              <w:t>为</w:t>
            </w:r>
            <w:r>
              <w:rPr>
                <w:rFonts w:hint="eastAsia"/>
                <w:color w:val="auto"/>
                <w:kern w:val="0"/>
                <w:sz w:val="24"/>
                <w:szCs w:val="24"/>
                <w:lang w:val="en-US" w:eastAsia="zh-CN"/>
              </w:rPr>
              <w:t>供应商</w:t>
            </w:r>
            <w:r>
              <w:rPr>
                <w:color w:val="auto"/>
                <w:kern w:val="0"/>
                <w:sz w:val="24"/>
                <w:szCs w:val="24"/>
              </w:rPr>
              <w:t>正式员工，提供</w:t>
            </w:r>
            <w:r>
              <w:rPr>
                <w:rFonts w:hint="eastAsia"/>
                <w:color w:val="auto"/>
                <w:kern w:val="0"/>
                <w:sz w:val="24"/>
                <w:szCs w:val="24"/>
                <w:lang w:val="en-US" w:eastAsia="zh-CN"/>
              </w:rPr>
              <w:t>人员</w:t>
            </w:r>
            <w:r>
              <w:rPr>
                <w:color w:val="auto"/>
                <w:kern w:val="0"/>
                <w:sz w:val="24"/>
                <w:szCs w:val="24"/>
              </w:rPr>
              <w:t>姓名、</w:t>
            </w:r>
            <w:r>
              <w:rPr>
                <w:rFonts w:hint="eastAsia"/>
                <w:color w:val="auto"/>
                <w:kern w:val="0"/>
                <w:sz w:val="24"/>
                <w:szCs w:val="24"/>
              </w:rPr>
              <w:t>递交响应文件截止日</w:t>
            </w:r>
            <w:r>
              <w:rPr>
                <w:color w:val="auto"/>
                <w:kern w:val="0"/>
                <w:sz w:val="24"/>
                <w:szCs w:val="24"/>
              </w:rPr>
              <w:t>前</w:t>
            </w:r>
            <w:r>
              <w:rPr>
                <w:rFonts w:hint="eastAsia"/>
                <w:color w:val="auto"/>
                <w:kern w:val="0"/>
                <w:sz w:val="24"/>
                <w:szCs w:val="24"/>
                <w:lang w:val="en-US" w:eastAsia="zh-CN"/>
              </w:rPr>
              <w:t>四</w:t>
            </w:r>
            <w:r>
              <w:rPr>
                <w:color w:val="auto"/>
                <w:kern w:val="0"/>
                <w:sz w:val="24"/>
                <w:szCs w:val="24"/>
              </w:rPr>
              <w:t>个月</w:t>
            </w:r>
            <w:r>
              <w:rPr>
                <w:rFonts w:hint="eastAsia"/>
                <w:color w:val="auto"/>
                <w:kern w:val="0"/>
                <w:sz w:val="24"/>
                <w:szCs w:val="24"/>
                <w:lang w:eastAsia="zh-CN"/>
              </w:rPr>
              <w:t>（</w:t>
            </w:r>
            <w:r>
              <w:rPr>
                <w:rFonts w:hint="eastAsia"/>
                <w:color w:val="auto"/>
                <w:kern w:val="0"/>
                <w:sz w:val="24"/>
                <w:szCs w:val="24"/>
                <w:lang w:val="en-US" w:eastAsia="zh-CN"/>
              </w:rPr>
              <w:t>含</w:t>
            </w:r>
            <w:r>
              <w:rPr>
                <w:rFonts w:hint="eastAsia"/>
                <w:color w:val="auto"/>
                <w:kern w:val="0"/>
                <w:sz w:val="24"/>
                <w:szCs w:val="24"/>
              </w:rPr>
              <w:t>当月</w:t>
            </w:r>
            <w:r>
              <w:rPr>
                <w:rFonts w:hint="eastAsia"/>
                <w:color w:val="auto"/>
                <w:kern w:val="0"/>
                <w:sz w:val="24"/>
                <w:szCs w:val="24"/>
                <w:lang w:eastAsia="zh-CN"/>
              </w:rPr>
              <w:t>）</w:t>
            </w:r>
            <w:r>
              <w:rPr>
                <w:color w:val="auto"/>
                <w:kern w:val="0"/>
                <w:sz w:val="24"/>
                <w:szCs w:val="24"/>
              </w:rPr>
              <w:t>中连续两个月的由</w:t>
            </w:r>
            <w:r>
              <w:rPr>
                <w:rFonts w:hint="eastAsia"/>
                <w:color w:val="auto"/>
                <w:kern w:val="0"/>
                <w:sz w:val="24"/>
                <w:szCs w:val="24"/>
                <w:lang w:val="en-US" w:eastAsia="zh-CN"/>
              </w:rPr>
              <w:t>供应商</w:t>
            </w:r>
            <w:r>
              <w:rPr>
                <w:color w:val="auto"/>
                <w:kern w:val="0"/>
                <w:sz w:val="24"/>
                <w:szCs w:val="24"/>
              </w:rPr>
              <w:t>为该</w:t>
            </w:r>
            <w:r>
              <w:rPr>
                <w:rFonts w:hint="eastAsia"/>
                <w:color w:val="auto"/>
                <w:kern w:val="0"/>
                <w:sz w:val="24"/>
                <w:szCs w:val="24"/>
                <w:lang w:val="en-US" w:eastAsia="zh-CN"/>
              </w:rPr>
              <w:t>人员</w:t>
            </w:r>
            <w:r>
              <w:rPr>
                <w:color w:val="auto"/>
                <w:kern w:val="0"/>
                <w:sz w:val="24"/>
                <w:szCs w:val="24"/>
              </w:rPr>
              <w:t>缴纳社会保险证明电子件</w:t>
            </w:r>
            <w:r>
              <w:rPr>
                <w:rFonts w:hint="eastAsia"/>
                <w:color w:val="auto"/>
                <w:kern w:val="0"/>
                <w:sz w:val="24"/>
                <w:szCs w:val="24"/>
              </w:rPr>
              <w:t xml:space="preserve"> </w:t>
            </w:r>
            <w:r>
              <w:rPr>
                <w:color w:val="auto"/>
                <w:kern w:val="0"/>
                <w:sz w:val="24"/>
                <w:szCs w:val="24"/>
              </w:rPr>
              <w:t>，否则不予认定加分。</w:t>
            </w:r>
          </w:p>
          <w:p>
            <w:pPr>
              <w:widowControl/>
              <w:numPr>
                <w:ilvl w:val="0"/>
                <w:numId w:val="1"/>
              </w:numPr>
              <w:adjustRightInd w:val="0"/>
              <w:snapToGrid w:val="0"/>
              <w:rPr>
                <w:color w:val="auto"/>
                <w:kern w:val="0"/>
                <w:sz w:val="24"/>
                <w:szCs w:val="24"/>
              </w:rPr>
            </w:pPr>
            <w:r>
              <w:rPr>
                <w:color w:val="auto"/>
                <w:kern w:val="0"/>
                <w:sz w:val="24"/>
                <w:szCs w:val="24"/>
              </w:rPr>
              <w:t>项目</w:t>
            </w:r>
            <w:r>
              <w:rPr>
                <w:rFonts w:hint="eastAsia"/>
                <w:color w:val="auto"/>
                <w:kern w:val="0"/>
                <w:sz w:val="24"/>
                <w:szCs w:val="24"/>
                <w:lang w:val="en-US" w:eastAsia="zh-CN"/>
              </w:rPr>
              <w:t>负责人</w:t>
            </w:r>
            <w:r>
              <w:rPr>
                <w:rFonts w:hint="eastAsia"/>
                <w:color w:val="auto"/>
                <w:kern w:val="0"/>
                <w:sz w:val="24"/>
                <w:szCs w:val="24"/>
              </w:rPr>
              <w:t>提供</w:t>
            </w:r>
            <w:r>
              <w:rPr>
                <w:rFonts w:hint="eastAsia"/>
                <w:color w:val="auto"/>
                <w:kern w:val="0"/>
                <w:sz w:val="24"/>
                <w:szCs w:val="24"/>
                <w:lang w:val="en-US" w:eastAsia="zh-CN"/>
              </w:rPr>
              <w:t>项目负责人</w:t>
            </w:r>
            <w:r>
              <w:rPr>
                <w:rFonts w:hint="eastAsia"/>
                <w:color w:val="auto"/>
                <w:kern w:val="0"/>
                <w:sz w:val="24"/>
                <w:szCs w:val="24"/>
              </w:rPr>
              <w:t>用户服务证明电子件（加盖用户单位公章），用户服务证明能表明该项目</w:t>
            </w:r>
            <w:r>
              <w:rPr>
                <w:rFonts w:hint="eastAsia"/>
                <w:color w:val="auto"/>
                <w:kern w:val="0"/>
                <w:sz w:val="24"/>
                <w:szCs w:val="24"/>
                <w:lang w:val="en-US" w:eastAsia="zh-CN"/>
              </w:rPr>
              <w:t>负责人</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w:t>
            </w:r>
            <w:r>
              <w:rPr>
                <w:rFonts w:hint="eastAsia"/>
                <w:color w:val="auto"/>
                <w:kern w:val="0"/>
                <w:sz w:val="24"/>
                <w:szCs w:val="24"/>
                <w:lang w:val="en-US" w:eastAsia="zh-CN"/>
              </w:rPr>
              <w:t>相关工作</w:t>
            </w:r>
            <w:r>
              <w:rPr>
                <w:rFonts w:hint="eastAsia"/>
                <w:color w:val="auto"/>
                <w:kern w:val="0"/>
                <w:sz w:val="24"/>
                <w:szCs w:val="24"/>
              </w:rPr>
              <w:t>经验的，且性别年龄满足</w:t>
            </w:r>
            <w:r>
              <w:rPr>
                <w:rFonts w:hint="eastAsia"/>
                <w:color w:val="auto"/>
                <w:kern w:val="0"/>
                <w:sz w:val="24"/>
                <w:szCs w:val="24"/>
                <w:lang w:val="en-US" w:eastAsia="zh-CN"/>
              </w:rPr>
              <w:t>磋商</w:t>
            </w:r>
            <w:r>
              <w:rPr>
                <w:rFonts w:hint="eastAsia"/>
                <w:color w:val="auto"/>
                <w:kern w:val="0"/>
                <w:sz w:val="24"/>
                <w:szCs w:val="24"/>
              </w:rPr>
              <w:t>文件要求：</w:t>
            </w:r>
            <w:r>
              <w:rPr>
                <w:rFonts w:hint="eastAsia"/>
                <w:color w:val="auto"/>
                <w:kern w:val="0"/>
                <w:sz w:val="24"/>
                <w:szCs w:val="24"/>
                <w:lang w:val="en-US" w:eastAsia="zh-CN"/>
              </w:rPr>
              <w:t>2</w:t>
            </w:r>
            <w:r>
              <w:rPr>
                <w:rFonts w:hint="eastAsia"/>
                <w:color w:val="auto"/>
                <w:kern w:val="0"/>
                <w:sz w:val="24"/>
                <w:szCs w:val="24"/>
              </w:rPr>
              <w:t>分，其他：0分；</w:t>
            </w:r>
          </w:p>
          <w:p>
            <w:pPr>
              <w:widowControl/>
              <w:adjustRightInd w:val="0"/>
              <w:snapToGrid w:val="0"/>
              <w:rPr>
                <w:color w:val="auto"/>
                <w:kern w:val="0"/>
                <w:sz w:val="24"/>
                <w:szCs w:val="24"/>
              </w:rPr>
            </w:pPr>
            <w:r>
              <w:rPr>
                <w:color w:val="auto"/>
                <w:kern w:val="0"/>
                <w:sz w:val="24"/>
                <w:szCs w:val="24"/>
              </w:rPr>
              <w:t>（2）投入人员</w:t>
            </w:r>
            <w:r>
              <w:rPr>
                <w:rFonts w:hint="eastAsia"/>
                <w:color w:val="auto"/>
                <w:kern w:val="0"/>
                <w:sz w:val="24"/>
                <w:szCs w:val="24"/>
                <w:lang w:eastAsia="zh-CN"/>
              </w:rPr>
              <w:t>（</w:t>
            </w:r>
            <w:r>
              <w:rPr>
                <w:rFonts w:hint="eastAsia"/>
                <w:color w:val="auto"/>
                <w:kern w:val="0"/>
                <w:sz w:val="24"/>
                <w:szCs w:val="24"/>
                <w:lang w:val="en-US" w:eastAsia="zh-CN"/>
              </w:rPr>
              <w:t>电工作业）</w:t>
            </w:r>
            <w:r>
              <w:rPr>
                <w:color w:val="auto"/>
                <w:kern w:val="0"/>
                <w:sz w:val="24"/>
                <w:szCs w:val="24"/>
              </w:rPr>
              <w:t>具备</w:t>
            </w:r>
            <w:r>
              <w:rPr>
                <w:rFonts w:hint="eastAsia"/>
                <w:color w:val="auto"/>
                <w:kern w:val="0"/>
                <w:sz w:val="24"/>
                <w:szCs w:val="24"/>
              </w:rPr>
              <w:t>提供特种作业操作证（</w:t>
            </w:r>
            <w:r>
              <w:rPr>
                <w:rFonts w:hint="eastAsia"/>
                <w:color w:val="auto"/>
                <w:kern w:val="0"/>
                <w:sz w:val="24"/>
                <w:szCs w:val="24"/>
                <w:lang w:val="en-US" w:eastAsia="zh-CN"/>
              </w:rPr>
              <w:t>低压</w:t>
            </w:r>
            <w:r>
              <w:rPr>
                <w:rFonts w:hint="eastAsia"/>
                <w:color w:val="auto"/>
                <w:kern w:val="0"/>
                <w:sz w:val="24"/>
                <w:szCs w:val="24"/>
              </w:rPr>
              <w:t>电工作业）</w:t>
            </w:r>
            <w:r>
              <w:rPr>
                <w:rFonts w:hint="eastAsia"/>
                <w:color w:val="auto"/>
                <w:kern w:val="0"/>
                <w:sz w:val="24"/>
                <w:szCs w:val="24"/>
                <w:lang w:val="en-US" w:eastAsia="zh-CN"/>
              </w:rPr>
              <w:t>或</w:t>
            </w:r>
            <w:r>
              <w:rPr>
                <w:color w:val="auto"/>
                <w:kern w:val="0"/>
                <w:sz w:val="24"/>
                <w:szCs w:val="24"/>
              </w:rPr>
              <w:t>特种作业操作证（</w:t>
            </w:r>
            <w:r>
              <w:rPr>
                <w:rFonts w:hint="eastAsia"/>
                <w:color w:val="auto"/>
                <w:kern w:val="0"/>
                <w:sz w:val="24"/>
                <w:szCs w:val="24"/>
                <w:lang w:val="en-US" w:eastAsia="zh-CN"/>
              </w:rPr>
              <w:t>高</w:t>
            </w:r>
            <w:r>
              <w:rPr>
                <w:color w:val="auto"/>
                <w:kern w:val="0"/>
                <w:sz w:val="24"/>
                <w:szCs w:val="24"/>
              </w:rPr>
              <w:t>压电工作业）</w:t>
            </w:r>
            <w:r>
              <w:rPr>
                <w:rFonts w:hint="eastAsia"/>
                <w:color w:val="auto"/>
                <w:kern w:val="0"/>
                <w:sz w:val="24"/>
                <w:szCs w:val="24"/>
              </w:rPr>
              <w:t>电子件且性别年龄满足</w:t>
            </w:r>
            <w:r>
              <w:rPr>
                <w:rFonts w:hint="eastAsia"/>
                <w:color w:val="auto"/>
                <w:kern w:val="0"/>
                <w:sz w:val="24"/>
                <w:szCs w:val="24"/>
                <w:lang w:val="en-US" w:eastAsia="zh-CN"/>
              </w:rPr>
              <w:t>磋商</w:t>
            </w:r>
            <w:r>
              <w:rPr>
                <w:rFonts w:hint="eastAsia"/>
                <w:color w:val="auto"/>
                <w:kern w:val="0"/>
                <w:sz w:val="24"/>
                <w:szCs w:val="24"/>
              </w:rPr>
              <w:t>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eastAsia="zh-CN"/>
              </w:rPr>
              <w:t>；</w:t>
            </w:r>
          </w:p>
          <w:p>
            <w:pPr>
              <w:widowControl/>
              <w:adjustRightInd w:val="0"/>
              <w:snapToGrid w:val="0"/>
              <w:rPr>
                <w:rFonts w:hint="default"/>
                <w:kern w:val="0"/>
                <w:sz w:val="24"/>
                <w:szCs w:val="24"/>
                <w:lang w:val="en-US" w:eastAsia="zh-CN"/>
              </w:rPr>
            </w:pPr>
            <w:r>
              <w:rPr>
                <w:rFonts w:hint="eastAsia"/>
                <w:color w:val="auto"/>
                <w:kern w:val="0"/>
                <w:sz w:val="24"/>
                <w:szCs w:val="24"/>
                <w:lang w:val="en-US" w:eastAsia="zh-CN"/>
              </w:rPr>
              <w:t>（3）</w:t>
            </w:r>
            <w:r>
              <w:rPr>
                <w:color w:val="auto"/>
                <w:kern w:val="0"/>
                <w:sz w:val="24"/>
                <w:szCs w:val="24"/>
              </w:rPr>
              <w:t>投入人员</w:t>
            </w:r>
            <w:r>
              <w:rPr>
                <w:rFonts w:hint="eastAsia"/>
                <w:color w:val="auto"/>
                <w:kern w:val="0"/>
                <w:sz w:val="24"/>
                <w:szCs w:val="24"/>
                <w:lang w:eastAsia="zh-CN"/>
              </w:rPr>
              <w:t>（</w:t>
            </w:r>
            <w:r>
              <w:rPr>
                <w:rFonts w:hint="eastAsia"/>
                <w:color w:val="auto"/>
                <w:kern w:val="0"/>
                <w:sz w:val="24"/>
                <w:szCs w:val="24"/>
                <w:lang w:val="en-US" w:eastAsia="zh-CN"/>
              </w:rPr>
              <w:t>高处作业</w:t>
            </w:r>
            <w:r>
              <w:rPr>
                <w:rFonts w:hint="eastAsia"/>
                <w:color w:val="auto"/>
                <w:kern w:val="0"/>
                <w:sz w:val="24"/>
                <w:szCs w:val="24"/>
                <w:lang w:eastAsia="zh-CN"/>
              </w:rPr>
              <w:t>）</w:t>
            </w:r>
            <w:r>
              <w:rPr>
                <w:color w:val="auto"/>
                <w:kern w:val="0"/>
                <w:sz w:val="24"/>
                <w:szCs w:val="24"/>
              </w:rPr>
              <w:t>具备</w:t>
            </w:r>
            <w:r>
              <w:rPr>
                <w:rFonts w:hint="eastAsia"/>
                <w:color w:val="auto"/>
                <w:kern w:val="0"/>
                <w:sz w:val="24"/>
                <w:szCs w:val="24"/>
              </w:rPr>
              <w:t>提供特种作业操作证（高处作业）电子件</w:t>
            </w:r>
            <w:r>
              <w:rPr>
                <w:rFonts w:hint="eastAsia"/>
                <w:kern w:val="0"/>
                <w:sz w:val="24"/>
                <w:szCs w:val="24"/>
              </w:rPr>
              <w:t>且性别年龄满足</w:t>
            </w:r>
            <w:r>
              <w:rPr>
                <w:rFonts w:hint="eastAsia"/>
                <w:kern w:val="0"/>
                <w:sz w:val="24"/>
                <w:szCs w:val="24"/>
                <w:lang w:val="en-US" w:eastAsia="zh-CN"/>
              </w:rPr>
              <w:t>磋商</w:t>
            </w:r>
            <w:r>
              <w:rPr>
                <w:rFonts w:hint="eastAsia"/>
                <w:kern w:val="0"/>
                <w:sz w:val="24"/>
                <w:szCs w:val="24"/>
              </w:rPr>
              <w:t>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r>
              <w:rPr>
                <w:rFonts w:hint="eastAsia"/>
                <w:kern w:val="0"/>
                <w:sz w:val="24"/>
                <w:szCs w:val="24"/>
                <w:lang w:eastAsia="zh-CN"/>
              </w:rPr>
              <w:t>。</w:t>
            </w:r>
          </w:p>
        </w:tc>
        <w:tc>
          <w:tcPr>
            <w:tcW w:w="1143" w:type="dxa"/>
            <w:shd w:val="clear" w:color="auto" w:fill="auto"/>
            <w:vAlign w:val="center"/>
          </w:tcPr>
          <w:p>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pPr>
              <w:widowControl/>
              <w:adjustRightInd w:val="0"/>
              <w:snapToGrid w:val="0"/>
              <w:jc w:val="center"/>
              <w:rPr>
                <w:color w:val="auto"/>
                <w:sz w:val="24"/>
              </w:rPr>
            </w:pPr>
            <w:r>
              <w:rPr>
                <w:color w:val="auto"/>
                <w:sz w:val="24"/>
              </w:rPr>
              <w:t>投标人承诺评价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承诺完全满足本文件“报价要求”、“时间地点要求”、“付款方式要求”和技术要求中非“</w:t>
            </w:r>
            <w:r>
              <w:rPr>
                <w:rFonts w:hint="eastAsia" w:ascii="宋体" w:hAnsi="宋体" w:cs="宋体"/>
                <w:color w:val="auto"/>
                <w:kern w:val="0"/>
                <w:sz w:val="24"/>
                <w:szCs w:val="24"/>
              </w:rPr>
              <w:t>★</w:t>
            </w:r>
            <w:r>
              <w:rPr>
                <w:color w:val="auto"/>
                <w:kern w:val="0"/>
                <w:sz w:val="24"/>
                <w:szCs w:val="24"/>
              </w:rPr>
              <w:t>”号要求的：</w:t>
            </w:r>
            <w:r>
              <w:rPr>
                <w:rFonts w:hint="eastAsia"/>
                <w:color w:val="auto"/>
                <w:kern w:val="0"/>
                <w:sz w:val="24"/>
                <w:szCs w:val="24"/>
                <w:lang w:val="en-US" w:eastAsia="zh-CN"/>
              </w:rPr>
              <w:t>5</w:t>
            </w:r>
            <w:r>
              <w:rPr>
                <w:color w:val="auto"/>
                <w:kern w:val="0"/>
                <w:sz w:val="24"/>
                <w:szCs w:val="24"/>
              </w:rPr>
              <w:t>分，其他0分。</w:t>
            </w:r>
          </w:p>
        </w:tc>
        <w:tc>
          <w:tcPr>
            <w:tcW w:w="114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 w:hRule="atLeast"/>
          <w:jc w:val="center"/>
        </w:trPr>
        <w:tc>
          <w:tcPr>
            <w:tcW w:w="9393" w:type="dxa"/>
            <w:gridSpan w:val="3"/>
            <w:shd w:val="clear" w:color="auto" w:fill="auto"/>
            <w:vAlign w:val="center"/>
          </w:tcPr>
          <w:p>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4"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至少包含各岗位投入人员数量、各岗位内部人员安排配置方案</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4"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针对本项目特点的专业化服务方案评价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至少包含针对本项目的</w:t>
            </w:r>
            <w:r>
              <w:rPr>
                <w:rFonts w:hint="eastAsia"/>
                <w:color w:val="auto"/>
                <w:kern w:val="0"/>
                <w:sz w:val="24"/>
                <w:szCs w:val="24"/>
              </w:rPr>
              <w:t>空调维保服务</w:t>
            </w:r>
            <w:r>
              <w:rPr>
                <w:color w:val="auto"/>
                <w:kern w:val="0"/>
                <w:sz w:val="24"/>
                <w:szCs w:val="24"/>
              </w:rPr>
              <w:t>方案</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对项目重点、难点的理解评价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至少包含针对本项目重点和难点的理解以及针对重点难点的应对解决方案</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管理规章制度评价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至少包含针对投入人员的服务管理规章制度</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5</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保密管理方案评价</w:t>
            </w:r>
          </w:p>
        </w:tc>
        <w:tc>
          <w:tcPr>
            <w:tcW w:w="7311" w:type="dxa"/>
            <w:shd w:val="clear" w:color="auto" w:fill="auto"/>
            <w:vAlign w:val="center"/>
          </w:tcPr>
          <w:p>
            <w:pPr>
              <w:widowControl/>
              <w:adjustRightInd w:val="0"/>
              <w:snapToGrid w:val="0"/>
              <w:rPr>
                <w:color w:val="auto"/>
                <w:sz w:val="24"/>
              </w:rPr>
            </w:pPr>
            <w:r>
              <w:rPr>
                <w:color w:val="auto"/>
                <w:sz w:val="24"/>
              </w:rPr>
              <w:t>至少包含保证服务过程中有可能获取的保密信息不泄露的措施：制定保密制度、服务人员保密培训、重点岗位双人服务、泄密惩罚办法。</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1</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6</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应急预案评价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7</w:t>
            </w:r>
          </w:p>
        </w:tc>
        <w:tc>
          <w:tcPr>
            <w:tcW w:w="1419" w:type="dxa"/>
            <w:shd w:val="clear" w:color="auto" w:fill="auto"/>
            <w:vAlign w:val="center"/>
          </w:tcPr>
          <w:p>
            <w:pPr>
              <w:widowControl/>
              <w:adjustRightInd w:val="0"/>
              <w:snapToGrid w:val="0"/>
              <w:jc w:val="center"/>
              <w:rPr>
                <w:color w:val="auto"/>
                <w:kern w:val="0"/>
                <w:sz w:val="24"/>
                <w:szCs w:val="24"/>
              </w:rPr>
            </w:pPr>
            <w:r>
              <w:rPr>
                <w:color w:val="auto"/>
                <w:sz w:val="24"/>
              </w:rPr>
              <w:t>投诉流程、满意度调查方案评价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至少包含投诉接受范围、投诉处理流程、满意度调查范围、满意度调查方法，提高服务对象满意度方案</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8</w:t>
            </w:r>
          </w:p>
        </w:tc>
        <w:tc>
          <w:tcPr>
            <w:tcW w:w="1419" w:type="dxa"/>
            <w:shd w:val="clear" w:color="auto" w:fill="auto"/>
            <w:vAlign w:val="center"/>
          </w:tcPr>
          <w:p>
            <w:pPr>
              <w:widowControl/>
              <w:adjustRightInd w:val="0"/>
              <w:snapToGrid w:val="0"/>
              <w:jc w:val="center"/>
              <w:rPr>
                <w:color w:val="auto"/>
                <w:sz w:val="24"/>
              </w:rPr>
            </w:pPr>
            <w:r>
              <w:rPr>
                <w:color w:val="auto"/>
                <w:sz w:val="24"/>
              </w:rPr>
              <w:t>安全作业保障方案评价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至少包含针对本项目的安全作业制度、安全保障措施、安全事故处理流程等</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9</w:t>
            </w:r>
          </w:p>
        </w:tc>
        <w:tc>
          <w:tcPr>
            <w:tcW w:w="1419" w:type="dxa"/>
            <w:shd w:val="clear" w:color="auto" w:fill="auto"/>
            <w:vAlign w:val="center"/>
          </w:tcPr>
          <w:p>
            <w:pPr>
              <w:widowControl/>
              <w:adjustRightInd w:val="0"/>
              <w:snapToGrid w:val="0"/>
              <w:jc w:val="center"/>
              <w:rPr>
                <w:color w:val="auto"/>
                <w:sz w:val="24"/>
              </w:rPr>
            </w:pPr>
            <w:r>
              <w:rPr>
                <w:color w:val="auto"/>
                <w:sz w:val="24"/>
              </w:rPr>
              <w:t>进度安排评价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至少包含各阶段工作进度安排、按时限完成的保障措施、进度落后时的挽回措施等</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1</w:t>
            </w:r>
            <w:r>
              <w:rPr>
                <w:rFonts w:hint="eastAsia"/>
                <w:color w:val="auto"/>
                <w:kern w:val="0"/>
                <w:sz w:val="24"/>
                <w:szCs w:val="24"/>
              </w:rPr>
              <w:t>分，最低0分。</w:t>
            </w:r>
          </w:p>
        </w:tc>
        <w:tc>
          <w:tcPr>
            <w:tcW w:w="114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10</w:t>
            </w:r>
          </w:p>
        </w:tc>
        <w:tc>
          <w:tcPr>
            <w:tcW w:w="1419"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至少包含指定专人为采购人服务、定期配合沟通频次、建立配合沟通内容记录台账、配合沟通效果反馈机制等方面内容</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11</w:t>
            </w:r>
          </w:p>
        </w:tc>
        <w:tc>
          <w:tcPr>
            <w:tcW w:w="1419" w:type="dxa"/>
            <w:shd w:val="clear" w:color="auto" w:fill="auto"/>
            <w:vAlign w:val="center"/>
          </w:tcPr>
          <w:p>
            <w:pPr>
              <w:widowControl/>
              <w:adjustRightInd w:val="0"/>
              <w:snapToGrid w:val="0"/>
              <w:jc w:val="center"/>
              <w:rPr>
                <w:color w:val="auto"/>
                <w:sz w:val="24"/>
              </w:rPr>
            </w:pPr>
            <w:r>
              <w:rPr>
                <w:color w:val="auto"/>
                <w:kern w:val="0"/>
                <w:sz w:val="24"/>
                <w:szCs w:val="24"/>
              </w:rPr>
              <w:t>服务质量保证方案评价</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至少包含服务过程中保证服务质量的措施、对出现服务质量问题时如何挽回、人员服务态度保障、人员业务专业化水平保障等方面内容</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jc w:val="center"/>
        </w:trPr>
        <w:tc>
          <w:tcPr>
            <w:tcW w:w="9393" w:type="dxa"/>
            <w:gridSpan w:val="3"/>
            <w:shd w:val="clear" w:color="auto" w:fill="auto"/>
            <w:vAlign w:val="center"/>
          </w:tcPr>
          <w:p>
            <w:pPr>
              <w:widowControl/>
              <w:adjustRightInd w:val="0"/>
              <w:snapToGrid w:val="0"/>
              <w:jc w:val="center"/>
              <w:rPr>
                <w:color w:val="auto"/>
                <w:sz w:val="24"/>
              </w:rPr>
            </w:pPr>
            <w:r>
              <w:rPr>
                <w:color w:val="auto"/>
                <w:sz w:val="24"/>
              </w:rPr>
              <w:t>合计</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100</w:t>
            </w:r>
          </w:p>
        </w:tc>
      </w:tr>
    </w:tbl>
    <w:p>
      <w:pPr>
        <w:spacing w:line="360" w:lineRule="auto"/>
        <w:ind w:firstLine="480" w:firstLineChars="200"/>
        <w:outlineLvl w:val="0"/>
        <w:rPr>
          <w:color w:val="FF0000"/>
          <w:sz w:val="24"/>
          <w:lang w:val="zh-CN"/>
        </w:rPr>
      </w:pPr>
      <w:r>
        <w:rPr>
          <w:rFonts w:hint="eastAsia"/>
          <w:color w:val="auto"/>
          <w:kern w:val="0"/>
          <w:sz w:val="24"/>
          <w:szCs w:val="24"/>
        </w:rPr>
        <w:t>主观分</w:t>
      </w:r>
      <w:r>
        <w:rPr>
          <w:color w:val="auto"/>
          <w:kern w:val="0"/>
          <w:sz w:val="24"/>
          <w:szCs w:val="24"/>
        </w:rPr>
        <w:t>中所称“瑕疵”是指内容缺项、不完整或缺少关</w:t>
      </w:r>
      <w:r>
        <w:rPr>
          <w:kern w:val="0"/>
          <w:sz w:val="24"/>
          <w:szCs w:val="24"/>
        </w:rPr>
        <w:t>键点；非专门针对本项目或不适用本项目特性、套用其他项目内容；对同一问题前后表述矛盾；存在逻辑漏洞、科学原理或常识错误；不利于本项目目标的实现、现有技术条件下不可能出现的情形等任意一种情形。</w:t>
      </w:r>
    </w:p>
    <w:p>
      <w:pPr>
        <w:widowControl/>
        <w:jc w:val="left"/>
        <w:rPr>
          <w:b/>
          <w:sz w:val="24"/>
        </w:rPr>
      </w:pPr>
      <w:r>
        <w:rPr>
          <w:b/>
          <w:sz w:val="24"/>
        </w:rPr>
        <w:br w:type="page"/>
      </w:r>
    </w:p>
    <w:p>
      <w:pPr>
        <w:spacing w:line="360" w:lineRule="auto"/>
        <w:jc w:val="center"/>
        <w:rPr>
          <w:b w:val="0"/>
          <w:bCs/>
          <w:sz w:val="24"/>
        </w:rPr>
      </w:pPr>
      <w:bookmarkStart w:id="25" w:name="_GoBack"/>
      <w:r>
        <w:rPr>
          <w:b w:val="0"/>
          <w:bCs/>
          <w:sz w:val="24"/>
        </w:rPr>
        <w:t>项目需求书</w:t>
      </w:r>
    </w:p>
    <w:p>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（一）项</w:t>
      </w:r>
      <w:r>
        <w:rPr>
          <w:rFonts w:ascii="宋体" w:hAnsi="宋体" w:eastAsia="宋体"/>
          <w:b w:val="0"/>
          <w:bCs/>
          <w:sz w:val="24"/>
          <w:szCs w:val="24"/>
        </w:rPr>
        <w:t>目内容</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1、空调系统：</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检查空调内机空气过滤系统，清洗过滤网；</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空调室内风机盘管清洗风口并安装恢复；</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检测空调各管路保温如破损，需要重新更换并包扎；</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检查空调内部各连接管、接口、接头、感温头、控制线等需扎带、喉箍、支架固定的是否牢固、安全；</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检查空调风机轴承的润滑和风叶的磨损情况，轴承加润滑油；</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检测空调压缩机运行是否有震动和异常声，安装是否牢固、安全；</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清洗空调室外机冷凝器、蒸发器（翅片）；</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检测空调制冷系统；</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检测空调是否有缺氟现象，并补充制冷剂（不含系统检漏、打压及充氟）；</w:t>
      </w:r>
    </w:p>
    <w:p>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检查压缩机高、低压阀门、管路结露、结霜情况；</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2、排水系统： </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A、检查、清洁、疏通空调排水管、水盘系统；          </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B、检查空调室、内外排水管是否老化，对存在安全隐患或损坏的管路进行更换（材料由采购人负责提供）；</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C、检查空调排水管路固定情况并对管路外保温的检查及修复；              </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D、检查空调管路是否有漏水现象，及时予以修复；</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3、室内部分：</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A、对所有空调室内机、新风机组过滤网、送回风口进行清洗；</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B、检查并确认空调控制面板和电机使用、运行是否正常；</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C、检查空调出风口和回风口是否有阻塞；</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D、检查、测量空调室内机出风温度是否在正常范围；</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E、检查空调室内机安装是否牢固、安全，是否有震动和异常声；     </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4、室外部分：</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A、检查室外空调机架、支架、槽钢机架、护罩（网）、制冷管路、电线管路、室外屋顶VRV空调供电箱和屋顶电源过路盒等是否安全、是否牢固、是否腐蚀。</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B、对室外空调管路、支架等牢固及安全性进行检查。</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C、检查空调室外机的底座和防震垫是否牢固稳定；</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D、检查空调室内机、室外机各管路的外保温是否损坏，若有损害或老化及时修复、及时解决； </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E、检查各部位制冷管路系统是否有抖动、松动并固定牢固至安全；</w:t>
      </w:r>
    </w:p>
    <w:p>
      <w:pPr>
        <w:pStyle w:val="6"/>
        <w:spacing w:after="0"/>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5、新风机组维保要求</w:t>
      </w:r>
    </w:p>
    <w:tbl>
      <w:tblPr>
        <w:tblStyle w:val="22"/>
        <w:tblW w:w="8522"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
        <w:gridCol w:w="76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54" w:hRule="atLeast"/>
          <w:jc w:val="center"/>
        </w:trPr>
        <w:tc>
          <w:tcPr>
            <w:tcW w:w="901" w:type="dxa"/>
            <w:vAlign w:val="center"/>
          </w:tcPr>
          <w:p>
            <w:pPr>
              <w:pStyle w:val="6"/>
              <w:ind w:left="0" w:leftChars="0" w:firstLine="0" w:firstLineChars="0"/>
              <w:jc w:val="both"/>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7621" w:type="dxa"/>
            <w:vAlign w:val="center"/>
          </w:tcPr>
          <w:p>
            <w:pPr>
              <w:pStyle w:val="6"/>
              <w:jc w:val="center"/>
              <w:rPr>
                <w:rFonts w:hint="eastAsia" w:ascii="宋体" w:hAnsi="宋体" w:eastAsia="宋体" w:cs="宋体"/>
                <w:b w:val="0"/>
                <w:bCs/>
                <w:sz w:val="24"/>
                <w:szCs w:val="24"/>
              </w:rPr>
            </w:pPr>
            <w:r>
              <w:rPr>
                <w:rFonts w:hint="eastAsia" w:ascii="宋体" w:hAnsi="宋体" w:eastAsia="宋体" w:cs="宋体"/>
                <w:b w:val="0"/>
                <w:bCs/>
                <w:sz w:val="24"/>
                <w:szCs w:val="24"/>
              </w:rPr>
              <w:t>新风机组检测清理项目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07" w:hRule="atLeast"/>
          <w:jc w:val="center"/>
        </w:trPr>
        <w:tc>
          <w:tcPr>
            <w:tcW w:w="901" w:type="dxa"/>
            <w:vAlign w:val="center"/>
          </w:tcPr>
          <w:p>
            <w:pPr>
              <w:pStyle w:val="6"/>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A</w:t>
            </w:r>
          </w:p>
        </w:tc>
        <w:tc>
          <w:tcPr>
            <w:tcW w:w="7621" w:type="dxa"/>
            <w:vAlign w:val="center"/>
          </w:tcPr>
          <w:p>
            <w:pPr>
              <w:pStyle w:val="6"/>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每月检查风机和电机轴承，并加润滑油。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07" w:hRule="atLeast"/>
          <w:jc w:val="center"/>
        </w:trPr>
        <w:tc>
          <w:tcPr>
            <w:tcW w:w="901" w:type="dxa"/>
            <w:vAlign w:val="center"/>
          </w:tcPr>
          <w:p>
            <w:pPr>
              <w:pStyle w:val="6"/>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B</w:t>
            </w:r>
          </w:p>
        </w:tc>
        <w:tc>
          <w:tcPr>
            <w:tcW w:w="7621" w:type="dxa"/>
            <w:vAlign w:val="center"/>
          </w:tcPr>
          <w:p>
            <w:pPr>
              <w:pStyle w:val="6"/>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每月检查风机和电机皮带是否在一直线上，风机动平衡是否良好。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07" w:hRule="atLeast"/>
          <w:jc w:val="center"/>
        </w:trPr>
        <w:tc>
          <w:tcPr>
            <w:tcW w:w="901" w:type="dxa"/>
            <w:vAlign w:val="center"/>
          </w:tcPr>
          <w:p>
            <w:pPr>
              <w:pStyle w:val="6"/>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C</w:t>
            </w:r>
          </w:p>
        </w:tc>
        <w:tc>
          <w:tcPr>
            <w:tcW w:w="7621" w:type="dxa"/>
            <w:vAlign w:val="center"/>
          </w:tcPr>
          <w:p>
            <w:pPr>
              <w:pStyle w:val="6"/>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检查初、中效过滤器的终阻力值，并进行清洗消毒。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6" w:hRule="atLeast"/>
          <w:jc w:val="center"/>
        </w:trPr>
        <w:tc>
          <w:tcPr>
            <w:tcW w:w="901" w:type="dxa"/>
            <w:vAlign w:val="center"/>
          </w:tcPr>
          <w:p>
            <w:pPr>
              <w:pStyle w:val="6"/>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D</w:t>
            </w:r>
          </w:p>
        </w:tc>
        <w:tc>
          <w:tcPr>
            <w:tcW w:w="7621" w:type="dxa"/>
            <w:vAlign w:val="center"/>
          </w:tcPr>
          <w:p>
            <w:pPr>
              <w:pStyle w:val="6"/>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清洗换热器水管内部，去除水垢；定期清除冷凝水封杂质；定期清洗换热翅片；经常检查电器线路。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65" w:hRule="atLeast"/>
          <w:jc w:val="center"/>
        </w:trPr>
        <w:tc>
          <w:tcPr>
            <w:tcW w:w="901" w:type="dxa"/>
            <w:vAlign w:val="center"/>
          </w:tcPr>
          <w:p>
            <w:pPr>
              <w:pStyle w:val="6"/>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E</w:t>
            </w:r>
          </w:p>
        </w:tc>
        <w:tc>
          <w:tcPr>
            <w:tcW w:w="7621" w:type="dxa"/>
            <w:vAlign w:val="center"/>
          </w:tcPr>
          <w:p>
            <w:pPr>
              <w:pStyle w:val="6"/>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定期打扫机组风柜内外卫生，保证空气质量。</w:t>
            </w:r>
          </w:p>
        </w:tc>
      </w:tr>
    </w:tbl>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6、VRV空调保内容及要求</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 每月定期派人对空调机组全面检查和预防性保养，发现异常马上整改，出具保养报告，正确评估机组的状态，确保机组的正常运行。</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 每年开机前，派人对机组进行检查保养（清洗消毒设备过滤器、室外机、加湿器桶、电器部件保养），合理调节各元器件设定值，以确保机组能在冬、夏季安全运行。</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 每年开机前，派人对VRV空调进行检查保养，主要包括清洗消毒室内室外过滤网、室内出回风口、添加制冷剂（制冷剂费用由成交方承担）等，以确保机组能在冬、夏季安全运行。</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 维保期间，成交供应商接到故障报修电话，正常工作时间4小时内及时赶到现场，最迟不超过8小时，以尽快排除故障。(空调系统漏水也由成交供应商维修)</w:t>
      </w:r>
    </w:p>
    <w:tbl>
      <w:tblPr>
        <w:tblStyle w:val="22"/>
        <w:tblW w:w="8296" w:type="dxa"/>
        <w:jc w:val="center"/>
        <w:tblInd w:w="0" w:type="dxa"/>
        <w:tblLayout w:type="fixed"/>
        <w:tblCellMar>
          <w:top w:w="0" w:type="dxa"/>
          <w:left w:w="108" w:type="dxa"/>
          <w:bottom w:w="0" w:type="dxa"/>
          <w:right w:w="108" w:type="dxa"/>
        </w:tblCellMar>
      </w:tblPr>
      <w:tblGrid>
        <w:gridCol w:w="1129"/>
        <w:gridCol w:w="7167"/>
      </w:tblGrid>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序号</w:t>
            </w:r>
          </w:p>
        </w:tc>
        <w:tc>
          <w:tcPr>
            <w:tcW w:w="7167" w:type="dxa"/>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VRV空调每月定期检查保养内容</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A</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检查电控箱的工作状态是否正常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B</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检查压缩机的启停状态是否正常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C</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检查制冷系统工作时低压压力是否正常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D</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检查制冷系统工作时高压压力是否正常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E</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检查压缩机运行时排汽温度是否正常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F</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检查压缩机运行时吸汽温度是否正常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G</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检查冷凝风机工作状态是否正常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H</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检查压缩机运行电流是否正常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I</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检查风机运行电流及噪声是否正常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J</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检查压缩机运行时冷凝后温度是否正常</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K</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记录环境温度并合理调整冷凝压控</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L</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检查冷凝器的换热效果（每年清洗消毒两次）</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M</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检查蒸发器的换热效果</w:t>
            </w:r>
          </w:p>
        </w:tc>
      </w:tr>
      <w:tr>
        <w:tblPrEx>
          <w:tblLayout w:type="fixed"/>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N</w:t>
            </w:r>
          </w:p>
        </w:tc>
        <w:tc>
          <w:tcPr>
            <w:tcW w:w="7167" w:type="dxa"/>
            <w:tcBorders>
              <w:top w:val="single" w:color="000000" w:sz="4" w:space="0"/>
              <w:left w:val="nil"/>
              <w:bottom w:val="single" w:color="000000" w:sz="4" w:space="0"/>
              <w:right w:val="single" w:color="000000" w:sz="4" w:space="0"/>
            </w:tcBorders>
            <w:vAlign w:val="center"/>
          </w:tcPr>
          <w:p>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检查送、回风过滤网（每年清洗消毒两次）</w:t>
            </w:r>
          </w:p>
        </w:tc>
      </w:tr>
    </w:tbl>
    <w:p>
      <w:pPr>
        <w:numPr>
          <w:ilvl w:val="0"/>
          <w:numId w:val="3"/>
        </w:numPr>
        <w:spacing w:line="360" w:lineRule="auto"/>
        <w:ind w:firstLine="480" w:firstLineChars="200"/>
        <w:rPr>
          <w:rFonts w:hint="eastAsia" w:ascii="宋体" w:hAnsi="宋体" w:eastAsia="宋体"/>
          <w:b w:val="0"/>
          <w:bCs/>
          <w:sz w:val="24"/>
          <w:szCs w:val="24"/>
          <w:lang w:val="en-US" w:eastAsia="zh-CN"/>
        </w:rPr>
      </w:pPr>
      <w:r>
        <w:rPr>
          <w:rFonts w:hint="eastAsia" w:ascii="宋体" w:hAnsi="宋体" w:eastAsia="宋体"/>
          <w:b w:val="0"/>
          <w:bCs/>
          <w:sz w:val="24"/>
          <w:szCs w:val="24"/>
          <w:lang w:val="en-US" w:eastAsia="zh-CN"/>
        </w:rPr>
        <w:t>空调设备电源电路系统升级改造</w:t>
      </w:r>
    </w:p>
    <w:p>
      <w:pPr>
        <w:numPr>
          <w:ilvl w:val="0"/>
          <w:numId w:val="0"/>
        </w:numPr>
        <w:spacing w:line="360" w:lineRule="auto"/>
        <w:rPr>
          <w:rFonts w:hint="default" w:ascii="宋体" w:hAnsi="宋体" w:eastAsia="宋体"/>
          <w:b w:val="0"/>
          <w:bCs/>
          <w:color w:val="auto"/>
          <w:sz w:val="24"/>
          <w:szCs w:val="24"/>
          <w:highlight w:val="none"/>
          <w:lang w:val="en-US" w:eastAsia="zh-CN"/>
        </w:rPr>
      </w:pPr>
      <w:r>
        <w:rPr>
          <w:rFonts w:hint="eastAsia" w:ascii="宋体" w:hAnsi="宋体" w:eastAsia="宋体"/>
          <w:b w:val="0"/>
          <w:bCs/>
          <w:color w:val="auto"/>
          <w:sz w:val="24"/>
          <w:szCs w:val="24"/>
          <w:lang w:val="en-US" w:eastAsia="zh-CN"/>
        </w:rPr>
        <w:t xml:space="preserve">    </w:t>
      </w:r>
      <w:r>
        <w:rPr>
          <w:rFonts w:hint="eastAsia" w:ascii="宋体" w:hAnsi="宋体" w:eastAsia="宋体"/>
          <w:b w:val="0"/>
          <w:bCs/>
          <w:color w:val="auto"/>
          <w:sz w:val="24"/>
          <w:szCs w:val="24"/>
          <w:highlight w:val="none"/>
          <w:lang w:val="en-US" w:eastAsia="zh-CN"/>
        </w:rPr>
        <w:t>对现有空调设备电源电路部分进行电器升级改造，新增断路器进行连接，电源电缆及配套线管等约900米并配套电器安装连接电料辅材，改造后对空调设备电源电器进行统一智能控制管理工作。包括但不限于：电器改造系统的拆除、改造、连接、及系统通电调试工作。</w:t>
      </w:r>
    </w:p>
    <w:p>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（二）项</w:t>
      </w:r>
      <w:r>
        <w:rPr>
          <w:rFonts w:ascii="宋体" w:hAnsi="宋体" w:eastAsia="宋体"/>
          <w:b w:val="0"/>
          <w:bCs/>
          <w:sz w:val="24"/>
          <w:szCs w:val="24"/>
        </w:rPr>
        <w:t>目</w:t>
      </w:r>
      <w:r>
        <w:rPr>
          <w:rFonts w:hint="eastAsia" w:ascii="宋体" w:hAnsi="宋体" w:eastAsia="宋体"/>
          <w:b w:val="0"/>
          <w:bCs/>
          <w:sz w:val="24"/>
          <w:szCs w:val="24"/>
        </w:rPr>
        <w:t>要</w:t>
      </w:r>
      <w:r>
        <w:rPr>
          <w:rFonts w:ascii="宋体" w:hAnsi="宋体" w:eastAsia="宋体"/>
          <w:b w:val="0"/>
          <w:bCs/>
          <w:sz w:val="24"/>
          <w:szCs w:val="24"/>
        </w:rPr>
        <w:t>求</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1.严格按照国家有关标准、行业规范和技术规定开展维修保养工作，确保空调主机安全正常运行。</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2.需根据天津开放大学海教园校区现有空调系统设备情况，提供详细可行且与实际情况相符的服务方案。</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3.系统所涉及的零部件更换与修理均纳入维保期的维修项目并按照国家有关标准、行业规范和技术规定执行。</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4.非维保因素造成的重大设备故障及时书面告知采购人，由采购人决定是否进行维修或更换零部件。</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5.检修、排查各种空调及送风系统故障问题，及时、准确的处理日常维修业务，使其设备运行达到正常要求。</w:t>
      </w:r>
    </w:p>
    <w:p>
      <w:pPr>
        <w:snapToGrid w:val="0"/>
        <w:spacing w:line="360" w:lineRule="auto"/>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6.本项目维护维修中，更换材料、配件、氟利昂（1万元以下含1万元）等均由成交供应商承担，超过此价位的更换材料、配件等到应上报给采购单位。</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7.必须确保中央空调系统各类设备设施安全，避免造成重大经济损失。所配备的运维人员必须具备空调制冷运行操作证书或电工上岗证。</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8.成交供应商派出工作人员严格按照操作规程作业，遵守采购人各项管理规定，并无条件接受采购人的管理和安排。能熟练操作中央空调系统设备。成交供应商负责做好所属技术人员的管理和教育，严格执行各项规章制度,注重文明、礼貌、团结,处理好内外各方面关系，并做好安全防范工作。</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9.成交供应商负责所属上岗劳务人员的工资、保险、劳动保护、医疗保健、生活事务及员工因工受伤或患病等一切经济责任。</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10.成交供应商每次更换物品后须向校方提交书面记录，列明更换物品的名称、型号、单价、金额并经校方使用科室、主管科室签名确认。</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11.如由采购人为本项目提供更换设备应本项目所用的材料、设备及维修部件品种、规格、性能和等级必须符合设计要求及国家、天津市现行产品标准和工程技术有关规定。</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（1）主要材料、设备及维修部件在采购前，其材料质量、规格、品牌、性能必须经采购人确认后方可采购。</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（2)现场备件储备充足，特殊非常用配件更换保证尽快通过供货渠道采购。</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（3)及时完成维修，必须熟悉所有明细中的各种设备运行情况，必须具备维修所需的零部件储备。</w:t>
      </w:r>
    </w:p>
    <w:p>
      <w:pPr>
        <w:snapToGrid w:val="0"/>
        <w:spacing w:line="360" w:lineRule="auto"/>
        <w:ind w:firstLine="480" w:firstLineChars="200"/>
        <w:rPr>
          <w:rFonts w:hint="eastAsia" w:ascii="宋体" w:hAnsi="宋体" w:eastAsia="宋体"/>
          <w:b w:val="0"/>
          <w:bCs/>
          <w:sz w:val="24"/>
          <w:szCs w:val="24"/>
        </w:rPr>
      </w:pPr>
      <w:r>
        <w:rPr>
          <w:rFonts w:hint="eastAsia" w:ascii="宋体" w:hAnsi="宋体" w:eastAsia="宋体" w:cs="宋体"/>
          <w:b w:val="0"/>
          <w:bCs/>
          <w:sz w:val="24"/>
          <w:szCs w:val="24"/>
        </w:rPr>
        <w:t>（4）如</w:t>
      </w:r>
      <w:r>
        <w:rPr>
          <w:rFonts w:hint="eastAsia" w:ascii="宋体" w:hAnsi="宋体" w:eastAsia="宋体" w:cs="宋体"/>
          <w:b w:val="0"/>
          <w:bCs/>
          <w:color w:val="auto"/>
          <w:sz w:val="24"/>
          <w:szCs w:val="24"/>
        </w:rPr>
        <w:t>需更换，应向采购人提出书面报价</w:t>
      </w:r>
      <w:r>
        <w:rPr>
          <w:rFonts w:hint="eastAsia" w:ascii="宋体" w:hAnsi="宋体" w:eastAsia="宋体" w:cs="宋体"/>
          <w:b w:val="0"/>
          <w:bCs/>
          <w:sz w:val="24"/>
          <w:szCs w:val="24"/>
        </w:rPr>
        <w:t>，经采购人签字同意后方可进行。</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12.成交供应商将所有维修、保养及更换物品须设专门登记本分类记录，并由校方人员签名确认，以备校方随时抽查。</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13.成交供应商对校方的急修事项必须及时处理，因故如缺料等暂时无法立即处理的情况应以书面形式说明原因并做好相应的处理。</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14. 机组开始运行前，派人对机组设施进行调试，测试机组所有运行控制和安全控制功能，调整控制设定值，启动机组，检测整个运行状况，记录机组运行各项参数，并出具调试合格报告。</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15.机组运行期结束后，应按程序对机组设备停机处理，进行必要保养措施，以保证机组良好的待机状态，并向采购人提供机器状态报告。</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16.每年设备开机前与关机后对于空调设备进行清洗消毒保养服务，每年共计两次。</w:t>
      </w:r>
    </w:p>
    <w:p>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（四）</w:t>
      </w:r>
      <w:r>
        <w:rPr>
          <w:rFonts w:ascii="宋体" w:hAnsi="宋体" w:eastAsia="宋体"/>
          <w:b w:val="0"/>
          <w:bCs/>
          <w:sz w:val="24"/>
          <w:szCs w:val="24"/>
        </w:rPr>
        <w:t>维保职责</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供应商每次维修、保养应得到采购人同意，不影响采购人正常办公。进入采购人电脑设备机房进行维护、检查时应遵守采购人机房规章制度，不可随意触碰运行中的电脑设备及线路（机柜内外设备），不可随意拷贝电脑内文件及资料。</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2、供应商每次保养、维修、巡检工作完成后提供设备保养、维护、巡检报告。</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3、供应商负责处理保养或维修结束后的危险废弃物，同时对场地进行清洁不留污渍。</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4、在保养范围内未提及的保养、检查内容，由保养单位负责落实，但所产生的材料费用由采购人承担。</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5、供应商有义务对采购人人员进行操作培训，以便更好的掌握设备运行情况和简单的应急处理技能。</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6、供应商负责对采购人空调设备系统在维护、保养中若无法修复的部分和不能排除的隐患，应及时以书面形式告知采购人，同时供应商应履行本协议内向采购人所承诺的义务和责任。</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7、高空作业应</w:t>
      </w:r>
      <w:r>
        <w:rPr>
          <w:rFonts w:hint="eastAsia" w:ascii="宋体" w:hAnsi="宋体" w:eastAsia="宋体" w:cs="宋体"/>
          <w:b w:val="0"/>
          <w:bCs/>
          <w:sz w:val="24"/>
          <w:szCs w:val="24"/>
        </w:rPr>
        <w:t>规范依规作业：严格按照施工方案、安全操作规程施工，不擅自更改作业点位、作业范围、作业方式；安全带遵循高挂低用原则，固定于独立承重牢固构件，严禁挂靠管线、临时杆件。管控坠物风险：所有小型工具、配件放入专用工具袋，大件物料捆绑固定；严禁高空抛掷物料、工具、废料；物料传递使用专用绳索，杜绝上下交叉违规传递。</w:t>
      </w:r>
    </w:p>
    <w:p>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（五）人</w:t>
      </w:r>
      <w:r>
        <w:rPr>
          <w:rFonts w:ascii="宋体" w:hAnsi="宋体" w:eastAsia="宋体"/>
          <w:b w:val="0"/>
          <w:bCs/>
          <w:sz w:val="24"/>
          <w:szCs w:val="24"/>
        </w:rPr>
        <w:t>员要求</w:t>
      </w:r>
    </w:p>
    <w:p>
      <w:pPr>
        <w:spacing w:line="360" w:lineRule="auto"/>
        <w:ind w:firstLine="464" w:firstLineChars="200"/>
        <w:rPr>
          <w:rFonts w:hint="eastAsia" w:ascii="宋体" w:hAnsi="宋体" w:eastAsia="宋体" w:cs="宋体"/>
          <w:b w:val="0"/>
          <w:bCs/>
          <w:color w:val="auto"/>
          <w:sz w:val="24"/>
          <w:szCs w:val="24"/>
        </w:rPr>
      </w:pPr>
      <w:r>
        <w:rPr>
          <w:rFonts w:ascii="宋体" w:hAnsi="宋体" w:eastAsia="宋体" w:cs="宋体"/>
          <w:b w:val="0"/>
          <w:bCs/>
          <w:color w:val="auto"/>
          <w:spacing w:val="-4"/>
          <w:sz w:val="24"/>
          <w:szCs w:val="24"/>
        </w:rPr>
        <w:t>1、本项目需配备项目负责人</w:t>
      </w:r>
      <w:r>
        <w:rPr>
          <w:rFonts w:ascii="宋体" w:hAnsi="宋体" w:eastAsia="宋体" w:cs="宋体"/>
          <w:b w:val="0"/>
          <w:bCs/>
          <w:color w:val="auto"/>
          <w:spacing w:val="-35"/>
          <w:sz w:val="24"/>
          <w:szCs w:val="24"/>
        </w:rPr>
        <w:t xml:space="preserve"> </w:t>
      </w:r>
      <w:r>
        <w:rPr>
          <w:rFonts w:ascii="宋体" w:hAnsi="宋体" w:eastAsia="宋体" w:cs="宋体"/>
          <w:b w:val="0"/>
          <w:bCs/>
          <w:color w:val="auto"/>
          <w:spacing w:val="-4"/>
          <w:sz w:val="24"/>
          <w:szCs w:val="24"/>
        </w:rPr>
        <w:t>1</w:t>
      </w:r>
      <w:r>
        <w:rPr>
          <w:rFonts w:ascii="宋体" w:hAnsi="宋体" w:eastAsia="宋体" w:cs="宋体"/>
          <w:b w:val="0"/>
          <w:bCs/>
          <w:color w:val="auto"/>
          <w:spacing w:val="-50"/>
          <w:sz w:val="24"/>
          <w:szCs w:val="24"/>
        </w:rPr>
        <w:t xml:space="preserve"> </w:t>
      </w:r>
      <w:r>
        <w:rPr>
          <w:rFonts w:ascii="宋体" w:hAnsi="宋体" w:eastAsia="宋体" w:cs="宋体"/>
          <w:b w:val="0"/>
          <w:bCs/>
          <w:color w:val="auto"/>
          <w:spacing w:val="-4"/>
          <w:sz w:val="24"/>
          <w:szCs w:val="24"/>
        </w:rPr>
        <w:t>名，</w:t>
      </w:r>
      <w:r>
        <w:rPr>
          <w:rFonts w:hint="eastAsia" w:ascii="宋体" w:hAnsi="宋体" w:cs="宋体"/>
          <w:b w:val="0"/>
          <w:bCs/>
          <w:color w:val="auto"/>
          <w:spacing w:val="-4"/>
          <w:sz w:val="24"/>
          <w:szCs w:val="24"/>
          <w:lang w:val="en-US" w:eastAsia="zh-CN"/>
        </w:rPr>
        <w:t>5</w:t>
      </w:r>
      <w:r>
        <w:rPr>
          <w:rFonts w:ascii="宋体" w:hAnsi="宋体" w:eastAsia="宋体" w:cs="宋体"/>
          <w:b w:val="0"/>
          <w:bCs/>
          <w:color w:val="auto"/>
          <w:spacing w:val="-4"/>
          <w:sz w:val="24"/>
          <w:szCs w:val="24"/>
        </w:rPr>
        <w:t>5</w:t>
      </w:r>
      <w:r>
        <w:rPr>
          <w:rFonts w:ascii="宋体" w:hAnsi="宋体" w:eastAsia="宋体" w:cs="宋体"/>
          <w:b w:val="0"/>
          <w:bCs/>
          <w:color w:val="auto"/>
          <w:spacing w:val="-45"/>
          <w:sz w:val="24"/>
          <w:szCs w:val="24"/>
        </w:rPr>
        <w:t xml:space="preserve"> </w:t>
      </w:r>
      <w:r>
        <w:rPr>
          <w:rFonts w:ascii="宋体" w:hAnsi="宋体" w:eastAsia="宋体" w:cs="宋体"/>
          <w:b w:val="0"/>
          <w:bCs/>
          <w:color w:val="auto"/>
          <w:spacing w:val="-4"/>
          <w:sz w:val="24"/>
          <w:szCs w:val="24"/>
        </w:rPr>
        <w:t>岁或以下且具有</w:t>
      </w:r>
      <w:r>
        <w:rPr>
          <w:rFonts w:ascii="宋体" w:hAnsi="宋体" w:eastAsia="宋体" w:cs="宋体"/>
          <w:b w:val="0"/>
          <w:bCs/>
          <w:color w:val="auto"/>
          <w:spacing w:val="-48"/>
          <w:sz w:val="24"/>
          <w:szCs w:val="24"/>
        </w:rPr>
        <w:t xml:space="preserve"> </w:t>
      </w:r>
      <w:r>
        <w:rPr>
          <w:rFonts w:ascii="宋体" w:hAnsi="宋体" w:eastAsia="宋体" w:cs="宋体"/>
          <w:b w:val="0"/>
          <w:bCs/>
          <w:color w:val="auto"/>
          <w:spacing w:val="-4"/>
          <w:sz w:val="24"/>
          <w:szCs w:val="24"/>
        </w:rPr>
        <w:t>5</w:t>
      </w:r>
      <w:r>
        <w:rPr>
          <w:rFonts w:ascii="宋体" w:hAnsi="宋体" w:eastAsia="宋体" w:cs="宋体"/>
          <w:b w:val="0"/>
          <w:bCs/>
          <w:color w:val="auto"/>
          <w:spacing w:val="-52"/>
          <w:sz w:val="24"/>
          <w:szCs w:val="24"/>
        </w:rPr>
        <w:t xml:space="preserve"> </w:t>
      </w:r>
      <w:r>
        <w:rPr>
          <w:rFonts w:ascii="宋体" w:hAnsi="宋体" w:eastAsia="宋体" w:cs="宋体"/>
          <w:b w:val="0"/>
          <w:bCs/>
          <w:color w:val="auto"/>
          <w:spacing w:val="-4"/>
          <w:sz w:val="24"/>
          <w:szCs w:val="24"/>
        </w:rPr>
        <w:t>年或以上相</w:t>
      </w:r>
      <w:r>
        <w:rPr>
          <w:rFonts w:ascii="宋体" w:hAnsi="宋体" w:eastAsia="宋体" w:cs="宋体"/>
          <w:b w:val="0"/>
          <w:bCs/>
          <w:color w:val="auto"/>
          <w:spacing w:val="-5"/>
          <w:sz w:val="24"/>
          <w:szCs w:val="24"/>
        </w:rPr>
        <w:t>关工作</w:t>
      </w:r>
      <w:r>
        <w:rPr>
          <w:rFonts w:ascii="宋体" w:hAnsi="宋体" w:eastAsia="宋体" w:cs="宋体"/>
          <w:b w:val="0"/>
          <w:bCs/>
          <w:color w:val="auto"/>
          <w:sz w:val="24"/>
          <w:szCs w:val="24"/>
        </w:rPr>
        <w:t>经</w:t>
      </w:r>
      <w:r>
        <w:rPr>
          <w:rFonts w:hint="eastAsia" w:ascii="宋体" w:hAnsi="宋体" w:eastAsia="宋体" w:cs="宋体"/>
          <w:b w:val="0"/>
          <w:bCs/>
          <w:color w:val="auto"/>
          <w:sz w:val="24"/>
          <w:szCs w:val="24"/>
        </w:rPr>
        <w:t>验</w:t>
      </w:r>
      <w:r>
        <w:rPr>
          <w:rFonts w:hint="eastAsia" w:ascii="宋体" w:hAnsi="宋体" w:eastAsia="宋体" w:cs="宋体"/>
          <w:b w:val="0"/>
          <w:bCs/>
          <w:color w:val="auto"/>
          <w:sz w:val="24"/>
          <w:szCs w:val="24"/>
          <w:lang w:val="en-US" w:eastAsia="zh-CN"/>
        </w:rPr>
        <w:t>及无违法违纪记录。</w:t>
      </w:r>
      <w:r>
        <w:rPr>
          <w:rFonts w:hint="eastAsia" w:ascii="宋体" w:hAnsi="宋体" w:eastAsia="宋体" w:cs="宋体"/>
          <w:b w:val="0"/>
          <w:bCs/>
          <w:color w:val="auto"/>
          <w:sz w:val="24"/>
          <w:szCs w:val="24"/>
        </w:rPr>
        <w:t>在本项目中负责与采购人的对接、巡检、维修管理等一切相关工作。</w:t>
      </w:r>
    </w:p>
    <w:p>
      <w:pPr>
        <w:spacing w:line="360" w:lineRule="auto"/>
        <w:ind w:firstLine="480" w:firstLineChars="200"/>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2、本项目需配备维保人员</w:t>
      </w:r>
      <w:r>
        <w:rPr>
          <w:rFonts w:hint="eastAsia" w:ascii="宋体" w:hAnsi="宋体" w:eastAsia="宋体" w:cs="宋体"/>
          <w:b w:val="0"/>
          <w:bCs/>
          <w:color w:val="auto"/>
          <w:sz w:val="24"/>
          <w:szCs w:val="24"/>
          <w:lang w:val="en-US" w:eastAsia="zh-CN"/>
        </w:rPr>
        <w:t>至少3名</w:t>
      </w:r>
      <w:r>
        <w:rPr>
          <w:rFonts w:hint="eastAsia" w:ascii="宋体" w:hAnsi="宋体" w:eastAsia="宋体" w:cs="宋体"/>
          <w:b w:val="0"/>
          <w:bCs/>
          <w:color w:val="auto"/>
          <w:sz w:val="24"/>
          <w:szCs w:val="24"/>
        </w:rPr>
        <w:t>，所配备的运维人员必须具备</w:t>
      </w:r>
      <w:r>
        <w:rPr>
          <w:rFonts w:hint="eastAsia" w:ascii="宋体" w:hAnsi="宋体" w:eastAsia="宋体" w:cs="宋体"/>
          <w:b w:val="0"/>
          <w:bCs/>
          <w:color w:val="auto"/>
          <w:sz w:val="24"/>
          <w:szCs w:val="24"/>
          <w:lang w:val="en-US" w:eastAsia="zh-CN"/>
        </w:rPr>
        <w:t>专业素养，电工作业需配备2人：</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持</w:t>
      </w:r>
      <w:r>
        <w:rPr>
          <w:rFonts w:hint="eastAsia" w:ascii="宋体" w:hAnsi="宋体" w:eastAsia="宋体" w:cs="宋体"/>
          <w:b w:val="0"/>
          <w:bCs/>
          <w:color w:val="auto"/>
          <w:sz w:val="24"/>
          <w:szCs w:val="24"/>
        </w:rPr>
        <w:t>特种作业操作证（低压电工作业）</w:t>
      </w:r>
      <w:r>
        <w:rPr>
          <w:rFonts w:hint="eastAsia" w:ascii="宋体" w:hAnsi="宋体" w:eastAsia="宋体" w:cs="宋体"/>
          <w:b w:val="0"/>
          <w:bCs/>
          <w:color w:val="auto"/>
          <w:sz w:val="24"/>
          <w:szCs w:val="24"/>
          <w:lang w:val="en-US" w:eastAsia="zh-CN"/>
        </w:rPr>
        <w:t>或</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持</w:t>
      </w:r>
      <w:r>
        <w:rPr>
          <w:rFonts w:hint="eastAsia" w:ascii="宋体" w:hAnsi="宋体" w:eastAsia="宋体" w:cs="宋体"/>
          <w:b w:val="0"/>
          <w:bCs/>
          <w:color w:val="auto"/>
          <w:sz w:val="24"/>
          <w:szCs w:val="24"/>
        </w:rPr>
        <w:t>特种作业操作证（</w:t>
      </w:r>
      <w:r>
        <w:rPr>
          <w:rFonts w:hint="eastAsia" w:ascii="宋体" w:hAnsi="宋体" w:eastAsia="宋体" w:cs="宋体"/>
          <w:b w:val="0"/>
          <w:bCs/>
          <w:color w:val="auto"/>
          <w:sz w:val="24"/>
          <w:szCs w:val="24"/>
          <w:lang w:val="en-US" w:eastAsia="zh-CN"/>
        </w:rPr>
        <w:t>高</w:t>
      </w:r>
      <w:r>
        <w:rPr>
          <w:rFonts w:hint="eastAsia" w:ascii="宋体" w:hAnsi="宋体" w:eastAsia="宋体" w:cs="宋体"/>
          <w:b w:val="0"/>
          <w:bCs/>
          <w:color w:val="auto"/>
          <w:sz w:val="24"/>
          <w:szCs w:val="24"/>
        </w:rPr>
        <w:t>压电工作业）</w:t>
      </w:r>
      <w:r>
        <w:rPr>
          <w:rFonts w:hint="eastAsia" w:ascii="宋体" w:hAnsi="宋体" w:cs="宋体"/>
          <w:b w:val="0"/>
          <w:bCs/>
          <w:color w:val="auto"/>
          <w:sz w:val="24"/>
          <w:szCs w:val="24"/>
          <w:lang w:eastAsia="zh-CN"/>
        </w:rPr>
        <w:t>；</w:t>
      </w:r>
      <w:r>
        <w:rPr>
          <w:rFonts w:hint="eastAsia" w:ascii="宋体" w:hAnsi="宋体" w:eastAsia="宋体" w:cs="宋体"/>
          <w:b w:val="0"/>
          <w:bCs/>
          <w:color w:val="auto"/>
          <w:sz w:val="24"/>
          <w:szCs w:val="24"/>
          <w:lang w:val="en-US" w:eastAsia="zh-CN"/>
        </w:rPr>
        <w:t>高空作业人员需配备1人</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特</w:t>
      </w:r>
      <w:r>
        <w:rPr>
          <w:rFonts w:hint="eastAsia" w:ascii="宋体" w:hAnsi="宋体" w:eastAsia="宋体" w:cs="宋体"/>
          <w:b w:val="0"/>
          <w:bCs/>
          <w:color w:val="auto"/>
          <w:sz w:val="24"/>
          <w:szCs w:val="24"/>
        </w:rPr>
        <w:t>种作业操作证</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高空</w:t>
      </w:r>
      <w:r>
        <w:rPr>
          <w:rFonts w:hint="eastAsia" w:ascii="宋体" w:hAnsi="宋体" w:eastAsia="宋体" w:cs="宋体"/>
          <w:b w:val="0"/>
          <w:bCs/>
          <w:color w:val="auto"/>
          <w:sz w:val="24"/>
          <w:szCs w:val="24"/>
          <w:lang w:val="en-US" w:eastAsia="zh-CN"/>
        </w:rPr>
        <w:t>作业）</w:t>
      </w:r>
      <w:r>
        <w:rPr>
          <w:rFonts w:hint="eastAsia" w:ascii="宋体" w:hAnsi="宋体" w:cs="宋体"/>
          <w:b w:val="0"/>
          <w:bCs/>
          <w:color w:val="auto"/>
          <w:sz w:val="24"/>
          <w:szCs w:val="24"/>
          <w:lang w:val="en-US" w:eastAsia="zh-CN"/>
        </w:rPr>
        <w:t>以上人员均需提供</w:t>
      </w:r>
      <w:r>
        <w:rPr>
          <w:rFonts w:hint="eastAsia" w:ascii="宋体" w:hAnsi="宋体" w:eastAsia="宋体" w:cs="宋体"/>
          <w:b w:val="0"/>
          <w:bCs/>
          <w:color w:val="auto"/>
          <w:sz w:val="24"/>
          <w:szCs w:val="24"/>
          <w:lang w:val="en-US" w:eastAsia="zh-CN"/>
        </w:rPr>
        <w:t>无违法违纪记录</w:t>
      </w:r>
      <w:r>
        <w:rPr>
          <w:rFonts w:hint="eastAsia" w:ascii="宋体" w:hAnsi="宋体" w:eastAsia="宋体" w:cs="宋体"/>
          <w:b w:val="0"/>
          <w:bCs/>
          <w:color w:val="auto"/>
          <w:sz w:val="24"/>
          <w:szCs w:val="24"/>
        </w:rPr>
        <w:t>。</w:t>
      </w:r>
    </w:p>
    <w:p>
      <w:pPr>
        <w:spacing w:line="360" w:lineRule="auto"/>
        <w:ind w:firstLine="480" w:firstLineChars="200"/>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 xml:space="preserve">3、天津开放大学（海教园校区）空调机组维保项目高处（高空）作业标准及现场情况说明 </w:t>
      </w:r>
    </w:p>
    <w:p>
      <w:pPr>
        <w:spacing w:line="360" w:lineRule="auto"/>
        <w:ind w:firstLine="480" w:firstLineChars="200"/>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 xml:space="preserve">3.1、依据国家标准界定高处作业判定标准 </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本次作业执行现行国标 GB 3608-2025《高处作业分级》（2026年5月1日实施）： </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 高处作业法定定义：凡作业位置距坠落高度基准面2m及以上，存在坠落、摔伤风险的施工操作，全部属于高处作业，必须落实全套高空安全管控措施。</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 作业分级划分</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Ⅰ级高处作业：2m～5m（本次现场全部属于该等级）</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Ⅱ级高处作业：5m～15m</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Ⅲ级高处作业：15m～30m</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Ⅳ级高处作业：＞30m</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3. 坠落半径规范：2m～5m作业高度，下方警戒坠落半径为3米，作业下方需封闭警戒、禁止人员通行逗留 。</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4. 特殊风险说明：本次作业为吊顶内狭小空间登高操作，属于带客观危险因素的B类高处作业，安全管控标准升级，防护要求严于普通室内登高作业。 </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二、本校现场高空作业实际工况说明 </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 作业高度参数</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校内教学、办公区域吊顶净空最高3.5m，绝大多数空调室内机、原有空调设备室内机、管线敷设点位集中在3.0m～3.5m吊顶内部，作业人员站立基准面（地面）至操作点位垂直高度均超3m，完全满足国标高处作业判定条件，统一按Ⅰ级高处作业管理。</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 现场作业环境风险点</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（1）吊顶内部空间狭窄、龙骨承载力有限，站立、移动空间狭小，易踩空、失足坠落；</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（2）吊顶内管线密布（冷媒管、强弱电线、消防管线），操作时易磕碰绊倒、工具滑落造成物体打击；</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（3）改造涉及带电拆改空调回路断路器，高处叠加带电作业，双重安全风险；</w:t>
      </w:r>
    </w:p>
    <w:p>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（4）多楼层同步施工，存在上下交叉作业隐患。</w:t>
      </w:r>
    </w:p>
    <w:p>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（六）服</w:t>
      </w:r>
      <w:r>
        <w:rPr>
          <w:rFonts w:ascii="宋体" w:hAnsi="宋体" w:eastAsia="宋体"/>
          <w:b w:val="0"/>
          <w:bCs/>
          <w:sz w:val="24"/>
          <w:szCs w:val="24"/>
        </w:rPr>
        <w:t>务</w:t>
      </w:r>
      <w:r>
        <w:rPr>
          <w:rFonts w:hint="eastAsia" w:ascii="宋体" w:hAnsi="宋体" w:eastAsia="宋体"/>
          <w:b w:val="0"/>
          <w:bCs/>
          <w:sz w:val="24"/>
          <w:szCs w:val="24"/>
        </w:rPr>
        <w:t>时</w:t>
      </w:r>
      <w:r>
        <w:rPr>
          <w:rFonts w:ascii="宋体" w:hAnsi="宋体" w:eastAsia="宋体"/>
          <w:b w:val="0"/>
          <w:bCs/>
          <w:sz w:val="24"/>
          <w:szCs w:val="24"/>
        </w:rPr>
        <w:t>间要求</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1、供应商提供全年365天，每天24小时应急维修服务及电话报修（包括节假日），应设立专线值班电话或者其它联系方式，确保全天24小时通讯通畅。（节假日期间至少保证两人以上能迅速联系上）。</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2、供应商在接到采购人故障通知（电话、传真等）后，立即做出初步意见反馈，在电话指导不能排除故障的情况下，供应商应及时到达现场，立即检查、排除故障。</w:t>
      </w:r>
    </w:p>
    <w:p>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接到故障报修后，在接到报修通知后在正常上班时间内，成交供应商单位工作人员在2小时到达现场排除故障（在非正常上班时间内人员，一般情况成交供应商单位工作人员在4小时内到达现场排除故障，最迟不超过8小时，重要或紧急情况下在2小时内到达现场），一般故障在2小时内处理完毕；空调主机、送风系统一般检修当天完成，小修为2小时，中修为6小时，大修不超过3天；末端设备维修在不换件情况下2小时完成，换件维修不超过6小时；维修率达到100%。维修工作完成后，应填写维修记录(空调系统漏水也由成交供应商维修)。</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4、成交供应商应在设备运行期间，至少每月对所负责机组进行一次维护检修，并及时解决发现的问题，使机组保持最佳的安全经济运行状态。</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5、成交供应商应该在合同到期前15个工作日内向采购人出具维保报告。</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6、签订合同后，安排维护人员对校内空调设备及相关系统每月进行巡检并记录，将巡检结果及建议以书面形式向采购人汇报。</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b w:val="0"/>
          <w:bCs/>
          <w:sz w:val="24"/>
          <w:szCs w:val="24"/>
        </w:rPr>
        <w:t>（七）</w:t>
      </w:r>
      <w:r>
        <w:rPr>
          <w:rFonts w:hint="eastAsia" w:ascii="宋体" w:hAnsi="宋体" w:eastAsia="宋体" w:cs="宋体"/>
          <w:b w:val="0"/>
          <w:bCs/>
          <w:sz w:val="24"/>
          <w:szCs w:val="24"/>
        </w:rPr>
        <w:t>详细的维保清单</w:t>
      </w:r>
    </w:p>
    <w:p>
      <w:pPr>
        <w:pStyle w:val="76"/>
        <w:rPr>
          <w:rFonts w:hint="eastAsia" w:ascii="宋体" w:hAnsi="宋体" w:eastAsia="宋体" w:cs="宋体"/>
          <w:b w:val="0"/>
          <w:bCs/>
          <w:color w:val="auto"/>
          <w:lang w:val="en-US" w:eastAsia="zh-CN"/>
        </w:rPr>
      </w:pPr>
      <w:r>
        <w:rPr>
          <w:rFonts w:hint="eastAsia" w:ascii="宋体" w:hAnsi="宋体" w:eastAsia="宋体" w:cs="宋体"/>
          <w:b w:val="0"/>
          <w:bCs/>
          <w:color w:val="auto"/>
          <w:lang w:eastAsia="zh-CN"/>
        </w:rPr>
        <w:t xml:space="preserve">机组数量及型号： </w:t>
      </w:r>
      <w:bookmarkStart w:id="3" w:name="OLE_LINK6"/>
      <w:r>
        <w:rPr>
          <w:rFonts w:hint="eastAsia" w:ascii="宋体" w:hAnsi="宋体" w:eastAsia="宋体" w:cs="宋体"/>
          <w:b w:val="0"/>
          <w:bCs/>
          <w:color w:val="auto"/>
          <w:lang w:eastAsia="zh-CN"/>
        </w:rPr>
        <w:t>欧科多联机室内机230台，室外机21台，新风机组17台</w:t>
      </w:r>
      <w:bookmarkEnd w:id="3"/>
    </w:p>
    <w:tbl>
      <w:tblPr>
        <w:tblStyle w:val="22"/>
        <w:tblW w:w="8840" w:type="dxa"/>
        <w:jc w:val="center"/>
        <w:tblInd w:w="0" w:type="dxa"/>
        <w:tblLayout w:type="fixed"/>
        <w:tblCellMar>
          <w:top w:w="0" w:type="dxa"/>
          <w:left w:w="108" w:type="dxa"/>
          <w:bottom w:w="0" w:type="dxa"/>
          <w:right w:w="108" w:type="dxa"/>
        </w:tblCellMar>
      </w:tblPr>
      <w:tblGrid>
        <w:gridCol w:w="977"/>
        <w:gridCol w:w="5021"/>
        <w:gridCol w:w="1559"/>
        <w:gridCol w:w="1283"/>
      </w:tblGrid>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序号</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设备名称</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规格型号</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数量(台)</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EKCC009A1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EKCC015A1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EKCC018A1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8</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33</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EKCC028A1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28</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EKCC032A1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EKCC035A1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13</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EKCC045A1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EKCC050A1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45</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EKCC060A1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数码涡旋多联机组室外机K2-4 K3-6</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数码涡旋多联机组室外机K1-7</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EKRV260A1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数码涡旋多联机组室外机K1-4 K2-1 K3-3  K3-5</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EKRV280A1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数码涡旋多联机组室外机K1-2 K1-3 K3-2 K3-4</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EKRV300A1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数码涡旋多联机组室外机K2-2</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数码涡旋多联机组室外机K3-7 K3-8</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数码涡旋多联机组室外机K1-5 K1-6 K2-5 K2-6</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EKRV380A1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数码涡旋多联机组室外机K1-1 K3-1</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EKRV400A1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数码涡旋多联机组室外机K2-3</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EKRV420A1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EKSW050HF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EKSW070HF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EKSW050HF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EKSW020HF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EKHR060H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顶层热回收新风换气机组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EKHR300H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tblPrEx>
          <w:tblLayout w:type="fixed"/>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顶层热回收新风换气机组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EKHR400H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bl>
    <w:p>
      <w:pPr>
        <w:spacing w:line="360" w:lineRule="auto"/>
        <w:ind w:firstLine="480" w:firstLineChars="200"/>
        <w:outlineLvl w:val="0"/>
        <w:rPr>
          <w:sz w:val="24"/>
        </w:rPr>
      </w:pPr>
    </w:p>
    <w:p>
      <w:pPr>
        <w:spacing w:line="360" w:lineRule="auto"/>
        <w:ind w:firstLine="480" w:firstLineChars="200"/>
        <w:outlineLvl w:val="0"/>
        <w:rPr>
          <w:sz w:val="24"/>
        </w:rPr>
      </w:pPr>
    </w:p>
    <w:p>
      <w:pPr>
        <w:pStyle w:val="12"/>
        <w:rPr>
          <w:rFonts w:ascii="Times New Roman" w:hAnsi="Times New Roman"/>
        </w:rPr>
      </w:pPr>
    </w:p>
    <w:p>
      <w:pPr>
        <w:pStyle w:val="12"/>
        <w:rPr>
          <w:rFonts w:ascii="Times New Roman" w:hAnsi="Times New Roman"/>
        </w:rPr>
      </w:pPr>
    </w:p>
    <w:p>
      <w:pPr>
        <w:pStyle w:val="12"/>
        <w:rPr>
          <w:rFonts w:ascii="Times New Roman" w:hAnsi="Times New Roman"/>
        </w:rPr>
      </w:pPr>
    </w:p>
    <w:p>
      <w:pPr>
        <w:pStyle w:val="12"/>
        <w:rPr>
          <w:rFonts w:ascii="Times New Roman" w:hAnsi="Times New Roman"/>
        </w:rPr>
      </w:pPr>
    </w:p>
    <w:p>
      <w:pPr>
        <w:pStyle w:val="12"/>
        <w:jc w:val="both"/>
        <w:rPr>
          <w:rFonts w:ascii="Times New Roman" w:hAnsi="Times New Roman"/>
        </w:rPr>
      </w:pPr>
    </w:p>
    <w:p>
      <w:pPr>
        <w:pStyle w:val="12"/>
        <w:rPr>
          <w:rFonts w:ascii="Times New Roman" w:hAnsi="Times New Roman"/>
        </w:rPr>
      </w:pPr>
      <w:r>
        <w:rPr>
          <w:rFonts w:ascii="Times New Roman" w:hAnsi="Times New Roman"/>
        </w:rPr>
        <w:t>第三部分  供应商须知</w:t>
      </w:r>
      <w:bookmarkEnd w:id="1"/>
    </w:p>
    <w:p>
      <w:pPr>
        <w:pStyle w:val="29"/>
        <w:spacing w:line="360" w:lineRule="auto"/>
        <w:jc w:val="center"/>
        <w:rPr>
          <w:rFonts w:ascii="Times New Roman" w:hAnsi="Times New Roman" w:eastAsia="宋体" w:cs="Times New Roman"/>
          <w:color w:val="auto"/>
        </w:rPr>
      </w:pPr>
      <w:bookmarkStart w:id="4" w:name="_Toc411426751"/>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”号的条款出现偏离，视为无效响应。</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22.4 响应</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文件中应使用原件的电子件。</w:t>
      </w:r>
    </w:p>
    <w:p>
      <w:pPr>
        <w:pStyle w:val="29"/>
        <w:spacing w:line="360" w:lineRule="auto"/>
        <w:ind w:firstLine="480" w:firstLineChars="200"/>
        <w:jc w:val="both"/>
        <w:rPr>
          <w:rFonts w:hint="eastAsia"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pPr>
        <w:pStyle w:val="29"/>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pPr>
        <w:pStyle w:val="12"/>
        <w:rPr>
          <w:rFonts w:ascii="Times New Roman" w:hAnsi="Times New Roman"/>
        </w:rPr>
      </w:pPr>
      <w:r>
        <w:rPr>
          <w:rFonts w:ascii="Times New Roman" w:hAnsi="Times New Roman"/>
        </w:rPr>
        <w:t>第四部分  合同草案</w:t>
      </w:r>
      <w:bookmarkEnd w:id="4"/>
    </w:p>
    <w:p>
      <w:pPr>
        <w:tabs>
          <w:tab w:val="left" w:pos="412"/>
          <w:tab w:val="left" w:pos="618"/>
        </w:tabs>
        <w:spacing w:line="520" w:lineRule="exact"/>
        <w:jc w:val="center"/>
        <w:rPr>
          <w:b/>
          <w:sz w:val="30"/>
          <w:szCs w:val="30"/>
        </w:rPr>
      </w:pPr>
      <w:r>
        <w:rPr>
          <w:b/>
          <w:sz w:val="30"/>
          <w:szCs w:val="30"/>
        </w:rPr>
        <w:t>合同一般条款</w:t>
      </w:r>
    </w:p>
    <w:p>
      <w:pPr>
        <w:tabs>
          <w:tab w:val="left" w:pos="0"/>
          <w:tab w:val="left" w:pos="315"/>
        </w:tabs>
        <w:spacing w:line="520" w:lineRule="exact"/>
        <w:ind w:firstLine="480"/>
        <w:rPr>
          <w:sz w:val="24"/>
          <w:szCs w:val="24"/>
        </w:rPr>
      </w:pPr>
      <w:r>
        <w:rPr>
          <w:sz w:val="24"/>
          <w:szCs w:val="24"/>
        </w:rPr>
        <w:t xml:space="preserve">需方：  </w:t>
      </w:r>
    </w:p>
    <w:p>
      <w:pPr>
        <w:tabs>
          <w:tab w:val="left" w:pos="0"/>
          <w:tab w:val="left" w:pos="315"/>
        </w:tabs>
        <w:spacing w:line="520" w:lineRule="exact"/>
        <w:ind w:firstLine="480"/>
        <w:rPr>
          <w:sz w:val="24"/>
          <w:szCs w:val="24"/>
        </w:rPr>
      </w:pPr>
      <w:r>
        <w:rPr>
          <w:sz w:val="24"/>
          <w:szCs w:val="24"/>
        </w:rPr>
        <w:t xml:space="preserve">供方： </w:t>
      </w:r>
    </w:p>
    <w:p>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pPr>
        <w:pStyle w:val="37"/>
        <w:numPr>
          <w:ilvl w:val="0"/>
          <w:numId w:val="4"/>
        </w:numPr>
        <w:spacing w:line="480" w:lineRule="exact"/>
        <w:ind w:firstLineChars="0"/>
        <w:rPr>
          <w:sz w:val="24"/>
        </w:rPr>
      </w:pPr>
      <w:r>
        <w:rPr>
          <w:sz w:val="24"/>
        </w:rPr>
        <w:t>本合同为中小企业预留合同</w:t>
      </w:r>
    </w:p>
    <w:p>
      <w:pPr>
        <w:pStyle w:val="37"/>
        <w:numPr>
          <w:ilvl w:val="0"/>
          <w:numId w:val="4"/>
        </w:numPr>
        <w:spacing w:line="480" w:lineRule="exact"/>
        <w:ind w:firstLineChars="0"/>
        <w:rPr>
          <w:sz w:val="24"/>
        </w:rPr>
      </w:pPr>
      <w:r>
        <w:rPr>
          <w:sz w:val="24"/>
        </w:rPr>
        <w:t>本合同非中小企业预留合同</w:t>
      </w:r>
    </w:p>
    <w:p>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pPr>
        <w:tabs>
          <w:tab w:val="left" w:pos="1133"/>
        </w:tabs>
        <w:spacing w:line="520" w:lineRule="exact"/>
        <w:ind w:firstLine="480" w:firstLineChars="200"/>
        <w:rPr>
          <w:sz w:val="24"/>
          <w:szCs w:val="24"/>
        </w:rPr>
      </w:pPr>
      <w:r>
        <w:rPr>
          <w:sz w:val="24"/>
          <w:szCs w:val="24"/>
        </w:rPr>
        <w:t>一、采购内容：  （详见附件）</w:t>
      </w:r>
    </w:p>
    <w:p>
      <w:pPr>
        <w:tabs>
          <w:tab w:val="left" w:pos="1133"/>
        </w:tabs>
        <w:spacing w:line="520" w:lineRule="exact"/>
        <w:ind w:firstLine="480" w:firstLineChars="200"/>
        <w:rPr>
          <w:sz w:val="24"/>
          <w:szCs w:val="24"/>
        </w:rPr>
      </w:pPr>
      <w:r>
        <w:rPr>
          <w:sz w:val="24"/>
          <w:szCs w:val="24"/>
        </w:rPr>
        <w:t xml:space="preserve">    合同总价款：人民币  元</w:t>
      </w:r>
    </w:p>
    <w:p>
      <w:pPr>
        <w:tabs>
          <w:tab w:val="left" w:pos="1133"/>
        </w:tabs>
        <w:spacing w:line="520" w:lineRule="exact"/>
        <w:ind w:firstLine="480" w:firstLineChars="200"/>
        <w:rPr>
          <w:sz w:val="24"/>
          <w:szCs w:val="24"/>
        </w:rPr>
      </w:pPr>
      <w:r>
        <w:rPr>
          <w:sz w:val="24"/>
          <w:szCs w:val="24"/>
        </w:rPr>
        <w:t xml:space="preserve">    大写：人民币  元整</w:t>
      </w:r>
    </w:p>
    <w:p>
      <w:pPr>
        <w:tabs>
          <w:tab w:val="left" w:pos="360"/>
        </w:tabs>
        <w:spacing w:line="520" w:lineRule="exact"/>
        <w:ind w:firstLine="480" w:firstLineChars="200"/>
        <w:rPr>
          <w:sz w:val="24"/>
          <w:szCs w:val="24"/>
        </w:rPr>
      </w:pPr>
      <w:r>
        <w:rPr>
          <w:sz w:val="24"/>
          <w:szCs w:val="24"/>
        </w:rPr>
        <w:t>二、质量要求及对质量负责条件和期限：见附件。</w:t>
      </w:r>
    </w:p>
    <w:p>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pPr>
        <w:tabs>
          <w:tab w:val="left" w:pos="360"/>
        </w:tabs>
        <w:spacing w:line="520" w:lineRule="exact"/>
        <w:ind w:firstLine="480" w:firstLineChars="200"/>
        <w:rPr>
          <w:sz w:val="24"/>
          <w:szCs w:val="24"/>
        </w:rPr>
      </w:pPr>
      <w:r>
        <w:rPr>
          <w:sz w:val="24"/>
          <w:szCs w:val="24"/>
        </w:rPr>
        <w:t>四、服务时间、地点、方式：见附件。</w:t>
      </w:r>
    </w:p>
    <w:p>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pPr>
        <w:tabs>
          <w:tab w:val="left" w:pos="360"/>
          <w:tab w:val="left" w:pos="721"/>
        </w:tabs>
        <w:spacing w:line="520" w:lineRule="exact"/>
        <w:rPr>
          <w:sz w:val="24"/>
          <w:szCs w:val="24"/>
        </w:rPr>
      </w:pPr>
      <w:r>
        <w:rPr>
          <w:sz w:val="24"/>
          <w:szCs w:val="24"/>
        </w:rPr>
        <w:t xml:space="preserve">    六、验收工作由需方负责对合同进行验收。</w:t>
      </w:r>
    </w:p>
    <w:p>
      <w:pPr>
        <w:tabs>
          <w:tab w:val="left" w:pos="360"/>
        </w:tabs>
        <w:spacing w:line="520" w:lineRule="exact"/>
        <w:rPr>
          <w:sz w:val="24"/>
          <w:szCs w:val="24"/>
        </w:rPr>
      </w:pPr>
      <w:r>
        <w:rPr>
          <w:sz w:val="24"/>
          <w:szCs w:val="24"/>
        </w:rPr>
        <w:t xml:space="preserve">    七、货款支付方式：见附件。</w:t>
      </w:r>
    </w:p>
    <w:p>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pPr>
        <w:pStyle w:val="7"/>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22"/>
        <w:tblW w:w="8522" w:type="dxa"/>
        <w:tblInd w:w="0" w:type="dxa"/>
        <w:tblLayout w:type="fixed"/>
        <w:tblCellMar>
          <w:top w:w="0" w:type="dxa"/>
          <w:left w:w="108" w:type="dxa"/>
          <w:bottom w:w="0" w:type="dxa"/>
          <w:right w:w="108" w:type="dxa"/>
        </w:tblCellMar>
      </w:tblPr>
      <w:tblGrid>
        <w:gridCol w:w="4261"/>
        <w:gridCol w:w="4261"/>
      </w:tblGrid>
      <w:tr>
        <w:tblPrEx>
          <w:tblLayout w:type="fixed"/>
          <w:tblCellMar>
            <w:top w:w="0" w:type="dxa"/>
            <w:left w:w="108" w:type="dxa"/>
            <w:bottom w:w="0" w:type="dxa"/>
            <w:right w:w="108" w:type="dxa"/>
          </w:tblCellMar>
        </w:tblPrEx>
        <w:tc>
          <w:tcPr>
            <w:tcW w:w="4261" w:type="dxa"/>
          </w:tcPr>
          <w:p>
            <w:pPr>
              <w:tabs>
                <w:tab w:val="left" w:pos="0"/>
                <w:tab w:val="left" w:pos="315"/>
              </w:tabs>
              <w:spacing w:line="520" w:lineRule="exact"/>
              <w:rPr>
                <w:sz w:val="24"/>
                <w:szCs w:val="24"/>
              </w:rPr>
            </w:pPr>
            <w:r>
              <w:rPr>
                <w:sz w:val="24"/>
                <w:szCs w:val="24"/>
              </w:rPr>
              <w:t xml:space="preserve">供方（公章）： </w:t>
            </w:r>
          </w:p>
        </w:tc>
        <w:tc>
          <w:tcPr>
            <w:tcW w:w="4261" w:type="dxa"/>
          </w:tcPr>
          <w:p>
            <w:pPr>
              <w:tabs>
                <w:tab w:val="left" w:pos="0"/>
                <w:tab w:val="left" w:pos="315"/>
              </w:tabs>
              <w:spacing w:line="520" w:lineRule="exact"/>
              <w:rPr>
                <w:sz w:val="24"/>
                <w:szCs w:val="24"/>
              </w:rPr>
            </w:pPr>
            <w:r>
              <w:rPr>
                <w:sz w:val="24"/>
                <w:szCs w:val="24"/>
              </w:rPr>
              <w:t xml:space="preserve">需方（公章）： </w:t>
            </w:r>
          </w:p>
        </w:tc>
      </w:tr>
      <w:tr>
        <w:tblPrEx>
          <w:tblLayout w:type="fixed"/>
          <w:tblCellMar>
            <w:top w:w="0" w:type="dxa"/>
            <w:left w:w="108" w:type="dxa"/>
            <w:bottom w:w="0" w:type="dxa"/>
            <w:right w:w="108" w:type="dxa"/>
          </w:tblCellMar>
        </w:tblPrEx>
        <w:tc>
          <w:tcPr>
            <w:tcW w:w="4261" w:type="dxa"/>
          </w:tcPr>
          <w:p>
            <w:pPr>
              <w:tabs>
                <w:tab w:val="left" w:pos="0"/>
                <w:tab w:val="left" w:pos="315"/>
              </w:tabs>
              <w:spacing w:line="520" w:lineRule="exact"/>
              <w:rPr>
                <w:sz w:val="24"/>
                <w:szCs w:val="24"/>
              </w:rPr>
            </w:pPr>
            <w:r>
              <w:rPr>
                <w:sz w:val="24"/>
                <w:szCs w:val="24"/>
              </w:rPr>
              <w:t xml:space="preserve">地址：  </w:t>
            </w:r>
          </w:p>
        </w:tc>
        <w:tc>
          <w:tcPr>
            <w:tcW w:w="4261" w:type="dxa"/>
          </w:tcPr>
          <w:p>
            <w:pPr>
              <w:tabs>
                <w:tab w:val="left" w:pos="0"/>
                <w:tab w:val="left" w:pos="315"/>
              </w:tabs>
              <w:spacing w:line="520" w:lineRule="exact"/>
              <w:rPr>
                <w:sz w:val="24"/>
                <w:szCs w:val="24"/>
              </w:rPr>
            </w:pPr>
            <w:r>
              <w:rPr>
                <w:sz w:val="24"/>
                <w:szCs w:val="24"/>
              </w:rPr>
              <w:t xml:space="preserve">地址：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 xml:space="preserve">法定代表人： </w:t>
            </w:r>
          </w:p>
        </w:tc>
        <w:tc>
          <w:tcPr>
            <w:tcW w:w="4261" w:type="dxa"/>
          </w:tcPr>
          <w:p>
            <w:pPr>
              <w:tabs>
                <w:tab w:val="left" w:pos="360"/>
              </w:tabs>
              <w:spacing w:line="520" w:lineRule="exact"/>
              <w:rPr>
                <w:sz w:val="24"/>
                <w:szCs w:val="24"/>
              </w:rPr>
            </w:pPr>
            <w:r>
              <w:rPr>
                <w:sz w:val="24"/>
                <w:szCs w:val="24"/>
              </w:rPr>
              <w:t xml:space="preserve">法定代表人：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 xml:space="preserve">委托代理人： </w:t>
            </w:r>
          </w:p>
        </w:tc>
        <w:tc>
          <w:tcPr>
            <w:tcW w:w="4261" w:type="dxa"/>
          </w:tcPr>
          <w:p>
            <w:pPr>
              <w:tabs>
                <w:tab w:val="left" w:pos="360"/>
              </w:tabs>
              <w:spacing w:line="520" w:lineRule="exact"/>
              <w:rPr>
                <w:sz w:val="24"/>
                <w:szCs w:val="24"/>
              </w:rPr>
            </w:pPr>
            <w:r>
              <w:rPr>
                <w:sz w:val="24"/>
                <w:szCs w:val="24"/>
              </w:rPr>
              <w:t xml:space="preserve">委托代理人：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电话：</w:t>
            </w:r>
          </w:p>
        </w:tc>
        <w:tc>
          <w:tcPr>
            <w:tcW w:w="4261" w:type="dxa"/>
          </w:tcPr>
          <w:p>
            <w:pPr>
              <w:tabs>
                <w:tab w:val="left" w:pos="360"/>
              </w:tabs>
              <w:spacing w:line="520" w:lineRule="exact"/>
              <w:rPr>
                <w:sz w:val="24"/>
                <w:szCs w:val="24"/>
              </w:rPr>
            </w:pPr>
            <w:r>
              <w:rPr>
                <w:sz w:val="24"/>
                <w:szCs w:val="24"/>
              </w:rPr>
              <w:t>电话：</w:t>
            </w:r>
          </w:p>
        </w:tc>
      </w:tr>
    </w:tbl>
    <w:p>
      <w:pPr>
        <w:rPr>
          <w:sz w:val="24"/>
          <w:szCs w:val="24"/>
        </w:rPr>
      </w:pPr>
    </w:p>
    <w:p>
      <w:pPr>
        <w:rPr>
          <w:szCs w:val="24"/>
        </w:rPr>
      </w:pPr>
      <w:r>
        <w:rPr>
          <w:sz w:val="24"/>
          <w:szCs w:val="24"/>
        </w:rPr>
        <w:t>时间：20  年  月  日</w:t>
      </w:r>
    </w:p>
    <w:p>
      <w:pPr>
        <w:jc w:val="center"/>
        <w:rPr>
          <w:b/>
          <w:sz w:val="30"/>
          <w:szCs w:val="30"/>
        </w:rPr>
      </w:pPr>
      <w:r>
        <w:rPr>
          <w:b/>
          <w:sz w:val="30"/>
          <w:szCs w:val="30"/>
        </w:rPr>
        <w:br w:type="page"/>
      </w:r>
      <w:r>
        <w:rPr>
          <w:b/>
          <w:sz w:val="30"/>
          <w:szCs w:val="30"/>
        </w:rPr>
        <w:t>合同特殊条款</w:t>
      </w:r>
    </w:p>
    <w:p>
      <w:pPr>
        <w:tabs>
          <w:tab w:val="left" w:pos="360"/>
        </w:tabs>
        <w:spacing w:line="520" w:lineRule="exact"/>
        <w:ind w:firstLine="410" w:firstLineChars="171"/>
        <w:rPr>
          <w:color w:val="000000"/>
          <w:sz w:val="24"/>
          <w:szCs w:val="24"/>
        </w:rPr>
      </w:pPr>
    </w:p>
    <w:p>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pPr>
        <w:tabs>
          <w:tab w:val="left" w:pos="360"/>
        </w:tabs>
        <w:spacing w:line="520" w:lineRule="exact"/>
        <w:ind w:firstLine="410" w:firstLineChars="171"/>
        <w:rPr>
          <w:sz w:val="24"/>
          <w:szCs w:val="24"/>
        </w:rPr>
      </w:pPr>
    </w:p>
    <w:p>
      <w:pPr>
        <w:tabs>
          <w:tab w:val="left" w:pos="360"/>
        </w:tabs>
        <w:spacing w:line="520" w:lineRule="exact"/>
        <w:ind w:firstLine="410" w:firstLineChars="171"/>
        <w:rPr>
          <w:sz w:val="24"/>
          <w:szCs w:val="24"/>
        </w:rPr>
        <w:sectPr>
          <w:headerReference r:id="rId6" w:type="default"/>
          <w:pgSz w:w="11906" w:h="16838"/>
          <w:pgMar w:top="1440" w:right="1800" w:bottom="1440" w:left="1800" w:header="851" w:footer="992" w:gutter="0"/>
          <w:cols w:space="720" w:num="1"/>
          <w:docGrid w:type="lines" w:linePitch="312" w:charSpace="0"/>
        </w:sectPr>
      </w:pPr>
    </w:p>
    <w:p>
      <w:pPr>
        <w:pStyle w:val="2"/>
        <w:jc w:val="center"/>
      </w:pPr>
      <w:bookmarkStart w:id="5" w:name="_Toc411426753"/>
      <w:r>
        <w:t>第五部分  响应文件格式</w:t>
      </w:r>
      <w:bookmarkEnd w:id="5"/>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第一阶段响应文件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autoSpaceDN w:val="0"/>
        <w:spacing w:line="360" w:lineRule="auto"/>
        <w:jc w:val="center"/>
        <w:rPr>
          <w:b/>
          <w:bCs/>
          <w:sz w:val="24"/>
        </w:rPr>
      </w:pPr>
      <w:r>
        <w:rPr>
          <w:b/>
          <w:sz w:val="24"/>
        </w:rPr>
        <w:br w:type="page"/>
      </w:r>
      <w:r>
        <w:rPr>
          <w:b/>
          <w:sz w:val="24"/>
        </w:rPr>
        <w:t>第一阶段</w:t>
      </w:r>
      <w:r>
        <w:rPr>
          <w:b/>
          <w:bCs/>
          <w:sz w:val="24"/>
        </w:rPr>
        <w:t>响应文件总目录</w:t>
      </w:r>
    </w:p>
    <w:p>
      <w:pPr>
        <w:autoSpaceDN w:val="0"/>
        <w:spacing w:line="360" w:lineRule="auto"/>
        <w:jc w:val="center"/>
        <w:rPr>
          <w:b/>
          <w:bCs/>
          <w:sz w:val="24"/>
        </w:rPr>
      </w:pPr>
    </w:p>
    <w:p>
      <w:pPr>
        <w:autoSpaceDN w:val="0"/>
        <w:spacing w:line="360" w:lineRule="auto"/>
        <w:jc w:val="center"/>
        <w:rPr>
          <w:b/>
          <w:bCs/>
          <w:sz w:val="24"/>
        </w:rPr>
      </w:pPr>
      <w:r>
        <w:rPr>
          <w:b/>
          <w:bCs/>
          <w:sz w:val="24"/>
        </w:rPr>
        <w:t>（投标人自行编制）</w:t>
      </w:r>
    </w:p>
    <w:p>
      <w:pPr>
        <w:widowControl/>
        <w:spacing w:line="360" w:lineRule="auto"/>
        <w:jc w:val="center"/>
        <w:rPr>
          <w:b/>
          <w:sz w:val="24"/>
        </w:rPr>
      </w:pPr>
      <w:r>
        <w:rPr>
          <w:b/>
          <w:sz w:val="24"/>
        </w:rPr>
        <w:br w:type="page"/>
      </w:r>
      <w:r>
        <w:rPr>
          <w:b/>
          <w:sz w:val="24"/>
        </w:rPr>
        <w:t>评分因素及评标标准页码检索</w:t>
      </w:r>
    </w:p>
    <w:p>
      <w:pPr>
        <w:widowControl/>
        <w:spacing w:line="360" w:lineRule="auto"/>
        <w:jc w:val="center"/>
        <w:rPr>
          <w:b/>
          <w:sz w:val="24"/>
        </w:rPr>
      </w:pPr>
    </w:p>
    <w:p>
      <w:pPr>
        <w:widowControl/>
        <w:spacing w:line="360" w:lineRule="auto"/>
        <w:jc w:val="center"/>
        <w:rPr>
          <w:b/>
          <w:bCs/>
          <w:sz w:val="24"/>
        </w:rPr>
      </w:pPr>
      <w:r>
        <w:rPr>
          <w:b/>
          <w:bCs/>
          <w:sz w:val="24"/>
        </w:rPr>
        <w:t>（投标人按磋商文件“评分因素及评标标准”中除涉及价格的评分项外的每个评分项逐项列明页码）</w:t>
      </w:r>
    </w:p>
    <w:p>
      <w:pPr>
        <w:spacing w:line="460" w:lineRule="exact"/>
        <w:rPr>
          <w:b/>
          <w:sz w:val="24"/>
        </w:rPr>
      </w:pPr>
      <w:r>
        <w:rPr>
          <w:b/>
          <w:sz w:val="24"/>
        </w:rPr>
        <w:br w:type="page"/>
      </w:r>
      <w:r>
        <w:rPr>
          <w:b/>
          <w:sz w:val="24"/>
        </w:rPr>
        <w:t>附件1</w:t>
      </w:r>
    </w:p>
    <w:p>
      <w:pPr>
        <w:tabs>
          <w:tab w:val="left" w:pos="360"/>
        </w:tabs>
        <w:spacing w:line="560" w:lineRule="exact"/>
        <w:jc w:val="center"/>
        <w:rPr>
          <w:b/>
          <w:sz w:val="24"/>
        </w:rPr>
      </w:pPr>
      <w:r>
        <w:rPr>
          <w:b/>
          <w:sz w:val="24"/>
        </w:rPr>
        <w:t>响应书</w:t>
      </w:r>
    </w:p>
    <w:p>
      <w:pPr>
        <w:autoSpaceDE w:val="0"/>
        <w:autoSpaceDN w:val="0"/>
        <w:adjustRightInd w:val="0"/>
        <w:spacing w:line="520" w:lineRule="exact"/>
        <w:jc w:val="left"/>
        <w:rPr>
          <w:kern w:val="0"/>
          <w:sz w:val="24"/>
        </w:rPr>
      </w:pPr>
      <w:r>
        <w:rPr>
          <w:kern w:val="0"/>
          <w:sz w:val="24"/>
        </w:rPr>
        <w:t>致：天津市政府采购中心</w:t>
      </w:r>
    </w:p>
    <w:p>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pPr>
        <w:autoSpaceDE w:val="0"/>
        <w:autoSpaceDN w:val="0"/>
        <w:adjustRightInd w:val="0"/>
        <w:spacing w:line="360" w:lineRule="auto"/>
        <w:jc w:val="left"/>
        <w:rPr>
          <w:kern w:val="0"/>
          <w:sz w:val="24"/>
        </w:rPr>
      </w:pPr>
      <w:r>
        <w:rPr>
          <w:kern w:val="0"/>
          <w:sz w:val="24"/>
        </w:rPr>
        <w:t>据此函，签字代表宣布同意如下：</w:t>
      </w:r>
    </w:p>
    <w:p>
      <w:pPr>
        <w:numPr>
          <w:ilvl w:val="0"/>
          <w:numId w:val="5"/>
        </w:numPr>
        <w:spacing w:line="360" w:lineRule="auto"/>
        <w:ind w:left="0" w:firstLine="480" w:firstLineChars="200"/>
        <w:jc w:val="left"/>
        <w:rPr>
          <w:sz w:val="24"/>
        </w:rPr>
      </w:pPr>
      <w:r>
        <w:rPr>
          <w:sz w:val="24"/>
        </w:rPr>
        <w:t>我公司将按磋商文件的规定履行合同责任和义务。</w:t>
      </w:r>
    </w:p>
    <w:p>
      <w:pPr>
        <w:numPr>
          <w:ilvl w:val="0"/>
          <w:numId w:val="5"/>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pPr>
        <w:numPr>
          <w:ilvl w:val="0"/>
          <w:numId w:val="5"/>
        </w:numPr>
        <w:spacing w:line="360" w:lineRule="auto"/>
        <w:jc w:val="left"/>
        <w:rPr>
          <w:sz w:val="24"/>
        </w:rPr>
      </w:pPr>
      <w:r>
        <w:rPr>
          <w:sz w:val="24"/>
        </w:rPr>
        <w:t>我公司的磋商有效期为</w:t>
      </w:r>
      <w:r>
        <w:rPr>
          <w:rFonts w:hint="eastAsia"/>
          <w:sz w:val="24"/>
        </w:rPr>
        <w:t>响应文件开启之日</w:t>
      </w:r>
      <w:r>
        <w:rPr>
          <w:sz w:val="24"/>
        </w:rPr>
        <w:t>起60天。</w:t>
      </w:r>
    </w:p>
    <w:p>
      <w:pPr>
        <w:numPr>
          <w:ilvl w:val="0"/>
          <w:numId w:val="5"/>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pPr>
        <w:numPr>
          <w:ilvl w:val="0"/>
          <w:numId w:val="5"/>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pPr>
        <w:numPr>
          <w:ilvl w:val="0"/>
          <w:numId w:val="5"/>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pPr>
        <w:numPr>
          <w:ilvl w:val="0"/>
          <w:numId w:val="5"/>
        </w:numPr>
        <w:spacing w:line="360" w:lineRule="auto"/>
        <w:ind w:left="0" w:firstLine="480" w:firstLineChars="200"/>
        <w:jc w:val="left"/>
        <w:rPr>
          <w:sz w:val="24"/>
        </w:rPr>
      </w:pPr>
      <w:r>
        <w:rPr>
          <w:sz w:val="24"/>
        </w:rPr>
        <w:t>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等法律法规规定，并随时接受采购人、采购代理机构的检查验证。在整个磋商过程中，我公司若有违规行为，我公司完全接受贵中心依照相关法律法规和磋商文件的规定给予处罚。</w:t>
      </w:r>
    </w:p>
    <w:p>
      <w:pPr>
        <w:numPr>
          <w:ilvl w:val="0"/>
          <w:numId w:val="5"/>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pPr>
        <w:numPr>
          <w:ilvl w:val="0"/>
          <w:numId w:val="5"/>
        </w:numPr>
        <w:spacing w:line="360" w:lineRule="auto"/>
        <w:ind w:left="0" w:firstLine="480" w:firstLineChars="200"/>
        <w:jc w:val="left"/>
        <w:rPr>
          <w:sz w:val="24"/>
        </w:rPr>
      </w:pPr>
      <w:r>
        <w:rPr>
          <w:sz w:val="24"/>
        </w:rPr>
        <w:t>我公司若成交，本承诺将成为合同不可分割的一部分，与合同具有同等的法律效力。</w:t>
      </w:r>
    </w:p>
    <w:p>
      <w:pPr>
        <w:numPr>
          <w:ilvl w:val="0"/>
          <w:numId w:val="5"/>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pPr>
        <w:spacing w:line="360" w:lineRule="auto"/>
        <w:ind w:firstLine="480" w:firstLineChars="200"/>
        <w:rPr>
          <w:sz w:val="24"/>
        </w:rPr>
      </w:pPr>
      <w:r>
        <w:rPr>
          <w:sz w:val="24"/>
        </w:rPr>
        <w:t>纳税人识别号：</w:t>
      </w:r>
    </w:p>
    <w:p>
      <w:pPr>
        <w:spacing w:line="360" w:lineRule="auto"/>
        <w:ind w:firstLine="480" w:firstLineChars="200"/>
        <w:rPr>
          <w:sz w:val="24"/>
        </w:rPr>
      </w:pPr>
      <w:r>
        <w:rPr>
          <w:sz w:val="24"/>
        </w:rPr>
        <w:t>地址、电话：</w:t>
      </w:r>
    </w:p>
    <w:p>
      <w:pPr>
        <w:spacing w:line="360" w:lineRule="auto"/>
        <w:ind w:firstLine="480" w:firstLineChars="200"/>
        <w:rPr>
          <w:sz w:val="24"/>
        </w:rPr>
      </w:pPr>
      <w:r>
        <w:rPr>
          <w:sz w:val="24"/>
        </w:rPr>
        <w:t>开户行及账号：</w:t>
      </w:r>
    </w:p>
    <w:p>
      <w:pPr>
        <w:spacing w:line="360" w:lineRule="auto"/>
        <w:ind w:firstLine="480" w:firstLineChars="200"/>
        <w:rPr>
          <w:sz w:val="24"/>
        </w:rPr>
      </w:pPr>
      <w:r>
        <w:rPr>
          <w:sz w:val="24"/>
        </w:rPr>
        <w:t>开具发票类型：□增值税专用发票         □增值税普通发票</w:t>
      </w:r>
    </w:p>
    <w:p>
      <w:pPr>
        <w:spacing w:line="360" w:lineRule="auto"/>
        <w:ind w:firstLine="480" w:firstLineChars="200"/>
        <w:rPr>
          <w:sz w:val="24"/>
        </w:rPr>
      </w:pPr>
      <w:r>
        <w:rPr>
          <w:sz w:val="24"/>
        </w:rPr>
        <w:t>12. 我公司选择招标代理服务费发票领取方式（请自行选择以下任一方式并在相应□里划“√”）：</w:t>
      </w:r>
    </w:p>
    <w:p>
      <w:pPr>
        <w:spacing w:line="360" w:lineRule="auto"/>
        <w:ind w:firstLine="482" w:firstLineChars="200"/>
        <w:rPr>
          <w:b/>
          <w:sz w:val="24"/>
        </w:rPr>
      </w:pPr>
      <w:r>
        <w:rPr>
          <w:b/>
          <w:sz w:val="24"/>
        </w:rPr>
        <w:t>□上门自取</w:t>
      </w:r>
    </w:p>
    <w:p>
      <w:pPr>
        <w:spacing w:line="360" w:lineRule="auto"/>
        <w:ind w:firstLine="480" w:firstLineChars="200"/>
        <w:rPr>
          <w:sz w:val="24"/>
        </w:rPr>
      </w:pPr>
    </w:p>
    <w:p>
      <w:pPr>
        <w:spacing w:line="360" w:lineRule="auto"/>
        <w:ind w:firstLine="482" w:firstLineChars="200"/>
        <w:rPr>
          <w:b/>
          <w:sz w:val="24"/>
        </w:rPr>
      </w:pPr>
      <w:r>
        <w:rPr>
          <w:b/>
          <w:sz w:val="24"/>
        </w:rPr>
        <w:t>□到付邮寄</w:t>
      </w:r>
    </w:p>
    <w:p>
      <w:pPr>
        <w:spacing w:line="360" w:lineRule="auto"/>
        <w:ind w:firstLine="480" w:firstLineChars="200"/>
        <w:rPr>
          <w:sz w:val="24"/>
        </w:rPr>
      </w:pPr>
      <w:r>
        <w:rPr>
          <w:sz w:val="24"/>
        </w:rPr>
        <w:t>邮寄地址、邮编：</w:t>
      </w:r>
    </w:p>
    <w:p>
      <w:pPr>
        <w:spacing w:line="360" w:lineRule="auto"/>
        <w:ind w:firstLine="480" w:firstLineChars="200"/>
        <w:rPr>
          <w:sz w:val="24"/>
        </w:rPr>
      </w:pPr>
      <w:r>
        <w:rPr>
          <w:sz w:val="24"/>
        </w:rPr>
        <w:t>邮寄联系人、手机号码：</w:t>
      </w:r>
    </w:p>
    <w:p>
      <w:pPr>
        <w:spacing w:line="360" w:lineRule="auto"/>
        <w:jc w:val="left"/>
        <w:rPr>
          <w:sz w:val="24"/>
        </w:rPr>
      </w:pPr>
    </w:p>
    <w:p>
      <w:pPr>
        <w:pStyle w:val="37"/>
        <w:autoSpaceDE w:val="0"/>
        <w:autoSpaceDN w:val="0"/>
        <w:adjustRightInd w:val="0"/>
        <w:spacing w:line="520" w:lineRule="exact"/>
        <w:ind w:left="900" w:firstLine="0" w:firstLineChars="0"/>
        <w:jc w:val="left"/>
        <w:rPr>
          <w:kern w:val="0"/>
          <w:sz w:val="24"/>
          <w:u w:val="single"/>
          <w:lang w:eastAsia="zh-CN"/>
        </w:rPr>
      </w:pPr>
    </w:p>
    <w:p>
      <w:pPr>
        <w:autoSpaceDE w:val="0"/>
        <w:autoSpaceDN w:val="0"/>
        <w:adjustRightInd w:val="0"/>
        <w:spacing w:line="520" w:lineRule="exact"/>
        <w:ind w:firstLine="480"/>
        <w:jc w:val="left"/>
        <w:rPr>
          <w:kern w:val="0"/>
          <w:sz w:val="24"/>
        </w:rPr>
      </w:pPr>
      <w:r>
        <w:rPr>
          <w:kern w:val="0"/>
          <w:sz w:val="24"/>
        </w:rPr>
        <w:t>供应商名称：</w:t>
      </w:r>
    </w:p>
    <w:p>
      <w:pPr>
        <w:autoSpaceDE w:val="0"/>
        <w:autoSpaceDN w:val="0"/>
        <w:adjustRightInd w:val="0"/>
        <w:spacing w:line="520" w:lineRule="exact"/>
        <w:ind w:firstLine="480"/>
        <w:jc w:val="left"/>
        <w:rPr>
          <w:kern w:val="0"/>
          <w:sz w:val="24"/>
          <w:u w:val="single"/>
        </w:rPr>
      </w:pPr>
    </w:p>
    <w:p>
      <w:pPr>
        <w:autoSpaceDE w:val="0"/>
        <w:autoSpaceDN w:val="0"/>
        <w:adjustRightInd w:val="0"/>
        <w:spacing w:line="520" w:lineRule="exact"/>
        <w:ind w:firstLine="480"/>
        <w:jc w:val="left"/>
        <w:rPr>
          <w:kern w:val="0"/>
          <w:sz w:val="24"/>
        </w:rPr>
      </w:pPr>
      <w:r>
        <w:rPr>
          <w:kern w:val="0"/>
          <w:sz w:val="24"/>
        </w:rPr>
        <w:t>日期：                年       月       日</w:t>
      </w:r>
    </w:p>
    <w:p>
      <w:pPr>
        <w:spacing w:line="460" w:lineRule="exact"/>
        <w:rPr>
          <w:b/>
          <w:sz w:val="24"/>
        </w:rPr>
      </w:pPr>
      <w:r>
        <w:rPr>
          <w:b/>
          <w:sz w:val="24"/>
        </w:rPr>
        <w:br w:type="page"/>
      </w:r>
      <w:r>
        <w:rPr>
          <w:b/>
          <w:sz w:val="24"/>
        </w:rPr>
        <w:t>附件2</w:t>
      </w:r>
    </w:p>
    <w:p>
      <w:pPr>
        <w:ind w:right="84"/>
        <w:jc w:val="center"/>
        <w:rPr>
          <w:b/>
          <w:sz w:val="24"/>
        </w:rPr>
      </w:pPr>
    </w:p>
    <w:p>
      <w:pPr>
        <w:ind w:right="84"/>
        <w:jc w:val="center"/>
        <w:rPr>
          <w:b/>
          <w:sz w:val="24"/>
        </w:rPr>
      </w:pPr>
      <w:r>
        <w:rPr>
          <w:b/>
          <w:sz w:val="24"/>
        </w:rPr>
        <w:t>供应商资格声明函</w:t>
      </w:r>
    </w:p>
    <w:p>
      <w:pPr>
        <w:spacing w:line="360" w:lineRule="auto"/>
        <w:ind w:firstLine="420"/>
        <w:jc w:val="center"/>
        <w:rPr>
          <w:b/>
          <w:sz w:val="24"/>
        </w:rPr>
      </w:pPr>
    </w:p>
    <w:p>
      <w:pPr>
        <w:spacing w:line="360" w:lineRule="auto"/>
        <w:rPr>
          <w:sz w:val="24"/>
        </w:rPr>
      </w:pPr>
      <w:r>
        <w:rPr>
          <w:sz w:val="24"/>
        </w:rPr>
        <w:t>天津市政府采购中心：</w:t>
      </w:r>
    </w:p>
    <w:p>
      <w:pPr>
        <w:spacing w:line="360" w:lineRule="auto"/>
        <w:ind w:firstLine="480" w:firstLineChars="200"/>
        <w:rPr>
          <w:sz w:val="24"/>
        </w:rPr>
      </w:pPr>
      <w:r>
        <w:rPr>
          <w:sz w:val="24"/>
        </w:rPr>
        <w:t>我单位自愿参与本项目的政府采购活动，郑重承诺如下：</w:t>
      </w:r>
    </w:p>
    <w:p>
      <w:pPr>
        <w:spacing w:line="360" w:lineRule="auto"/>
        <w:ind w:firstLine="480" w:firstLineChars="200"/>
        <w:rPr>
          <w:sz w:val="24"/>
        </w:rPr>
      </w:pPr>
      <w:r>
        <w:rPr>
          <w:sz w:val="24"/>
        </w:rPr>
        <w:t>（一）我单位具有良好的商业信誉和健全的财务会计制度；</w:t>
      </w:r>
    </w:p>
    <w:p>
      <w:pPr>
        <w:spacing w:line="360" w:lineRule="auto"/>
        <w:ind w:firstLine="480" w:firstLineChars="200"/>
        <w:rPr>
          <w:sz w:val="24"/>
        </w:rPr>
      </w:pPr>
      <w:r>
        <w:rPr>
          <w:sz w:val="24"/>
        </w:rPr>
        <w:t>（二）我单位依法缴纳税收和社会保障资金；</w:t>
      </w:r>
    </w:p>
    <w:p>
      <w:pPr>
        <w:spacing w:line="360" w:lineRule="auto"/>
        <w:ind w:firstLine="480" w:firstLineChars="200"/>
        <w:rPr>
          <w:sz w:val="24"/>
        </w:rPr>
      </w:pPr>
      <w:r>
        <w:rPr>
          <w:sz w:val="24"/>
        </w:rPr>
        <w:t>（三）我单位具备履行合同所必需的设备和专业技术能力；</w:t>
      </w:r>
    </w:p>
    <w:p>
      <w:pPr>
        <w:spacing w:line="360" w:lineRule="auto"/>
        <w:ind w:firstLine="480" w:firstLineChars="200"/>
        <w:rPr>
          <w:sz w:val="24"/>
        </w:rPr>
      </w:pPr>
      <w:r>
        <w:rPr>
          <w:sz w:val="24"/>
        </w:rPr>
        <w:t>（四）参加政府采购活动前3年我单位在经营活动中没有重大违法记录；</w:t>
      </w:r>
    </w:p>
    <w:p>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pPr>
        <w:spacing w:line="360" w:lineRule="auto"/>
        <w:ind w:firstLine="480" w:firstLineChars="200"/>
        <w:rPr>
          <w:sz w:val="24"/>
        </w:rPr>
      </w:pPr>
      <w:r>
        <w:rPr>
          <w:sz w:val="24"/>
        </w:rPr>
        <w:t>（六）与我单位存在“单位负责人为同一人或者存在直接控股、管理关系”的其他单位信息如下：</w:t>
      </w:r>
    </w:p>
    <w:tbl>
      <w:tblPr>
        <w:tblStyle w:val="2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3874"/>
        <w:gridCol w:w="2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序号</w:t>
            </w:r>
          </w:p>
        </w:tc>
        <w:tc>
          <w:tcPr>
            <w:tcW w:w="3874" w:type="dxa"/>
            <w:vAlign w:val="center"/>
          </w:tcPr>
          <w:p>
            <w:pPr>
              <w:jc w:val="center"/>
              <w:rPr>
                <w:szCs w:val="21"/>
              </w:rPr>
            </w:pPr>
            <w:r>
              <w:rPr>
                <w:szCs w:val="21"/>
              </w:rPr>
              <w:t>单位名称</w:t>
            </w:r>
          </w:p>
        </w:tc>
        <w:tc>
          <w:tcPr>
            <w:tcW w:w="2840" w:type="dxa"/>
            <w:vAlign w:val="center"/>
          </w:tcPr>
          <w:p>
            <w:pPr>
              <w:jc w:val="center"/>
              <w:rPr>
                <w:szCs w:val="21"/>
              </w:rPr>
            </w:pPr>
            <w:r>
              <w:rPr>
                <w:szCs w:val="21"/>
              </w:rPr>
              <w:t>相互关系类型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1</w:t>
            </w:r>
          </w:p>
        </w:tc>
        <w:tc>
          <w:tcPr>
            <w:tcW w:w="3874" w:type="dxa"/>
            <w:vAlign w:val="center"/>
          </w:tcPr>
          <w:p>
            <w:pPr>
              <w:jc w:val="center"/>
              <w:rPr>
                <w:szCs w:val="21"/>
              </w:rPr>
            </w:pPr>
          </w:p>
        </w:tc>
        <w:tc>
          <w:tcPr>
            <w:tcW w:w="284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2</w:t>
            </w:r>
          </w:p>
        </w:tc>
        <w:tc>
          <w:tcPr>
            <w:tcW w:w="3874" w:type="dxa"/>
            <w:vAlign w:val="center"/>
          </w:tcPr>
          <w:p>
            <w:pPr>
              <w:jc w:val="center"/>
              <w:rPr>
                <w:szCs w:val="21"/>
              </w:rPr>
            </w:pPr>
          </w:p>
        </w:tc>
        <w:tc>
          <w:tcPr>
            <w:tcW w:w="284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3</w:t>
            </w:r>
          </w:p>
        </w:tc>
        <w:tc>
          <w:tcPr>
            <w:tcW w:w="3874" w:type="dxa"/>
            <w:vAlign w:val="center"/>
          </w:tcPr>
          <w:p>
            <w:pPr>
              <w:jc w:val="center"/>
              <w:rPr>
                <w:szCs w:val="21"/>
              </w:rPr>
            </w:pPr>
          </w:p>
        </w:tc>
        <w:tc>
          <w:tcPr>
            <w:tcW w:w="2840" w:type="dxa"/>
            <w:vAlign w:val="center"/>
          </w:tcPr>
          <w:p>
            <w:pPr>
              <w:jc w:val="center"/>
              <w:rPr>
                <w:szCs w:val="21"/>
              </w:rPr>
            </w:pPr>
          </w:p>
        </w:tc>
      </w:tr>
    </w:tbl>
    <w:p>
      <w:pPr>
        <w:spacing w:line="360" w:lineRule="auto"/>
        <w:ind w:firstLine="480" w:firstLineChars="200"/>
        <w:rPr>
          <w:sz w:val="24"/>
        </w:rPr>
      </w:pPr>
      <w:r>
        <w:rPr>
          <w:sz w:val="24"/>
        </w:rPr>
        <w:t>上表未填写的，视为不存在第（六）条所列情形</w:t>
      </w:r>
    </w:p>
    <w:p>
      <w:pPr>
        <w:spacing w:line="360" w:lineRule="auto"/>
        <w:ind w:firstLine="480" w:firstLineChars="200"/>
        <w:rPr>
          <w:sz w:val="24"/>
        </w:rPr>
      </w:pPr>
    </w:p>
    <w:p>
      <w:pPr>
        <w:spacing w:line="360" w:lineRule="auto"/>
        <w:ind w:firstLine="480" w:firstLineChars="200"/>
        <w:rPr>
          <w:sz w:val="24"/>
        </w:rPr>
      </w:pPr>
      <w:r>
        <w:rPr>
          <w:sz w:val="24"/>
        </w:rPr>
        <w:t>上述声明真实有效，否则我单位承担全部责任和不利后果。</w:t>
      </w:r>
    </w:p>
    <w:p>
      <w:pPr>
        <w:spacing w:line="360" w:lineRule="auto"/>
        <w:ind w:firstLine="480" w:firstLineChars="200"/>
        <w:rPr>
          <w:sz w:val="24"/>
        </w:rPr>
      </w:pPr>
    </w:p>
    <w:p>
      <w:pPr>
        <w:spacing w:line="360" w:lineRule="auto"/>
        <w:ind w:firstLine="240" w:firstLineChars="100"/>
        <w:rPr>
          <w:sz w:val="24"/>
        </w:rPr>
      </w:pPr>
      <w:r>
        <w:rPr>
          <w:sz w:val="24"/>
        </w:rPr>
        <w:t>供应商名称：</w:t>
      </w:r>
    </w:p>
    <w:p>
      <w:pPr>
        <w:spacing w:line="360" w:lineRule="auto"/>
        <w:ind w:firstLine="240" w:firstLineChars="100"/>
        <w:rPr>
          <w:sz w:val="24"/>
        </w:rPr>
      </w:pPr>
    </w:p>
    <w:p>
      <w:pPr>
        <w:spacing w:line="360" w:lineRule="auto"/>
        <w:ind w:firstLine="240" w:firstLineChars="100"/>
        <w:rPr>
          <w:sz w:val="24"/>
        </w:rPr>
      </w:pPr>
      <w:r>
        <w:rPr>
          <w:sz w:val="24"/>
        </w:rPr>
        <w:t xml:space="preserve">日期：  </w:t>
      </w: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r>
        <w:rPr>
          <w:b/>
          <w:bCs/>
          <w:sz w:val="24"/>
        </w:rPr>
        <w:t>附件2-1：磋商文件第一部分供应商资格要求的证件</w:t>
      </w:r>
    </w:p>
    <w:p>
      <w:pPr>
        <w:spacing w:line="460" w:lineRule="exact"/>
        <w:ind w:left="192"/>
        <w:jc w:val="center"/>
        <w:rPr>
          <w:b/>
          <w:sz w:val="24"/>
        </w:rPr>
      </w:pPr>
    </w:p>
    <w:p>
      <w:pPr>
        <w:spacing w:line="460" w:lineRule="exact"/>
        <w:ind w:left="192"/>
        <w:jc w:val="center"/>
        <w:rPr>
          <w:b/>
          <w:sz w:val="24"/>
        </w:rPr>
      </w:pPr>
    </w:p>
    <w:p>
      <w:pPr>
        <w:spacing w:line="460" w:lineRule="exact"/>
        <w:ind w:left="192"/>
        <w:jc w:val="center"/>
        <w:rPr>
          <w:b/>
          <w:sz w:val="24"/>
        </w:rPr>
      </w:pPr>
    </w:p>
    <w:p>
      <w:pPr>
        <w:spacing w:line="460" w:lineRule="exact"/>
        <w:jc w:val="left"/>
        <w:rPr>
          <w:b/>
          <w:sz w:val="24"/>
        </w:rPr>
      </w:pPr>
      <w:r>
        <w:rPr>
          <w:b/>
          <w:sz w:val="24"/>
        </w:rPr>
        <w:br w:type="page"/>
      </w:r>
      <w:r>
        <w:rPr>
          <w:b/>
          <w:sz w:val="24"/>
        </w:rPr>
        <w:t>附件3</w:t>
      </w:r>
    </w:p>
    <w:p>
      <w:pPr>
        <w:autoSpaceDN w:val="0"/>
        <w:spacing w:line="360" w:lineRule="auto"/>
        <w:jc w:val="center"/>
        <w:rPr>
          <w:b/>
          <w:bCs/>
          <w:sz w:val="24"/>
        </w:rPr>
      </w:pPr>
      <w:r>
        <w:rPr>
          <w:b/>
          <w:bCs/>
          <w:sz w:val="24"/>
        </w:rPr>
        <w:t>磋商代表人授权书</w:t>
      </w:r>
    </w:p>
    <w:p>
      <w:pPr>
        <w:spacing w:line="360" w:lineRule="auto"/>
        <w:rPr>
          <w:sz w:val="24"/>
          <w:szCs w:val="21"/>
        </w:rPr>
      </w:pPr>
    </w:p>
    <w:p>
      <w:pPr>
        <w:spacing w:line="360" w:lineRule="auto"/>
        <w:rPr>
          <w:sz w:val="24"/>
          <w:szCs w:val="21"/>
        </w:rPr>
      </w:pPr>
      <w:r>
        <w:rPr>
          <w:sz w:val="24"/>
          <w:szCs w:val="21"/>
        </w:rPr>
        <w:t>致：天津市政府采购中心</w:t>
      </w:r>
    </w:p>
    <w:p>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pPr>
        <w:spacing w:line="360" w:lineRule="auto"/>
        <w:ind w:firstLine="480" w:firstLineChars="200"/>
        <w:rPr>
          <w:sz w:val="24"/>
          <w:szCs w:val="21"/>
        </w:rPr>
      </w:pPr>
      <w:r>
        <w:rPr>
          <w:sz w:val="24"/>
          <w:szCs w:val="21"/>
        </w:rPr>
        <w:t>我方对磋商代表人的签名事项负全部责任。</w:t>
      </w:r>
    </w:p>
    <w:p>
      <w:pPr>
        <w:spacing w:line="360" w:lineRule="auto"/>
        <w:ind w:firstLine="480" w:firstLineChars="200"/>
        <w:rPr>
          <w:sz w:val="24"/>
          <w:szCs w:val="21"/>
        </w:rPr>
      </w:pPr>
      <w:r>
        <w:rPr>
          <w:sz w:val="24"/>
          <w:szCs w:val="21"/>
        </w:rPr>
        <w:t>本授权书至磋商有效期结束前始终有效。</w:t>
      </w:r>
    </w:p>
    <w:p>
      <w:pPr>
        <w:spacing w:line="360" w:lineRule="auto"/>
        <w:ind w:firstLine="480" w:firstLineChars="200"/>
        <w:rPr>
          <w:sz w:val="24"/>
          <w:szCs w:val="21"/>
        </w:rPr>
      </w:pPr>
      <w:r>
        <w:rPr>
          <w:sz w:val="24"/>
          <w:szCs w:val="21"/>
        </w:rPr>
        <w:t>磋商代表人无转委托权，特此委托。</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5040" w:firstLineChars="2100"/>
        <w:rPr>
          <w:sz w:val="24"/>
        </w:rPr>
      </w:pPr>
      <w:r>
        <w:rPr>
          <w:sz w:val="24"/>
        </w:rPr>
        <w:t xml:space="preserve">     年   月   日</w:t>
      </w:r>
    </w:p>
    <w:tbl>
      <w:tblPr>
        <w:tblStyle w:val="2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shd w:val="clear" w:color="auto" w:fill="auto"/>
          </w:tcPr>
          <w:p>
            <w:pPr>
              <w:spacing w:line="360" w:lineRule="auto"/>
              <w:jc w:val="left"/>
              <w:rPr>
                <w:sz w:val="24"/>
              </w:rPr>
            </w:pPr>
            <w:r>
              <w:rPr>
                <w:sz w:val="24"/>
              </w:rPr>
              <w:t>磋商代表人身份证正面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1" w:type="dxa"/>
            <w:shd w:val="clear" w:color="auto" w:fill="auto"/>
          </w:tcPr>
          <w:p>
            <w:pPr>
              <w:spacing w:line="360" w:lineRule="auto"/>
              <w:jc w:val="left"/>
              <w:rPr>
                <w:sz w:val="24"/>
              </w:rPr>
            </w:pPr>
            <w:r>
              <w:rPr>
                <w:sz w:val="24"/>
              </w:rPr>
              <w:t>磋商代表人身份证背面</w:t>
            </w:r>
          </w:p>
        </w:tc>
      </w:tr>
    </w:tbl>
    <w:p>
      <w:pPr>
        <w:spacing w:line="360" w:lineRule="auto"/>
        <w:rPr>
          <w:sz w:val="24"/>
        </w:rPr>
      </w:pPr>
    </w:p>
    <w:p>
      <w:pPr>
        <w:spacing w:line="460" w:lineRule="exact"/>
        <w:jc w:val="left"/>
        <w:rPr>
          <w:b/>
          <w:sz w:val="24"/>
        </w:rPr>
      </w:pPr>
      <w:r>
        <w:rPr>
          <w:b/>
          <w:sz w:val="24"/>
        </w:rPr>
        <w:br w:type="page"/>
      </w:r>
      <w:r>
        <w:rPr>
          <w:b/>
          <w:sz w:val="24"/>
        </w:rPr>
        <w:t>附件4-1</w:t>
      </w:r>
    </w:p>
    <w:p>
      <w:pPr>
        <w:spacing w:line="460" w:lineRule="exact"/>
        <w:ind w:left="181"/>
        <w:jc w:val="center"/>
        <w:rPr>
          <w:b/>
          <w:sz w:val="24"/>
        </w:rPr>
      </w:pPr>
    </w:p>
    <w:p>
      <w:pPr>
        <w:autoSpaceDN w:val="0"/>
        <w:spacing w:line="360" w:lineRule="auto"/>
        <w:jc w:val="center"/>
        <w:rPr>
          <w:b/>
          <w:bCs/>
          <w:sz w:val="24"/>
        </w:rPr>
      </w:pPr>
      <w:r>
        <w:rPr>
          <w:b/>
          <w:bCs/>
          <w:sz w:val="24"/>
        </w:rPr>
        <w:t>商务要求点对点应答表</w:t>
      </w:r>
    </w:p>
    <w:p>
      <w:pPr>
        <w:spacing w:line="460" w:lineRule="exac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22"/>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tblPrEx>
          <w:tblLayout w:type="fixed"/>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pPr>
              <w:widowControl/>
              <w:jc w:val="center"/>
              <w:rPr>
                <w:kern w:val="0"/>
                <w:szCs w:val="21"/>
              </w:rPr>
            </w:pPr>
            <w:r>
              <w:rPr>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磋商文件要求</w:t>
            </w:r>
          </w:p>
        </w:tc>
        <w:tc>
          <w:tcPr>
            <w:tcW w:w="2549"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响应应答</w:t>
            </w:r>
          </w:p>
        </w:tc>
        <w:tc>
          <w:tcPr>
            <w:tcW w:w="1134"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备注</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（一）报价要求</w:t>
            </w:r>
          </w:p>
        </w:tc>
      </w:tr>
      <w:tr>
        <w:tblPrEx>
          <w:tblLayout w:type="fixed"/>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（二）时间、地点要求</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（三）付款方式</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（四）投标保证金和履约保证金</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bl>
    <w:p>
      <w:pPr>
        <w:spacing w:line="620" w:lineRule="exact"/>
        <w:rPr>
          <w:sz w:val="24"/>
        </w:rPr>
      </w:pPr>
      <w:r>
        <w:rPr>
          <w:sz w:val="24"/>
        </w:rPr>
        <w:t>注：</w:t>
      </w:r>
    </w:p>
    <w:p>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pPr>
        <w:spacing w:line="360" w:lineRule="auto"/>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tabs>
          <w:tab w:val="left" w:pos="360"/>
        </w:tabs>
        <w:spacing w:after="312" w:afterLines="100" w:line="360" w:lineRule="auto"/>
        <w:rPr>
          <w:b/>
          <w:sz w:val="24"/>
        </w:rPr>
      </w:pPr>
      <w:r>
        <w:rPr>
          <w:sz w:val="24"/>
        </w:rPr>
        <w:br w:type="page"/>
      </w:r>
      <w:r>
        <w:rPr>
          <w:b/>
          <w:sz w:val="24"/>
        </w:rPr>
        <w:t>附件4-2</w:t>
      </w:r>
    </w:p>
    <w:p>
      <w:pPr>
        <w:spacing w:line="360" w:lineRule="auto"/>
        <w:jc w:val="center"/>
        <w:rPr>
          <w:b/>
          <w:bCs/>
          <w:sz w:val="24"/>
          <w:szCs w:val="24"/>
        </w:rPr>
      </w:pPr>
      <w:r>
        <w:rPr>
          <w:rFonts w:ascii="宋体" w:hAnsi="宋体"/>
          <w:b/>
          <w:bCs/>
          <w:sz w:val="24"/>
          <w:szCs w:val="24"/>
        </w:rPr>
        <w:t>技术要求偏离应答表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szCs w:val="24"/>
          <w:u w:val="single"/>
        </w:rPr>
      </w:pPr>
    </w:p>
    <w:p>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22"/>
        <w:tblW w:w="98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bl>
    <w:p>
      <w:pPr>
        <w:snapToGrid w:val="0"/>
        <w:spacing w:line="360" w:lineRule="auto"/>
        <w:ind w:firstLine="480" w:firstLineChars="200"/>
        <w:rPr>
          <w:sz w:val="24"/>
          <w:szCs w:val="24"/>
        </w:rPr>
      </w:pPr>
      <w:r>
        <w:rPr>
          <w:rFonts w:ascii="宋体" w:hAnsi="宋体"/>
          <w:sz w:val="24"/>
          <w:szCs w:val="24"/>
        </w:rPr>
        <w:t>注：</w:t>
      </w:r>
    </w:p>
    <w:p>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pPr>
        <w:spacing w:line="360" w:lineRule="auto"/>
        <w:rPr>
          <w:sz w:val="24"/>
        </w:rPr>
      </w:pPr>
    </w:p>
    <w:p>
      <w:pPr>
        <w:spacing w:line="360" w:lineRule="auto"/>
        <w:ind w:firstLine="4080" w:firstLineChars="1700"/>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80" w:lineRule="auto"/>
        <w:rPr>
          <w:b/>
          <w:color w:val="000000"/>
          <w:sz w:val="24"/>
        </w:rPr>
      </w:pPr>
      <w:r>
        <w:rPr>
          <w:b/>
          <w:sz w:val="24"/>
        </w:rPr>
        <w:br w:type="page"/>
      </w:r>
      <w:r>
        <w:rPr>
          <w:b/>
          <w:color w:val="000000"/>
          <w:sz w:val="24"/>
        </w:rPr>
        <w:t>附件4-3</w:t>
      </w:r>
    </w:p>
    <w:p>
      <w:pPr>
        <w:spacing w:line="560" w:lineRule="exact"/>
        <w:jc w:val="center"/>
        <w:rPr>
          <w:b/>
          <w:sz w:val="24"/>
        </w:rPr>
      </w:pPr>
      <w:r>
        <w:rPr>
          <w:b/>
          <w:sz w:val="24"/>
        </w:rPr>
        <w:t>主要相关项目业绩一览表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560" w:lineRule="exact"/>
        <w:jc w:val="center"/>
        <w:rPr>
          <w:b/>
          <w:sz w:val="24"/>
        </w:rPr>
      </w:pPr>
    </w:p>
    <w:tbl>
      <w:tblPr>
        <w:tblStyle w:val="22"/>
        <w:tblW w:w="8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项目起止时间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bl>
    <w:p>
      <w:pPr>
        <w:spacing w:line="560" w:lineRule="exact"/>
        <w:rPr>
          <w:sz w:val="24"/>
        </w:rPr>
      </w:pPr>
      <w:r>
        <w:rPr>
          <w:sz w:val="24"/>
        </w:rPr>
        <w:t>备注：投标人所列业绩应按第二部分的要求将证明材料按顺序附后。</w:t>
      </w:r>
    </w:p>
    <w:p>
      <w:pPr>
        <w:spacing w:line="560" w:lineRule="exact"/>
        <w:rPr>
          <w:sz w:val="24"/>
        </w:rPr>
      </w:pPr>
    </w:p>
    <w:p>
      <w:pPr>
        <w:spacing w:line="360" w:lineRule="auto"/>
        <w:rPr>
          <w:sz w:val="24"/>
        </w:rPr>
      </w:pPr>
      <w:r>
        <w:rPr>
          <w:sz w:val="24"/>
        </w:rPr>
        <w:t>供应商名称：</w:t>
      </w:r>
    </w:p>
    <w:p>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sz w:val="24"/>
        </w:rPr>
      </w:pPr>
      <w:r>
        <w:rPr>
          <w:sz w:val="24"/>
        </w:rPr>
        <w:br w:type="page"/>
      </w:r>
    </w:p>
    <w:p>
      <w:pPr>
        <w:spacing w:line="460" w:lineRule="exact"/>
        <w:rPr>
          <w:b/>
          <w:sz w:val="24"/>
        </w:rPr>
      </w:pPr>
      <w:r>
        <w:rPr>
          <w:b/>
          <w:sz w:val="24"/>
        </w:rPr>
        <w:t>附件5：评分因素中要求的各项方案、证明材料等</w:t>
      </w:r>
    </w:p>
    <w:p>
      <w:pPr>
        <w:spacing w:line="620" w:lineRule="exact"/>
        <w:rPr>
          <w:b/>
          <w:sz w:val="24"/>
        </w:rPr>
      </w:pPr>
      <w:r>
        <w:rPr>
          <w:b/>
          <w:sz w:val="24"/>
        </w:rPr>
        <w:br w:type="page"/>
      </w:r>
      <w:r>
        <w:rPr>
          <w:b/>
          <w:sz w:val="24"/>
        </w:rPr>
        <w:t>附件6</w:t>
      </w:r>
    </w:p>
    <w:p>
      <w:pPr>
        <w:autoSpaceDE w:val="0"/>
        <w:autoSpaceDN w:val="0"/>
        <w:spacing w:line="480" w:lineRule="auto"/>
        <w:jc w:val="center"/>
        <w:rPr>
          <w:sz w:val="24"/>
          <w:szCs w:val="24"/>
        </w:rPr>
      </w:pPr>
      <w:r>
        <w:rPr>
          <w:b/>
          <w:sz w:val="24"/>
          <w:szCs w:val="24"/>
        </w:rPr>
        <w:t>中小企业声明函（服务）</w:t>
      </w:r>
    </w:p>
    <w:p>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sz w:val="24"/>
          <w:szCs w:val="24"/>
        </w:rPr>
        <w:t>供应商名称：</w:t>
      </w:r>
    </w:p>
    <w:p>
      <w:pPr>
        <w:autoSpaceDE w:val="0"/>
        <w:autoSpaceDN w:val="0"/>
        <w:spacing w:line="500" w:lineRule="exact"/>
        <w:ind w:left="3840"/>
        <w:jc w:val="left"/>
        <w:rPr>
          <w:sz w:val="32"/>
        </w:rPr>
      </w:pPr>
      <w:r>
        <w:rPr>
          <w:sz w:val="24"/>
          <w:szCs w:val="24"/>
        </w:rPr>
        <w:t>日期：</w:t>
      </w:r>
    </w:p>
    <w:p>
      <w:pPr>
        <w:spacing w:line="360" w:lineRule="auto"/>
        <w:ind w:right="84" w:firstLine="241" w:firstLineChars="100"/>
        <w:rPr>
          <w:b/>
          <w:sz w:val="24"/>
          <w:szCs w:val="24"/>
        </w:rPr>
      </w:pPr>
      <w:r>
        <w:rPr>
          <w:b/>
          <w:sz w:val="24"/>
          <w:szCs w:val="24"/>
        </w:rPr>
        <w:t>注：</w:t>
      </w:r>
    </w:p>
    <w:p>
      <w:pPr>
        <w:spacing w:line="360" w:lineRule="auto"/>
        <w:ind w:firstLine="482" w:firstLineChars="200"/>
        <w:rPr>
          <w:b/>
          <w:sz w:val="24"/>
          <w:szCs w:val="24"/>
        </w:rPr>
      </w:pPr>
      <w:bookmarkStart w:id="6" w:name="OLE_LINK13"/>
      <w:bookmarkStart w:id="7" w:name="OLE_LINK14"/>
      <w:r>
        <w:rPr>
          <w:b/>
          <w:sz w:val="24"/>
          <w:szCs w:val="24"/>
        </w:rPr>
        <w:t>1.标的名称须按照采购文件中明确的标的名称进行填写；所属行业须按照采购文件中明确的所属行业进行填写。</w:t>
      </w:r>
    </w:p>
    <w:p>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pPr>
        <w:widowControl/>
        <w:jc w:val="left"/>
        <w:rPr>
          <w:b/>
          <w:bCs/>
          <w:sz w:val="24"/>
        </w:rPr>
      </w:pPr>
      <w:r>
        <w:rPr>
          <w:b/>
          <w:bCs/>
          <w:sz w:val="24"/>
        </w:rPr>
        <w:br w:type="page"/>
      </w:r>
    </w:p>
    <w:p>
      <w:pPr>
        <w:autoSpaceDN w:val="0"/>
        <w:spacing w:line="360" w:lineRule="auto"/>
        <w:rPr>
          <w:b/>
          <w:bCs/>
          <w:sz w:val="24"/>
        </w:rPr>
      </w:pPr>
      <w:r>
        <w:rPr>
          <w:b/>
          <w:bCs/>
          <w:sz w:val="24"/>
        </w:rPr>
        <w:t>附件7</w:t>
      </w:r>
    </w:p>
    <w:p>
      <w:pPr>
        <w:autoSpaceDN w:val="0"/>
        <w:spacing w:line="360" w:lineRule="auto"/>
        <w:jc w:val="left"/>
        <w:rPr>
          <w:b/>
          <w:bCs/>
          <w:sz w:val="24"/>
        </w:rPr>
      </w:pPr>
      <w:r>
        <w:rPr>
          <w:b/>
          <w:kern w:val="0"/>
          <w:sz w:val="24"/>
          <w:szCs w:val="21"/>
        </w:rPr>
        <w:t>若不是残疾人福利性单位，响应文件中可不提供此声明函</w:t>
      </w:r>
    </w:p>
    <w:p>
      <w:pPr>
        <w:autoSpaceDN w:val="0"/>
        <w:spacing w:line="360" w:lineRule="auto"/>
        <w:jc w:val="center"/>
        <w:rPr>
          <w:b/>
          <w:bCs/>
          <w:sz w:val="24"/>
        </w:rPr>
      </w:pPr>
    </w:p>
    <w:bookmarkEnd w:id="6"/>
    <w:bookmarkEnd w:id="7"/>
    <w:p>
      <w:pPr>
        <w:snapToGrid w:val="0"/>
        <w:spacing w:line="360" w:lineRule="auto"/>
        <w:jc w:val="center"/>
        <w:rPr>
          <w:b/>
          <w:bCs/>
          <w:sz w:val="24"/>
        </w:rPr>
      </w:pPr>
      <w:r>
        <w:rPr>
          <w:b/>
          <w:bCs/>
          <w:sz w:val="24"/>
        </w:rPr>
        <w:t>残疾人福利性单位声明函</w:t>
      </w:r>
    </w:p>
    <w:p>
      <w:pPr>
        <w:snapToGrid w:val="0"/>
        <w:spacing w:line="360" w:lineRule="auto"/>
        <w:ind w:firstLine="482" w:firstLineChars="200"/>
        <w:jc w:val="left"/>
        <w:rPr>
          <w:b/>
          <w:bCs/>
          <w:sz w:val="24"/>
        </w:rPr>
      </w:pPr>
    </w:p>
    <w:p>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napToGrid w:val="0"/>
        <w:spacing w:line="360" w:lineRule="auto"/>
        <w:ind w:firstLine="480" w:firstLineChars="200"/>
        <w:jc w:val="left"/>
        <w:rPr>
          <w:bCs/>
          <w:sz w:val="24"/>
        </w:rPr>
      </w:pPr>
      <w:r>
        <w:rPr>
          <w:bCs/>
          <w:sz w:val="24"/>
        </w:rPr>
        <w:t>本单位对上述声明的真实性负责。如有虚假，将依法承担相应责任。</w:t>
      </w: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r>
        <w:rPr>
          <w:bCs/>
          <w:sz w:val="24"/>
        </w:rPr>
        <w:t xml:space="preserve">               </w:t>
      </w:r>
      <w:r>
        <w:rPr>
          <w:sz w:val="24"/>
          <w:szCs w:val="24"/>
        </w:rPr>
        <w:t>供应商名称：</w:t>
      </w:r>
    </w:p>
    <w:p>
      <w:pPr>
        <w:snapToGrid w:val="0"/>
        <w:spacing w:line="360" w:lineRule="auto"/>
        <w:ind w:firstLine="480" w:firstLineChars="200"/>
        <w:jc w:val="left"/>
        <w:rPr>
          <w:bCs/>
          <w:sz w:val="24"/>
        </w:rPr>
      </w:pPr>
    </w:p>
    <w:p>
      <w:pPr>
        <w:snapToGrid w:val="0"/>
        <w:spacing w:line="360" w:lineRule="auto"/>
        <w:ind w:firstLine="480" w:firstLineChars="200"/>
        <w:jc w:val="left"/>
        <w:rPr>
          <w:sz w:val="24"/>
          <w:szCs w:val="21"/>
        </w:rPr>
      </w:pPr>
      <w:r>
        <w:rPr>
          <w:bCs/>
          <w:sz w:val="24"/>
        </w:rPr>
        <w:t xml:space="preserve">               日  期：</w:t>
      </w:r>
    </w:p>
    <w:p>
      <w:pPr>
        <w:snapToGrid w:val="0"/>
        <w:spacing w:line="360" w:lineRule="auto"/>
        <w:ind w:firstLine="480" w:firstLineChars="200"/>
        <w:jc w:val="left"/>
        <w:rPr>
          <w:sz w:val="24"/>
          <w:szCs w:val="21"/>
        </w:rPr>
      </w:pPr>
    </w:p>
    <w:p>
      <w:pPr>
        <w:snapToGrid w:val="0"/>
        <w:spacing w:line="360" w:lineRule="auto"/>
        <w:ind w:firstLine="480" w:firstLineChars="200"/>
        <w:rPr>
          <w:sz w:val="24"/>
          <w:szCs w:val="21"/>
        </w:rPr>
      </w:pPr>
      <w:r>
        <w:rPr>
          <w:sz w:val="24"/>
          <w:szCs w:val="21"/>
        </w:rPr>
        <w:t>注：</w:t>
      </w:r>
    </w:p>
    <w:p>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pPr>
        <w:snapToGrid w:val="0"/>
        <w:spacing w:line="360" w:lineRule="auto"/>
        <w:ind w:firstLine="482" w:firstLineChars="200"/>
        <w:rPr>
          <w:b/>
          <w:sz w:val="24"/>
          <w:szCs w:val="21"/>
        </w:rPr>
      </w:pPr>
      <w:r>
        <w:rPr>
          <w:b/>
          <w:kern w:val="0"/>
          <w:sz w:val="24"/>
          <w:szCs w:val="21"/>
        </w:rPr>
        <w:t>若不是残疾人福利性单位，响应文件中可不提供此声明函。</w:t>
      </w:r>
    </w:p>
    <w:p>
      <w:pPr>
        <w:snapToGrid w:val="0"/>
        <w:spacing w:line="360" w:lineRule="auto"/>
        <w:ind w:firstLine="480" w:firstLineChars="200"/>
        <w:rPr>
          <w:sz w:val="24"/>
          <w:szCs w:val="21"/>
        </w:rPr>
      </w:pPr>
    </w:p>
    <w:p>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pPr>
        <w:spacing w:line="460" w:lineRule="exact"/>
        <w:ind w:left="192"/>
        <w:rPr>
          <w:b/>
          <w:sz w:val="24"/>
        </w:rPr>
      </w:pPr>
    </w:p>
    <w:p>
      <w:pPr>
        <w:autoSpaceDE w:val="0"/>
        <w:autoSpaceDN w:val="0"/>
        <w:adjustRightInd w:val="0"/>
        <w:jc w:val="center"/>
        <w:rPr>
          <w:sz w:val="24"/>
        </w:rPr>
      </w:pPr>
      <w:r>
        <w:rPr>
          <w:sz w:val="24"/>
        </w:rPr>
        <w:br w:type="page"/>
      </w: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rPr>
          <w:b/>
          <w:kern w:val="0"/>
          <w:sz w:val="24"/>
        </w:rPr>
      </w:pP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第二阶段响应文件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b/>
          <w:kern w:val="0"/>
          <w:sz w:val="24"/>
        </w:rPr>
      </w:pPr>
      <w:r>
        <w:rPr>
          <w:rFonts w:eastAsia="方正楷体简体"/>
          <w:b/>
          <w:sz w:val="34"/>
          <w:szCs w:val="34"/>
        </w:rPr>
        <w:t>递交日期：</w:t>
      </w:r>
    </w:p>
    <w:p>
      <w:pPr>
        <w:tabs>
          <w:tab w:val="left" w:pos="360"/>
        </w:tabs>
        <w:spacing w:line="460" w:lineRule="exact"/>
        <w:jc w:val="center"/>
        <w:rPr>
          <w:b/>
          <w:sz w:val="24"/>
        </w:rPr>
      </w:pPr>
      <w:r>
        <w:rPr>
          <w:sz w:val="24"/>
        </w:rPr>
        <w:br w:type="page"/>
      </w:r>
      <w:r>
        <w:rPr>
          <w:b/>
          <w:sz w:val="24"/>
        </w:rPr>
        <w:t>报价书</w:t>
      </w:r>
    </w:p>
    <w:p>
      <w:pPr>
        <w:spacing w:line="460" w:lineRule="exact"/>
        <w:rPr>
          <w:sz w:val="24"/>
        </w:rPr>
      </w:pPr>
      <w:r>
        <w:rPr>
          <w:sz w:val="24"/>
        </w:rPr>
        <w:t>致：天津市政府采购中心</w:t>
      </w:r>
    </w:p>
    <w:p>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pPr>
        <w:spacing w:line="460" w:lineRule="exact"/>
        <w:rPr>
          <w:sz w:val="24"/>
        </w:rPr>
      </w:pPr>
      <w:r>
        <w:rPr>
          <w:sz w:val="24"/>
        </w:rPr>
        <w:t>据此函，签字代表宣布同意如下：</w:t>
      </w:r>
    </w:p>
    <w:p>
      <w:pPr>
        <w:spacing w:line="460" w:lineRule="exact"/>
        <w:ind w:left="480"/>
        <w:jc w:val="left"/>
        <w:rPr>
          <w:sz w:val="24"/>
        </w:rPr>
      </w:pPr>
      <w:r>
        <w:rPr>
          <w:sz w:val="24"/>
        </w:rPr>
        <w:t>1. 所附报价表中规定的应提供服务价格为</w:t>
      </w:r>
    </w:p>
    <w:p>
      <w:pPr>
        <w:spacing w:line="460" w:lineRule="exact"/>
        <w:ind w:left="480"/>
        <w:jc w:val="left"/>
        <w:rPr>
          <w:sz w:val="24"/>
        </w:rPr>
      </w:pPr>
      <w:r>
        <w:rPr>
          <w:sz w:val="24"/>
        </w:rPr>
        <w:t>第一包：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left="480"/>
        <w:jc w:val="left"/>
        <w:rPr>
          <w:sz w:val="24"/>
        </w:rPr>
      </w:pPr>
      <w:r>
        <w:rPr>
          <w:sz w:val="24"/>
        </w:rPr>
        <w:t>第二包：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left="472" w:firstLine="237"/>
        <w:jc w:val="left"/>
        <w:rPr>
          <w:sz w:val="24"/>
        </w:rPr>
      </w:pPr>
      <w:r>
        <w:rPr>
          <w:sz w:val="24"/>
        </w:rPr>
        <w:t>……</w:t>
      </w:r>
    </w:p>
    <w:p>
      <w:pPr>
        <w:spacing w:line="460" w:lineRule="exact"/>
        <w:ind w:firstLine="471"/>
        <w:rPr>
          <w:sz w:val="24"/>
        </w:rPr>
      </w:pPr>
      <w:r>
        <w:rPr>
          <w:sz w:val="24"/>
        </w:rPr>
        <w:t>2. 投标人已经对全部价格进行了认真核对，保证本报价真实、准确无误，并承担本价格所对应本项目的一切责任和义务。</w:t>
      </w:r>
    </w:p>
    <w:p>
      <w:pPr>
        <w:spacing w:line="460" w:lineRule="exact"/>
        <w:ind w:firstLine="471"/>
        <w:rPr>
          <w:sz w:val="24"/>
        </w:rPr>
      </w:pPr>
      <w:r>
        <w:rPr>
          <w:sz w:val="24"/>
        </w:rPr>
        <w:t>3. 两个阶段响应文件一一对应、不可分割，共同构成我方对本项目的所有承诺。</w:t>
      </w:r>
    </w:p>
    <w:p>
      <w:pPr>
        <w:spacing w:line="460" w:lineRule="exact"/>
        <w:ind w:firstLine="471"/>
        <w:rPr>
          <w:sz w:val="24"/>
        </w:rPr>
      </w:pPr>
    </w:p>
    <w:p>
      <w:pPr>
        <w:spacing w:line="460" w:lineRule="exact"/>
        <w:ind w:firstLine="471"/>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firstLine="471"/>
        <w:rPr>
          <w:sz w:val="24"/>
        </w:rPr>
      </w:pPr>
    </w:p>
    <w:p>
      <w:pPr>
        <w:spacing w:line="460" w:lineRule="exact"/>
        <w:rPr>
          <w:b/>
          <w:sz w:val="24"/>
        </w:rPr>
      </w:pPr>
      <w:r>
        <w:rPr>
          <w:b/>
          <w:sz w:val="24"/>
        </w:rPr>
        <w:br w:type="page"/>
      </w:r>
      <w:r>
        <w:rPr>
          <w:b/>
          <w:sz w:val="24"/>
        </w:rPr>
        <w:t>附件1</w:t>
      </w:r>
    </w:p>
    <w:p>
      <w:pPr>
        <w:tabs>
          <w:tab w:val="left" w:pos="3780"/>
          <w:tab w:val="left" w:pos="3960"/>
        </w:tabs>
        <w:spacing w:line="460" w:lineRule="exact"/>
        <w:jc w:val="center"/>
        <w:rPr>
          <w:b/>
          <w:sz w:val="24"/>
        </w:rPr>
      </w:pPr>
      <w:r>
        <w:rPr>
          <w:b/>
          <w:sz w:val="24"/>
        </w:rPr>
        <w:t>报价分项一览表</w:t>
      </w:r>
    </w:p>
    <w:p>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pPr>
        <w:spacing w:line="460" w:lineRule="exact"/>
        <w:rPr>
          <w:sz w:val="24"/>
        </w:rPr>
      </w:pPr>
    </w:p>
    <w:p>
      <w:pPr>
        <w:spacing w:line="460" w:lineRule="exact"/>
        <w:rPr>
          <w:b/>
          <w:sz w:val="24"/>
        </w:rPr>
      </w:pPr>
      <w:r>
        <w:rPr>
          <w:sz w:val="24"/>
        </w:rPr>
        <w:t xml:space="preserve">                                                     单位：元</w:t>
      </w:r>
    </w:p>
    <w:tbl>
      <w:tblPr>
        <w:tblStyle w:val="22"/>
        <w:tblW w:w="901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jc w:val="center"/>
        </w:trPr>
        <w:tc>
          <w:tcPr>
            <w:tcW w:w="878" w:type="dxa"/>
            <w:vAlign w:val="center"/>
          </w:tcPr>
          <w:p>
            <w:pPr>
              <w:widowControl/>
              <w:jc w:val="center"/>
              <w:rPr>
                <w:b/>
                <w:bCs/>
                <w:kern w:val="0"/>
                <w:sz w:val="24"/>
                <w:szCs w:val="24"/>
              </w:rPr>
            </w:pPr>
            <w:r>
              <w:rPr>
                <w:b/>
                <w:bCs/>
                <w:kern w:val="0"/>
                <w:sz w:val="24"/>
                <w:szCs w:val="24"/>
              </w:rPr>
              <w:t>项号</w:t>
            </w:r>
          </w:p>
        </w:tc>
        <w:tc>
          <w:tcPr>
            <w:tcW w:w="2349" w:type="dxa"/>
            <w:vAlign w:val="center"/>
          </w:tcPr>
          <w:p>
            <w:pPr>
              <w:widowControl/>
              <w:jc w:val="center"/>
              <w:rPr>
                <w:b/>
                <w:bCs/>
                <w:kern w:val="0"/>
                <w:sz w:val="24"/>
                <w:szCs w:val="24"/>
              </w:rPr>
            </w:pPr>
            <w:r>
              <w:rPr>
                <w:b/>
                <w:bCs/>
                <w:kern w:val="0"/>
                <w:sz w:val="24"/>
                <w:szCs w:val="24"/>
              </w:rPr>
              <w:t>服务名称</w:t>
            </w:r>
          </w:p>
        </w:tc>
        <w:tc>
          <w:tcPr>
            <w:tcW w:w="1701" w:type="dxa"/>
            <w:vAlign w:val="center"/>
          </w:tcPr>
          <w:p>
            <w:pPr>
              <w:widowControl/>
              <w:jc w:val="center"/>
              <w:rPr>
                <w:b/>
                <w:bCs/>
                <w:kern w:val="0"/>
                <w:sz w:val="24"/>
                <w:szCs w:val="24"/>
              </w:rPr>
            </w:pPr>
            <w:r>
              <w:rPr>
                <w:b/>
                <w:bCs/>
                <w:kern w:val="0"/>
                <w:sz w:val="24"/>
                <w:szCs w:val="24"/>
              </w:rPr>
              <w:t>总价</w:t>
            </w:r>
          </w:p>
        </w:tc>
        <w:tc>
          <w:tcPr>
            <w:tcW w:w="2238" w:type="dxa"/>
            <w:vAlign w:val="center"/>
          </w:tcPr>
          <w:p>
            <w:pPr>
              <w:widowControl/>
              <w:jc w:val="center"/>
              <w:rPr>
                <w:b/>
                <w:bCs/>
                <w:kern w:val="0"/>
                <w:sz w:val="24"/>
                <w:szCs w:val="24"/>
              </w:rPr>
            </w:pPr>
            <w:r>
              <w:rPr>
                <w:b/>
                <w:bCs/>
                <w:kern w:val="0"/>
                <w:sz w:val="24"/>
                <w:szCs w:val="24"/>
              </w:rPr>
              <w:t>数量</w:t>
            </w:r>
          </w:p>
        </w:tc>
        <w:tc>
          <w:tcPr>
            <w:tcW w:w="1848" w:type="dxa"/>
            <w:vAlign w:val="center"/>
          </w:tcPr>
          <w:p>
            <w:pPr>
              <w:widowControl/>
              <w:jc w:val="center"/>
              <w:rPr>
                <w:b/>
                <w:bCs/>
                <w:kern w:val="0"/>
                <w:sz w:val="24"/>
                <w:szCs w:val="24"/>
              </w:rPr>
            </w:pPr>
            <w:r>
              <w:rPr>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878" w:type="dxa"/>
            <w:vAlign w:val="center"/>
          </w:tcPr>
          <w:p>
            <w:pPr>
              <w:widowControl/>
              <w:jc w:val="center"/>
              <w:rPr>
                <w:kern w:val="0"/>
                <w:sz w:val="24"/>
                <w:szCs w:val="24"/>
              </w:rPr>
            </w:pPr>
            <w:r>
              <w:rPr>
                <w:kern w:val="0"/>
                <w:sz w:val="24"/>
                <w:szCs w:val="24"/>
              </w:rPr>
              <w:t>1</w:t>
            </w:r>
          </w:p>
        </w:tc>
        <w:tc>
          <w:tcPr>
            <w:tcW w:w="2349" w:type="dxa"/>
            <w:vAlign w:val="center"/>
          </w:tcPr>
          <w:p>
            <w:pPr>
              <w:widowControl/>
              <w:jc w:val="center"/>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sz w:val="24"/>
                <w:szCs w:val="24"/>
              </w:rPr>
            </w:pPr>
            <w:r>
              <w:rPr>
                <w:sz w:val="24"/>
                <w:szCs w:val="24"/>
              </w:rPr>
              <w:t>1项</w:t>
            </w: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9014" w:type="dxa"/>
            <w:gridSpan w:val="5"/>
            <w:vAlign w:val="center"/>
          </w:tcPr>
          <w:p>
            <w:pPr>
              <w:widowControl/>
              <w:jc w:val="left"/>
              <w:rPr>
                <w:kern w:val="0"/>
                <w:sz w:val="24"/>
                <w:szCs w:val="24"/>
              </w:rPr>
            </w:pPr>
            <w:r>
              <w:rPr>
                <w:kern w:val="0"/>
                <w:sz w:val="24"/>
                <w:szCs w:val="24"/>
              </w:rPr>
              <w:t>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b/>
                <w:sz w:val="24"/>
                <w:szCs w:val="24"/>
              </w:rPr>
            </w:pPr>
            <w:r>
              <w:rPr>
                <w:b/>
                <w:sz w:val="24"/>
                <w:szCs w:val="24"/>
              </w:rPr>
              <w:t>分项名称</w:t>
            </w:r>
          </w:p>
        </w:tc>
        <w:tc>
          <w:tcPr>
            <w:tcW w:w="1701" w:type="dxa"/>
            <w:vAlign w:val="center"/>
          </w:tcPr>
          <w:p>
            <w:pPr>
              <w:widowControl/>
              <w:jc w:val="center"/>
              <w:rPr>
                <w:b/>
                <w:kern w:val="0"/>
                <w:sz w:val="24"/>
                <w:szCs w:val="24"/>
              </w:rPr>
            </w:pPr>
            <w:r>
              <w:rPr>
                <w:b/>
                <w:kern w:val="0"/>
                <w:sz w:val="24"/>
                <w:szCs w:val="24"/>
              </w:rPr>
              <w:t>价格</w:t>
            </w:r>
          </w:p>
        </w:tc>
        <w:tc>
          <w:tcPr>
            <w:tcW w:w="2238" w:type="dxa"/>
            <w:vAlign w:val="center"/>
          </w:tcPr>
          <w:p>
            <w:pPr>
              <w:widowControl/>
              <w:jc w:val="center"/>
              <w:rPr>
                <w:b/>
                <w:kern w:val="0"/>
                <w:sz w:val="24"/>
                <w:szCs w:val="24"/>
              </w:rPr>
            </w:pPr>
            <w:r>
              <w:rPr>
                <w:b/>
                <w:kern w:val="0"/>
                <w:sz w:val="24"/>
                <w:szCs w:val="24"/>
              </w:rPr>
              <w:t>数量</w:t>
            </w:r>
          </w:p>
        </w:tc>
        <w:tc>
          <w:tcPr>
            <w:tcW w:w="1848" w:type="dxa"/>
            <w:vAlign w:val="center"/>
          </w:tcPr>
          <w:p>
            <w:pPr>
              <w:widowControl/>
              <w:jc w:val="center"/>
              <w:rPr>
                <w:b/>
                <w:bCs/>
                <w:kern w:val="0"/>
                <w:sz w:val="24"/>
                <w:szCs w:val="24"/>
              </w:rPr>
            </w:pPr>
            <w:r>
              <w:rPr>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r>
              <w:rPr>
                <w:sz w:val="24"/>
              </w:rPr>
              <w:t>……</w:t>
            </w: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ind w:firstLine="9" w:firstLineChars="4"/>
              <w:jc w:val="center"/>
              <w:rPr>
                <w:kern w:val="0"/>
                <w:sz w:val="24"/>
                <w:szCs w:val="24"/>
              </w:rPr>
            </w:pPr>
          </w:p>
        </w:tc>
        <w:tc>
          <w:tcPr>
            <w:tcW w:w="1848" w:type="dxa"/>
            <w:vAlign w:val="center"/>
          </w:tcPr>
          <w:p>
            <w:pPr>
              <w:widowControl/>
              <w:ind w:firstLine="9" w:firstLineChars="4"/>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center"/>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bl>
    <w:p>
      <w:pPr>
        <w:ind w:left="180"/>
        <w:rPr>
          <w:sz w:val="22"/>
          <w:szCs w:val="24"/>
        </w:rPr>
      </w:pPr>
      <w:r>
        <w:rPr>
          <w:sz w:val="22"/>
          <w:szCs w:val="24"/>
        </w:rPr>
        <w:t xml:space="preserve">注：1. 本表第一行填写本项目投标总价 </w:t>
      </w:r>
    </w:p>
    <w:p>
      <w:pPr>
        <w:ind w:left="180" w:firstLine="440" w:firstLineChars="200"/>
      </w:pPr>
      <w:r>
        <w:rPr>
          <w:sz w:val="22"/>
          <w:szCs w:val="24"/>
        </w:rPr>
        <w:t>2. 下面应填写分项价格及分项名称（分项名称可根据实际情况增减、修改），分项价格汇总应等于总价</w:t>
      </w:r>
    </w:p>
    <w:p>
      <w:pPr>
        <w:spacing w:line="460" w:lineRule="exact"/>
        <w:ind w:left="192" w:firstLine="3948" w:firstLineChars="1645"/>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b/>
          <w:sz w:val="24"/>
        </w:rPr>
      </w:pPr>
      <w:r>
        <w:rPr>
          <w:sz w:val="24"/>
        </w:rPr>
        <w:br w:type="page"/>
      </w:r>
      <w:r>
        <w:rPr>
          <w:b/>
          <w:sz w:val="24"/>
        </w:rPr>
        <w:t>附件2</w:t>
      </w:r>
    </w:p>
    <w:p>
      <w:pPr>
        <w:autoSpaceDN w:val="0"/>
        <w:spacing w:line="360" w:lineRule="auto"/>
        <w:jc w:val="center"/>
        <w:rPr>
          <w:b/>
          <w:bCs/>
          <w:sz w:val="24"/>
        </w:rPr>
      </w:pPr>
      <w:r>
        <w:rPr>
          <w:b/>
          <w:bCs/>
          <w:sz w:val="24"/>
        </w:rPr>
        <w:t>政府采购政策情况表</w:t>
      </w:r>
    </w:p>
    <w:p>
      <w:pPr>
        <w:spacing w:line="460" w:lineRule="exact"/>
        <w:jc w:val="center"/>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ind w:firstLine="7440" w:firstLineChars="3100"/>
        <w:rPr>
          <w:sz w:val="24"/>
        </w:rPr>
      </w:pPr>
    </w:p>
    <w:tbl>
      <w:tblPr>
        <w:tblStyle w:val="22"/>
        <w:tblW w:w="84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1491"/>
        <w:gridCol w:w="1521"/>
        <w:gridCol w:w="42"/>
        <w:gridCol w:w="1309"/>
        <w:gridCol w:w="1621"/>
        <w:gridCol w:w="14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jc w:val="center"/>
        </w:trPr>
        <w:tc>
          <w:tcPr>
            <w:tcW w:w="936" w:type="dxa"/>
            <w:vMerge w:val="restart"/>
            <w:shd w:val="clear" w:color="auto" w:fill="auto"/>
            <w:vAlign w:val="center"/>
          </w:tcPr>
          <w:p>
            <w:pPr>
              <w:pStyle w:val="69"/>
              <w:tabs>
                <w:tab w:val="left" w:pos="1260"/>
              </w:tabs>
              <w:spacing w:before="156" w:after="156"/>
              <w:jc w:val="center"/>
              <w:rPr>
                <w:rFonts w:eastAsiaTheme="minorEastAsia"/>
                <w:szCs w:val="21"/>
                <w:lang w:val="en-GB"/>
              </w:rPr>
            </w:pPr>
            <w:bookmarkStart w:id="8" w:name="OLE_LINK24"/>
            <w:bookmarkStart w:id="9" w:name="OLE_LINK23"/>
            <w:bookmarkStart w:id="10" w:name="OLE_LINK10"/>
            <w:bookmarkStart w:id="11" w:name="OLE_LINK25"/>
            <w:bookmarkStart w:id="12" w:name="OLE_LINK8"/>
            <w:bookmarkStart w:id="13" w:name="OLE_LINK19"/>
            <w:bookmarkStart w:id="14" w:name="OLE_LINK7"/>
            <w:bookmarkStart w:id="15" w:name="OLE_LINK9"/>
            <w:bookmarkStart w:id="16" w:name="OLE_LINK21"/>
            <w:bookmarkStart w:id="17" w:name="OLE_LINK17"/>
            <w:bookmarkStart w:id="18" w:name="OLE_LINK22"/>
            <w:bookmarkStart w:id="19" w:name="OLE_LINK15"/>
            <w:bookmarkStart w:id="20" w:name="OLE_LINK16"/>
            <w:bookmarkStart w:id="21" w:name="OLE_LINK20"/>
            <w:bookmarkStart w:id="22" w:name="OLE_LINK11"/>
            <w:bookmarkStart w:id="23" w:name="OLE_LINK18"/>
            <w:bookmarkStart w:id="24" w:name="OLE_LINK12"/>
            <w:r>
              <w:rPr>
                <w:rFonts w:eastAsiaTheme="minorEastAsia"/>
                <w:szCs w:val="21"/>
                <w:lang w:val="en-GB"/>
              </w:rPr>
              <w:t>节能产品（非强制节能产品）</w:t>
            </w:r>
          </w:p>
        </w:tc>
        <w:tc>
          <w:tcPr>
            <w:tcW w:w="149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63" w:type="dxa"/>
            <w:gridSpan w:val="2"/>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09"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1495"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6"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8"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1495" w:type="dxa"/>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1"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0" w:hRule="atLeast"/>
          <w:jc w:val="center"/>
        </w:trPr>
        <w:tc>
          <w:tcPr>
            <w:tcW w:w="936" w:type="dxa"/>
            <w:vMerge w:val="restart"/>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149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51" w:type="dxa"/>
            <w:gridSpan w:val="2"/>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1495"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1495" w:type="dxa"/>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pPr>
        <w:spacing w:line="360" w:lineRule="auto"/>
        <w:ind w:firstLine="480" w:firstLineChars="200"/>
        <w:outlineLvl w:val="0"/>
        <w:rPr>
          <w:sz w:val="24"/>
        </w:rPr>
      </w:pPr>
      <w:r>
        <w:rPr>
          <w:sz w:val="24"/>
        </w:rPr>
        <w:t>填报要求：</w:t>
      </w:r>
    </w:p>
    <w:p>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pPr>
        <w:spacing w:line="360" w:lineRule="auto"/>
        <w:ind w:firstLine="4080" w:firstLineChars="1700"/>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Microsoft JhengHei Light">
    <w:panose1 w:val="020B0304030504040204"/>
    <w:charset w:val="88"/>
    <w:family w:val="swiss"/>
    <w:pitch w:val="default"/>
    <w:sig w:usb0="800002A7" w:usb1="28CF4400" w:usb2="00000016" w:usb3="00000000" w:csb0="00100009"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宋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5F6C03"/>
    <w:multiLevelType w:val="singleLevel"/>
    <w:tmpl w:val="8D5F6C03"/>
    <w:lvl w:ilvl="0" w:tentative="0">
      <w:start w:val="7"/>
      <w:numFmt w:val="decimal"/>
      <w:suff w:val="nothing"/>
      <w:lvlText w:val="%1、"/>
      <w:lvlJc w:val="left"/>
    </w:lvl>
  </w:abstractNum>
  <w:abstractNum w:abstractNumId="1">
    <w:nsid w:val="FD4EF934"/>
    <w:multiLevelType w:val="singleLevel"/>
    <w:tmpl w:val="FD4EF934"/>
    <w:lvl w:ilvl="0" w:tentative="0">
      <w:start w:val="1"/>
      <w:numFmt w:val="decimal"/>
      <w:suff w:val="nothing"/>
      <w:lvlText w:val="（%1）"/>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2F000003"/>
    <w:multiLevelType w:val="multilevel"/>
    <w:tmpl w:val="2F000003"/>
    <w:lvl w:ilvl="0" w:tentative="0">
      <w:start w:val="1"/>
      <w:numFmt w:val="upperLetter"/>
      <w:lvlText w:val="%1."/>
      <w:lvlJc w:val="left"/>
      <w:pPr>
        <w:ind w:left="425" w:hanging="425"/>
      </w:pPr>
      <w:rPr>
        <w:rFonts w:hint="default"/>
      </w:rPr>
    </w:lvl>
    <w:lvl w:ilvl="1" w:tentative="0">
      <w:start w:val="1"/>
      <w:numFmt w:val="upperLetter"/>
      <w:lvlText w:val="%1."/>
      <w:lvlJc w:val="left"/>
      <w:pPr>
        <w:ind w:left="425" w:hanging="425"/>
      </w:pPr>
      <w:rPr>
        <w:rFonts w:hint="default"/>
      </w:rPr>
    </w:lvl>
    <w:lvl w:ilvl="2" w:tentative="0">
      <w:start w:val="1"/>
      <w:numFmt w:val="upperLetter"/>
      <w:lvlText w:val="%1."/>
      <w:lvlJc w:val="left"/>
      <w:pPr>
        <w:ind w:left="425" w:hanging="425"/>
      </w:pPr>
      <w:rPr>
        <w:rFonts w:hint="default"/>
      </w:rPr>
    </w:lvl>
    <w:lvl w:ilvl="3" w:tentative="0">
      <w:start w:val="1"/>
      <w:numFmt w:val="upperLetter"/>
      <w:lvlText w:val="%1."/>
      <w:lvlJc w:val="left"/>
      <w:pPr>
        <w:ind w:left="425" w:hanging="425"/>
      </w:pPr>
      <w:rPr>
        <w:rFonts w:hint="default"/>
      </w:rPr>
    </w:lvl>
    <w:lvl w:ilvl="4" w:tentative="0">
      <w:start w:val="1"/>
      <w:numFmt w:val="upperLetter"/>
      <w:lvlText w:val="%1."/>
      <w:lvlJc w:val="left"/>
      <w:pPr>
        <w:ind w:left="425" w:hanging="425"/>
      </w:pPr>
      <w:rPr>
        <w:rFonts w:hint="default"/>
      </w:rPr>
    </w:lvl>
    <w:lvl w:ilvl="5" w:tentative="0">
      <w:start w:val="1"/>
      <w:numFmt w:val="upperLetter"/>
      <w:lvlText w:val="%1."/>
      <w:lvlJc w:val="left"/>
      <w:pPr>
        <w:ind w:left="425" w:hanging="425"/>
      </w:pPr>
      <w:rPr>
        <w:rFonts w:hint="default"/>
      </w:rPr>
    </w:lvl>
    <w:lvl w:ilvl="6" w:tentative="0">
      <w:start w:val="1"/>
      <w:numFmt w:val="upperLetter"/>
      <w:lvlText w:val="%1."/>
      <w:lvlJc w:val="left"/>
      <w:pPr>
        <w:ind w:left="425" w:hanging="425"/>
      </w:pPr>
      <w:rPr>
        <w:rFonts w:hint="default"/>
      </w:rPr>
    </w:lvl>
    <w:lvl w:ilvl="7" w:tentative="0">
      <w:start w:val="1"/>
      <w:numFmt w:val="upperLetter"/>
      <w:lvlText w:val="%1."/>
      <w:lvlJc w:val="left"/>
      <w:pPr>
        <w:ind w:left="425" w:hanging="425"/>
      </w:pPr>
      <w:rPr>
        <w:rFonts w:hint="default"/>
      </w:rPr>
    </w:lvl>
    <w:lvl w:ilvl="8" w:tentative="0">
      <w:start w:val="1"/>
      <w:numFmt w:val="upperLetter"/>
      <w:lvlText w:val="%1."/>
      <w:lvlJc w:val="left"/>
      <w:pPr>
        <w:ind w:left="425" w:hanging="425"/>
      </w:pPr>
      <w:rPr>
        <w:rFonts w:hint="default"/>
      </w:rPr>
    </w:lvl>
  </w:abstractNum>
  <w:abstractNum w:abstractNumId="4">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E267BD"/>
    <w:rsid w:val="02E34F5D"/>
    <w:rsid w:val="03C1678D"/>
    <w:rsid w:val="06773B7C"/>
    <w:rsid w:val="0B2016B4"/>
    <w:rsid w:val="0C183835"/>
    <w:rsid w:val="0C9722BA"/>
    <w:rsid w:val="0EB9323F"/>
    <w:rsid w:val="17E93515"/>
    <w:rsid w:val="186D6391"/>
    <w:rsid w:val="1AD93ECF"/>
    <w:rsid w:val="1D101787"/>
    <w:rsid w:val="1E3A15EA"/>
    <w:rsid w:val="1ECB6EF6"/>
    <w:rsid w:val="1FF20BD1"/>
    <w:rsid w:val="23B07CB4"/>
    <w:rsid w:val="29D77FA6"/>
    <w:rsid w:val="2D395D32"/>
    <w:rsid w:val="2D635552"/>
    <w:rsid w:val="361B3472"/>
    <w:rsid w:val="4079037F"/>
    <w:rsid w:val="47DF6516"/>
    <w:rsid w:val="4F695F0D"/>
    <w:rsid w:val="50397832"/>
    <w:rsid w:val="56E018B5"/>
    <w:rsid w:val="57DB623E"/>
    <w:rsid w:val="5E89524F"/>
    <w:rsid w:val="5FB30D0C"/>
    <w:rsid w:val="62A05941"/>
    <w:rsid w:val="64062798"/>
    <w:rsid w:val="65732BC0"/>
    <w:rsid w:val="6686221C"/>
    <w:rsid w:val="69707994"/>
    <w:rsid w:val="6A4F59AD"/>
    <w:rsid w:val="6DFF17F5"/>
    <w:rsid w:val="79291D29"/>
    <w:rsid w:val="7D8E2FD9"/>
    <w:rsid w:val="7E1228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6">
    <w:name w:val="Default Paragraph Font"/>
    <w:semiHidden/>
    <w:unhideWhenUsed/>
    <w:qFormat/>
    <w:uiPriority w:val="1"/>
  </w:style>
  <w:style w:type="table" w:default="1" w:styleId="22">
    <w:name w:val="Normal Table"/>
    <w:semiHidden/>
    <w:unhideWhenUsed/>
    <w:qFormat/>
    <w:uiPriority w:val="99"/>
    <w:tblPr>
      <w:tblLayout w:type="fixed"/>
      <w:tblCellMar>
        <w:top w:w="0" w:type="dxa"/>
        <w:left w:w="108" w:type="dxa"/>
        <w:bottom w:w="0" w:type="dxa"/>
        <w:right w:w="108" w:type="dxa"/>
      </w:tblCellMar>
    </w:tblPr>
  </w:style>
  <w:style w:type="paragraph" w:styleId="3">
    <w:name w:val="annotation subject"/>
    <w:basedOn w:val="4"/>
    <w:next w:val="4"/>
    <w:link w:val="75"/>
    <w:semiHidden/>
    <w:unhideWhenUsed/>
    <w:qFormat/>
    <w:uiPriority w:val="99"/>
    <w:rPr>
      <w:b/>
      <w:bCs/>
    </w:rPr>
  </w:style>
  <w:style w:type="paragraph" w:styleId="4">
    <w:name w:val="annotation text"/>
    <w:basedOn w:val="1"/>
    <w:link w:val="72"/>
    <w:semiHidden/>
    <w:unhideWhenUsed/>
    <w:qFormat/>
    <w:uiPriority w:val="99"/>
    <w:pPr>
      <w:jc w:val="left"/>
    </w:pPr>
  </w:style>
  <w:style w:type="paragraph" w:styleId="5">
    <w:name w:val="Normal Indent"/>
    <w:basedOn w:val="1"/>
    <w:qFormat/>
    <w:uiPriority w:val="0"/>
    <w:pPr>
      <w:ind w:firstLine="420"/>
    </w:pPr>
  </w:style>
  <w:style w:type="paragraph" w:styleId="6">
    <w:name w:val="Body Text"/>
    <w:basedOn w:val="1"/>
    <w:link w:val="73"/>
    <w:qFormat/>
    <w:uiPriority w:val="0"/>
    <w:pPr>
      <w:spacing w:after="120"/>
    </w:pPr>
  </w:style>
  <w:style w:type="paragraph" w:styleId="7">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7"/>
    <w:qFormat/>
    <w:uiPriority w:val="99"/>
    <w:rPr>
      <w:sz w:val="18"/>
      <w:szCs w:val="18"/>
      <w:lang w:val="zh-CN" w:eastAsia="zh-CN"/>
    </w:rPr>
  </w:style>
  <w:style w:type="paragraph" w:styleId="9">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1"/>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7">
    <w:name w:val="Strong"/>
    <w:qFormat/>
    <w:uiPriority w:val="22"/>
    <w:rPr>
      <w:b/>
      <w:bCs/>
    </w:rPr>
  </w:style>
  <w:style w:type="character" w:styleId="18">
    <w:name w:val="page number"/>
    <w:basedOn w:val="16"/>
    <w:qFormat/>
    <w:uiPriority w:val="0"/>
  </w:style>
  <w:style w:type="character" w:styleId="19">
    <w:name w:val="Emphasis"/>
    <w:qFormat/>
    <w:uiPriority w:val="20"/>
    <w:rPr>
      <w:i/>
      <w:iCs/>
    </w:rPr>
  </w:style>
  <w:style w:type="character" w:styleId="20">
    <w:name w:val="Hyperlink"/>
    <w:qFormat/>
    <w:uiPriority w:val="0"/>
    <w:rPr>
      <w:rFonts w:hint="default" w:ascii="ˎ̥" w:hAnsi="ˎ̥"/>
      <w:color w:val="3E3E3E"/>
      <w:sz w:val="24"/>
      <w:szCs w:val="24"/>
      <w:u w:val="none"/>
    </w:rPr>
  </w:style>
  <w:style w:type="character" w:styleId="21">
    <w:name w:val="annotation reference"/>
    <w:semiHidden/>
    <w:unhideWhenUsed/>
    <w:qFormat/>
    <w:uiPriority w:val="99"/>
    <w:rPr>
      <w:sz w:val="21"/>
      <w:szCs w:val="21"/>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10"/>
    <w:qFormat/>
    <w:uiPriority w:val="99"/>
    <w:rPr>
      <w:rFonts w:ascii="Times New Roman" w:hAnsi="Times New Roman" w:eastAsia="宋体" w:cs="Times New Roman"/>
      <w:sz w:val="18"/>
      <w:szCs w:val="18"/>
    </w:rPr>
  </w:style>
  <w:style w:type="character" w:customStyle="1" w:styleId="26">
    <w:name w:val="页脚 Char"/>
    <w:link w:val="9"/>
    <w:qFormat/>
    <w:uiPriority w:val="99"/>
    <w:rPr>
      <w:rFonts w:ascii="Times New Roman" w:hAnsi="Times New Roman" w:eastAsia="宋体" w:cs="Times New Roman"/>
      <w:sz w:val="18"/>
      <w:szCs w:val="18"/>
    </w:rPr>
  </w:style>
  <w:style w:type="character" w:customStyle="1" w:styleId="27">
    <w:name w:val="批注框文本 Char"/>
    <w:link w:val="8"/>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2"/>
    <w:qFormat/>
    <w:uiPriority w:val="11"/>
    <w:rPr>
      <w:rFonts w:ascii="Cambria" w:hAnsi="Cambria" w:cs="Times New Roman"/>
      <w:b/>
      <w:bCs/>
      <w:kern w:val="28"/>
      <w:sz w:val="32"/>
      <w:szCs w:val="32"/>
    </w:rPr>
  </w:style>
  <w:style w:type="character" w:customStyle="1" w:styleId="32">
    <w:name w:val="正文文本缩进 2 Char"/>
    <w:link w:val="7"/>
    <w:qFormat/>
    <w:uiPriority w:val="0"/>
    <w:rPr>
      <w:rFonts w:ascii="宋体" w:hAnsi="Times New Roman"/>
      <w:kern w:val="2"/>
      <w:sz w:val="28"/>
    </w:rPr>
  </w:style>
  <w:style w:type="character" w:customStyle="1" w:styleId="33">
    <w:name w:val="正文文本缩进 3 Char"/>
    <w:link w:val="13"/>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6"/>
    <w:link w:val="14"/>
    <w:semiHidden/>
    <w:qFormat/>
    <w:uiPriority w:val="99"/>
    <w:rPr>
      <w:rFonts w:ascii="Times New Roman" w:hAnsi="Times New Roman"/>
      <w:kern w:val="2"/>
      <w:sz w:val="21"/>
    </w:rPr>
  </w:style>
  <w:style w:type="character" w:customStyle="1" w:styleId="72">
    <w:name w:val="批注文字 Char"/>
    <w:basedOn w:val="16"/>
    <w:link w:val="4"/>
    <w:semiHidden/>
    <w:qFormat/>
    <w:uiPriority w:val="99"/>
    <w:rPr>
      <w:rFonts w:ascii="Times New Roman" w:hAnsi="Times New Roman"/>
      <w:kern w:val="2"/>
      <w:sz w:val="21"/>
    </w:rPr>
  </w:style>
  <w:style w:type="character" w:customStyle="1" w:styleId="73">
    <w:name w:val="正文文本 Char"/>
    <w:basedOn w:val="16"/>
    <w:link w:val="6"/>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3"/>
    <w:semiHidden/>
    <w:qFormat/>
    <w:uiPriority w:val="99"/>
    <w:rPr>
      <w:rFonts w:ascii="Times New Roman" w:hAnsi="Times New Roman"/>
      <w:b/>
      <w:bCs/>
      <w:kern w:val="2"/>
      <w:sz w:val="21"/>
    </w:rPr>
  </w:style>
  <w:style w:type="paragraph" w:customStyle="1" w:styleId="76">
    <w:name w:val="首行缩进"/>
    <w:basedOn w:val="1"/>
    <w:qFormat/>
    <w:uiPriority w:val="0"/>
    <w:pPr>
      <w:spacing w:line="360" w:lineRule="auto"/>
      <w:ind w:firstLine="480" w:firstLineChars="200"/>
      <w:jc w:val="left"/>
    </w:pPr>
    <w:rPr>
      <w:rFonts w:eastAsia="Microsoft JhengHei Light"/>
      <w:color w:val="000000"/>
      <w:kern w:val="0"/>
      <w:sz w:val="24"/>
      <w:szCs w:val="24"/>
      <w:lang w:val="zh-CN"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81D5AE-97B7-4D87-B133-0F607E2DDE29}">
  <ds:schemaRefs/>
</ds:datastoreItem>
</file>

<file path=docProps/app.xml><?xml version="1.0" encoding="utf-8"?>
<Properties xmlns="http://schemas.openxmlformats.org/officeDocument/2006/extended-properties" xmlns:vt="http://schemas.openxmlformats.org/officeDocument/2006/docPropsVTypes">
  <Template>Normal</Template>
  <Pages>61</Pages>
  <Words>7314</Words>
  <Characters>8466</Characters>
  <Lines>207</Lines>
  <Paragraphs>58</Paragraphs>
  <TotalTime>21</TotalTime>
  <ScaleCrop>false</ScaleCrop>
  <LinksUpToDate>false</LinksUpToDate>
  <CharactersWithSpaces>8611</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市公共资源交易中心-政采服务处F</cp:lastModifiedBy>
  <cp:lastPrinted>2026-07-02T03:10:00Z</cp:lastPrinted>
  <dcterms:modified xsi:type="dcterms:W3CDTF">2026-07-03T01:02:45Z</dcterms:modified>
  <dc:title>2015年天津市政府债券</dc:title>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KSOTemplateDocerSaveRecord">
    <vt:lpwstr>eyJoZGlkIjoiZDg4MDhmZGQ5YjM5OThhM2U0YTBhYzczYjQ4MDdjMjYiLCJ1c2VySWQiOiI2MzI3ODkwMzQifQ==</vt:lpwstr>
  </property>
  <property fmtid="{D5CDD505-2E9C-101B-9397-08002B2CF9AE}" pid="4" name="ICV">
    <vt:lpwstr>0D6340D7E0C349EF92B0E7EE71EAD8E4_12</vt:lpwstr>
  </property>
</Properties>
</file>