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8B464">
      <w:pPr>
        <w:pStyle w:val="7"/>
        <w:spacing w:before="0"/>
      </w:pPr>
      <w:r>
        <w:rPr>
          <w:rFonts w:hint="eastAsia"/>
        </w:rPr>
        <w:t>项目需求书（货物</w:t>
      </w:r>
      <w:r>
        <w:t>-</w:t>
      </w:r>
      <w:r>
        <w:rPr>
          <w:rFonts w:hint="eastAsia"/>
        </w:rPr>
        <w:t>通用类）</w:t>
      </w:r>
    </w:p>
    <w:p w14:paraId="34FD2603">
      <w:pPr>
        <w:spacing w:line="360" w:lineRule="auto"/>
        <w:jc w:val="center"/>
        <w:rPr>
          <w:b/>
          <w:bCs/>
          <w:sz w:val="22"/>
          <w:szCs w:val="22"/>
        </w:rPr>
      </w:pPr>
      <w:r>
        <w:rPr>
          <w:rFonts w:hint="eastAsia"/>
          <w:b/>
          <w:bCs/>
          <w:sz w:val="22"/>
          <w:szCs w:val="22"/>
        </w:rPr>
        <w:t>是否专门面向中小企业采购（否   ）/是否专门面向小微企业采购（ 否</w:t>
      </w:r>
      <w:r>
        <w:rPr>
          <w:b/>
          <w:bCs/>
          <w:sz w:val="22"/>
          <w:szCs w:val="22"/>
        </w:rPr>
        <w:t xml:space="preserve"> </w:t>
      </w:r>
      <w:r>
        <w:rPr>
          <w:rFonts w:hint="eastAsia"/>
          <w:b/>
          <w:bCs/>
          <w:sz w:val="22"/>
          <w:szCs w:val="22"/>
        </w:rPr>
        <w:t>）/是否进口产品 （否  ）</w:t>
      </w:r>
    </w:p>
    <w:p w14:paraId="6EA81814">
      <w:pPr>
        <w:spacing w:line="360" w:lineRule="auto"/>
        <w:ind w:firstLine="482" w:firstLineChars="200"/>
        <w:rPr>
          <w:rFonts w:hint="eastAsia" w:ascii="宋体" w:hAnsi="宋体"/>
          <w:b/>
          <w:sz w:val="24"/>
        </w:rPr>
      </w:pPr>
      <w:r>
        <w:rPr>
          <w:rFonts w:hint="eastAsia" w:ascii="宋体" w:hAnsi="宋体"/>
          <w:b/>
          <w:sz w:val="24"/>
        </w:rPr>
        <w:t>一、项目背景</w:t>
      </w:r>
    </w:p>
    <w:p w14:paraId="41B0B30C">
      <w:pPr>
        <w:spacing w:line="360" w:lineRule="auto"/>
        <w:ind w:firstLine="480" w:firstLineChars="200"/>
        <w:rPr>
          <w:rFonts w:hint="eastAsia" w:ascii="宋体" w:hAnsi="宋体"/>
          <w:sz w:val="24"/>
        </w:rPr>
      </w:pPr>
      <w:r>
        <w:rPr>
          <w:rFonts w:hint="eastAsia" w:ascii="宋体" w:hAnsi="宋体"/>
          <w:sz w:val="24"/>
        </w:rPr>
        <w:t xml:space="preserve">1. </w:t>
      </w:r>
      <w:r>
        <w:rPr>
          <w:rFonts w:ascii="宋体" w:hAnsi="宋体"/>
          <w:sz w:val="24"/>
        </w:rPr>
        <w:t>项目名称：</w:t>
      </w:r>
      <w:bookmarkStart w:id="0" w:name="_Hlk137655510"/>
      <w:bookmarkStart w:id="1" w:name="OLE_LINK1"/>
      <w:r>
        <w:rPr>
          <w:rFonts w:hint="eastAsia" w:ascii="宋体" w:hAnsi="宋体"/>
          <w:sz w:val="24"/>
        </w:rPr>
        <w:t>天津中医药大学</w:t>
      </w:r>
      <w:bookmarkEnd w:id="0"/>
      <w:bookmarkEnd w:id="1"/>
      <w:r>
        <w:rPr>
          <w:rFonts w:hint="eastAsia" w:ascii="宋体" w:hAnsi="宋体"/>
          <w:sz w:val="24"/>
        </w:rPr>
        <w:t>负载均衡设备采购项目</w:t>
      </w:r>
    </w:p>
    <w:p w14:paraId="32D1AFE6">
      <w:pPr>
        <w:spacing w:line="360" w:lineRule="auto"/>
        <w:ind w:firstLine="480" w:firstLineChars="200"/>
        <w:rPr>
          <w:rFonts w:hint="eastAsia" w:ascii="宋体" w:hAnsi="宋体"/>
          <w:sz w:val="24"/>
        </w:rPr>
      </w:pPr>
      <w:r>
        <w:rPr>
          <w:rFonts w:hint="eastAsia" w:ascii="宋体" w:hAnsi="宋体"/>
          <w:sz w:val="24"/>
        </w:rPr>
        <w:t>2. 项目背景：</w:t>
      </w:r>
    </w:p>
    <w:p w14:paraId="3486E53E">
      <w:pPr>
        <w:spacing w:line="360" w:lineRule="auto"/>
        <w:ind w:firstLine="480" w:firstLineChars="200"/>
        <w:rPr>
          <w:rFonts w:hint="eastAsia" w:ascii="宋体" w:hAnsi="宋体" w:cs="宋体"/>
          <w:sz w:val="24"/>
        </w:rPr>
      </w:pPr>
      <w:r>
        <w:rPr>
          <w:rFonts w:hint="eastAsia" w:ascii="宋体" w:hAnsi="宋体" w:cs="宋体"/>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3155CA8B">
      <w:pPr>
        <w:spacing w:line="360" w:lineRule="auto"/>
        <w:ind w:firstLine="480" w:firstLineChars="200"/>
        <w:rPr>
          <w:rFonts w:hint="eastAsia" w:ascii="宋体" w:hAnsi="宋体" w:cs="宋体"/>
          <w:sz w:val="24"/>
        </w:rPr>
      </w:pPr>
      <w:r>
        <w:rPr>
          <w:rFonts w:hint="eastAsia" w:ascii="宋体" w:hAnsi="宋体" w:cs="宋体"/>
          <w:sz w:val="24"/>
        </w:rPr>
        <w:t>我校出口有3条运营商专线和1条教育网专线，校园活跃用户居多，访问的各类应用错综复杂，应针对不同类型的应用进行自动化出口选择，用以实现快速响应式业务访问。因此需要采购两台负载均衡设备对出口链路实现流量的智能分配与负载分担，提高网络出口的利用率，保障我校师生的正常教学和生活的使用，同时保障我校各类业务的稳定运行。</w:t>
      </w:r>
    </w:p>
    <w:p w14:paraId="66C12D38">
      <w:pPr>
        <w:spacing w:line="360" w:lineRule="auto"/>
        <w:ind w:firstLine="480" w:firstLineChars="200"/>
        <w:rPr>
          <w:rFonts w:hint="eastAsia" w:ascii="宋体" w:hAnsi="宋体"/>
          <w:sz w:val="24"/>
        </w:rPr>
      </w:pPr>
      <w:r>
        <w:rPr>
          <w:rFonts w:hint="eastAsia" w:ascii="宋体" w:hAnsi="宋体" w:cs="宋体"/>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434814FB">
      <w:pPr>
        <w:spacing w:line="360" w:lineRule="auto"/>
        <w:ind w:firstLine="482" w:firstLineChars="200"/>
        <w:rPr>
          <w:b/>
          <w:sz w:val="24"/>
          <w:highlight w:val="none"/>
        </w:rPr>
      </w:pPr>
      <w:r>
        <w:rPr>
          <w:b/>
          <w:sz w:val="24"/>
          <w:highlight w:val="none"/>
        </w:rPr>
        <w:t>二、项目预算</w:t>
      </w:r>
    </w:p>
    <w:p w14:paraId="3F59BCE5">
      <w:pPr>
        <w:spacing w:line="360" w:lineRule="auto"/>
        <w:ind w:firstLine="480" w:firstLineChars="200"/>
        <w:rPr>
          <w:rFonts w:hint="eastAsia" w:ascii="宋体" w:hAnsi="宋体" w:cs="宋体"/>
          <w:sz w:val="24"/>
          <w:highlight w:val="none"/>
        </w:rPr>
      </w:pPr>
      <w:r>
        <w:rPr>
          <w:rFonts w:hint="eastAsia" w:ascii="宋体" w:hAnsi="宋体" w:cs="宋体"/>
          <w:sz w:val="24"/>
          <w:highlight w:val="none"/>
        </w:rPr>
        <w:t xml:space="preserve">项目预算：  </w:t>
      </w:r>
      <w:r>
        <w:rPr>
          <w:rFonts w:hint="eastAsia" w:ascii="宋体" w:hAnsi="宋体" w:cs="宋体"/>
          <w:sz w:val="24"/>
          <w:highlight w:val="none"/>
          <w:lang w:val="en-US" w:eastAsia="zh-CN"/>
        </w:rPr>
        <w:t>60</w:t>
      </w:r>
      <w:r>
        <w:rPr>
          <w:rFonts w:hint="eastAsia" w:ascii="宋体" w:hAnsi="宋体" w:cs="宋体"/>
          <w:sz w:val="24"/>
          <w:highlight w:val="none"/>
        </w:rPr>
        <w:t xml:space="preserve"> 万元；</w:t>
      </w:r>
    </w:p>
    <w:p w14:paraId="70B0839E">
      <w:pPr>
        <w:spacing w:line="360" w:lineRule="auto"/>
        <w:ind w:firstLine="482" w:firstLineChars="200"/>
        <w:rPr>
          <w:rFonts w:hint="eastAsia" w:ascii="宋体" w:hAnsi="宋体"/>
          <w:b/>
          <w:sz w:val="24"/>
        </w:rPr>
      </w:pPr>
      <w:r>
        <w:rPr>
          <w:rFonts w:hint="eastAsia" w:ascii="宋体" w:hAnsi="宋体"/>
          <w:b/>
          <w:sz w:val="24"/>
        </w:rPr>
        <w:t>三、资格要求</w:t>
      </w:r>
    </w:p>
    <w:p w14:paraId="3EB629DA">
      <w:pPr>
        <w:spacing w:line="360" w:lineRule="auto"/>
        <w:ind w:firstLine="480" w:firstLineChars="200"/>
        <w:rPr>
          <w:rFonts w:hint="eastAsia"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14:paraId="6D7067EF">
      <w:pPr>
        <w:spacing w:line="360" w:lineRule="auto"/>
        <w:ind w:firstLine="480" w:firstLineChars="200"/>
        <w:rPr>
          <w:sz w:val="24"/>
        </w:rPr>
      </w:pPr>
      <w:r>
        <w:rPr>
          <w:rFonts w:hint="eastAsia"/>
          <w:sz w:val="24"/>
        </w:rPr>
        <w:t>1、营业执照副本或事业单位法人证书或民办非企业单位登记证书或社会团体法人登记证书或基金会法人登记证书；</w:t>
      </w:r>
    </w:p>
    <w:p w14:paraId="0C503091">
      <w:pPr>
        <w:spacing w:line="360" w:lineRule="auto"/>
        <w:ind w:firstLine="480" w:firstLineChars="200"/>
        <w:rPr>
          <w:sz w:val="24"/>
        </w:rPr>
      </w:pPr>
      <w:r>
        <w:rPr>
          <w:rFonts w:hint="eastAsia"/>
          <w:sz w:val="24"/>
        </w:rPr>
        <w:t>2、投标人须提供经会计师事务所审计的2023年度或</w:t>
      </w:r>
      <w:r>
        <w:rPr>
          <w:sz w:val="24"/>
        </w:rPr>
        <w:t>20</w:t>
      </w:r>
      <w:r>
        <w:rPr>
          <w:rFonts w:hint="eastAsia"/>
          <w:sz w:val="24"/>
        </w:rPr>
        <w:t>24年度财务报告或开标前一个月内银行出具的资信证明；</w:t>
      </w:r>
    </w:p>
    <w:p w14:paraId="7B63DE26">
      <w:pPr>
        <w:spacing w:line="360" w:lineRule="auto"/>
        <w:ind w:firstLine="480" w:firstLineChars="200"/>
        <w:rPr>
          <w:sz w:val="24"/>
        </w:rPr>
      </w:pPr>
      <w:r>
        <w:rPr>
          <w:rFonts w:hint="eastAsia"/>
          <w:sz w:val="24"/>
        </w:rPr>
        <w:t>3、投标人须提供2025年度任一月份依法缴纳税收和社会保障资金的记录；</w:t>
      </w:r>
    </w:p>
    <w:p w14:paraId="414E4FD7">
      <w:pPr>
        <w:spacing w:line="360" w:lineRule="auto"/>
        <w:ind w:firstLine="480" w:firstLineChars="200"/>
        <w:rPr>
          <w:sz w:val="24"/>
        </w:rPr>
      </w:pPr>
      <w:r>
        <w:rPr>
          <w:rFonts w:hint="eastAsia"/>
          <w:sz w:val="24"/>
        </w:rPr>
        <w:t>4、投标人须提供投标截止日前3年在经营活动中没有重大违法记录的书面声明（截至开标日成立不足3年的供应商可提供自成立以来无重大违法记录的书面声明）；</w:t>
      </w:r>
    </w:p>
    <w:p w14:paraId="7459C4A4">
      <w:pPr>
        <w:spacing w:line="360" w:lineRule="auto"/>
        <w:ind w:firstLine="480" w:firstLineChars="200"/>
        <w:rPr>
          <w:sz w:val="24"/>
        </w:rPr>
      </w:pPr>
      <w:r>
        <w:rPr>
          <w:rFonts w:hint="eastAsia"/>
          <w:sz w:val="24"/>
        </w:rPr>
        <w:t>5、投标人若为法定代表人投标，须提供法定代表人身份证明书（须加盖投标单位公章）和法定代表人身份证原件；投标人若为投标人代表投标，须提供法定代表人授权书（须由法定代表人签字或盖章）和投标人代表身份证原件；</w:t>
      </w:r>
    </w:p>
    <w:p w14:paraId="32D9CA1B">
      <w:pPr>
        <w:spacing w:line="360" w:lineRule="auto"/>
        <w:ind w:firstLine="480" w:firstLineChars="200"/>
        <w:rPr>
          <w:sz w:val="24"/>
        </w:rPr>
      </w:pPr>
      <w:r>
        <w:rPr>
          <w:rFonts w:hint="eastAsia"/>
          <w:sz w:val="24"/>
        </w:rPr>
        <w:t>（二）投标人须具备《中华人民共和国政府采购法》第二十二条第一款规定的条件。</w:t>
      </w:r>
    </w:p>
    <w:p w14:paraId="682B3177">
      <w:pPr>
        <w:spacing w:line="360" w:lineRule="auto"/>
        <w:ind w:firstLine="480" w:firstLineChars="200"/>
        <w:rPr>
          <w:sz w:val="24"/>
        </w:rPr>
      </w:pPr>
      <w:r>
        <w:rPr>
          <w:rFonts w:hint="eastAsia"/>
          <w:sz w:val="24"/>
        </w:rPr>
        <w:t>1、具有独立承担民事责任的能力；</w:t>
      </w:r>
    </w:p>
    <w:p w14:paraId="5C15A341">
      <w:pPr>
        <w:spacing w:line="360" w:lineRule="auto"/>
        <w:ind w:firstLine="480" w:firstLineChars="200"/>
        <w:rPr>
          <w:sz w:val="24"/>
        </w:rPr>
      </w:pPr>
      <w:r>
        <w:rPr>
          <w:rFonts w:hint="eastAsia"/>
          <w:sz w:val="24"/>
        </w:rPr>
        <w:t xml:space="preserve">2、具有良好的商业信誉和健全的财务会计制度；  </w:t>
      </w:r>
    </w:p>
    <w:p w14:paraId="4524EC93">
      <w:pPr>
        <w:spacing w:line="360" w:lineRule="auto"/>
        <w:ind w:firstLine="480" w:firstLineChars="200"/>
        <w:rPr>
          <w:sz w:val="24"/>
        </w:rPr>
      </w:pPr>
      <w:r>
        <w:rPr>
          <w:rFonts w:hint="eastAsia"/>
          <w:sz w:val="24"/>
        </w:rPr>
        <w:t xml:space="preserve">3、具有履行合同所必需的设备和专业技术能力；  </w:t>
      </w:r>
    </w:p>
    <w:p w14:paraId="349495D3">
      <w:pPr>
        <w:spacing w:line="360" w:lineRule="auto"/>
        <w:ind w:firstLine="480" w:firstLineChars="200"/>
        <w:rPr>
          <w:sz w:val="24"/>
        </w:rPr>
      </w:pPr>
      <w:r>
        <w:rPr>
          <w:rFonts w:hint="eastAsia"/>
          <w:sz w:val="24"/>
        </w:rPr>
        <w:t xml:space="preserve">4、有依法缴纳税收和社会保障资金的良好记录；   </w:t>
      </w:r>
    </w:p>
    <w:p w14:paraId="43449200">
      <w:pPr>
        <w:spacing w:line="360" w:lineRule="auto"/>
        <w:ind w:firstLine="480" w:firstLineChars="200"/>
        <w:rPr>
          <w:sz w:val="24"/>
        </w:rPr>
      </w:pPr>
      <w:r>
        <w:rPr>
          <w:rFonts w:hint="eastAsia"/>
          <w:sz w:val="24"/>
        </w:rPr>
        <w:t>5、参加政府采购活动前三年内，在经营活动中没有重大违法记录；</w:t>
      </w:r>
    </w:p>
    <w:p w14:paraId="38A1D561">
      <w:pPr>
        <w:spacing w:line="360" w:lineRule="auto"/>
        <w:ind w:firstLine="480" w:firstLineChars="200"/>
        <w:rPr>
          <w:sz w:val="24"/>
        </w:rPr>
      </w:pPr>
    </w:p>
    <w:p w14:paraId="3383B9BD">
      <w:pPr>
        <w:numPr>
          <w:ilvl w:val="0"/>
          <w:numId w:val="1"/>
        </w:numPr>
        <w:spacing w:line="360" w:lineRule="auto"/>
        <w:ind w:firstLine="480" w:firstLineChars="200"/>
        <w:rPr>
          <w:sz w:val="24"/>
        </w:rPr>
      </w:pPr>
      <w:r>
        <w:rPr>
          <w:rFonts w:hint="eastAsia"/>
          <w:sz w:val="24"/>
        </w:rPr>
        <w:t>本项目</w:t>
      </w:r>
      <w:r>
        <w:rPr>
          <w:rFonts w:hint="eastAsia"/>
          <w:color w:val="FF0000"/>
          <w:sz w:val="24"/>
        </w:rPr>
        <w:t>不接受</w:t>
      </w:r>
      <w:r>
        <w:rPr>
          <w:rFonts w:hint="eastAsia"/>
          <w:sz w:val="24"/>
        </w:rPr>
        <w:t>联合体。</w:t>
      </w:r>
    </w:p>
    <w:p w14:paraId="5F7956C8">
      <w:pPr>
        <w:spacing w:line="360" w:lineRule="auto"/>
        <w:rPr>
          <w:sz w:val="24"/>
        </w:rPr>
      </w:pPr>
    </w:p>
    <w:p w14:paraId="4D032FAA">
      <w:pPr>
        <w:spacing w:line="360" w:lineRule="auto"/>
        <w:ind w:firstLine="482" w:firstLineChars="200"/>
        <w:rPr>
          <w:rFonts w:hint="eastAsia" w:ascii="宋体" w:hAnsi="宋体"/>
          <w:b/>
          <w:sz w:val="24"/>
        </w:rPr>
      </w:pPr>
      <w:r>
        <w:rPr>
          <w:rFonts w:hint="eastAsia" w:ascii="宋体" w:hAnsi="宋体"/>
          <w:b/>
          <w:sz w:val="24"/>
        </w:rPr>
        <w:t>四、技术要求</w:t>
      </w:r>
    </w:p>
    <w:p w14:paraId="0E487403">
      <w:pPr>
        <w:spacing w:line="360" w:lineRule="auto"/>
        <w:ind w:firstLine="480" w:firstLineChars="200"/>
        <w:rPr>
          <w:rFonts w:hint="eastAsia" w:ascii="宋体" w:hAnsi="宋体"/>
          <w:sz w:val="24"/>
        </w:rPr>
      </w:pPr>
      <w:r>
        <w:rPr>
          <w:rFonts w:hint="eastAsia" w:ascii="宋体" w:hAnsi="宋体"/>
          <w:sz w:val="24"/>
        </w:rPr>
        <w:t>天津中医药大学负载均衡设备采购项目</w:t>
      </w:r>
    </w:p>
    <w:tbl>
      <w:tblPr>
        <w:tblStyle w:val="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06"/>
        <w:gridCol w:w="5599"/>
        <w:gridCol w:w="567"/>
        <w:gridCol w:w="425"/>
        <w:gridCol w:w="665"/>
        <w:gridCol w:w="805"/>
      </w:tblGrid>
      <w:tr w14:paraId="3B4A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3" w:type="dxa"/>
            <w:vAlign w:val="center"/>
          </w:tcPr>
          <w:p w14:paraId="0C97561C">
            <w:pPr>
              <w:jc w:val="center"/>
              <w:rPr>
                <w:b/>
                <w:szCs w:val="21"/>
              </w:rPr>
            </w:pPr>
            <w:r>
              <w:rPr>
                <w:b/>
                <w:szCs w:val="21"/>
              </w:rPr>
              <w:t>序号</w:t>
            </w:r>
          </w:p>
        </w:tc>
        <w:tc>
          <w:tcPr>
            <w:tcW w:w="806" w:type="dxa"/>
            <w:vAlign w:val="center"/>
          </w:tcPr>
          <w:p w14:paraId="24CF1A6F">
            <w:pPr>
              <w:jc w:val="center"/>
              <w:rPr>
                <w:b/>
                <w:szCs w:val="21"/>
              </w:rPr>
            </w:pPr>
            <w:r>
              <w:rPr>
                <w:rFonts w:hint="eastAsia"/>
                <w:b/>
                <w:szCs w:val="21"/>
              </w:rPr>
              <w:t>标的</w:t>
            </w:r>
            <w:r>
              <w:rPr>
                <w:b/>
                <w:szCs w:val="21"/>
              </w:rPr>
              <w:t>名称</w:t>
            </w:r>
          </w:p>
        </w:tc>
        <w:tc>
          <w:tcPr>
            <w:tcW w:w="5599" w:type="dxa"/>
            <w:vAlign w:val="center"/>
          </w:tcPr>
          <w:p w14:paraId="3835D8E2">
            <w:pPr>
              <w:jc w:val="center"/>
              <w:rPr>
                <w:b/>
                <w:szCs w:val="21"/>
              </w:rPr>
            </w:pPr>
            <w:r>
              <w:rPr>
                <w:b/>
                <w:szCs w:val="21"/>
              </w:rPr>
              <w:t>技术要求</w:t>
            </w:r>
          </w:p>
        </w:tc>
        <w:tc>
          <w:tcPr>
            <w:tcW w:w="567" w:type="dxa"/>
            <w:vAlign w:val="center"/>
          </w:tcPr>
          <w:p w14:paraId="04CE37AA">
            <w:pPr>
              <w:jc w:val="center"/>
              <w:rPr>
                <w:b/>
                <w:szCs w:val="21"/>
              </w:rPr>
            </w:pPr>
            <w:r>
              <w:rPr>
                <w:b/>
                <w:szCs w:val="21"/>
              </w:rPr>
              <w:t>单位</w:t>
            </w:r>
          </w:p>
        </w:tc>
        <w:tc>
          <w:tcPr>
            <w:tcW w:w="425" w:type="dxa"/>
            <w:vAlign w:val="center"/>
          </w:tcPr>
          <w:p w14:paraId="763A14E6">
            <w:pPr>
              <w:jc w:val="center"/>
              <w:rPr>
                <w:b/>
                <w:szCs w:val="21"/>
              </w:rPr>
            </w:pPr>
            <w:r>
              <w:rPr>
                <w:b/>
                <w:szCs w:val="21"/>
              </w:rPr>
              <w:t>数量</w:t>
            </w:r>
          </w:p>
        </w:tc>
        <w:tc>
          <w:tcPr>
            <w:tcW w:w="665" w:type="dxa"/>
            <w:vAlign w:val="center"/>
          </w:tcPr>
          <w:p w14:paraId="2D40B8D6">
            <w:pPr>
              <w:jc w:val="center"/>
              <w:rPr>
                <w:b/>
                <w:szCs w:val="21"/>
              </w:rPr>
            </w:pPr>
            <w:r>
              <w:rPr>
                <w:b/>
                <w:szCs w:val="21"/>
              </w:rPr>
              <w:t>是否属于现行节能产品政府采购清单强制采购范围</w:t>
            </w:r>
          </w:p>
        </w:tc>
        <w:tc>
          <w:tcPr>
            <w:tcW w:w="805" w:type="dxa"/>
            <w:vAlign w:val="center"/>
          </w:tcPr>
          <w:p w14:paraId="26FFB832">
            <w:pPr>
              <w:jc w:val="center"/>
              <w:rPr>
                <w:b/>
                <w:szCs w:val="21"/>
              </w:rPr>
            </w:pPr>
            <w:r>
              <w:rPr>
                <w:b/>
                <w:szCs w:val="21"/>
              </w:rPr>
              <w:t>是否属于集采目录内产品</w:t>
            </w:r>
          </w:p>
        </w:tc>
      </w:tr>
      <w:tr w14:paraId="757D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jc w:val="center"/>
        </w:trPr>
        <w:tc>
          <w:tcPr>
            <w:tcW w:w="613" w:type="dxa"/>
            <w:vAlign w:val="center"/>
          </w:tcPr>
          <w:p w14:paraId="6C0ADAC6">
            <w:pPr>
              <w:jc w:val="center"/>
              <w:rPr>
                <w:szCs w:val="21"/>
              </w:rPr>
            </w:pPr>
            <w:r>
              <w:rPr>
                <w:rFonts w:hint="eastAsia"/>
                <w:szCs w:val="21"/>
              </w:rPr>
              <w:t>1</w:t>
            </w:r>
          </w:p>
        </w:tc>
        <w:tc>
          <w:tcPr>
            <w:tcW w:w="806" w:type="dxa"/>
            <w:vAlign w:val="center"/>
          </w:tcPr>
          <w:p w14:paraId="7777D4B0">
            <w:pPr>
              <w:jc w:val="center"/>
              <w:rPr>
                <w:szCs w:val="21"/>
              </w:rPr>
            </w:pPr>
            <w:r>
              <w:rPr>
                <w:rFonts w:hint="eastAsia"/>
                <w:szCs w:val="21"/>
              </w:rPr>
              <w:t>负载均衡</w:t>
            </w:r>
          </w:p>
        </w:tc>
        <w:tc>
          <w:tcPr>
            <w:tcW w:w="5599" w:type="dxa"/>
            <w:vAlign w:val="center"/>
          </w:tcPr>
          <w:p w14:paraId="387840F6">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s="宋体"/>
                <w:szCs w:val="21"/>
              </w:rPr>
              <w:t>★</w:t>
            </w:r>
            <w:r>
              <w:rPr>
                <w:rFonts w:hint="eastAsia" w:ascii="宋体" w:hAnsi="宋体"/>
                <w:color w:val="000000" w:themeColor="text1"/>
                <w:szCs w:val="21"/>
                <w14:textFill>
                  <w14:solidFill>
                    <w14:schemeClr w14:val="tx1"/>
                  </w14:solidFill>
                </w14:textFill>
              </w:rPr>
              <w:t>x86架构；</w:t>
            </w:r>
            <w:r>
              <w:rPr>
                <w:rFonts w:hint="eastAsia" w:ascii="宋体" w:hAnsi="宋体"/>
                <w:szCs w:val="21"/>
              </w:rPr>
              <w:t>专业负载均衡设备</w:t>
            </w:r>
            <w:r>
              <w:rPr>
                <w:rFonts w:hint="eastAsia" w:ascii="宋体" w:hAnsi="宋体"/>
                <w:bCs/>
                <w:szCs w:val="21"/>
              </w:rPr>
              <w:t>；</w:t>
            </w:r>
            <w:r>
              <w:rPr>
                <w:rFonts w:hint="eastAsia" w:ascii="宋体" w:hAnsi="宋体"/>
                <w:szCs w:val="21"/>
              </w:rPr>
              <w:t>配置双主控板模式；要求不小于5U机架式设备。</w:t>
            </w:r>
            <w:r>
              <w:rPr>
                <w:rFonts w:hint="eastAsia" w:ascii="宋体" w:hAnsi="宋体"/>
                <w:color w:val="000000" w:themeColor="text1"/>
                <w:szCs w:val="21"/>
                <w14:textFill>
                  <w14:solidFill>
                    <w14:schemeClr w14:val="tx1"/>
                  </w14:solidFill>
                </w14:textFill>
              </w:rPr>
              <w:t>每个主控板提供不少于1个CONSOLE、2个USB2.0接口、1个10/100/1000BASE-T管理网口。</w:t>
            </w:r>
          </w:p>
          <w:p w14:paraId="7860E4D8">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s="宋体"/>
                <w:szCs w:val="21"/>
              </w:rPr>
              <w:t>★</w:t>
            </w:r>
            <w:r>
              <w:rPr>
                <w:rFonts w:hint="eastAsia" w:ascii="宋体" w:hAnsi="宋体"/>
                <w:color w:val="000000" w:themeColor="text1"/>
                <w:szCs w:val="21"/>
                <w14:textFill>
                  <w14:solidFill>
                    <w14:schemeClr w14:val="tx1"/>
                  </w14:solidFill>
                </w14:textFill>
              </w:rPr>
              <w:t>配置不少于16个10GBASE-R/1000BASE-X以太网光接口（SFPplus）、4个40GE以太网光接口（QSFP+）；配置不少于3块800W通用交流电源模块。</w:t>
            </w:r>
          </w:p>
          <w:p w14:paraId="38383D9D">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s="宋体"/>
                <w:szCs w:val="21"/>
              </w:rPr>
              <w:t>★</w:t>
            </w:r>
            <w:r>
              <w:rPr>
                <w:rFonts w:hint="eastAsia" w:ascii="宋体" w:hAnsi="宋体"/>
                <w:color w:val="000000" w:themeColor="text1"/>
                <w:szCs w:val="21"/>
                <w14:textFill>
                  <w14:solidFill>
                    <w14:schemeClr w14:val="tx1"/>
                  </w14:solidFill>
                </w14:textFill>
              </w:rPr>
              <w:t>最大整机吞吐量不低于320Gbps；最大并发连接数不低于6000万</w:t>
            </w:r>
            <w:r>
              <w:rPr>
                <w:rFonts w:hint="eastAsia" w:ascii="宋体" w:hAnsi="宋体"/>
                <w:szCs w:val="21"/>
              </w:rPr>
              <w:t>。</w:t>
            </w:r>
          </w:p>
          <w:p w14:paraId="60A06F59">
            <w:pPr>
              <w:numPr>
                <w:ilvl w:val="0"/>
                <w:numId w:val="2"/>
              </w:numPr>
              <w:rPr>
                <w:rFonts w:hint="eastAsia" w:ascii="宋体" w:hAnsi="宋体"/>
                <w:szCs w:val="21"/>
              </w:rPr>
            </w:pPr>
            <w:r>
              <w:rPr>
                <w:rFonts w:ascii="宋体" w:hAnsi="宋体"/>
                <w:color w:val="000000"/>
                <w:kern w:val="0"/>
                <w:szCs w:val="21"/>
              </w:rPr>
              <w:t>含</w:t>
            </w:r>
            <w:r>
              <w:rPr>
                <w:rFonts w:hint="eastAsia" w:ascii="宋体" w:hAnsi="宋体"/>
                <w:color w:val="000000"/>
                <w:kern w:val="0"/>
                <w:szCs w:val="21"/>
              </w:rPr>
              <w:t>产品保修</w:t>
            </w:r>
            <w:r>
              <w:rPr>
                <w:rFonts w:ascii="宋体" w:hAnsi="宋体"/>
                <w:color w:val="000000"/>
                <w:kern w:val="0"/>
                <w:szCs w:val="21"/>
              </w:rPr>
              <w:t>5年</w:t>
            </w:r>
            <w:r>
              <w:rPr>
                <w:rFonts w:hint="eastAsia" w:ascii="宋体" w:hAnsi="宋体"/>
                <w:color w:val="000000"/>
                <w:kern w:val="0"/>
                <w:szCs w:val="21"/>
              </w:rPr>
              <w:t>。</w:t>
            </w:r>
          </w:p>
          <w:p w14:paraId="05DC95D5">
            <w:pPr>
              <w:numPr>
                <w:ilvl w:val="0"/>
                <w:numId w:val="2"/>
              </w:numPr>
              <w:rPr>
                <w:rFonts w:hint="eastAsia" w:ascii="宋体" w:hAnsi="宋体"/>
                <w:szCs w:val="21"/>
              </w:rPr>
            </w:pPr>
            <w:r>
              <w:rPr>
                <w:rFonts w:hint="eastAsia" w:ascii="宋体" w:hAnsi="宋体"/>
                <w:szCs w:val="21"/>
              </w:rPr>
              <w:t>支持多功能合一同时支持链路负载均衡、服务器负载均衡和全局负载均衡的功能,无需额外购买相应授权。</w:t>
            </w:r>
          </w:p>
          <w:p w14:paraId="7A6CC073">
            <w:pPr>
              <w:numPr>
                <w:ilvl w:val="0"/>
                <w:numId w:val="2"/>
              </w:numPr>
              <w:rPr>
                <w:rFonts w:hint="eastAsia" w:ascii="宋体" w:hAnsi="宋体"/>
                <w:szCs w:val="21"/>
              </w:rPr>
            </w:pPr>
            <w:r>
              <w:rPr>
                <w:rFonts w:hint="eastAsia" w:ascii="宋体" w:hAnsi="宋体"/>
                <w:szCs w:val="21"/>
              </w:rPr>
              <w:t>支持轮询算法、比率算法、拓扑算法、备用地址算法、丢包算法、最小连接数算法、最小往返延时算法、最小连接速率算法、最小跳数算法、最小包速率算法、最大带宽利用率算法。</w:t>
            </w:r>
            <w:r>
              <w:rPr>
                <w:rFonts w:hint="eastAsia" w:ascii="宋体" w:hAnsi="宋体"/>
                <w:kern w:val="0"/>
                <w:szCs w:val="21"/>
              </w:rPr>
              <w:t>（提供功能截图证明）</w:t>
            </w:r>
          </w:p>
          <w:p w14:paraId="39200532">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健康检查类型包括ICMP、TCP、TCP_ECV、UDP、TCP被动、HTTP、HTTPS、FIX、SSL、SOAP、HTTP被动、RADIUS、LDAP、WAP、DNS、IMAP、POP3、SMTP、FTP、EXTERNAL、数据库等。</w:t>
            </w:r>
          </w:p>
          <w:p w14:paraId="1C742E1A">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DNS server支持A记录,AAAA记录，CNAME记录，MX记录、NS记录、TXT记录、CAA记录、SRV记录；支持主域名服务器、从域名服务器和转发域名服务器。支持DNS防火墙功能。（提供功能截图证明）</w:t>
            </w:r>
          </w:p>
          <w:p w14:paraId="3019543E">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内置SSL卸载模块，SSL工作减轻服务器负担。支持服务器CA证书导入，提供证书单向和双向认证，双向认证支持透传客户端证书给后台服务器。</w:t>
            </w:r>
          </w:p>
          <w:p w14:paraId="56C19C39">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利用读写分离技术实现数据库负载且无需在服务器上安装任何插件或软件。通过对数据库操作请求做内容解析，将其中的写操作调度到指定服务器，减少服务器压力，提高数据库资源利用率，提升业务响应速度。</w:t>
            </w:r>
          </w:p>
          <w:p w14:paraId="5C931E68">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地址库包含国内ISP地址库、全国地址库和全球地址库，支持地址库手动导入，支持地址库查询。（提供功能截图证明）</w:t>
            </w:r>
          </w:p>
          <w:p w14:paraId="1302649C">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支持页面加速功能支持CSS加速功能，支持内嵌CSS,合并CSS,最小化CSS；支持JavaScript加速功能，支持内嵌JS，合并JS，最小化JS；支持HTML加速功能，支持去除空白，去除注释。</w:t>
            </w:r>
          </w:p>
          <w:p w14:paraId="5DDA6C91">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支持网络防火墙功能，支持基于源地址、源区域、源端口、目的地址、目的区域、服务、时间进行访问控制。</w:t>
            </w:r>
          </w:p>
          <w:p w14:paraId="1F83E3D9">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支持提供四七层抗DDoS攻击功能。支持IP、ICMP、TCP、UDP、DNS、HTTP、HTTPS、NTP、SIP。</w:t>
            </w:r>
          </w:p>
          <w:p w14:paraId="21C8C843">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提供漏洞扫描功能。设备内置漏洞特征库，可针对应用服务器或者整个IP网段进行定向扫描分析，发现服务器操作系统漏洞并生成漏洞分析报告。</w:t>
            </w:r>
          </w:p>
          <w:p w14:paraId="2EB7704F">
            <w:pPr>
              <w:numPr>
                <w:ilvl w:val="0"/>
                <w:numId w:val="2"/>
              </w:numP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支持HTTP2网关部署，在不改变web服务器的情况下将对外服务协议从HTTP1.1/1.0升级至HTTP/2，提升终端用户使用体验和业务安全性。</w:t>
            </w:r>
          </w:p>
          <w:p w14:paraId="4E5C427E">
            <w:pPr>
              <w:numPr>
                <w:ilvl w:val="0"/>
                <w:numId w:val="2"/>
              </w:numPr>
              <w:rPr>
                <w:rFonts w:hint="eastAsia" w:ascii="宋体" w:hAnsi="宋体"/>
                <w:szCs w:val="21"/>
              </w:rPr>
            </w:pPr>
            <w:r>
              <w:rPr>
                <w:rFonts w:hint="eastAsia" w:ascii="宋体" w:hAnsi="宋体"/>
                <w:color w:val="000000" w:themeColor="text1"/>
                <w:szCs w:val="21"/>
                <w14:textFill>
                  <w14:solidFill>
                    <w14:schemeClr w14:val="tx1"/>
                  </w14:solidFill>
                </w14:textFill>
              </w:rPr>
              <w:t>支持标准的RESTful等形式的API接口，可与主流的自动化运维工具对接，实现日常运维配置包括自动化网络配置、NTP服务、SNMP服务等初始化参数。</w:t>
            </w:r>
          </w:p>
          <w:p w14:paraId="446FB3AA">
            <w:pPr>
              <w:snapToGrid w:val="0"/>
              <w:rPr>
                <w:rFonts w:hint="eastAsia" w:ascii="宋体" w:hAnsi="宋体"/>
                <w:color w:val="000000" w:themeColor="text1"/>
                <w:szCs w:val="21"/>
                <w14:textFill>
                  <w14:solidFill>
                    <w14:schemeClr w14:val="tx1"/>
                  </w14:solidFill>
                </w14:textFill>
              </w:rPr>
            </w:pPr>
            <w:r>
              <w:rPr>
                <w:rFonts w:hint="eastAsia" w:ascii="宋体" w:hAnsi="宋体"/>
                <w:bCs/>
                <w:szCs w:val="21"/>
              </w:rPr>
              <w:t>18.</w:t>
            </w:r>
            <w:r>
              <w:rPr>
                <w:rFonts w:hint="eastAsia" w:ascii="宋体" w:hAnsi="宋体"/>
                <w:color w:val="000000" w:themeColor="text1"/>
                <w:szCs w:val="21"/>
                <w14:textFill>
                  <w14:solidFill>
                    <w14:schemeClr w14:val="tx1"/>
                  </w14:solidFill>
                </w14:textFill>
              </w:rPr>
              <w:t>具备IPV6/IPV4双栈接入，支持NAT66、NAT64、NAT46、DNS64可对过渡型网络进行负载均衡。</w:t>
            </w:r>
          </w:p>
          <w:p w14:paraId="0C4C5D13">
            <w:pPr>
              <w:snapToGrid w:val="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19.支持主域名服务器、从域名服务器和转发域名服务器。</w:t>
            </w:r>
          </w:p>
          <w:p w14:paraId="44F43492">
            <w:pPr>
              <w:snapToGrid w:val="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20.支持X-forward-for，将客户端IP添加地址到 HTTP 请求报文的 X-forward-for 扩展头中，便于后期溯源。</w:t>
            </w:r>
          </w:p>
          <w:p w14:paraId="3E4FAF83">
            <w:pPr>
              <w:snapToGrid w:val="0"/>
              <w:rPr>
                <w:rFonts w:hint="eastAsia" w:ascii="宋体" w:hAnsi="宋体"/>
                <w:szCs w:val="21"/>
              </w:rPr>
            </w:pPr>
            <w:r>
              <w:rPr>
                <w:rFonts w:hint="eastAsia" w:ascii="宋体" w:hAnsi="宋体"/>
                <w:szCs w:val="21"/>
              </w:rPr>
              <w:t>21.支持TCP连接复用功能，降低服务器频繁三次握手的资源消耗，减少服务器端的工作负荷，提升业务效率</w:t>
            </w:r>
            <w:r>
              <w:rPr>
                <w:rFonts w:hint="eastAsia" w:ascii="宋体" w:hAnsi="宋体"/>
                <w:bCs/>
                <w:szCs w:val="21"/>
              </w:rPr>
              <w:t>（提供功能检测报告并加盖制造商公章）</w:t>
            </w:r>
            <w:r>
              <w:rPr>
                <w:rFonts w:hint="eastAsia" w:ascii="宋体" w:hAnsi="宋体"/>
                <w:szCs w:val="21"/>
              </w:rPr>
              <w:t>。</w:t>
            </w:r>
          </w:p>
          <w:p w14:paraId="120D16AD">
            <w:pPr>
              <w:snapToGrid w:val="0"/>
              <w:rPr>
                <w:rFonts w:hint="eastAsia" w:ascii="宋体" w:hAnsi="宋体"/>
                <w:szCs w:val="21"/>
              </w:rPr>
            </w:pPr>
            <w:r>
              <w:rPr>
                <w:rFonts w:hint="eastAsia" w:ascii="宋体" w:hAnsi="宋体"/>
                <w:szCs w:val="21"/>
              </w:rPr>
              <w:t>22.提供服务器过载保护功能，可针对服务器负载状态如新建连接数、并发连接数进行智能保护，如果达到保护阈值新的访问请求会自动迁移至其他服务器，支持服务器温暖上线和软关机、平滑退出功能</w:t>
            </w:r>
            <w:r>
              <w:rPr>
                <w:rFonts w:hint="eastAsia" w:ascii="宋体" w:hAnsi="宋体"/>
                <w:bCs/>
                <w:szCs w:val="21"/>
              </w:rPr>
              <w:t>（提供功能检测报告并加盖制造商公章）</w:t>
            </w:r>
            <w:r>
              <w:rPr>
                <w:rFonts w:hint="eastAsia" w:ascii="宋体" w:hAnsi="宋体"/>
                <w:szCs w:val="21"/>
              </w:rPr>
              <w:t>。</w:t>
            </w:r>
          </w:p>
          <w:p w14:paraId="1203B8FF">
            <w:pPr>
              <w:snapToGrid w:val="0"/>
              <w:rPr>
                <w:rFonts w:hint="eastAsia" w:ascii="宋体" w:hAnsi="宋体"/>
                <w:szCs w:val="21"/>
              </w:rPr>
            </w:pPr>
            <w:r>
              <w:rPr>
                <w:rFonts w:hint="eastAsia" w:ascii="宋体" w:hAnsi="宋体"/>
                <w:szCs w:val="21"/>
              </w:rPr>
              <w:t>23.支持服务器健康检查主动健康检查和被动健康检查相结合的方式</w:t>
            </w:r>
            <w:r>
              <w:rPr>
                <w:rFonts w:hint="eastAsia" w:ascii="宋体" w:hAnsi="宋体"/>
                <w:bCs/>
                <w:szCs w:val="21"/>
              </w:rPr>
              <w:t>（提供功能检测报告并加盖制造商公章）</w:t>
            </w:r>
            <w:r>
              <w:rPr>
                <w:rFonts w:hint="eastAsia" w:ascii="宋体" w:hAnsi="宋体"/>
                <w:szCs w:val="21"/>
              </w:rPr>
              <w:t>。</w:t>
            </w:r>
          </w:p>
          <w:p w14:paraId="4B276065">
            <w:pPr>
              <w:snapToGrid w:val="0"/>
              <w:rPr>
                <w:rFonts w:hint="eastAsia" w:ascii="宋体" w:hAnsi="宋体"/>
                <w:szCs w:val="21"/>
              </w:rPr>
            </w:pPr>
            <w:r>
              <w:rPr>
                <w:rFonts w:hint="eastAsia" w:ascii="宋体" w:hAnsi="宋体"/>
                <w:szCs w:val="21"/>
              </w:rPr>
              <w:t>24.</w:t>
            </w:r>
            <w:r>
              <w:rPr>
                <w:rFonts w:hint="eastAsia" w:ascii="宋体" w:hAnsi="宋体" w:cs="宋体"/>
                <w:szCs w:val="21"/>
              </w:rPr>
              <w:t>★管理要求：支持按照校级网络安全管理中心接口规范要求实时上报负载均衡设备告警及处置日志，提供加盖投标人公章的兼容性承诺函，明确承诺“支持按照校级网络安全管理中心接口规范要求实时上报告警及处置日志”；</w:t>
            </w:r>
          </w:p>
        </w:tc>
        <w:tc>
          <w:tcPr>
            <w:tcW w:w="567" w:type="dxa"/>
            <w:vAlign w:val="center"/>
          </w:tcPr>
          <w:p w14:paraId="40A9D14B">
            <w:pPr>
              <w:jc w:val="center"/>
              <w:rPr>
                <w:szCs w:val="21"/>
              </w:rPr>
            </w:pPr>
            <w:r>
              <w:rPr>
                <w:rFonts w:hint="eastAsia"/>
                <w:szCs w:val="21"/>
              </w:rPr>
              <w:t>台</w:t>
            </w:r>
          </w:p>
        </w:tc>
        <w:tc>
          <w:tcPr>
            <w:tcW w:w="425" w:type="dxa"/>
            <w:vAlign w:val="center"/>
          </w:tcPr>
          <w:p w14:paraId="4DCEF27A">
            <w:pPr>
              <w:jc w:val="center"/>
              <w:rPr>
                <w:szCs w:val="21"/>
              </w:rPr>
            </w:pPr>
            <w:r>
              <w:rPr>
                <w:rFonts w:hint="eastAsia"/>
                <w:szCs w:val="21"/>
              </w:rPr>
              <w:t>2</w:t>
            </w:r>
          </w:p>
        </w:tc>
        <w:tc>
          <w:tcPr>
            <w:tcW w:w="665" w:type="dxa"/>
            <w:vAlign w:val="center"/>
          </w:tcPr>
          <w:p w14:paraId="1739100F">
            <w:pPr>
              <w:jc w:val="center"/>
              <w:rPr>
                <w:szCs w:val="21"/>
              </w:rPr>
            </w:pPr>
            <w:r>
              <w:rPr>
                <w:rFonts w:hint="eastAsia"/>
                <w:szCs w:val="21"/>
              </w:rPr>
              <w:t>否</w:t>
            </w:r>
          </w:p>
        </w:tc>
        <w:tc>
          <w:tcPr>
            <w:tcW w:w="805" w:type="dxa"/>
            <w:vAlign w:val="center"/>
          </w:tcPr>
          <w:p w14:paraId="0329CBD8">
            <w:pPr>
              <w:jc w:val="center"/>
              <w:rPr>
                <w:szCs w:val="21"/>
              </w:rPr>
            </w:pPr>
            <w:r>
              <w:rPr>
                <w:szCs w:val="21"/>
              </w:rPr>
              <w:t>否</w:t>
            </w:r>
          </w:p>
        </w:tc>
      </w:tr>
    </w:tbl>
    <w:p w14:paraId="7DBF30C6"/>
    <w:p w14:paraId="2ABF140B">
      <w:pPr>
        <w:spacing w:line="360" w:lineRule="auto"/>
        <w:ind w:firstLine="480" w:firstLineChars="200"/>
        <w:outlineLvl w:val="0"/>
        <w:rPr>
          <w:sz w:val="24"/>
        </w:rPr>
      </w:pPr>
      <w:r>
        <w:rPr>
          <w:rFonts w:hint="eastAsia"/>
          <w:sz w:val="24"/>
        </w:rPr>
        <w:t>注：</w:t>
      </w:r>
    </w:p>
    <w:p w14:paraId="7F70A410">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1F52F140">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6740DFA5">
      <w:pPr>
        <w:spacing w:line="360" w:lineRule="auto"/>
        <w:ind w:firstLine="482" w:firstLineChars="200"/>
        <w:outlineLvl w:val="0"/>
        <w:rPr>
          <w:b/>
          <w:bCs/>
          <w:sz w:val="24"/>
        </w:rPr>
      </w:pPr>
      <w:r>
        <w:rPr>
          <w:rFonts w:hint="eastAsia"/>
          <w:b/>
          <w:bCs/>
          <w:sz w:val="24"/>
        </w:rPr>
        <w:t>其它要求（实质性要求）</w:t>
      </w:r>
    </w:p>
    <w:p w14:paraId="3ED0AE4F">
      <w:pPr>
        <w:spacing w:line="360" w:lineRule="auto"/>
        <w:ind w:firstLine="480" w:firstLineChars="200"/>
        <w:outlineLvl w:val="0"/>
        <w:rPr>
          <w:sz w:val="24"/>
        </w:rPr>
      </w:pPr>
      <w:r>
        <w:rPr>
          <w:rFonts w:hint="eastAsia"/>
          <w:sz w:val="24"/>
        </w:rPr>
        <w:t>1、</w:t>
      </w:r>
      <w:r>
        <w:rPr>
          <w:rFonts w:hint="eastAsia"/>
          <w:sz w:val="24"/>
        </w:rPr>
        <w:tab/>
      </w:r>
      <w:r>
        <w:rPr>
          <w:rFonts w:hint="eastAsia"/>
          <w:sz w:val="24"/>
        </w:rPr>
        <w:t>售后服务及承诺质保期：自终验日期起，提供五年免费质保。</w:t>
      </w:r>
    </w:p>
    <w:p w14:paraId="3F7DBBFD">
      <w:pPr>
        <w:spacing w:line="360" w:lineRule="auto"/>
        <w:ind w:firstLine="480" w:firstLineChars="200"/>
        <w:outlineLvl w:val="0"/>
        <w:rPr>
          <w:sz w:val="24"/>
        </w:rPr>
      </w:pPr>
      <w:r>
        <w:rPr>
          <w:rFonts w:hint="eastAsia"/>
          <w:sz w:val="24"/>
        </w:rPr>
        <w:t>2、</w:t>
      </w:r>
      <w:r>
        <w:rPr>
          <w:rFonts w:hint="eastAsia"/>
          <w:sz w:val="24"/>
        </w:rPr>
        <w:tab/>
      </w:r>
      <w:r>
        <w:rPr>
          <w:rFonts w:hint="eastAsia"/>
          <w:sz w:val="24"/>
        </w:rPr>
        <w:t>投标人资格要求：要求供应商为实力雄厚、技术领先的大中型企业，以提供安全的软、硬件解决方案。</w:t>
      </w:r>
    </w:p>
    <w:p w14:paraId="4BFDEC68">
      <w:pPr>
        <w:spacing w:line="360" w:lineRule="auto"/>
        <w:ind w:firstLine="482" w:firstLineChars="200"/>
        <w:rPr>
          <w:rFonts w:hint="eastAsia" w:ascii="宋体" w:hAnsi="宋体"/>
          <w:b/>
          <w:sz w:val="24"/>
        </w:rPr>
      </w:pPr>
      <w:r>
        <w:rPr>
          <w:rFonts w:hint="eastAsia" w:ascii="宋体" w:hAnsi="宋体"/>
          <w:b/>
          <w:sz w:val="24"/>
        </w:rPr>
        <w:t>五、商务要求</w:t>
      </w:r>
    </w:p>
    <w:p w14:paraId="6763288C">
      <w:pPr>
        <w:spacing w:line="360" w:lineRule="auto"/>
        <w:ind w:firstLine="480" w:firstLineChars="200"/>
        <w:outlineLvl w:val="0"/>
        <w:rPr>
          <w:sz w:val="24"/>
        </w:rPr>
      </w:pPr>
      <w:r>
        <w:rPr>
          <w:rFonts w:hint="eastAsia"/>
          <w:sz w:val="24"/>
        </w:rPr>
        <w:t>1. 提供所投产品5年免费上门保修，终身维修，保修期内7×24小时技术响应，2小时内维修工程师到达现场并在24小时内予以解决。</w:t>
      </w:r>
    </w:p>
    <w:p w14:paraId="621769BC">
      <w:pPr>
        <w:spacing w:line="360" w:lineRule="auto"/>
        <w:ind w:firstLine="480" w:firstLineChars="200"/>
        <w:outlineLvl w:val="0"/>
        <w:rPr>
          <w:sz w:val="24"/>
        </w:rPr>
      </w:pPr>
      <w:r>
        <w:rPr>
          <w:rFonts w:hint="eastAsia"/>
          <w:sz w:val="24"/>
        </w:rPr>
        <w:t>2. 货到：签订合同之日起15日内（特殊情况以合同为准）。</w:t>
      </w:r>
    </w:p>
    <w:p w14:paraId="37403A33">
      <w:pPr>
        <w:spacing w:line="360" w:lineRule="auto"/>
        <w:ind w:firstLine="480" w:firstLineChars="200"/>
        <w:outlineLvl w:val="0"/>
        <w:rPr>
          <w:sz w:val="24"/>
        </w:rPr>
      </w:pPr>
      <w:r>
        <w:rPr>
          <w:rFonts w:hint="eastAsia"/>
          <w:sz w:val="24"/>
        </w:rPr>
        <w:t>安装（施工）完成：货到之日起5日内（特殊情况以合同为准）。</w:t>
      </w:r>
    </w:p>
    <w:p w14:paraId="36057565">
      <w:pPr>
        <w:spacing w:line="360" w:lineRule="auto"/>
        <w:ind w:firstLine="480" w:firstLineChars="200"/>
        <w:outlineLvl w:val="0"/>
        <w:rPr>
          <w:sz w:val="24"/>
        </w:rPr>
      </w:pPr>
      <w:r>
        <w:rPr>
          <w:rFonts w:hint="eastAsia"/>
          <w:sz w:val="24"/>
        </w:rPr>
        <w:t>3.付款方式：签订合同之日起15日内支付合同总额的30%，货到安装调试完成验收合格之日起15日内支付合同总额的70%。</w:t>
      </w:r>
    </w:p>
    <w:p w14:paraId="0A756662">
      <w:pPr>
        <w:autoSpaceDE w:val="0"/>
        <w:autoSpaceDN w:val="0"/>
        <w:spacing w:line="360" w:lineRule="auto"/>
        <w:ind w:firstLine="482" w:firstLineChars="200"/>
        <w:rPr>
          <w:b/>
          <w:sz w:val="24"/>
        </w:rPr>
      </w:pPr>
      <w:r>
        <w:rPr>
          <w:rFonts w:hint="eastAsia"/>
          <w:b/>
          <w:sz w:val="24"/>
        </w:rPr>
        <w:t>六、验收标准</w:t>
      </w:r>
    </w:p>
    <w:p w14:paraId="54E5640A">
      <w:pPr>
        <w:spacing w:line="360" w:lineRule="auto"/>
        <w:ind w:firstLine="480" w:firstLineChars="200"/>
        <w:outlineLvl w:val="0"/>
        <w:rPr>
          <w:color w:val="FF0000"/>
          <w:sz w:val="24"/>
        </w:rPr>
      </w:pPr>
      <w:r>
        <w:rPr>
          <w:rFonts w:hint="eastAsia"/>
          <w:sz w:val="24"/>
        </w:rPr>
        <w:t>本项目由采购人组织验收，验收所产生的费用由供应商承担。</w:t>
      </w:r>
    </w:p>
    <w:p w14:paraId="7F3BB470">
      <w:pPr>
        <w:spacing w:line="360" w:lineRule="auto"/>
        <w:ind w:firstLine="482" w:firstLineChars="200"/>
        <w:outlineLvl w:val="0"/>
        <w:rPr>
          <w:b/>
          <w:sz w:val="24"/>
        </w:rPr>
      </w:pPr>
      <w:r>
        <w:rPr>
          <w:rFonts w:hint="eastAsia"/>
          <w:b/>
          <w:sz w:val="24"/>
        </w:rPr>
        <w:t>七、其他要求</w:t>
      </w:r>
    </w:p>
    <w:p w14:paraId="1302ABAF">
      <w:pPr>
        <w:spacing w:line="360" w:lineRule="auto"/>
        <w:rPr>
          <w:rFonts w:hint="eastAsia" w:ascii="宋体" w:hAnsi="宋体"/>
          <w:sz w:val="24"/>
        </w:rPr>
      </w:pPr>
      <w:bookmarkStart w:id="2" w:name="_GoBack"/>
      <w:bookmarkEnd w:id="2"/>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Dotum">
    <w:altName w:val="Malgun Gothic"/>
    <w:panose1 w:val="020B0600000101010101"/>
    <w:charset w:val="81"/>
    <w:family w:val="swiss"/>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BA6B70"/>
    <w:multiLevelType w:val="singleLevel"/>
    <w:tmpl w:val="F2BA6B70"/>
    <w:lvl w:ilvl="0" w:tentative="0">
      <w:start w:val="3"/>
      <w:numFmt w:val="chineseCounting"/>
      <w:suff w:val="nothing"/>
      <w:lvlText w:val="（%1）"/>
      <w:lvlJc w:val="left"/>
      <w:rPr>
        <w:rFonts w:hint="eastAsia"/>
      </w:rPr>
    </w:lvl>
  </w:abstractNum>
  <w:abstractNum w:abstractNumId="1">
    <w:nsid w:val="6D37BCBB"/>
    <w:multiLevelType w:val="singleLevel"/>
    <w:tmpl w:val="6D37BCBB"/>
    <w:lvl w:ilvl="0" w:tentative="0">
      <w:start w:val="1"/>
      <w:numFmt w:val="decimal"/>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kzYWQzYWVmYTM2M2I4YmVjNzFmYThlYjViMmIwMDYifQ=="/>
  </w:docVars>
  <w:rsids>
    <w:rsidRoot w:val="00DB3902"/>
    <w:rsid w:val="0000135E"/>
    <w:rsid w:val="00011AF5"/>
    <w:rsid w:val="000123CA"/>
    <w:rsid w:val="00020438"/>
    <w:rsid w:val="000247DC"/>
    <w:rsid w:val="00045631"/>
    <w:rsid w:val="0005004C"/>
    <w:rsid w:val="00071693"/>
    <w:rsid w:val="00076776"/>
    <w:rsid w:val="0008767F"/>
    <w:rsid w:val="000A2D6B"/>
    <w:rsid w:val="000A5647"/>
    <w:rsid w:val="000A6FE9"/>
    <w:rsid w:val="000A7CD6"/>
    <w:rsid w:val="000C184F"/>
    <w:rsid w:val="000E109B"/>
    <w:rsid w:val="000E2EAA"/>
    <w:rsid w:val="000E3422"/>
    <w:rsid w:val="000E68CD"/>
    <w:rsid w:val="00111F73"/>
    <w:rsid w:val="001335EE"/>
    <w:rsid w:val="001358CC"/>
    <w:rsid w:val="001400A9"/>
    <w:rsid w:val="00170BA9"/>
    <w:rsid w:val="00170C09"/>
    <w:rsid w:val="001805F6"/>
    <w:rsid w:val="001845EE"/>
    <w:rsid w:val="001A4C59"/>
    <w:rsid w:val="001A4DD5"/>
    <w:rsid w:val="001B54A9"/>
    <w:rsid w:val="001D0C0D"/>
    <w:rsid w:val="001E584B"/>
    <w:rsid w:val="001E7CF5"/>
    <w:rsid w:val="001F481B"/>
    <w:rsid w:val="001F60D5"/>
    <w:rsid w:val="00201493"/>
    <w:rsid w:val="002053EF"/>
    <w:rsid w:val="00235B22"/>
    <w:rsid w:val="00244BBF"/>
    <w:rsid w:val="00263A46"/>
    <w:rsid w:val="00263D9A"/>
    <w:rsid w:val="00270221"/>
    <w:rsid w:val="00270619"/>
    <w:rsid w:val="0027757B"/>
    <w:rsid w:val="002964AE"/>
    <w:rsid w:val="002E519C"/>
    <w:rsid w:val="00305686"/>
    <w:rsid w:val="00306C12"/>
    <w:rsid w:val="00315235"/>
    <w:rsid w:val="00330E0D"/>
    <w:rsid w:val="0033397A"/>
    <w:rsid w:val="003545AA"/>
    <w:rsid w:val="00367EEE"/>
    <w:rsid w:val="003A0037"/>
    <w:rsid w:val="003A336E"/>
    <w:rsid w:val="003D5150"/>
    <w:rsid w:val="003D6EFB"/>
    <w:rsid w:val="003E7311"/>
    <w:rsid w:val="003F429C"/>
    <w:rsid w:val="003F507E"/>
    <w:rsid w:val="00410F83"/>
    <w:rsid w:val="00412918"/>
    <w:rsid w:val="00431D9E"/>
    <w:rsid w:val="004459D2"/>
    <w:rsid w:val="0045575F"/>
    <w:rsid w:val="00460F10"/>
    <w:rsid w:val="00483C3E"/>
    <w:rsid w:val="004A1DD6"/>
    <w:rsid w:val="004D2432"/>
    <w:rsid w:val="004E5CED"/>
    <w:rsid w:val="004F0C45"/>
    <w:rsid w:val="005204C1"/>
    <w:rsid w:val="0056347D"/>
    <w:rsid w:val="0057138B"/>
    <w:rsid w:val="00574287"/>
    <w:rsid w:val="005823C2"/>
    <w:rsid w:val="00584AB5"/>
    <w:rsid w:val="00597F4C"/>
    <w:rsid w:val="005C0E7E"/>
    <w:rsid w:val="005C780E"/>
    <w:rsid w:val="005D55EA"/>
    <w:rsid w:val="005E1CCE"/>
    <w:rsid w:val="0060194F"/>
    <w:rsid w:val="006020D0"/>
    <w:rsid w:val="00606FB2"/>
    <w:rsid w:val="00616E51"/>
    <w:rsid w:val="0062621F"/>
    <w:rsid w:val="006322E8"/>
    <w:rsid w:val="00634D3F"/>
    <w:rsid w:val="00644356"/>
    <w:rsid w:val="00645A07"/>
    <w:rsid w:val="006573C0"/>
    <w:rsid w:val="00670D9A"/>
    <w:rsid w:val="00680419"/>
    <w:rsid w:val="00682E4E"/>
    <w:rsid w:val="00687F4A"/>
    <w:rsid w:val="006B06EF"/>
    <w:rsid w:val="006B0B20"/>
    <w:rsid w:val="006D17C5"/>
    <w:rsid w:val="006D263F"/>
    <w:rsid w:val="007135F6"/>
    <w:rsid w:val="007200AE"/>
    <w:rsid w:val="007433F3"/>
    <w:rsid w:val="00746194"/>
    <w:rsid w:val="00774BEE"/>
    <w:rsid w:val="00785041"/>
    <w:rsid w:val="007A45E1"/>
    <w:rsid w:val="007B6678"/>
    <w:rsid w:val="007D00B5"/>
    <w:rsid w:val="00803310"/>
    <w:rsid w:val="00843A83"/>
    <w:rsid w:val="00845E60"/>
    <w:rsid w:val="00861373"/>
    <w:rsid w:val="00861EA9"/>
    <w:rsid w:val="008662DD"/>
    <w:rsid w:val="008A6D81"/>
    <w:rsid w:val="008B4923"/>
    <w:rsid w:val="008C68C8"/>
    <w:rsid w:val="008D10DD"/>
    <w:rsid w:val="008D566D"/>
    <w:rsid w:val="009161CD"/>
    <w:rsid w:val="0091671E"/>
    <w:rsid w:val="00922E8E"/>
    <w:rsid w:val="00930995"/>
    <w:rsid w:val="009356EC"/>
    <w:rsid w:val="00944537"/>
    <w:rsid w:val="00945B13"/>
    <w:rsid w:val="0094738D"/>
    <w:rsid w:val="009712E5"/>
    <w:rsid w:val="00973637"/>
    <w:rsid w:val="00990B50"/>
    <w:rsid w:val="009A114C"/>
    <w:rsid w:val="009B4ECF"/>
    <w:rsid w:val="009D6ECB"/>
    <w:rsid w:val="009E14A0"/>
    <w:rsid w:val="00A038A0"/>
    <w:rsid w:val="00A154E9"/>
    <w:rsid w:val="00A21C5C"/>
    <w:rsid w:val="00A27F3F"/>
    <w:rsid w:val="00A41912"/>
    <w:rsid w:val="00A54AEF"/>
    <w:rsid w:val="00A71C25"/>
    <w:rsid w:val="00A772E5"/>
    <w:rsid w:val="00A90225"/>
    <w:rsid w:val="00A934AB"/>
    <w:rsid w:val="00A94A0D"/>
    <w:rsid w:val="00AA0AF1"/>
    <w:rsid w:val="00AA137D"/>
    <w:rsid w:val="00AB1AAA"/>
    <w:rsid w:val="00AB5375"/>
    <w:rsid w:val="00AB683B"/>
    <w:rsid w:val="00AC1733"/>
    <w:rsid w:val="00AE12DF"/>
    <w:rsid w:val="00AE2D62"/>
    <w:rsid w:val="00AF0F74"/>
    <w:rsid w:val="00B15F5E"/>
    <w:rsid w:val="00B169E3"/>
    <w:rsid w:val="00B462D8"/>
    <w:rsid w:val="00B46F60"/>
    <w:rsid w:val="00B965D1"/>
    <w:rsid w:val="00BA394C"/>
    <w:rsid w:val="00BB18C7"/>
    <w:rsid w:val="00BC76A7"/>
    <w:rsid w:val="00BD1056"/>
    <w:rsid w:val="00BF4747"/>
    <w:rsid w:val="00C17BFA"/>
    <w:rsid w:val="00C204C2"/>
    <w:rsid w:val="00C207AF"/>
    <w:rsid w:val="00C27BD2"/>
    <w:rsid w:val="00C37835"/>
    <w:rsid w:val="00C560F1"/>
    <w:rsid w:val="00C60BAE"/>
    <w:rsid w:val="00C75C8E"/>
    <w:rsid w:val="00C82EF1"/>
    <w:rsid w:val="00CB1A31"/>
    <w:rsid w:val="00CC180E"/>
    <w:rsid w:val="00CC29E1"/>
    <w:rsid w:val="00CE1F46"/>
    <w:rsid w:val="00CE576F"/>
    <w:rsid w:val="00D17989"/>
    <w:rsid w:val="00D440D3"/>
    <w:rsid w:val="00D5625F"/>
    <w:rsid w:val="00D655A7"/>
    <w:rsid w:val="00D874CD"/>
    <w:rsid w:val="00D92402"/>
    <w:rsid w:val="00D96549"/>
    <w:rsid w:val="00DA58DC"/>
    <w:rsid w:val="00DB3902"/>
    <w:rsid w:val="00DE48FB"/>
    <w:rsid w:val="00DE5123"/>
    <w:rsid w:val="00DE6C4C"/>
    <w:rsid w:val="00E00018"/>
    <w:rsid w:val="00E268BE"/>
    <w:rsid w:val="00E30365"/>
    <w:rsid w:val="00E425EF"/>
    <w:rsid w:val="00E55C1F"/>
    <w:rsid w:val="00E57285"/>
    <w:rsid w:val="00EA4C82"/>
    <w:rsid w:val="00EB261E"/>
    <w:rsid w:val="00EC4AE3"/>
    <w:rsid w:val="00EC6833"/>
    <w:rsid w:val="00ED4738"/>
    <w:rsid w:val="00EF0A57"/>
    <w:rsid w:val="00F11972"/>
    <w:rsid w:val="00F12DFA"/>
    <w:rsid w:val="00F34B97"/>
    <w:rsid w:val="00F40AFD"/>
    <w:rsid w:val="00F435AC"/>
    <w:rsid w:val="00F50D93"/>
    <w:rsid w:val="00F736E2"/>
    <w:rsid w:val="00F73D28"/>
    <w:rsid w:val="00F86C54"/>
    <w:rsid w:val="00F873E2"/>
    <w:rsid w:val="00F87F9F"/>
    <w:rsid w:val="00F95F1C"/>
    <w:rsid w:val="00FA1E3C"/>
    <w:rsid w:val="00FB491C"/>
    <w:rsid w:val="00FC126E"/>
    <w:rsid w:val="00FD77B3"/>
    <w:rsid w:val="02820350"/>
    <w:rsid w:val="038046B7"/>
    <w:rsid w:val="03FD0E3E"/>
    <w:rsid w:val="04794225"/>
    <w:rsid w:val="049A7BD3"/>
    <w:rsid w:val="065B5A88"/>
    <w:rsid w:val="06B17456"/>
    <w:rsid w:val="06FB67BE"/>
    <w:rsid w:val="0788465B"/>
    <w:rsid w:val="088309E8"/>
    <w:rsid w:val="09A80857"/>
    <w:rsid w:val="0B316DB7"/>
    <w:rsid w:val="0B3643CE"/>
    <w:rsid w:val="0B49789A"/>
    <w:rsid w:val="0B7A7CC3"/>
    <w:rsid w:val="0C6E02C3"/>
    <w:rsid w:val="0E72396F"/>
    <w:rsid w:val="0F5C0B51"/>
    <w:rsid w:val="10926DBF"/>
    <w:rsid w:val="118063A3"/>
    <w:rsid w:val="11BF4D40"/>
    <w:rsid w:val="12D82FDD"/>
    <w:rsid w:val="133E2072"/>
    <w:rsid w:val="13550080"/>
    <w:rsid w:val="17290A30"/>
    <w:rsid w:val="19D67E3A"/>
    <w:rsid w:val="1AD06F70"/>
    <w:rsid w:val="1C737230"/>
    <w:rsid w:val="1D3617C8"/>
    <w:rsid w:val="1D764824"/>
    <w:rsid w:val="1F6A4ADE"/>
    <w:rsid w:val="1F8A2A58"/>
    <w:rsid w:val="20954321"/>
    <w:rsid w:val="21401A3F"/>
    <w:rsid w:val="21C30312"/>
    <w:rsid w:val="21E4078C"/>
    <w:rsid w:val="22EA5AA1"/>
    <w:rsid w:val="235F193C"/>
    <w:rsid w:val="23760F5B"/>
    <w:rsid w:val="24132CA6"/>
    <w:rsid w:val="24AA4DDC"/>
    <w:rsid w:val="2524556B"/>
    <w:rsid w:val="2590711C"/>
    <w:rsid w:val="2610297D"/>
    <w:rsid w:val="26234D89"/>
    <w:rsid w:val="266D7A18"/>
    <w:rsid w:val="27E15995"/>
    <w:rsid w:val="29010F39"/>
    <w:rsid w:val="2AAF224E"/>
    <w:rsid w:val="2C4133C1"/>
    <w:rsid w:val="321073EE"/>
    <w:rsid w:val="32220E91"/>
    <w:rsid w:val="328508C1"/>
    <w:rsid w:val="34262A8D"/>
    <w:rsid w:val="354550F3"/>
    <w:rsid w:val="35767811"/>
    <w:rsid w:val="35DA1C76"/>
    <w:rsid w:val="3795172C"/>
    <w:rsid w:val="3A695377"/>
    <w:rsid w:val="3B697D24"/>
    <w:rsid w:val="3CF14232"/>
    <w:rsid w:val="3D8175A7"/>
    <w:rsid w:val="412D70FE"/>
    <w:rsid w:val="42767986"/>
    <w:rsid w:val="42BA0E65"/>
    <w:rsid w:val="4A600544"/>
    <w:rsid w:val="4B542B77"/>
    <w:rsid w:val="4B9F6E1F"/>
    <w:rsid w:val="4C9F327B"/>
    <w:rsid w:val="509947B0"/>
    <w:rsid w:val="531E2FF2"/>
    <w:rsid w:val="5499550F"/>
    <w:rsid w:val="55A55633"/>
    <w:rsid w:val="55AE3C0E"/>
    <w:rsid w:val="56B658DB"/>
    <w:rsid w:val="571F48F7"/>
    <w:rsid w:val="598C7B89"/>
    <w:rsid w:val="59A1148A"/>
    <w:rsid w:val="5A44475B"/>
    <w:rsid w:val="5AF80E2D"/>
    <w:rsid w:val="5B506723"/>
    <w:rsid w:val="5BA81D4B"/>
    <w:rsid w:val="5DE20E9D"/>
    <w:rsid w:val="5F0D6C9F"/>
    <w:rsid w:val="614B38A4"/>
    <w:rsid w:val="61A5698F"/>
    <w:rsid w:val="61B63590"/>
    <w:rsid w:val="61DC44FC"/>
    <w:rsid w:val="62064B81"/>
    <w:rsid w:val="6372539B"/>
    <w:rsid w:val="63E80DAE"/>
    <w:rsid w:val="643876B9"/>
    <w:rsid w:val="663E5786"/>
    <w:rsid w:val="66EB763C"/>
    <w:rsid w:val="6B2807B2"/>
    <w:rsid w:val="6BBF5D3D"/>
    <w:rsid w:val="6BC758CE"/>
    <w:rsid w:val="6E8247DF"/>
    <w:rsid w:val="70577F0C"/>
    <w:rsid w:val="72C264DB"/>
    <w:rsid w:val="73A82490"/>
    <w:rsid w:val="74B26A80"/>
    <w:rsid w:val="77A8122A"/>
    <w:rsid w:val="77C67628"/>
    <w:rsid w:val="7BD13B5F"/>
    <w:rsid w:val="7F7ED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annotation text"/>
    <w:basedOn w:val="1"/>
    <w:link w:val="23"/>
    <w:autoRedefine/>
    <w:qFormat/>
    <w:uiPriority w:val="0"/>
    <w:pPr>
      <w:jc w:val="left"/>
    </w:pPr>
  </w:style>
  <w:style w:type="paragraph" w:styleId="4">
    <w:name w:val="Balloon Text"/>
    <w:basedOn w:val="1"/>
    <w:semiHidden/>
    <w:qFormat/>
    <w:uiPriority w:val="0"/>
    <w:rPr>
      <w:sz w:val="18"/>
      <w:szCs w:val="18"/>
    </w:rPr>
  </w:style>
  <w:style w:type="paragraph" w:styleId="5">
    <w:name w:val="footer"/>
    <w:basedOn w:val="1"/>
    <w:link w:val="15"/>
    <w:autoRedefine/>
    <w:qFormat/>
    <w:uiPriority w:val="0"/>
    <w:pPr>
      <w:tabs>
        <w:tab w:val="center" w:pos="4153"/>
        <w:tab w:val="right" w:pos="8306"/>
      </w:tabs>
      <w:snapToGrid w:val="0"/>
      <w:jc w:val="left"/>
    </w:pPr>
    <w:rPr>
      <w:sz w:val="18"/>
      <w:szCs w:val="18"/>
    </w:rPr>
  </w:style>
  <w:style w:type="paragraph" w:styleId="6">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7"/>
    <w:qFormat/>
    <w:uiPriority w:val="10"/>
    <w:pPr>
      <w:spacing w:before="240" w:after="60"/>
      <w:jc w:val="center"/>
      <w:outlineLvl w:val="0"/>
    </w:pPr>
    <w:rPr>
      <w:rFonts w:ascii="Cambria" w:hAnsi="Cambria"/>
      <w:b/>
      <w:bCs/>
      <w:sz w:val="32"/>
      <w:szCs w:val="32"/>
    </w:rPr>
  </w:style>
  <w:style w:type="paragraph" w:styleId="8">
    <w:name w:val="annotation subject"/>
    <w:basedOn w:val="3"/>
    <w:next w:val="3"/>
    <w:link w:val="24"/>
    <w:qFormat/>
    <w:uiPriority w:val="0"/>
    <w:rPr>
      <w:b/>
      <w:bCs/>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autoRedefine/>
    <w:semiHidden/>
    <w:qFormat/>
    <w:uiPriority w:val="0"/>
  </w:style>
  <w:style w:type="character" w:styleId="13">
    <w:name w:val="Hyperlink"/>
    <w:autoRedefine/>
    <w:unhideWhenUsed/>
    <w:qFormat/>
    <w:uiPriority w:val="99"/>
    <w:rPr>
      <w:color w:val="0000FF"/>
      <w:u w:val="single"/>
    </w:rPr>
  </w:style>
  <w:style w:type="character" w:styleId="14">
    <w:name w:val="annotation reference"/>
    <w:basedOn w:val="11"/>
    <w:autoRedefine/>
    <w:qFormat/>
    <w:uiPriority w:val="0"/>
    <w:rPr>
      <w:sz w:val="21"/>
      <w:szCs w:val="21"/>
    </w:rPr>
  </w:style>
  <w:style w:type="character" w:customStyle="1" w:styleId="15">
    <w:name w:val="页脚 字符"/>
    <w:link w:val="5"/>
    <w:qFormat/>
    <w:uiPriority w:val="0"/>
    <w:rPr>
      <w:kern w:val="2"/>
      <w:sz w:val="18"/>
      <w:szCs w:val="18"/>
    </w:rPr>
  </w:style>
  <w:style w:type="character" w:customStyle="1" w:styleId="16">
    <w:name w:val="页眉 字符"/>
    <w:link w:val="6"/>
    <w:autoRedefine/>
    <w:qFormat/>
    <w:uiPriority w:val="0"/>
    <w:rPr>
      <w:kern w:val="2"/>
      <w:sz w:val="18"/>
      <w:szCs w:val="18"/>
    </w:rPr>
  </w:style>
  <w:style w:type="character" w:customStyle="1" w:styleId="17">
    <w:name w:val="标题 字符"/>
    <w:link w:val="7"/>
    <w:autoRedefine/>
    <w:qFormat/>
    <w:uiPriority w:val="10"/>
    <w:rPr>
      <w:rFonts w:ascii="Cambria" w:hAnsi="Cambria"/>
      <w:b/>
      <w:bCs/>
      <w:kern w:val="2"/>
      <w:sz w:val="32"/>
      <w:szCs w:val="32"/>
    </w:rPr>
  </w:style>
  <w:style w:type="paragraph" w:customStyle="1" w:styleId="18">
    <w:name w:val="Char Char1 Char Char Char Char Char Char Char Char Char Char 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19">
    <w:name w:val="修订1"/>
    <w:autoRedefine/>
    <w:hidden/>
    <w:semiHidden/>
    <w:qFormat/>
    <w:uiPriority w:val="99"/>
    <w:rPr>
      <w:rFonts w:ascii="Times New Roman" w:hAnsi="Times New Roman" w:eastAsia="宋体" w:cs="Times New Roman"/>
      <w:kern w:val="2"/>
      <w:sz w:val="21"/>
      <w:szCs w:val="24"/>
      <w:lang w:val="en-US" w:eastAsia="zh-CN" w:bidi="ar-SA"/>
    </w:rPr>
  </w:style>
  <w:style w:type="paragraph" w:styleId="20">
    <w:name w:val="List Paragraph"/>
    <w:basedOn w:val="1"/>
    <w:autoRedefine/>
    <w:qFormat/>
    <w:uiPriority w:val="34"/>
    <w:pPr>
      <w:ind w:firstLine="420" w:firstLineChars="200"/>
    </w:pPr>
    <w:rPr>
      <w:rFonts w:ascii="Calibri" w:hAnsi="Calibri"/>
      <w:szCs w:val="22"/>
    </w:rPr>
  </w:style>
  <w:style w:type="paragraph" w:customStyle="1" w:styleId="21">
    <w:name w:val="修订2"/>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22">
    <w:name w:val="修订3"/>
    <w:autoRedefine/>
    <w:hidden/>
    <w:unhideWhenUsed/>
    <w:qFormat/>
    <w:uiPriority w:val="99"/>
    <w:rPr>
      <w:rFonts w:ascii="Times New Roman" w:hAnsi="Times New Roman" w:eastAsia="宋体" w:cs="Times New Roman"/>
      <w:kern w:val="2"/>
      <w:sz w:val="21"/>
      <w:szCs w:val="24"/>
      <w:lang w:val="en-US" w:eastAsia="zh-CN" w:bidi="ar-SA"/>
    </w:rPr>
  </w:style>
  <w:style w:type="character" w:customStyle="1" w:styleId="23">
    <w:name w:val="批注文字 字符"/>
    <w:basedOn w:val="11"/>
    <w:link w:val="3"/>
    <w:autoRedefine/>
    <w:qFormat/>
    <w:uiPriority w:val="0"/>
    <w:rPr>
      <w:kern w:val="2"/>
      <w:sz w:val="21"/>
      <w:szCs w:val="24"/>
    </w:rPr>
  </w:style>
  <w:style w:type="character" w:customStyle="1" w:styleId="24">
    <w:name w:val="批注主题 字符"/>
    <w:basedOn w:val="23"/>
    <w:link w:val="8"/>
    <w:autoRedefine/>
    <w:qFormat/>
    <w:uiPriority w:val="0"/>
    <w:rPr>
      <w:b/>
      <w:bCs/>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5</Pages>
  <Words>3079</Words>
  <Characters>3430</Characters>
  <Lines>53</Lines>
  <Paragraphs>15</Paragraphs>
  <TotalTime>9</TotalTime>
  <ScaleCrop>false</ScaleCrop>
  <LinksUpToDate>false</LinksUpToDate>
  <CharactersWithSpaces>3476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2023-09-27T11:26:00Z</dcterms:created>
  <dc:creator>薛昊</dc:creator>
  <cp:lastModifiedBy>Lin</cp:lastModifiedBy>
  <cp:lastPrinted>2023-10-16T08:14:00Z</cp:lastPrinted>
  <dcterms:modified xsi:type="dcterms:W3CDTF">2025-10-15T08:54:26Z</dcterms:modified>
  <dc:title>项目需求书</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AA5ADDAA518844A290CE2C5D3EDEB12E_13</vt:lpwstr>
  </property>
  <property fmtid="{D5CDD505-2E9C-101B-9397-08002B2CF9AE}" pid="4" name="KSOTemplateDocerSaveRecord">
    <vt:lpwstr>eyJoZGlkIjoiNzJiNWQ2NDYxNjMyZjMyNjg5NzU4Mzk3MzM0YTk1ODQiLCJ1c2VySWQiOiI2NzI5MTcyNDcifQ==</vt:lpwstr>
  </property>
</Properties>
</file>