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pPr>
      <w:r>
        <w:t>项目需求书（</w:t>
      </w:r>
      <w:r>
        <w:rPr>
          <w:rFonts w:hint="eastAsia"/>
        </w:rPr>
        <w:t>乘用车</w:t>
      </w:r>
      <w:r>
        <w:t>）</w:t>
      </w:r>
    </w:p>
    <w:p>
      <w:pPr>
        <w:pStyle w:val="15"/>
        <w:numPr>
          <w:ilvl w:val="0"/>
          <w:numId w:val="1"/>
        </w:numPr>
        <w:spacing w:line="360" w:lineRule="auto"/>
        <w:ind w:firstLineChars="0"/>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项目背景</w:t>
      </w:r>
    </w:p>
    <w:p>
      <w:pPr>
        <w:spacing w:line="360" w:lineRule="auto"/>
        <w:ind w:firstLine="480" w:firstLineChars="200"/>
        <w:rPr>
          <w:rFonts w:hint="eastAsia" w:ascii="宋体" w:hAnsi="宋体"/>
          <w:sz w:val="24"/>
        </w:rPr>
      </w:pPr>
      <w:r>
        <w:rPr>
          <w:rFonts w:hint="eastAsia" w:ascii="Times New Roman" w:hAnsi="Times New Roman" w:eastAsia="宋体" w:cs="Times New Roman"/>
          <w:sz w:val="24"/>
          <w:lang w:val="en-US" w:eastAsia="zh-CN"/>
        </w:rPr>
        <w:t>国家超级计算天津中心因实际业务需要，拟通过公开招标方式采购公务用车一辆，用于日常公务出行、跨区域调研、商务接待、科研保障等公务活动</w:t>
      </w:r>
      <w:r>
        <w:rPr>
          <w:rFonts w:hint="eastAsia"/>
          <w:sz w:val="24"/>
        </w:rPr>
        <w:t>。</w:t>
      </w:r>
    </w:p>
    <w:p>
      <w:pPr>
        <w:spacing w:line="360" w:lineRule="auto"/>
        <w:ind w:firstLine="482" w:firstLineChars="200"/>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二、项目预算</w:t>
      </w:r>
    </w:p>
    <w:p>
      <w:pPr>
        <w:spacing w:line="360" w:lineRule="auto"/>
        <w:ind w:firstLine="480" w:firstLineChars="200"/>
        <w:rPr>
          <w:rFonts w:hint="eastAsia"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第一包：</w:t>
      </w:r>
      <w:r>
        <w:rPr>
          <w:rFonts w:hint="eastAsia" w:ascii="Times New Roman" w:hAnsi="Times New Roman" w:cs="Times New Roman"/>
          <w:color w:val="000000" w:themeColor="text1"/>
          <w:sz w:val="24"/>
          <w:szCs w:val="24"/>
          <w:lang w:val="en-US" w:eastAsia="zh-CN"/>
          <w14:textFill>
            <w14:solidFill>
              <w14:schemeClr w14:val="tx1"/>
            </w14:solidFill>
          </w14:textFill>
        </w:rPr>
        <w:t>25</w:t>
      </w:r>
      <w:r>
        <w:rPr>
          <w:rFonts w:hint="eastAsia" w:ascii="Times New Roman" w:hAnsi="Times New Roman" w:cs="Times New Roman"/>
          <w:color w:val="000000" w:themeColor="text1"/>
          <w:sz w:val="24"/>
          <w:szCs w:val="24"/>
          <w14:textFill>
            <w14:solidFill>
              <w14:schemeClr w14:val="tx1"/>
            </w14:solidFill>
          </w14:textFill>
        </w:rPr>
        <w:t>0000元；</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预算</w:t>
      </w:r>
      <w:r>
        <w:rPr>
          <w:rFonts w:hint="eastAsia" w:ascii="Times New Roman" w:hAnsi="Times New Roman" w:cs="Times New Roman"/>
          <w:color w:val="000000" w:themeColor="text1"/>
          <w:sz w:val="24"/>
          <w:lang w:val="en-US" w:eastAsia="zh-CN"/>
          <w14:textFill>
            <w14:solidFill>
              <w14:schemeClr w14:val="tx1"/>
            </w14:solidFill>
          </w14:textFill>
        </w:rPr>
        <w:t>25</w:t>
      </w:r>
      <w:r>
        <w:rPr>
          <w:rFonts w:hint="eastAsia"/>
          <w:color w:val="000000" w:themeColor="text1"/>
          <w:sz w:val="24"/>
          <w14:textFill>
            <w14:solidFill>
              <w14:schemeClr w14:val="tx1"/>
            </w14:solidFill>
          </w14:textFill>
        </w:rPr>
        <w:t>万元，投标人的报价应包括：车辆及附件货款、运输费、运输保险费、装卸费、安装调试费及其他应有的费用。投标人所报价格为货到现场安装调试完成的最终优惠价格。</w:t>
      </w:r>
    </w:p>
    <w:p>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不包含装具费用、机动车保险、车辆购置税、机动车号牌费用。</w:t>
      </w:r>
    </w:p>
    <w:p>
      <w:pPr>
        <w:autoSpaceDE w:val="0"/>
        <w:autoSpaceDN w:val="0"/>
        <w:adjustRightInd w:val="0"/>
        <w:spacing w:line="360" w:lineRule="auto"/>
        <w:ind w:firstLine="480" w:firstLineChars="200"/>
        <w:rPr>
          <w:sz w:val="24"/>
        </w:rPr>
      </w:pPr>
      <w:r>
        <w:rPr>
          <w:rFonts w:hint="eastAsia"/>
          <w:sz w:val="24"/>
        </w:rPr>
        <w:t>1. 投标报价以人民币填列。</w:t>
      </w:r>
    </w:p>
    <w:p>
      <w:pPr>
        <w:autoSpaceDE w:val="0"/>
        <w:autoSpaceDN w:val="0"/>
        <w:adjustRightInd w:val="0"/>
        <w:spacing w:line="360" w:lineRule="auto"/>
        <w:ind w:firstLine="480" w:firstLineChars="200"/>
        <w:rPr>
          <w:sz w:val="24"/>
        </w:rPr>
      </w:pPr>
      <w:r>
        <w:rPr>
          <w:rFonts w:hint="eastAsia"/>
          <w:sz w:val="24"/>
        </w:rPr>
        <w:t>2. 投标人的报价应包括：车辆及附件货款、运输费、运输保险费、装卸费、安装调试费及利润税金等为完成招标文件规定的全部要求所需的一切费用。投标人所报价格为货到现场安装调试完成的最终优惠价格。</w:t>
      </w:r>
    </w:p>
    <w:p>
      <w:pPr>
        <w:autoSpaceDE w:val="0"/>
        <w:autoSpaceDN w:val="0"/>
        <w:adjustRightInd w:val="0"/>
        <w:spacing w:line="360" w:lineRule="auto"/>
        <w:ind w:firstLine="480" w:firstLineChars="200"/>
        <w:rPr>
          <w:sz w:val="24"/>
        </w:rPr>
      </w:pPr>
      <w:r>
        <w:rPr>
          <w:rFonts w:hint="eastAsia"/>
          <w:sz w:val="24"/>
        </w:rPr>
        <w:t>3. 验收及相关费用由投标人负责。</w:t>
      </w:r>
    </w:p>
    <w:p>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三、</w:t>
      </w:r>
      <w:r>
        <w:rPr>
          <w:rFonts w:hint="eastAsia" w:ascii="Times New Roman" w:hAnsi="Times New Roman" w:cs="Times New Roman"/>
          <w:b/>
          <w:sz w:val="24"/>
          <w:szCs w:val="24"/>
        </w:rPr>
        <w:t>资格要求</w:t>
      </w:r>
    </w:p>
    <w:p>
      <w:pPr>
        <w:spacing w:line="360" w:lineRule="auto"/>
        <w:ind w:firstLine="480" w:firstLineChars="200"/>
        <w:rPr>
          <w:rFonts w:hint="eastAsia" w:ascii="宋体" w:hAnsi="宋体"/>
          <w:color w:val="auto"/>
          <w:sz w:val="24"/>
        </w:rPr>
      </w:pPr>
      <w:r>
        <w:rPr>
          <w:rFonts w:hint="eastAsia" w:ascii="宋体" w:hAnsi="宋体"/>
          <w:color w:val="auto"/>
          <w:sz w:val="24"/>
        </w:rPr>
        <w:t>（一）根据现行法律法规的要求，设置供应商投标的特定资格条件。</w:t>
      </w:r>
    </w:p>
    <w:p>
      <w:pPr>
        <w:spacing w:line="360" w:lineRule="auto"/>
        <w:ind w:firstLine="480" w:firstLineChars="200"/>
        <w:rPr>
          <w:sz w:val="24"/>
        </w:rPr>
      </w:pPr>
      <w:r>
        <w:rPr>
          <w:rFonts w:hint="eastAsia"/>
          <w:sz w:val="24"/>
        </w:rPr>
        <w:t>（二）投标人须具备《中华人民共和国政府采购法》第二十二条第一款规定的条件。</w:t>
      </w:r>
    </w:p>
    <w:p>
      <w:pPr>
        <w:spacing w:line="360" w:lineRule="auto"/>
        <w:ind w:firstLine="480" w:firstLineChars="200"/>
        <w:rPr>
          <w:sz w:val="24"/>
        </w:rPr>
      </w:pPr>
      <w:r>
        <w:rPr>
          <w:rFonts w:hint="eastAsia"/>
          <w:color w:val="auto"/>
          <w:sz w:val="24"/>
        </w:rPr>
        <w:t>（三）本项目不接受联合体。</w:t>
      </w:r>
    </w:p>
    <w:p>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四、</w:t>
      </w:r>
      <w:r>
        <w:rPr>
          <w:rFonts w:ascii="Times New Roman" w:hAnsi="Times New Roman" w:cs="Times New Roman"/>
          <w:b/>
          <w:sz w:val="24"/>
          <w:szCs w:val="24"/>
        </w:rPr>
        <w:t>服务要求</w:t>
      </w:r>
    </w:p>
    <w:p>
      <w:pPr>
        <w:spacing w:line="360" w:lineRule="auto"/>
        <w:ind w:firstLine="480" w:firstLineChars="200"/>
        <w:outlineLvl w:val="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车辆须享受制造商原厂整车质保服务，质保期不少于3年或10万公里（以先到者为准），质保范围及标准按原厂保修手册执行。</w:t>
      </w:r>
    </w:p>
    <w:p>
      <w:pPr>
        <w:autoSpaceDE w:val="0"/>
        <w:autoSpaceDN w:val="0"/>
        <w:adjustRightInd w:val="0"/>
        <w:spacing w:line="360" w:lineRule="auto"/>
        <w:ind w:firstLine="480" w:firstLineChars="200"/>
        <w:rPr>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2</w:t>
      </w:r>
      <w:r>
        <w:rPr>
          <w:rFonts w:ascii="Times New Roman" w:hAnsi="Times New Roman" w:cs="Times New Roman"/>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提供所投产品制造商服务机构情况，包括地址、联系方式及技术人员数量等。</w:t>
      </w:r>
    </w:p>
    <w:p>
      <w:pPr>
        <w:autoSpaceDE w:val="0"/>
        <w:autoSpaceDN w:val="0"/>
        <w:adjustRightInd w:val="0"/>
        <w:spacing w:line="360" w:lineRule="auto"/>
        <w:ind w:firstLine="480" w:firstLineChars="200"/>
        <w:rPr>
          <w:rFonts w:hint="eastAsia"/>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3</w:t>
      </w:r>
      <w:r>
        <w:rPr>
          <w:rFonts w:ascii="Times New Roman" w:hAnsi="Times New Roman" w:cs="Times New Roman"/>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投标人须承诺，在参与本次项目投标中，不存在“与本单位负责人为同一人或者存在直接控股、管理关系”的其他法人单位。</w:t>
      </w:r>
    </w:p>
    <w:p>
      <w:pPr>
        <w:spacing w:line="360" w:lineRule="auto"/>
        <w:ind w:firstLine="480" w:firstLineChars="200"/>
        <w:outlineLvl w:val="0"/>
        <w:rPr>
          <w:rFonts w:hint="default" w:eastAsiaTheme="minor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4.</w:t>
      </w:r>
      <w:r>
        <w:rPr>
          <w:rFonts w:hint="eastAsia" w:ascii="Times New Roman" w:hAnsi="Times New Roman" w:eastAsia="宋体" w:cs="Times New Roman"/>
          <w:sz w:val="24"/>
          <w:lang w:val="en-US" w:eastAsia="zh-CN"/>
        </w:rPr>
        <w:t>供应商须提供办理车辆上牌手续（含上牌、购置税代缴）的服务，所产生的费用由需方负责，上牌手续按相关规定办理。</w:t>
      </w:r>
    </w:p>
    <w:p>
      <w:pPr>
        <w:autoSpaceDE w:val="0"/>
        <w:autoSpaceDN w:val="0"/>
        <w:spacing w:line="360" w:lineRule="auto"/>
        <w:ind w:firstLine="482" w:firstLineChars="200"/>
        <w:rPr>
          <w:rFonts w:ascii="Times New Roman" w:hAnsi="Times New Roman" w:cs="Times New Roman"/>
          <w:b/>
          <w:sz w:val="24"/>
        </w:rPr>
      </w:pPr>
      <w:r>
        <w:rPr>
          <w:rFonts w:hint="eastAsia" w:ascii="Times New Roman" w:hAnsi="Times New Roman" w:cs="Times New Roman"/>
          <w:b/>
          <w:sz w:val="24"/>
        </w:rPr>
        <w:t>五</w:t>
      </w:r>
      <w:r>
        <w:rPr>
          <w:rFonts w:ascii="Times New Roman" w:hAnsi="Times New Roman" w:cs="Times New Roman"/>
          <w:b/>
          <w:sz w:val="24"/>
        </w:rPr>
        <w:t>、交货要求</w:t>
      </w:r>
    </w:p>
    <w:p>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交货时间：</w:t>
      </w:r>
      <w:r>
        <w:rPr>
          <w:rFonts w:hint="eastAsia"/>
          <w:color w:val="000000" w:themeColor="text1"/>
          <w:sz w:val="24"/>
          <w14:textFill>
            <w14:solidFill>
              <w14:schemeClr w14:val="tx1"/>
            </w14:solidFill>
          </w14:textFill>
        </w:rPr>
        <w:t>签订合同之日起30日内（特殊情况以合同为准）。</w:t>
      </w:r>
    </w:p>
    <w:p>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交货地点：</w:t>
      </w:r>
      <w:r>
        <w:rPr>
          <w:rFonts w:hint="eastAsia"/>
          <w:color w:val="000000" w:themeColor="text1"/>
          <w:sz w:val="24"/>
          <w:lang w:eastAsia="zh-CN"/>
          <w14:textFill>
            <w14:solidFill>
              <w14:schemeClr w14:val="tx1"/>
            </w14:solidFill>
          </w14:textFill>
        </w:rPr>
        <w:t>用户指定</w:t>
      </w:r>
      <w:r>
        <w:rPr>
          <w:rFonts w:hint="eastAsia"/>
          <w:color w:val="000000" w:themeColor="text1"/>
          <w:sz w:val="24"/>
          <w14:textFill>
            <w14:solidFill>
              <w14:schemeClr w14:val="tx1"/>
            </w14:solidFill>
          </w14:textFill>
        </w:rPr>
        <w:t>（特殊情况以合同为准）。</w:t>
      </w:r>
    </w:p>
    <w:p>
      <w:pPr>
        <w:autoSpaceDE w:val="0"/>
        <w:autoSpaceDN w:val="0"/>
        <w:adjustRightInd w:val="0"/>
        <w:spacing w:line="360" w:lineRule="auto"/>
        <w:ind w:firstLine="480" w:firstLineChars="200"/>
        <w:rPr>
          <w:color w:val="000000" w:themeColor="text1"/>
          <w:sz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3.</w:t>
      </w:r>
      <w:r>
        <w:rPr>
          <w:rFonts w:hint="eastAsia"/>
          <w:color w:val="000000" w:themeColor="text1"/>
          <w:sz w:val="24"/>
          <w14:textFill>
            <w14:solidFill>
              <w14:schemeClr w14:val="tx1"/>
            </w14:solidFill>
          </w14:textFill>
        </w:rPr>
        <w:t>提供制造商完整的随机资料，包括完整的使用和维修手册等。</w:t>
      </w:r>
    </w:p>
    <w:p>
      <w:pPr>
        <w:autoSpaceDE w:val="0"/>
        <w:autoSpaceDN w:val="0"/>
        <w:adjustRightInd w:val="0"/>
        <w:spacing w:line="360" w:lineRule="auto"/>
        <w:ind w:firstLine="480" w:firstLineChars="200"/>
        <w:rPr>
          <w:color w:val="000000" w:themeColor="text1"/>
          <w:sz w:val="24"/>
          <w14:textFill>
            <w14:solidFill>
              <w14:schemeClr w14:val="tx1"/>
            </w14:solidFill>
          </w14:textFill>
        </w:rPr>
      </w:pPr>
      <w:r>
        <w:rPr>
          <w:rFonts w:hint="eastAsia" w:ascii="Times New Roman" w:hAnsi="Times New Roman" w:cs="Times New Roman"/>
          <w:color w:val="000000" w:themeColor="text1"/>
          <w:sz w:val="24"/>
          <w:szCs w:val="24"/>
          <w14:textFill>
            <w14:solidFill>
              <w14:schemeClr w14:val="tx1"/>
            </w14:solidFill>
          </w14:textFill>
        </w:rPr>
        <w:t>4.</w:t>
      </w:r>
      <w:r>
        <w:rPr>
          <w:rFonts w:hint="eastAsia"/>
          <w:color w:val="000000" w:themeColor="text1"/>
          <w:sz w:val="24"/>
          <w14:textFill>
            <w14:solidFill>
              <w14:schemeClr w14:val="tx1"/>
            </w14:solidFill>
          </w14:textFill>
        </w:rPr>
        <w:t>特别要求：</w:t>
      </w:r>
    </w:p>
    <w:p>
      <w:pPr>
        <w:autoSpaceDE w:val="0"/>
        <w:autoSpaceDN w:val="0"/>
        <w:adjustRightIn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pPr>
        <w:spacing w:line="36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货物的包装和发运必须符合货物特性要求。为了保证货物在长途运输和装卸过程中的安全，货物包装应符合国家或行业标准规定。由于包装不善导致货物锈蚀、失缺或损坏，由供货商承担一切责任。</w:t>
      </w:r>
    </w:p>
    <w:p>
      <w:pPr>
        <w:autoSpaceDE w:val="0"/>
        <w:autoSpaceDN w:val="0"/>
        <w:spacing w:line="360" w:lineRule="auto"/>
        <w:ind w:firstLine="482" w:firstLineChars="200"/>
        <w:rPr>
          <w:rFonts w:ascii="Times New Roman" w:hAnsi="Times New Roman" w:cs="Times New Roman"/>
          <w:b/>
          <w:sz w:val="24"/>
        </w:rPr>
      </w:pPr>
      <w:r>
        <w:rPr>
          <w:rFonts w:hint="eastAsia" w:ascii="Times New Roman" w:hAnsi="Times New Roman" w:cs="Times New Roman"/>
          <w:b/>
          <w:sz w:val="24"/>
        </w:rPr>
        <w:t>六</w:t>
      </w:r>
      <w:r>
        <w:rPr>
          <w:rFonts w:ascii="Times New Roman" w:hAnsi="Times New Roman" w:cs="Times New Roman"/>
          <w:b/>
          <w:sz w:val="24"/>
        </w:rPr>
        <w:t>、付款方式</w:t>
      </w:r>
    </w:p>
    <w:p>
      <w:pPr>
        <w:spacing w:line="360" w:lineRule="auto"/>
        <w:ind w:firstLine="480" w:firstLineChars="200"/>
        <w:outlineLvl w:val="0"/>
        <w:rPr>
          <w:rFonts w:hint="eastAsia" w:ascii="Times New Roman" w:hAnsi="Times New Roman" w:eastAsia="宋体" w:cs="Times New Roman"/>
          <w:sz w:val="24"/>
        </w:rPr>
      </w:pPr>
      <w:r>
        <w:rPr>
          <w:rFonts w:hint="eastAsia" w:ascii="Times New Roman" w:hAnsi="Times New Roman" w:eastAsia="宋体" w:cs="Times New Roman"/>
          <w:sz w:val="24"/>
        </w:rPr>
        <w:t>3.付款方式：</w:t>
      </w:r>
      <w:r>
        <w:rPr>
          <w:rFonts w:hint="eastAsia" w:ascii="Times New Roman" w:hAnsi="Times New Roman" w:eastAsia="宋体" w:cs="Times New Roman"/>
          <w:sz w:val="24"/>
          <w:lang w:val="en-US" w:eastAsia="zh-CN"/>
        </w:rPr>
        <w:t>预付款：合同签订后3日内，采购单位向供应商支付合同总金额的30%作为预付款（不超过合同总金额的30%，符合政府采购付款规定）。车辆验收合格，开具发票后三日内一次性付清全部尾款。尾款付清后三日内交付车辆。</w:t>
      </w:r>
    </w:p>
    <w:p>
      <w:pPr>
        <w:autoSpaceDE w:val="0"/>
        <w:autoSpaceDN w:val="0"/>
        <w:spacing w:line="360" w:lineRule="auto"/>
        <w:ind w:firstLine="482" w:firstLineChars="200"/>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七</w:t>
      </w:r>
      <w:r>
        <w:rPr>
          <w:rFonts w:ascii="Times New Roman" w:hAnsi="Times New Roman" w:cs="Times New Roman"/>
          <w:b/>
          <w:color w:val="000000" w:themeColor="text1"/>
          <w:sz w:val="24"/>
          <w14:textFill>
            <w14:solidFill>
              <w14:schemeClr w14:val="tx1"/>
            </w14:solidFill>
          </w14:textFill>
        </w:rPr>
        <w:t>、技术要求</w:t>
      </w:r>
    </w:p>
    <w:p>
      <w:pPr>
        <w:autoSpaceDE w:val="0"/>
        <w:autoSpaceDN w:val="0"/>
        <w:spacing w:line="360" w:lineRule="auto"/>
        <w:ind w:firstLine="482" w:firstLineChars="200"/>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第一包：</w:t>
      </w:r>
    </w:p>
    <w:p>
      <w:pPr>
        <w:autoSpaceDE w:val="0"/>
        <w:autoSpaceDN w:val="0"/>
        <w:spacing w:line="360" w:lineRule="auto"/>
        <w:rPr>
          <w:rFonts w:ascii="Times New Roman" w:hAnsi="Times New Roman" w:cs="Times New Roman"/>
          <w:b/>
          <w:color w:val="000000" w:themeColor="text1"/>
          <w:sz w:val="24"/>
          <w14:textFill>
            <w14:solidFill>
              <w14:schemeClr w14:val="tx1"/>
            </w14:solidFill>
          </w14:textFill>
        </w:rPr>
      </w:pPr>
      <w:r>
        <w:rPr>
          <w:rFonts w:hint="eastAsia" w:ascii="Times New Roman" w:hAnsi="Times New Roman" w:cs="Times New Roman"/>
          <w:b/>
          <w:color w:val="000000" w:themeColor="text1"/>
          <w:sz w:val="24"/>
          <w14:textFill>
            <w14:solidFill>
              <w14:schemeClr w14:val="tx1"/>
            </w14:solidFill>
          </w14:textFill>
        </w:rPr>
        <w:t xml:space="preserve"> </w:t>
      </w:r>
      <w:bookmarkStart w:id="0" w:name="_GoBack"/>
      <w:bookmarkEnd w:id="0"/>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357"/>
        <w:gridCol w:w="992"/>
        <w:gridCol w:w="5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blHeader/>
          <w:jc w:val="center"/>
        </w:trPr>
        <w:tc>
          <w:tcPr>
            <w:tcW w:w="431" w:type="pct"/>
            <w:vAlign w:val="center"/>
          </w:tcPr>
          <w:p>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序号</w:t>
            </w:r>
          </w:p>
        </w:tc>
        <w:tc>
          <w:tcPr>
            <w:tcW w:w="796" w:type="pct"/>
            <w:vAlign w:val="center"/>
          </w:tcPr>
          <w:p>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采购项名称</w:t>
            </w:r>
          </w:p>
        </w:tc>
        <w:tc>
          <w:tcPr>
            <w:tcW w:w="582" w:type="pct"/>
            <w:vAlign w:val="center"/>
          </w:tcPr>
          <w:p>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数量</w:t>
            </w:r>
          </w:p>
        </w:tc>
        <w:tc>
          <w:tcPr>
            <w:tcW w:w="3189" w:type="pct"/>
            <w:vAlign w:val="center"/>
          </w:tcPr>
          <w:p>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需求条款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restart"/>
            <w:vAlign w:val="center"/>
          </w:tcPr>
          <w:p>
            <w:pPr>
              <w:widowControl/>
              <w:snapToGrid w:val="0"/>
              <w:jc w:val="center"/>
              <w:rPr>
                <w:rFonts w:ascii="Times New Roman" w:hAnsi="Times New Roman" w:cs="Times New Roman"/>
                <w:kern w:val="0"/>
                <w:sz w:val="24"/>
                <w:szCs w:val="24"/>
              </w:rPr>
            </w:pPr>
          </w:p>
        </w:tc>
        <w:tc>
          <w:tcPr>
            <w:tcW w:w="796" w:type="pct"/>
            <w:vMerge w:val="restart"/>
            <w:vAlign w:val="center"/>
          </w:tcPr>
          <w:p>
            <w:pPr>
              <w:widowControl/>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lang w:eastAsia="zh-CN"/>
              </w:rPr>
              <w:t>商务车</w:t>
            </w:r>
          </w:p>
        </w:tc>
        <w:tc>
          <w:tcPr>
            <w:tcW w:w="582" w:type="pct"/>
            <w:vMerge w:val="restart"/>
            <w:vAlign w:val="center"/>
          </w:tcPr>
          <w:p>
            <w:pPr>
              <w:widowControl/>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1</w:t>
            </w:r>
          </w:p>
        </w:tc>
        <w:tc>
          <w:tcPr>
            <w:tcW w:w="3189" w:type="pct"/>
            <w:vAlign w:val="center"/>
          </w:tcPr>
          <w:p>
            <w:pPr>
              <w:widowControl/>
              <w:jc w:val="left"/>
              <w:rPr>
                <w:rFonts w:ascii="Times New Roman" w:hAnsi="Times New Roman" w:cs="Times New Roman"/>
                <w:color w:val="000000"/>
                <w:kern w:val="0"/>
                <w:sz w:val="24"/>
                <w:szCs w:val="24"/>
              </w:rPr>
            </w:pPr>
            <w:r>
              <w:rPr>
                <w:rFonts w:hint="eastAsia" w:ascii="宋体" w:hAnsi="宋体" w:eastAsia="宋体" w:cs="宋体"/>
                <w:color w:val="000000"/>
                <w:kern w:val="0"/>
                <w:sz w:val="24"/>
                <w:szCs w:val="24"/>
              </w:rPr>
              <w:t>★</w:t>
            </w:r>
            <w:r>
              <w:rPr>
                <w:rFonts w:ascii="Times New Roman" w:hAnsi="Times New Roman" w:cs="Times New Roman"/>
                <w:color w:val="000000"/>
                <w:kern w:val="0"/>
                <w:sz w:val="24"/>
                <w:szCs w:val="24"/>
              </w:rPr>
              <w:t>能源类型：</w:t>
            </w:r>
            <w:r>
              <w:rPr>
                <w:rFonts w:hint="eastAsia" w:ascii="Times New Roman" w:hAnsi="Times New Roman" w:cs="Times New Roman"/>
                <w:color w:val="000000"/>
                <w:kern w:val="0"/>
                <w:sz w:val="24"/>
                <w:szCs w:val="24"/>
                <w:lang w:eastAsia="zh-CN"/>
              </w:rPr>
              <w:t>插电</w:t>
            </w:r>
            <w:r>
              <w:rPr>
                <w:rFonts w:ascii="Times New Roman" w:hAnsi="Times New Roman" w:cs="Times New Roman"/>
                <w:color w:val="000000"/>
                <w:kern w:val="0"/>
                <w:sz w:val="24"/>
                <w:szCs w:val="24"/>
              </w:rPr>
              <w:t>混合动力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hint="eastAsia" w:ascii="宋体" w:hAnsi="宋体" w:eastAsia="宋体" w:cs="宋体"/>
                <w:color w:val="000000"/>
                <w:kern w:val="0"/>
                <w:sz w:val="24"/>
                <w:szCs w:val="24"/>
              </w:rPr>
              <w:t>★</w:t>
            </w:r>
            <w:r>
              <w:rPr>
                <w:rFonts w:ascii="Times New Roman" w:hAnsi="Times New Roman" w:cs="Times New Roman"/>
                <w:color w:val="000000"/>
                <w:kern w:val="0"/>
                <w:sz w:val="24"/>
                <w:szCs w:val="24"/>
              </w:rPr>
              <w:t>排放标准：国</w:t>
            </w:r>
            <w:r>
              <w:rPr>
                <w:rFonts w:hint="eastAsia" w:ascii="Times New Roman" w:hAnsi="Times New Roman" w:cs="Times New Roman"/>
                <w:color w:val="000000"/>
                <w:kern w:val="0"/>
                <w:sz w:val="24"/>
                <w:szCs w:val="24"/>
              </w:rPr>
              <w:t>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hint="eastAsia" w:ascii="宋体" w:hAnsi="宋体" w:eastAsia="宋体" w:cs="宋体"/>
                <w:color w:val="000000"/>
                <w:kern w:val="0"/>
                <w:sz w:val="24"/>
                <w:szCs w:val="24"/>
              </w:rPr>
              <w:t>★</w:t>
            </w:r>
            <w:r>
              <w:rPr>
                <w:rFonts w:ascii="Times New Roman" w:hAnsi="Times New Roman" w:cs="Times New Roman"/>
                <w:color w:val="000000"/>
                <w:kern w:val="0"/>
                <w:sz w:val="24"/>
                <w:szCs w:val="24"/>
              </w:rPr>
              <w:t>车身结构：</w:t>
            </w:r>
            <w:r>
              <w:rPr>
                <w:rFonts w:hint="eastAsia" w:ascii="Times New Roman" w:hAnsi="Times New Roman" w:cs="Times New Roman"/>
                <w:color w:val="000000"/>
                <w:kern w:val="0"/>
                <w:sz w:val="24"/>
                <w:szCs w:val="24"/>
              </w:rPr>
              <w:t>5</w:t>
            </w:r>
            <w:r>
              <w:rPr>
                <w:rFonts w:ascii="Times New Roman" w:hAnsi="Times New Roman" w:cs="Times New Roman"/>
                <w:color w:val="000000"/>
                <w:kern w:val="0"/>
                <w:sz w:val="24"/>
                <w:szCs w:val="24"/>
              </w:rPr>
              <w:t>门</w:t>
            </w:r>
            <w:r>
              <w:rPr>
                <w:rFonts w:hint="eastAsia" w:ascii="Times New Roman" w:hAnsi="Times New Roman" w:cs="Times New Roman"/>
                <w:color w:val="000000"/>
                <w:kern w:val="0"/>
                <w:sz w:val="24"/>
                <w:szCs w:val="24"/>
              </w:rPr>
              <w:t>7</w:t>
            </w:r>
            <w:r>
              <w:rPr>
                <w:rFonts w:ascii="Times New Roman" w:hAnsi="Times New Roman" w:cs="Times New Roman"/>
                <w:color w:val="000000"/>
                <w:kern w:val="0"/>
                <w:sz w:val="24"/>
                <w:szCs w:val="24"/>
              </w:rPr>
              <w:t>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车身尺寸（mm）：5</w:t>
            </w:r>
            <w:r>
              <w:rPr>
                <w:rFonts w:hint="eastAsia" w:ascii="Times New Roman" w:hAnsi="Times New Roman" w:cs="Times New Roman"/>
                <w:color w:val="000000"/>
                <w:kern w:val="0"/>
                <w:sz w:val="24"/>
                <w:szCs w:val="24"/>
              </w:rPr>
              <w:t>1</w:t>
            </w:r>
            <w:r>
              <w:rPr>
                <w:rFonts w:ascii="Times New Roman" w:hAnsi="Times New Roman" w:cs="Times New Roman"/>
                <w:color w:val="000000"/>
                <w:kern w:val="0"/>
                <w:sz w:val="24"/>
                <w:szCs w:val="24"/>
              </w:rPr>
              <w:t>00mm≤长≤5</w:t>
            </w:r>
            <w:r>
              <w:rPr>
                <w:rFonts w:hint="eastAsia" w:ascii="Times New Roman" w:hAnsi="Times New Roman" w:cs="Times New Roman"/>
                <w:color w:val="000000"/>
                <w:kern w:val="0"/>
                <w:sz w:val="24"/>
                <w:szCs w:val="24"/>
                <w:lang w:val="en-US" w:eastAsia="zh-CN"/>
              </w:rPr>
              <w:t>300</w:t>
            </w:r>
            <w:r>
              <w:rPr>
                <w:rFonts w:ascii="Times New Roman" w:hAnsi="Times New Roman" w:cs="Times New Roman"/>
                <w:color w:val="000000"/>
                <w:kern w:val="0"/>
                <w:sz w:val="24"/>
                <w:szCs w:val="24"/>
              </w:rPr>
              <w:t xml:space="preserve">mm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车身尺寸（mm）：1800mm≤宽≤</w:t>
            </w:r>
            <w:r>
              <w:rPr>
                <w:rFonts w:hint="eastAsia" w:ascii="Times New Roman" w:hAnsi="Times New Roman" w:cs="Times New Roman"/>
                <w:color w:val="000000"/>
                <w:kern w:val="0"/>
                <w:sz w:val="24"/>
                <w:szCs w:val="24"/>
                <w:lang w:val="en-US" w:eastAsia="zh-CN"/>
              </w:rPr>
              <w:t>19</w:t>
            </w:r>
            <w:r>
              <w:rPr>
                <w:rFonts w:ascii="Times New Roman" w:hAnsi="Times New Roman" w:cs="Times New Roman"/>
                <w:color w:val="000000"/>
                <w:kern w:val="0"/>
                <w:sz w:val="24"/>
                <w:szCs w:val="24"/>
              </w:rPr>
              <w:t>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车身尺寸（mm）：1800mm≤高≤</w:t>
            </w:r>
            <w:r>
              <w:rPr>
                <w:rFonts w:hint="eastAsia" w:ascii="Times New Roman" w:hAnsi="Times New Roman" w:cs="Times New Roman"/>
                <w:color w:val="000000"/>
                <w:kern w:val="0"/>
                <w:sz w:val="24"/>
                <w:szCs w:val="24"/>
                <w:lang w:val="en-US" w:eastAsia="zh-CN"/>
              </w:rPr>
              <w:t>2000</w:t>
            </w:r>
            <w:r>
              <w:rPr>
                <w:rFonts w:ascii="Times New Roman" w:hAnsi="Times New Roman" w:cs="Times New Roman"/>
                <w:color w:val="000000"/>
                <w:kern w:val="0"/>
                <w:sz w:val="24"/>
                <w:szCs w:val="24"/>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轴距（mm）：</w:t>
            </w:r>
            <w:r>
              <w:rPr>
                <w:rFonts w:hint="eastAsia" w:ascii="Times New Roman" w:hAnsi="Times New Roman" w:cs="Times New Roman"/>
                <w:color w:val="000000"/>
                <w:kern w:val="0"/>
                <w:sz w:val="24"/>
                <w:szCs w:val="24"/>
                <w:lang w:val="en-US" w:eastAsia="zh-CN"/>
              </w:rPr>
              <w:t>3000</w:t>
            </w:r>
            <w:r>
              <w:rPr>
                <w:rFonts w:ascii="Times New Roman" w:hAnsi="Times New Roman" w:cs="Times New Roman"/>
                <w:color w:val="000000"/>
                <w:kern w:val="0"/>
                <w:sz w:val="24"/>
                <w:szCs w:val="24"/>
              </w:rPr>
              <w:t>mm</w:t>
            </w:r>
            <w:r>
              <w:rPr>
                <w:rFonts w:hint="eastAsia" w:ascii="Times New Roman" w:hAnsi="Times New Roman" w:cs="Times New Roman"/>
                <w:color w:val="000000"/>
                <w:kern w:val="0"/>
                <w:sz w:val="24"/>
                <w:szCs w:val="24"/>
                <w:lang w:eastAsia="zh-CN"/>
              </w:rPr>
              <w:t>＜</w:t>
            </w:r>
            <w:r>
              <w:rPr>
                <w:rFonts w:hint="eastAsia" w:ascii="Times New Roman" w:hAnsi="Times New Roman" w:cs="Times New Roman"/>
                <w:color w:val="000000"/>
                <w:kern w:val="0"/>
                <w:sz w:val="24"/>
                <w:szCs w:val="24"/>
              </w:rPr>
              <w:t>轴距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发动机排量（ml）：1498ml≤排量≤1</w:t>
            </w:r>
            <w:r>
              <w:rPr>
                <w:rFonts w:hint="eastAsia" w:ascii="Times New Roman" w:hAnsi="Times New Roman" w:cs="Times New Roman"/>
                <w:color w:val="000000"/>
                <w:kern w:val="0"/>
                <w:sz w:val="24"/>
                <w:szCs w:val="24"/>
                <w:lang w:val="en-US" w:eastAsia="zh-CN"/>
              </w:rPr>
              <w:t>998</w:t>
            </w:r>
            <w:r>
              <w:rPr>
                <w:rFonts w:ascii="Times New Roman" w:hAnsi="Times New Roman" w:cs="Times New Roman"/>
                <w:color w:val="000000"/>
                <w:kern w:val="0"/>
                <w:sz w:val="24"/>
                <w:szCs w:val="24"/>
              </w:rPr>
              <w:t>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发动机功率（kw）：1</w:t>
            </w:r>
            <w:r>
              <w:rPr>
                <w:rFonts w:hint="eastAsia" w:ascii="Times New Roman" w:hAnsi="Times New Roman" w:cs="Times New Roman"/>
                <w:color w:val="000000"/>
                <w:kern w:val="0"/>
                <w:sz w:val="24"/>
                <w:szCs w:val="24"/>
                <w:lang w:val="en-US" w:eastAsia="zh-CN"/>
              </w:rPr>
              <w:t>2</w:t>
            </w:r>
            <w:r>
              <w:rPr>
                <w:rFonts w:ascii="Times New Roman" w:hAnsi="Times New Roman" w:cs="Times New Roman"/>
                <w:color w:val="000000"/>
                <w:kern w:val="0"/>
                <w:sz w:val="24"/>
                <w:szCs w:val="24"/>
              </w:rPr>
              <w:t>0kw≤</w:t>
            </w:r>
            <w:r>
              <w:rPr>
                <w:rFonts w:hint="eastAsia" w:ascii="Times New Roman" w:hAnsi="Times New Roman" w:cs="Times New Roman"/>
                <w:color w:val="000000"/>
                <w:kern w:val="0"/>
                <w:sz w:val="24"/>
                <w:szCs w:val="24"/>
              </w:rPr>
              <w:t>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hint="eastAsia" w:ascii="Times New Roman" w:hAnsi="Times New Roman" w:cs="Times New Roman" w:eastAsiaTheme="minorEastAsia"/>
                <w:color w:val="000000"/>
                <w:kern w:val="0"/>
                <w:sz w:val="24"/>
                <w:szCs w:val="24"/>
                <w:lang w:eastAsia="zh-CN"/>
              </w:rPr>
            </w:pPr>
            <w:r>
              <w:rPr>
                <w:rFonts w:hint="eastAsia" w:ascii="Times New Roman" w:hAnsi="Times New Roman" w:cs="Times New Roman"/>
                <w:color w:val="000000"/>
                <w:kern w:val="0"/>
                <w:sz w:val="24"/>
                <w:szCs w:val="24"/>
                <w:lang w:eastAsia="zh-CN"/>
              </w:rPr>
              <w:t>电机总功率：</w:t>
            </w:r>
            <w:r>
              <w:rPr>
                <w:rFonts w:ascii="Times New Roman" w:hAnsi="Times New Roman" w:cs="Times New Roman"/>
                <w:color w:val="000000"/>
                <w:kern w:val="0"/>
                <w:sz w:val="24"/>
                <w:szCs w:val="24"/>
              </w:rPr>
              <w:t>1</w:t>
            </w:r>
            <w:r>
              <w:rPr>
                <w:rFonts w:hint="eastAsia" w:ascii="Times New Roman" w:hAnsi="Times New Roman" w:cs="Times New Roman"/>
                <w:color w:val="000000"/>
                <w:kern w:val="0"/>
                <w:sz w:val="24"/>
                <w:szCs w:val="24"/>
                <w:lang w:val="en-US" w:eastAsia="zh-CN"/>
              </w:rPr>
              <w:t>5</w:t>
            </w:r>
            <w:r>
              <w:rPr>
                <w:rFonts w:ascii="Times New Roman" w:hAnsi="Times New Roman" w:cs="Times New Roman"/>
                <w:color w:val="000000"/>
                <w:kern w:val="0"/>
                <w:sz w:val="24"/>
                <w:szCs w:val="24"/>
              </w:rPr>
              <w:t>0kw≤</w:t>
            </w:r>
            <w:r>
              <w:rPr>
                <w:rFonts w:hint="eastAsia" w:ascii="Times New Roman" w:hAnsi="Times New Roman" w:cs="Times New Roman"/>
                <w:color w:val="000000"/>
                <w:kern w:val="0"/>
                <w:sz w:val="24"/>
                <w:szCs w:val="24"/>
                <w:lang w:eastAsia="zh-CN"/>
              </w:rPr>
              <w:t>电机总</w:t>
            </w:r>
            <w:r>
              <w:rPr>
                <w:rFonts w:hint="eastAsia" w:ascii="Times New Roman" w:hAnsi="Times New Roman" w:cs="Times New Roman"/>
                <w:color w:val="000000"/>
                <w:kern w:val="0"/>
                <w:sz w:val="24"/>
                <w:szCs w:val="24"/>
              </w:rPr>
              <w:t>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进气形式：涡轮增压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tabs>
                <w:tab w:val="left" w:pos="1789"/>
              </w:tabs>
              <w:jc w:val="left"/>
              <w:rPr>
                <w:rFonts w:hint="eastAsia" w:ascii="Times New Roman" w:hAnsi="Times New Roman" w:cs="Times New Roman" w:eastAsiaTheme="minorEastAsia"/>
                <w:color w:val="000000"/>
                <w:kern w:val="0"/>
                <w:sz w:val="24"/>
                <w:szCs w:val="24"/>
                <w:lang w:eastAsia="zh-CN"/>
              </w:rPr>
            </w:pPr>
            <w:r>
              <w:rPr>
                <w:rFonts w:hint="eastAsia" w:ascii="Times New Roman" w:hAnsi="Times New Roman" w:cs="Times New Roman"/>
                <w:color w:val="000000"/>
                <w:kern w:val="0"/>
                <w:sz w:val="24"/>
                <w:szCs w:val="24"/>
                <w:lang w:eastAsia="zh-CN"/>
              </w:rPr>
              <w:t>电池类型：磷酸铁锂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变速箱：</w:t>
            </w:r>
            <w:r>
              <w:rPr>
                <w:rFonts w:hint="eastAsia" w:ascii="Times New Roman" w:hAnsi="Times New Roman" w:cs="Times New Roman"/>
                <w:color w:val="000000"/>
                <w:kern w:val="0"/>
                <w:sz w:val="24"/>
                <w:szCs w:val="24"/>
                <w:lang w:val="en-US" w:eastAsia="zh-CN"/>
              </w:rPr>
              <w:t>2</w:t>
            </w:r>
            <w:r>
              <w:rPr>
                <w:rFonts w:ascii="Times New Roman" w:hAnsi="Times New Roman" w:cs="Times New Roman"/>
                <w:color w:val="000000"/>
                <w:kern w:val="0"/>
                <w:sz w:val="24"/>
                <w:szCs w:val="24"/>
              </w:rPr>
              <w:t>档DHT</w:t>
            </w:r>
            <w:r>
              <w:rPr>
                <w:rFonts w:hint="eastAsia" w:ascii="Times New Roman" w:hAnsi="Times New Roman" w:cs="Times New Roman"/>
                <w:color w:val="000000"/>
                <w:kern w:val="0"/>
                <w:sz w:val="24"/>
                <w:szCs w:val="24"/>
              </w:rPr>
              <w:t>、ECVT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驱动形式：前驱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制动形式：四轮盘刹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hint="default" w:ascii="Times New Roman" w:hAnsi="Times New Roman" w:cs="Times New Roman" w:eastAsiaTheme="minorEastAsia"/>
                <w:color w:val="000000"/>
                <w:kern w:val="0"/>
                <w:sz w:val="24"/>
                <w:szCs w:val="24"/>
                <w:lang w:val="en-US" w:eastAsia="zh-CN"/>
              </w:rPr>
            </w:pPr>
            <w:r>
              <w:rPr>
                <w:rFonts w:ascii="Times New Roman" w:hAnsi="Times New Roman" w:cs="Times New Roman"/>
                <w:color w:val="000000"/>
                <w:kern w:val="0"/>
                <w:sz w:val="24"/>
                <w:szCs w:val="24"/>
              </w:rPr>
              <w:t>车辆颜色：</w:t>
            </w:r>
            <w:r>
              <w:rPr>
                <w:rFonts w:ascii="Times New Roman" w:hAnsi="Times New Roman" w:cs="Times New Roman"/>
                <w:color w:val="0000FF"/>
                <w:kern w:val="0"/>
                <w:sz w:val="24"/>
                <w:szCs w:val="24"/>
              </w:rPr>
              <w:t>白色</w:t>
            </w:r>
            <w:r>
              <w:rPr>
                <w:rFonts w:hint="eastAsia" w:ascii="Times New Roman" w:hAnsi="Times New Roman" w:cs="Times New Roman"/>
                <w:color w:val="0000FF"/>
                <w:kern w:val="0"/>
                <w:sz w:val="24"/>
                <w:szCs w:val="24"/>
                <w:lang w:eastAsia="zh-CN"/>
              </w:rPr>
              <w:t>、</w:t>
            </w:r>
            <w:r>
              <w:rPr>
                <w:rFonts w:hint="eastAsia" w:ascii="Times New Roman" w:hAnsi="Times New Roman" w:cs="Times New Roman"/>
                <w:color w:val="0000FF"/>
                <w:kern w:val="0"/>
                <w:sz w:val="24"/>
                <w:szCs w:val="24"/>
                <w:lang w:val="en-US" w:eastAsia="zh-CN"/>
              </w:rPr>
              <w:t>银色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pPr>
              <w:widowControl/>
              <w:snapToGrid w:val="0"/>
              <w:jc w:val="center"/>
              <w:rPr>
                <w:rFonts w:ascii="Times New Roman" w:hAnsi="Times New Roman" w:cs="Times New Roman"/>
                <w:kern w:val="0"/>
                <w:sz w:val="24"/>
                <w:szCs w:val="24"/>
              </w:rPr>
            </w:pPr>
          </w:p>
        </w:tc>
        <w:tc>
          <w:tcPr>
            <w:tcW w:w="796" w:type="pct"/>
            <w:vMerge w:val="continue"/>
            <w:vAlign w:val="center"/>
          </w:tcPr>
          <w:p>
            <w:pPr>
              <w:widowControl/>
              <w:snapToGrid w:val="0"/>
              <w:jc w:val="center"/>
              <w:rPr>
                <w:rFonts w:ascii="Times New Roman" w:hAnsi="Times New Roman" w:cs="Times New Roman"/>
                <w:kern w:val="0"/>
                <w:sz w:val="24"/>
                <w:szCs w:val="24"/>
              </w:rPr>
            </w:pPr>
          </w:p>
        </w:tc>
        <w:tc>
          <w:tcPr>
            <w:tcW w:w="582" w:type="pct"/>
            <w:vMerge w:val="continue"/>
            <w:vAlign w:val="center"/>
          </w:tcPr>
          <w:p>
            <w:pPr>
              <w:widowControl/>
              <w:snapToGrid w:val="0"/>
              <w:jc w:val="center"/>
              <w:rPr>
                <w:rFonts w:ascii="Times New Roman" w:hAnsi="Times New Roman" w:cs="Times New Roman"/>
                <w:kern w:val="0"/>
                <w:sz w:val="24"/>
                <w:szCs w:val="24"/>
              </w:rPr>
            </w:pPr>
          </w:p>
        </w:tc>
        <w:tc>
          <w:tcPr>
            <w:tcW w:w="3189" w:type="pct"/>
            <w:vAlign w:val="center"/>
          </w:tcPr>
          <w:p>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其他配置：</w:t>
            </w:r>
            <w:r>
              <w:rPr>
                <w:rFonts w:hint="eastAsia" w:ascii="Times New Roman" w:hAnsi="Times New Roman" w:cs="Times New Roman"/>
                <w:color w:val="000000"/>
                <w:kern w:val="0"/>
                <w:sz w:val="24"/>
                <w:szCs w:val="24"/>
                <w:lang w:eastAsia="zh-CN"/>
              </w:rPr>
              <w:t>主副驾驶安全气囊、前排侧气囊、</w:t>
            </w:r>
            <w:r>
              <w:rPr>
                <w:rFonts w:hint="eastAsia" w:ascii="Times New Roman" w:hAnsi="Times New Roman" w:cs="Times New Roman"/>
                <w:color w:val="000000"/>
                <w:kern w:val="0"/>
                <w:sz w:val="24"/>
                <w:szCs w:val="24"/>
                <w:lang w:val="en-US" w:eastAsia="zh-CN"/>
              </w:rPr>
              <w:t>ABS、EBD、胎压显示、自动驻车、上坡辅助、</w:t>
            </w:r>
            <w:r>
              <w:rPr>
                <w:rFonts w:ascii="Times New Roman" w:hAnsi="Times New Roman" w:cs="Times New Roman"/>
                <w:color w:val="000000"/>
                <w:kern w:val="0"/>
                <w:sz w:val="24"/>
                <w:szCs w:val="24"/>
              </w:rPr>
              <w:t>LED显示屏</w:t>
            </w:r>
            <w:r>
              <w:rPr>
                <w:rFonts w:hint="eastAsia" w:ascii="Times New Roman" w:hAnsi="Times New Roman" w:cs="Times New Roman"/>
                <w:color w:val="000000"/>
                <w:kern w:val="0"/>
                <w:sz w:val="24"/>
                <w:szCs w:val="24"/>
                <w:lang w:eastAsia="zh-CN"/>
              </w:rPr>
              <w:t>、</w:t>
            </w:r>
            <w:r>
              <w:rPr>
                <w:rFonts w:ascii="Times New Roman" w:hAnsi="Times New Roman" w:cs="Times New Roman"/>
                <w:color w:val="000000"/>
                <w:kern w:val="0"/>
                <w:sz w:val="24"/>
                <w:szCs w:val="24"/>
              </w:rPr>
              <w:t>车载智能导航</w:t>
            </w:r>
            <w:r>
              <w:rPr>
                <w:rFonts w:hint="eastAsia" w:ascii="Times New Roman" w:hAnsi="Times New Roman" w:cs="Times New Roman"/>
                <w:color w:val="000000"/>
                <w:kern w:val="0"/>
                <w:sz w:val="24"/>
                <w:szCs w:val="24"/>
                <w:lang w:eastAsia="zh-CN"/>
              </w:rPr>
              <w:t>、倒车雷达、倒车影像、单侧电动门、遥控钥匙、远程启动、仿皮座椅、</w:t>
            </w:r>
          </w:p>
        </w:tc>
      </w:tr>
    </w:tbl>
    <w:p>
      <w:pPr>
        <w:autoSpaceDE w:val="0"/>
        <w:autoSpaceDN w:val="0"/>
        <w:spacing w:line="360" w:lineRule="auto"/>
        <w:ind w:firstLine="482" w:firstLineChars="200"/>
        <w:rPr>
          <w:b/>
          <w:sz w:val="24"/>
        </w:rPr>
      </w:pPr>
      <w:r>
        <w:rPr>
          <w:rFonts w:hint="eastAsia"/>
          <w:b/>
          <w:sz w:val="24"/>
        </w:rPr>
        <w:t>八、验收标准</w:t>
      </w:r>
    </w:p>
    <w:p>
      <w:pPr>
        <w:autoSpaceDE w:val="0"/>
        <w:autoSpaceDN w:val="0"/>
        <w:spacing w:line="360" w:lineRule="auto"/>
        <w:ind w:firstLine="480" w:firstLineChars="200"/>
        <w:rPr>
          <w:b/>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车辆符合现行国家标准要求。</w:t>
      </w:r>
    </w:p>
    <w:p>
      <w:pPr>
        <w:autoSpaceDE w:val="0"/>
        <w:autoSpaceDN w:val="0"/>
        <w:adjustRightIn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pPr>
        <w:numPr>
          <w:ilvl w:val="0"/>
          <w:numId w:val="2"/>
        </w:numPr>
        <w:autoSpaceDE w:val="0"/>
        <w:autoSpaceDN w:val="0"/>
        <w:spacing w:line="360" w:lineRule="auto"/>
        <w:ind w:firstLine="482" w:firstLineChars="200"/>
        <w:rPr>
          <w:rFonts w:hint="eastAsia"/>
          <w:b/>
          <w:sz w:val="24"/>
        </w:rPr>
      </w:pPr>
      <w:r>
        <w:rPr>
          <w:rFonts w:hint="eastAsia"/>
          <w:b/>
          <w:sz w:val="24"/>
        </w:rPr>
        <w:t>其他要求</w:t>
      </w:r>
    </w:p>
    <w:p>
      <w:pPr>
        <w:numPr>
          <w:ilvl w:val="0"/>
          <w:numId w:val="0"/>
        </w:numPr>
        <w:autoSpaceDE w:val="0"/>
        <w:autoSpaceDN w:val="0"/>
        <w:spacing w:line="360" w:lineRule="auto"/>
        <w:ind w:firstLine="482" w:firstLineChars="200"/>
        <w:rPr>
          <w:rFonts w:hint="eastAsia" w:eastAsiaTheme="minorEastAsia"/>
          <w:b/>
          <w:sz w:val="24"/>
          <w:lang w:eastAsia="zh-CN"/>
        </w:rPr>
      </w:pPr>
      <w:r>
        <w:rPr>
          <w:rFonts w:hint="eastAsia"/>
          <w:b/>
          <w:sz w:val="24"/>
          <w:lang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F74B9"/>
    <w:multiLevelType w:val="singleLevel"/>
    <w:tmpl w:val="9E5F74B9"/>
    <w:lvl w:ilvl="0" w:tentative="0">
      <w:start w:val="9"/>
      <w:numFmt w:val="chineseCounting"/>
      <w:suff w:val="nothing"/>
      <w:lvlText w:val="%1、"/>
      <w:lvlJc w:val="left"/>
      <w:rPr>
        <w:rFonts w:hint="eastAsia"/>
      </w:rPr>
    </w:lvl>
  </w:abstractNum>
  <w:abstractNum w:abstractNumId="1">
    <w:nsid w:val="15935DBF"/>
    <w:multiLevelType w:val="multilevel"/>
    <w:tmpl w:val="15935DBF"/>
    <w:lvl w:ilvl="0" w:tentative="0">
      <w:start w:val="1"/>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454190"/>
    <w:rsid w:val="0000461D"/>
    <w:rsid w:val="00023882"/>
    <w:rsid w:val="00024393"/>
    <w:rsid w:val="000255F7"/>
    <w:rsid w:val="00055D49"/>
    <w:rsid w:val="00064C61"/>
    <w:rsid w:val="000921CE"/>
    <w:rsid w:val="000A18B6"/>
    <w:rsid w:val="001434CE"/>
    <w:rsid w:val="00147B4F"/>
    <w:rsid w:val="00152FEE"/>
    <w:rsid w:val="0015669D"/>
    <w:rsid w:val="001C4E16"/>
    <w:rsid w:val="00214872"/>
    <w:rsid w:val="002247B5"/>
    <w:rsid w:val="002505A3"/>
    <w:rsid w:val="002C6CD7"/>
    <w:rsid w:val="003314A0"/>
    <w:rsid w:val="0035432B"/>
    <w:rsid w:val="00354BDD"/>
    <w:rsid w:val="00385A09"/>
    <w:rsid w:val="003B1F7B"/>
    <w:rsid w:val="003C6821"/>
    <w:rsid w:val="003C6B56"/>
    <w:rsid w:val="00407456"/>
    <w:rsid w:val="00416FA1"/>
    <w:rsid w:val="00446BFB"/>
    <w:rsid w:val="00454190"/>
    <w:rsid w:val="004648DD"/>
    <w:rsid w:val="004A13D8"/>
    <w:rsid w:val="004B55B7"/>
    <w:rsid w:val="004E1E72"/>
    <w:rsid w:val="005064C0"/>
    <w:rsid w:val="005179BC"/>
    <w:rsid w:val="005E6757"/>
    <w:rsid w:val="00612EBB"/>
    <w:rsid w:val="00616035"/>
    <w:rsid w:val="006276D9"/>
    <w:rsid w:val="006472E4"/>
    <w:rsid w:val="00651A9C"/>
    <w:rsid w:val="006A1680"/>
    <w:rsid w:val="006A5F72"/>
    <w:rsid w:val="006C228E"/>
    <w:rsid w:val="006D24B6"/>
    <w:rsid w:val="006D2924"/>
    <w:rsid w:val="006D7E4E"/>
    <w:rsid w:val="006E2116"/>
    <w:rsid w:val="006F6474"/>
    <w:rsid w:val="0071453E"/>
    <w:rsid w:val="007279BF"/>
    <w:rsid w:val="0073336E"/>
    <w:rsid w:val="00746F31"/>
    <w:rsid w:val="007969F9"/>
    <w:rsid w:val="007A7F7F"/>
    <w:rsid w:val="007E6A8F"/>
    <w:rsid w:val="00810D70"/>
    <w:rsid w:val="008C26E9"/>
    <w:rsid w:val="008C4CB6"/>
    <w:rsid w:val="00983DC7"/>
    <w:rsid w:val="00986F56"/>
    <w:rsid w:val="009A0B0D"/>
    <w:rsid w:val="009E4D5D"/>
    <w:rsid w:val="00A128B3"/>
    <w:rsid w:val="00A755A5"/>
    <w:rsid w:val="00A82DFF"/>
    <w:rsid w:val="00A865F2"/>
    <w:rsid w:val="00AC1D75"/>
    <w:rsid w:val="00AD1BC9"/>
    <w:rsid w:val="00B01CD3"/>
    <w:rsid w:val="00B40C95"/>
    <w:rsid w:val="00B77690"/>
    <w:rsid w:val="00B77D8F"/>
    <w:rsid w:val="00BC117E"/>
    <w:rsid w:val="00BC148B"/>
    <w:rsid w:val="00C01D32"/>
    <w:rsid w:val="00C0258D"/>
    <w:rsid w:val="00C23E3B"/>
    <w:rsid w:val="00C409EF"/>
    <w:rsid w:val="00C702F6"/>
    <w:rsid w:val="00C87A7A"/>
    <w:rsid w:val="00CB4AEB"/>
    <w:rsid w:val="00D029AF"/>
    <w:rsid w:val="00D04B99"/>
    <w:rsid w:val="00D222D2"/>
    <w:rsid w:val="00D51DCF"/>
    <w:rsid w:val="00D80BB9"/>
    <w:rsid w:val="00D80E13"/>
    <w:rsid w:val="00D81F21"/>
    <w:rsid w:val="00D920D4"/>
    <w:rsid w:val="00DA01D0"/>
    <w:rsid w:val="00DD604E"/>
    <w:rsid w:val="00DE3800"/>
    <w:rsid w:val="00DF73C8"/>
    <w:rsid w:val="00E45E40"/>
    <w:rsid w:val="00EB4A86"/>
    <w:rsid w:val="00EC1484"/>
    <w:rsid w:val="00EC49CD"/>
    <w:rsid w:val="00EE2DA2"/>
    <w:rsid w:val="00F0752F"/>
    <w:rsid w:val="00F449C4"/>
    <w:rsid w:val="00F46B4D"/>
    <w:rsid w:val="00F61C8D"/>
    <w:rsid w:val="00F66083"/>
    <w:rsid w:val="00F75883"/>
    <w:rsid w:val="00F9274C"/>
    <w:rsid w:val="00FE5279"/>
    <w:rsid w:val="0C1B5A9E"/>
    <w:rsid w:val="191D4FEA"/>
    <w:rsid w:val="247B3126"/>
    <w:rsid w:val="2D917516"/>
    <w:rsid w:val="319C292D"/>
    <w:rsid w:val="33A53D1B"/>
    <w:rsid w:val="360175AB"/>
    <w:rsid w:val="36963DEF"/>
    <w:rsid w:val="36F75539"/>
    <w:rsid w:val="371F1D1D"/>
    <w:rsid w:val="3A255BB6"/>
    <w:rsid w:val="3B117EE8"/>
    <w:rsid w:val="3E921340"/>
    <w:rsid w:val="41387DF9"/>
    <w:rsid w:val="42CE4911"/>
    <w:rsid w:val="7D2F59D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8"/>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Title"/>
    <w:basedOn w:val="1"/>
    <w:next w:val="1"/>
    <w:link w:val="12"/>
    <w:qFormat/>
    <w:uiPriority w:val="10"/>
    <w:pPr>
      <w:spacing w:before="240" w:after="60"/>
      <w:jc w:val="center"/>
      <w:outlineLvl w:val="0"/>
    </w:pPr>
    <w:rPr>
      <w:rFonts w:eastAsia="宋体" w:asciiTheme="majorHAnsi" w:hAnsiTheme="majorHAnsi" w:cstheme="majorBidi"/>
      <w:b/>
      <w:bCs/>
      <w:sz w:val="32"/>
      <w:szCs w:val="32"/>
    </w:rPr>
  </w:style>
  <w:style w:type="paragraph" w:styleId="8">
    <w:name w:val="annotation subject"/>
    <w:basedOn w:val="2"/>
    <w:next w:val="2"/>
    <w:link w:val="17"/>
    <w:semiHidden/>
    <w:unhideWhenUsed/>
    <w:qFormat/>
    <w:uiPriority w:val="99"/>
    <w:rPr>
      <w:b/>
      <w:bCs/>
    </w:rPr>
  </w:style>
  <w:style w:type="character" w:styleId="11">
    <w:name w:val="annotation reference"/>
    <w:basedOn w:val="10"/>
    <w:semiHidden/>
    <w:unhideWhenUsed/>
    <w:qFormat/>
    <w:uiPriority w:val="99"/>
    <w:rPr>
      <w:sz w:val="21"/>
      <w:szCs w:val="21"/>
    </w:rPr>
  </w:style>
  <w:style w:type="character" w:customStyle="1" w:styleId="12">
    <w:name w:val="标题 Char"/>
    <w:basedOn w:val="10"/>
    <w:link w:val="7"/>
    <w:qFormat/>
    <w:uiPriority w:val="10"/>
    <w:rPr>
      <w:rFonts w:eastAsia="宋体" w:asciiTheme="majorHAnsi" w:hAnsiTheme="majorHAnsi" w:cstheme="majorBidi"/>
      <w:b/>
      <w:bCs/>
      <w:sz w:val="32"/>
      <w:szCs w:val="32"/>
    </w:r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 w:type="paragraph" w:styleId="15">
    <w:name w:val="List Paragraph"/>
    <w:basedOn w:val="1"/>
    <w:qFormat/>
    <w:uiPriority w:val="34"/>
    <w:pPr>
      <w:ind w:firstLine="420" w:firstLineChars="200"/>
    </w:pPr>
  </w:style>
  <w:style w:type="character" w:customStyle="1" w:styleId="16">
    <w:name w:val="批注文字 Char"/>
    <w:basedOn w:val="10"/>
    <w:link w:val="2"/>
    <w:semiHidden/>
    <w:qFormat/>
    <w:uiPriority w:val="99"/>
  </w:style>
  <w:style w:type="character" w:customStyle="1" w:styleId="17">
    <w:name w:val="批注主题 Char"/>
    <w:basedOn w:val="16"/>
    <w:link w:val="8"/>
    <w:semiHidden/>
    <w:qFormat/>
    <w:uiPriority w:val="99"/>
    <w:rPr>
      <w:b/>
      <w:bCs/>
    </w:rPr>
  </w:style>
  <w:style w:type="character" w:customStyle="1" w:styleId="18">
    <w:name w:val="批注框文本 Char"/>
    <w:basedOn w:val="10"/>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1234</Words>
  <Characters>1321</Characters>
  <Lines>16</Lines>
  <Paragraphs>4</Paragraphs>
  <TotalTime>78</TotalTime>
  <ScaleCrop>false</ScaleCrop>
  <LinksUpToDate>false</LinksUpToDate>
  <CharactersWithSpaces>1325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2025-11-26T07:13:00Z</dcterms:created>
  <dc:creator>未定义</dc:creator>
  <cp:lastModifiedBy>Daiki</cp:lastModifiedBy>
  <dcterms:modified xsi:type="dcterms:W3CDTF">2026-02-25T01:59:51Z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eyJoZGlkIjoiMDBmYzc1NzQ3ZGY1MzBjMjNjOGE5MGVjYjZkYmU2NDciLCJ1c2VySWQiOiI1NzYzMTE5NzYifQ==</vt:lpwstr>
  </property>
  <property fmtid="{D5CDD505-2E9C-101B-9397-08002B2CF9AE}" pid="3" name="KSOProductBuildVer">
    <vt:lpwstr>2052-12.1.0.15990</vt:lpwstr>
  </property>
  <property fmtid="{D5CDD505-2E9C-101B-9397-08002B2CF9AE}" pid="4" name="ICV">
    <vt:lpwstr>30672C03C9704002BA24BBF6CCF73430_13</vt:lpwstr>
  </property>
</Properties>
</file>