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微软雅黑" w:hAnsi="微软雅黑" w:eastAsia="微软雅黑" w:cs="微软雅黑"/>
          <w:color w:val="auto"/>
          <w:sz w:val="32"/>
          <w:szCs w:val="32"/>
        </w:rPr>
      </w:pPr>
      <w:r>
        <w:rPr>
          <w:rFonts w:hint="eastAsia" w:ascii="微软雅黑" w:hAnsi="微软雅黑" w:eastAsia="微软雅黑" w:cs="微软雅黑"/>
          <w:color w:val="auto"/>
          <w:sz w:val="32"/>
          <w:szCs w:val="32"/>
        </w:rPr>
        <w:t>项目需求</w:t>
      </w:r>
    </w:p>
    <w:p>
      <w:pPr>
        <w:numPr>
          <w:numId w:val="0"/>
        </w:numPr>
        <w:spacing w:line="360" w:lineRule="auto"/>
        <w:rPr>
          <w:rFonts w:hint="eastAsia" w:ascii="微软雅黑" w:hAnsi="微软雅黑" w:eastAsia="微软雅黑" w:cs="微软雅黑"/>
          <w:color w:val="auto"/>
          <w:sz w:val="24"/>
          <w:szCs w:val="24"/>
        </w:rPr>
      </w:pPr>
      <w:r>
        <w:rPr>
          <w:rFonts w:hint="eastAsia" w:ascii="微软雅黑" w:hAnsi="微软雅黑" w:eastAsia="微软雅黑" w:cs="微软雅黑"/>
          <w:color w:val="auto"/>
          <w:sz w:val="24"/>
          <w:szCs w:val="24"/>
        </w:rPr>
        <w:t>商务需求</w:t>
      </w:r>
      <w:bookmarkStart w:id="0" w:name="_GoBack"/>
      <w:bookmarkEnd w:id="0"/>
    </w:p>
    <w:p>
      <w:pPr>
        <w:spacing w:line="360" w:lineRule="auto"/>
        <w:rPr>
          <w:rFonts w:hint="eastAsia" w:ascii="微软雅黑" w:hAnsi="微软雅黑" w:eastAsia="微软雅黑" w:cs="微软雅黑"/>
          <w:color w:val="auto"/>
          <w:szCs w:val="21"/>
        </w:rPr>
      </w:pPr>
      <w:r>
        <w:rPr>
          <w:rFonts w:hint="eastAsia" w:ascii="微软雅黑" w:hAnsi="微软雅黑" w:eastAsia="微软雅黑" w:cs="微软雅黑"/>
          <w:color w:val="auto"/>
          <w:szCs w:val="21"/>
        </w:rPr>
        <w:t>（一）报价要求</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rPr>
      </w:pPr>
      <w:r>
        <w:rPr>
          <w:rFonts w:hint="eastAsia" w:ascii="微软雅黑" w:hAnsi="微软雅黑" w:eastAsia="微软雅黑" w:cs="微软雅黑"/>
          <w:color w:val="auto"/>
          <w:szCs w:val="21"/>
        </w:rPr>
        <w:t>1. 投标报价以人民币结算。</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rPr>
      </w:pPr>
      <w:r>
        <w:rPr>
          <w:rFonts w:hint="eastAsia" w:ascii="微软雅黑" w:hAnsi="微软雅黑" w:eastAsia="微软雅黑" w:cs="微软雅黑"/>
          <w:color w:val="auto"/>
          <w:szCs w:val="21"/>
        </w:rPr>
        <w:t>2. 投标人的报价应包括：设备费、运输费、保险费、装卸费、安装调试费、通讯费、维修费，保养费，检测费，上牌费、培训费、维护费、税金、利润及为完成本项目的其他应有的费用，投标人所报价格为货到现场安装调试完成并经采购人验收合格的最终优惠价格。</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rPr>
      </w:pPr>
      <w:r>
        <w:rPr>
          <w:rFonts w:hint="eastAsia" w:ascii="微软雅黑" w:hAnsi="微软雅黑" w:eastAsia="微软雅黑" w:cs="微软雅黑"/>
          <w:color w:val="auto"/>
          <w:szCs w:val="21"/>
        </w:rPr>
        <w:t>3. 验收涉及相关费用由各包中标人负责。</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rPr>
      </w:pPr>
      <w:r>
        <w:rPr>
          <w:rFonts w:hint="eastAsia" w:ascii="微软雅黑" w:hAnsi="微软雅黑" w:eastAsia="微软雅黑" w:cs="微软雅黑"/>
          <w:color w:val="auto"/>
          <w:szCs w:val="21"/>
        </w:rPr>
        <w:t>（二）服务要求</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rPr>
      </w:pPr>
      <w:r>
        <w:rPr>
          <w:rFonts w:hint="eastAsia" w:ascii="微软雅黑" w:hAnsi="微软雅黑" w:eastAsia="微软雅黑" w:cs="微软雅黑"/>
          <w:color w:val="auto"/>
          <w:szCs w:val="21"/>
        </w:rPr>
        <w:t>1. 提供所投产品免费上门保修，终身维修。保修期内7×24小时技术响应，2小时内维修工程师到达维修现场。保修期自验收合格之日起计算。</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highlight w:val="none"/>
          <w:lang w:eastAsia="zh-CN"/>
        </w:rPr>
      </w:pPr>
      <w:r>
        <w:rPr>
          <w:rFonts w:hint="eastAsia" w:ascii="微软雅黑" w:hAnsi="微软雅黑" w:eastAsia="微软雅黑" w:cs="微软雅黑"/>
          <w:color w:val="auto"/>
          <w:szCs w:val="21"/>
          <w:highlight w:val="none"/>
        </w:rPr>
        <w:t>2. 底盘车</w:t>
      </w:r>
      <w:r>
        <w:rPr>
          <w:rFonts w:hint="eastAsia" w:ascii="微软雅黑" w:hAnsi="微软雅黑" w:eastAsia="微软雅黑" w:cs="微软雅黑"/>
          <w:color w:val="auto"/>
          <w:szCs w:val="21"/>
          <w:highlight w:val="none"/>
          <w:lang w:eastAsia="zh-CN"/>
        </w:rPr>
        <w:t>：</w:t>
      </w:r>
      <w:r>
        <w:rPr>
          <w:rFonts w:hint="eastAsia" w:ascii="微软雅黑" w:hAnsi="微软雅黑" w:eastAsia="微软雅黑" w:cs="微软雅黑"/>
          <w:color w:val="auto"/>
          <w:szCs w:val="21"/>
          <w:highlight w:val="none"/>
        </w:rPr>
        <w:t>3年或</w:t>
      </w:r>
      <w:r>
        <w:rPr>
          <w:rFonts w:hint="eastAsia" w:ascii="微软雅黑" w:hAnsi="微软雅黑" w:eastAsia="微软雅黑" w:cs="微软雅黑"/>
          <w:color w:val="auto"/>
          <w:szCs w:val="21"/>
          <w:highlight w:val="none"/>
          <w:lang w:val="en-US" w:eastAsia="zh-CN"/>
        </w:rPr>
        <w:t>10</w:t>
      </w:r>
      <w:r>
        <w:rPr>
          <w:rFonts w:hint="eastAsia" w:ascii="微软雅黑" w:hAnsi="微软雅黑" w:eastAsia="微软雅黑" w:cs="微软雅黑"/>
          <w:color w:val="auto"/>
          <w:szCs w:val="21"/>
          <w:highlight w:val="none"/>
        </w:rPr>
        <w:t>万公里先到为准，全国联保</w:t>
      </w:r>
      <w:r>
        <w:rPr>
          <w:rFonts w:hint="eastAsia" w:ascii="微软雅黑" w:hAnsi="微软雅黑" w:eastAsia="微软雅黑" w:cs="微软雅黑"/>
          <w:color w:val="auto"/>
          <w:szCs w:val="21"/>
          <w:highlight w:val="none"/>
          <w:lang w:eastAsia="zh-CN"/>
        </w:rPr>
        <w:t>；医疗设备</w:t>
      </w:r>
      <w:r>
        <w:rPr>
          <w:rFonts w:hint="eastAsia" w:ascii="微软雅黑" w:hAnsi="微软雅黑" w:eastAsia="微软雅黑" w:cs="微软雅黑"/>
          <w:color w:val="auto"/>
          <w:szCs w:val="21"/>
          <w:highlight w:val="none"/>
          <w:lang w:val="en-US" w:eastAsia="zh-CN"/>
        </w:rPr>
        <w:t>保修三年</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rPr>
      </w:pPr>
      <w:r>
        <w:rPr>
          <w:rFonts w:hint="eastAsia" w:ascii="微软雅黑" w:hAnsi="微软雅黑" w:eastAsia="微软雅黑" w:cs="微软雅黑"/>
          <w:color w:val="auto"/>
          <w:szCs w:val="21"/>
        </w:rPr>
        <w:t>3. 投标人须提供所投产品生产厂家服务机构情况，包括地址、联系方式及技术人员数量等。</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rPr>
      </w:pPr>
      <w:r>
        <w:rPr>
          <w:rFonts w:hint="eastAsia" w:ascii="微软雅黑" w:hAnsi="微软雅黑" w:eastAsia="微软雅黑" w:cs="微软雅黑"/>
          <w:color w:val="auto"/>
          <w:szCs w:val="21"/>
        </w:rPr>
        <w:t>4. 提供原厂标准的易耗品、消耗材料价格清单及折扣率，保修期后设备维修的价格清单及折扣率。</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rPr>
      </w:pPr>
      <w:r>
        <w:rPr>
          <w:rFonts w:hint="eastAsia" w:ascii="微软雅黑" w:hAnsi="微软雅黑" w:eastAsia="微软雅黑" w:cs="微软雅黑"/>
          <w:color w:val="auto"/>
          <w:szCs w:val="21"/>
        </w:rPr>
        <w:t>5. 提供现场技术培训。</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rPr>
      </w:pPr>
      <w:r>
        <w:rPr>
          <w:rFonts w:hint="eastAsia" w:ascii="微软雅黑" w:hAnsi="微软雅黑" w:eastAsia="微软雅黑" w:cs="微软雅黑"/>
          <w:color w:val="auto"/>
          <w:szCs w:val="21"/>
        </w:rPr>
        <w:t>（三）交货要求</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rPr>
      </w:pPr>
      <w:r>
        <w:rPr>
          <w:rFonts w:hint="eastAsia" w:ascii="微软雅黑" w:hAnsi="微软雅黑" w:eastAsia="微软雅黑" w:cs="微软雅黑"/>
          <w:color w:val="auto"/>
          <w:szCs w:val="21"/>
        </w:rPr>
        <w:t>1. 交货时间：自签订合同之日起</w:t>
      </w:r>
      <w:r>
        <w:rPr>
          <w:rFonts w:hint="eastAsia" w:ascii="微软雅黑" w:hAnsi="微软雅黑" w:eastAsia="微软雅黑" w:cs="微软雅黑"/>
          <w:color w:val="auto"/>
          <w:szCs w:val="21"/>
          <w:lang w:val="en-US" w:eastAsia="zh-CN"/>
        </w:rPr>
        <w:t>9</w:t>
      </w:r>
      <w:r>
        <w:rPr>
          <w:rFonts w:hint="eastAsia" w:ascii="微软雅黑" w:hAnsi="微软雅黑" w:eastAsia="微软雅黑" w:cs="微软雅黑"/>
          <w:color w:val="auto"/>
          <w:szCs w:val="21"/>
        </w:rPr>
        <w:t>0</w:t>
      </w:r>
      <w:r>
        <w:rPr>
          <w:rFonts w:hint="eastAsia" w:ascii="微软雅黑" w:hAnsi="微软雅黑" w:eastAsia="微软雅黑" w:cs="微软雅黑"/>
          <w:color w:val="auto"/>
          <w:szCs w:val="21"/>
          <w:lang w:val="en-US" w:eastAsia="zh-CN"/>
        </w:rPr>
        <w:t>工作</w:t>
      </w:r>
      <w:r>
        <w:rPr>
          <w:rFonts w:hint="eastAsia" w:ascii="微软雅黑" w:hAnsi="微软雅黑" w:eastAsia="微软雅黑" w:cs="微软雅黑"/>
          <w:color w:val="auto"/>
          <w:szCs w:val="21"/>
        </w:rPr>
        <w:t>日内（具体情况以签订合同为准）。安装要求：货到之日起7日内完成安装调试。</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highlight w:val="red"/>
        </w:rPr>
      </w:pPr>
      <w:r>
        <w:rPr>
          <w:rFonts w:hint="eastAsia" w:ascii="微软雅黑" w:hAnsi="微软雅黑" w:eastAsia="微软雅黑" w:cs="微软雅黑"/>
          <w:color w:val="auto"/>
          <w:szCs w:val="21"/>
        </w:rPr>
        <w:t>2. 交货地点：用户指定交付地点（特殊情况以合同为准）。</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highlight w:val="none"/>
        </w:rPr>
      </w:pPr>
      <w:r>
        <w:rPr>
          <w:rFonts w:hint="eastAsia" w:ascii="微软雅黑" w:hAnsi="微软雅黑" w:eastAsia="微软雅黑" w:cs="微软雅黑"/>
          <w:color w:val="auto"/>
          <w:szCs w:val="21"/>
          <w:highlight w:val="none"/>
        </w:rPr>
        <w:t>3. 提供车辆制造商完整的随车资料及相关随车医疗设备的随机资料，包括完整的使用和维修手册等。</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rPr>
      </w:pPr>
      <w:r>
        <w:rPr>
          <w:rFonts w:hint="eastAsia" w:ascii="微软雅黑" w:hAnsi="微软雅黑" w:eastAsia="微软雅黑" w:cs="微软雅黑"/>
          <w:color w:val="auto"/>
          <w:szCs w:val="21"/>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rPr>
      </w:pPr>
      <w:r>
        <w:rPr>
          <w:rFonts w:hint="eastAsia" w:ascii="微软雅黑" w:hAnsi="微软雅黑" w:eastAsia="微软雅黑" w:cs="微软雅黑"/>
          <w:color w:val="auto"/>
          <w:szCs w:val="21"/>
        </w:rPr>
        <w:t>（四）付款方式</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highlight w:val="none"/>
        </w:rPr>
      </w:pPr>
      <w:r>
        <w:rPr>
          <w:rFonts w:hint="eastAsia" w:ascii="微软雅黑" w:hAnsi="微软雅黑" w:eastAsia="微软雅黑" w:cs="微软雅黑"/>
          <w:color w:val="auto"/>
          <w:szCs w:val="21"/>
          <w:highlight w:val="none"/>
        </w:rPr>
        <w:t>签订合同后15个工作日内预付合同总额的</w:t>
      </w:r>
      <w:r>
        <w:rPr>
          <w:rFonts w:hint="eastAsia" w:ascii="微软雅黑" w:hAnsi="微软雅黑" w:eastAsia="微软雅黑" w:cs="微软雅黑"/>
          <w:color w:val="auto"/>
          <w:szCs w:val="21"/>
          <w:highlight w:val="none"/>
          <w:lang w:val="en-US" w:eastAsia="zh-CN"/>
        </w:rPr>
        <w:t>5</w:t>
      </w:r>
      <w:r>
        <w:rPr>
          <w:rFonts w:hint="eastAsia" w:ascii="微软雅黑" w:hAnsi="微软雅黑" w:eastAsia="微软雅黑" w:cs="微软雅黑"/>
          <w:color w:val="auto"/>
          <w:szCs w:val="21"/>
          <w:highlight w:val="none"/>
        </w:rPr>
        <w:t>0%，货到现场安装、调试完毕，所有车辆设备使用无质量问题，验收合格后15个工作日内支付合同总额的</w:t>
      </w:r>
      <w:r>
        <w:rPr>
          <w:rFonts w:hint="eastAsia" w:ascii="微软雅黑" w:hAnsi="微软雅黑" w:eastAsia="微软雅黑" w:cs="微软雅黑"/>
          <w:color w:val="auto"/>
          <w:szCs w:val="21"/>
          <w:highlight w:val="none"/>
          <w:lang w:val="en-US" w:eastAsia="zh-CN"/>
        </w:rPr>
        <w:t>40</w:t>
      </w:r>
      <w:r>
        <w:rPr>
          <w:rFonts w:hint="eastAsia" w:ascii="微软雅黑" w:hAnsi="微软雅黑" w:eastAsia="微软雅黑" w:cs="微软雅黑"/>
          <w:color w:val="auto"/>
          <w:szCs w:val="21"/>
          <w:highlight w:val="none"/>
        </w:rPr>
        <w:t>%，验收合格满一年后支付合同总额的</w:t>
      </w:r>
      <w:r>
        <w:rPr>
          <w:rFonts w:hint="eastAsia" w:ascii="微软雅黑" w:hAnsi="微软雅黑" w:eastAsia="微软雅黑" w:cs="微软雅黑"/>
          <w:color w:val="auto"/>
          <w:szCs w:val="21"/>
          <w:highlight w:val="none"/>
          <w:lang w:val="en-US" w:eastAsia="zh-CN"/>
        </w:rPr>
        <w:t>10</w:t>
      </w:r>
      <w:r>
        <w:rPr>
          <w:rFonts w:hint="eastAsia" w:ascii="微软雅黑" w:hAnsi="微软雅黑" w:eastAsia="微软雅黑" w:cs="微软雅黑"/>
          <w:color w:val="auto"/>
          <w:szCs w:val="21"/>
          <w:highlight w:val="none"/>
        </w:rPr>
        <w:t>%（特殊情况以合同为准）。</w:t>
      </w:r>
    </w:p>
    <w:p>
      <w:pPr>
        <w:keepNext w:val="0"/>
        <w:keepLines w:val="0"/>
        <w:pageBreakBefore w:val="0"/>
        <w:kinsoku/>
        <w:wordWrap/>
        <w:overflowPunct/>
        <w:topLinePunct w:val="0"/>
        <w:autoSpaceDE/>
        <w:autoSpaceDN/>
        <w:bidi w:val="0"/>
        <w:adjustRightInd/>
        <w:snapToGrid w:val="0"/>
        <w:spacing w:line="288" w:lineRule="auto"/>
        <w:textAlignment w:val="auto"/>
        <w:rPr>
          <w:rFonts w:hint="eastAsia" w:ascii="微软雅黑" w:hAnsi="微软雅黑" w:eastAsia="微软雅黑" w:cs="微软雅黑"/>
          <w:color w:val="auto"/>
          <w:szCs w:val="21"/>
        </w:rPr>
      </w:pPr>
      <w:r>
        <w:rPr>
          <w:rFonts w:hint="eastAsia" w:ascii="微软雅黑" w:hAnsi="微软雅黑" w:eastAsia="微软雅黑" w:cs="微软雅黑"/>
          <w:color w:val="auto"/>
          <w:szCs w:val="21"/>
        </w:rPr>
        <w:t>（五）验收要求：逐台设备验收；逐条参数验收。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pPr>
        <w:pStyle w:val="12"/>
        <w:keepNext w:val="0"/>
        <w:keepLines w:val="0"/>
        <w:pageBreakBefore w:val="0"/>
        <w:kinsoku/>
        <w:wordWrap/>
        <w:overflowPunct/>
        <w:topLinePunct w:val="0"/>
        <w:autoSpaceDE/>
        <w:autoSpaceDN/>
        <w:bidi w:val="0"/>
        <w:adjustRightInd/>
        <w:snapToGrid w:val="0"/>
        <w:spacing w:line="288" w:lineRule="auto"/>
        <w:ind w:firstLine="0" w:firstLineChars="0"/>
        <w:textAlignment w:val="auto"/>
        <w:rPr>
          <w:rFonts w:hint="eastAsia" w:ascii="微软雅黑" w:hAnsi="微软雅黑" w:eastAsia="微软雅黑" w:cs="微软雅黑"/>
          <w:color w:val="auto"/>
          <w:sz w:val="21"/>
          <w:szCs w:val="21"/>
        </w:rPr>
      </w:pPr>
      <w:r>
        <w:rPr>
          <w:rFonts w:hint="eastAsia" w:ascii="微软雅黑" w:hAnsi="微软雅黑" w:eastAsia="微软雅黑" w:cs="微软雅黑"/>
          <w:color w:val="auto"/>
          <w:sz w:val="21"/>
          <w:szCs w:val="21"/>
        </w:rPr>
        <w:t>（六）其他要求</w:t>
      </w:r>
    </w:p>
    <w:p>
      <w:pPr>
        <w:pStyle w:val="12"/>
        <w:keepNext w:val="0"/>
        <w:keepLines w:val="0"/>
        <w:pageBreakBefore w:val="0"/>
        <w:kinsoku/>
        <w:wordWrap/>
        <w:overflowPunct/>
        <w:topLinePunct w:val="0"/>
        <w:autoSpaceDE/>
        <w:autoSpaceDN/>
        <w:bidi w:val="0"/>
        <w:adjustRightInd/>
        <w:snapToGrid w:val="0"/>
        <w:spacing w:line="288" w:lineRule="auto"/>
        <w:ind w:firstLine="0" w:firstLineChars="0"/>
        <w:textAlignment w:val="auto"/>
        <w:rPr>
          <w:rFonts w:hint="eastAsia" w:ascii="微软雅黑" w:hAnsi="微软雅黑" w:eastAsia="微软雅黑" w:cs="微软雅黑"/>
          <w:color w:val="auto"/>
          <w:sz w:val="21"/>
          <w:szCs w:val="21"/>
        </w:rPr>
      </w:pPr>
      <w:r>
        <w:rPr>
          <w:rFonts w:hint="eastAsia" w:ascii="微软雅黑" w:hAnsi="微软雅黑" w:eastAsia="微软雅黑" w:cs="微软雅黑"/>
          <w:color w:val="auto"/>
          <w:sz w:val="21"/>
          <w:szCs w:val="21"/>
        </w:rPr>
        <w:t>1.投标人须承诺所投产品和服务符合相关强制性规定。交货时采购人有权要求供应商出具所投产品、服务符合上述规定的证明文件。</w:t>
      </w:r>
    </w:p>
    <w:p>
      <w:pPr>
        <w:pStyle w:val="12"/>
        <w:keepNext w:val="0"/>
        <w:keepLines w:val="0"/>
        <w:pageBreakBefore w:val="0"/>
        <w:kinsoku/>
        <w:wordWrap/>
        <w:overflowPunct/>
        <w:topLinePunct w:val="0"/>
        <w:autoSpaceDE/>
        <w:autoSpaceDN/>
        <w:bidi w:val="0"/>
        <w:adjustRightInd/>
        <w:snapToGrid w:val="0"/>
        <w:spacing w:line="288" w:lineRule="auto"/>
        <w:ind w:firstLine="0" w:firstLineChars="0"/>
        <w:textAlignment w:val="auto"/>
        <w:rPr>
          <w:rFonts w:hint="eastAsia" w:ascii="微软雅黑" w:hAnsi="微软雅黑" w:eastAsia="微软雅黑" w:cs="微软雅黑"/>
          <w:color w:val="auto"/>
          <w:sz w:val="21"/>
          <w:szCs w:val="21"/>
          <w:highlight w:val="none"/>
        </w:rPr>
      </w:pPr>
      <w:r>
        <w:rPr>
          <w:rFonts w:hint="eastAsia" w:ascii="微软雅黑" w:hAnsi="微软雅黑" w:eastAsia="微软雅黑" w:cs="微软雅黑"/>
          <w:color w:val="auto"/>
          <w:sz w:val="21"/>
          <w:szCs w:val="21"/>
          <w:highlight w:val="none"/>
        </w:rPr>
        <w:t>2.响应文件中对所投产品的名称、品牌、制造商、产地、主要技术性能指标及其在技术、安全、性能、管理、厂家标准、使用年限及售后服务等方面情况提供详细的具有法律效力的技术资料。</w:t>
      </w:r>
    </w:p>
    <w:p>
      <w:pPr>
        <w:pStyle w:val="12"/>
        <w:keepNext w:val="0"/>
        <w:keepLines w:val="0"/>
        <w:pageBreakBefore w:val="0"/>
        <w:kinsoku/>
        <w:wordWrap/>
        <w:overflowPunct/>
        <w:topLinePunct w:val="0"/>
        <w:autoSpaceDE/>
        <w:autoSpaceDN/>
        <w:bidi w:val="0"/>
        <w:adjustRightInd/>
        <w:snapToGrid w:val="0"/>
        <w:spacing w:line="288" w:lineRule="auto"/>
        <w:ind w:firstLine="0" w:firstLineChars="0"/>
        <w:textAlignment w:val="auto"/>
        <w:rPr>
          <w:rFonts w:hint="eastAsia" w:ascii="微软雅黑" w:hAnsi="微软雅黑" w:eastAsia="微软雅黑" w:cs="微软雅黑"/>
          <w:color w:val="auto"/>
          <w:sz w:val="21"/>
          <w:szCs w:val="21"/>
        </w:rPr>
      </w:pPr>
      <w:r>
        <w:rPr>
          <w:rFonts w:hint="eastAsia" w:ascii="微软雅黑" w:hAnsi="微软雅黑" w:eastAsia="微软雅黑" w:cs="微软雅黑"/>
          <w:color w:val="auto"/>
          <w:sz w:val="21"/>
          <w:szCs w:val="21"/>
        </w:rPr>
        <w:t>3.响应文件中提供能够证明所投产品性能质量的证明材料，如检测/检验/试验/测试报告、与所投产品相关的知识产权证书、第三方认证机构出具的认证证书等。</w:t>
      </w:r>
    </w:p>
    <w:p>
      <w:pPr>
        <w:pStyle w:val="12"/>
        <w:keepNext w:val="0"/>
        <w:keepLines w:val="0"/>
        <w:pageBreakBefore w:val="0"/>
        <w:kinsoku/>
        <w:wordWrap/>
        <w:overflowPunct/>
        <w:topLinePunct w:val="0"/>
        <w:autoSpaceDE/>
        <w:autoSpaceDN/>
        <w:bidi w:val="0"/>
        <w:adjustRightInd/>
        <w:snapToGrid w:val="0"/>
        <w:spacing w:line="288" w:lineRule="auto"/>
        <w:ind w:firstLine="0" w:firstLineChars="0"/>
        <w:textAlignment w:val="auto"/>
        <w:rPr>
          <w:rFonts w:hint="eastAsia" w:ascii="微软雅黑" w:hAnsi="微软雅黑" w:eastAsia="微软雅黑" w:cs="微软雅黑"/>
          <w:color w:val="auto"/>
          <w:sz w:val="21"/>
          <w:szCs w:val="21"/>
          <w:highlight w:val="none"/>
        </w:rPr>
      </w:pPr>
      <w:r>
        <w:rPr>
          <w:rFonts w:hint="eastAsia" w:ascii="微软雅黑" w:hAnsi="微软雅黑" w:eastAsia="微软雅黑" w:cs="微软雅黑"/>
          <w:color w:val="auto"/>
          <w:sz w:val="21"/>
          <w:szCs w:val="21"/>
          <w:highlight w:val="none"/>
        </w:rPr>
        <w:t>4.响应文件中提供从所投产品原材料采购、设计、加工制作、存储、流通、回收等产品全生命周期各环节，详细阐述该产品节能、环保管理情况，提供相关证明文件，形式包括证书、图示、文字说明等。</w:t>
      </w:r>
    </w:p>
    <w:p>
      <w:pPr>
        <w:pStyle w:val="12"/>
        <w:keepNext w:val="0"/>
        <w:keepLines w:val="0"/>
        <w:pageBreakBefore w:val="0"/>
        <w:kinsoku/>
        <w:wordWrap/>
        <w:overflowPunct/>
        <w:topLinePunct w:val="0"/>
        <w:autoSpaceDE/>
        <w:autoSpaceDN/>
        <w:bidi w:val="0"/>
        <w:adjustRightInd/>
        <w:snapToGrid w:val="0"/>
        <w:spacing w:line="288" w:lineRule="auto"/>
        <w:ind w:firstLine="0" w:firstLineChars="0"/>
        <w:textAlignment w:val="auto"/>
        <w:rPr>
          <w:rFonts w:hint="eastAsia" w:ascii="微软雅黑" w:hAnsi="微软雅黑" w:eastAsia="微软雅黑" w:cs="微软雅黑"/>
          <w:color w:val="auto"/>
          <w:sz w:val="24"/>
        </w:rPr>
      </w:pPr>
      <w:r>
        <w:rPr>
          <w:rFonts w:hint="eastAsia" w:ascii="微软雅黑" w:hAnsi="微软雅黑" w:eastAsia="微软雅黑" w:cs="微软雅黑"/>
          <w:color w:val="auto"/>
          <w:sz w:val="21"/>
          <w:szCs w:val="21"/>
        </w:rPr>
        <w:t>★5.所投救护车须满足天津市机动车登记注册上牌照要求。</w:t>
      </w:r>
    </w:p>
    <w:p>
      <w:pPr>
        <w:spacing w:line="360" w:lineRule="auto"/>
        <w:rPr>
          <w:rFonts w:hint="eastAsia" w:ascii="微软雅黑" w:hAnsi="微软雅黑" w:eastAsia="微软雅黑" w:cs="微软雅黑"/>
          <w:color w:val="auto"/>
          <w:sz w:val="24"/>
        </w:rPr>
      </w:pPr>
    </w:p>
    <w:p>
      <w:pPr>
        <w:spacing w:line="360" w:lineRule="auto"/>
        <w:rPr>
          <w:rFonts w:hint="eastAsia" w:ascii="微软雅黑" w:hAnsi="微软雅黑" w:eastAsia="微软雅黑" w:cs="微软雅黑"/>
          <w:color w:val="auto"/>
          <w:sz w:val="24"/>
        </w:rPr>
      </w:pPr>
      <w:r>
        <w:rPr>
          <w:rFonts w:hint="eastAsia" w:ascii="微软雅黑" w:hAnsi="微软雅黑" w:eastAsia="微软雅黑" w:cs="微软雅黑"/>
          <w:color w:val="auto"/>
          <w:sz w:val="24"/>
        </w:rPr>
        <w:t>技术需求</w:t>
      </w:r>
    </w:p>
    <w:p>
      <w:pPr>
        <w:spacing w:line="360" w:lineRule="auto"/>
        <w:rPr>
          <w:rFonts w:hint="eastAsia" w:ascii="微软雅黑" w:hAnsi="微软雅黑" w:eastAsia="微软雅黑" w:cs="微软雅黑"/>
          <w:color w:val="auto"/>
          <w:sz w:val="22"/>
        </w:rPr>
      </w:pPr>
      <w:r>
        <w:rPr>
          <w:rFonts w:hint="eastAsia" w:ascii="微软雅黑" w:hAnsi="微软雅黑" w:eastAsia="微软雅黑" w:cs="微软雅黑"/>
          <w:color w:val="auto"/>
          <w:sz w:val="22"/>
        </w:rPr>
        <w:t>1、实质性技术条款（加注“★”号条款）不得出现负偏离，发生负偏离即做无效标处理。</w:t>
      </w:r>
    </w:p>
    <w:p>
      <w:pPr>
        <w:spacing w:line="360" w:lineRule="auto"/>
        <w:rPr>
          <w:rFonts w:hint="eastAsia" w:ascii="微软雅黑" w:hAnsi="微软雅黑" w:eastAsia="微软雅黑" w:cs="微软雅黑"/>
          <w:color w:val="auto"/>
          <w:sz w:val="22"/>
        </w:rPr>
      </w:pPr>
      <w:r>
        <w:rPr>
          <w:rFonts w:hint="eastAsia" w:ascii="微软雅黑" w:hAnsi="微软雅黑" w:eastAsia="微软雅黑" w:cs="微软雅黑"/>
          <w:color w:val="auto"/>
          <w:sz w:val="22"/>
          <w:lang w:val="en-US" w:eastAsia="zh-CN"/>
        </w:rPr>
        <w:t>2</w:t>
      </w:r>
      <w:r>
        <w:rPr>
          <w:rFonts w:hint="eastAsia" w:ascii="微软雅黑" w:hAnsi="微软雅黑" w:eastAsia="微软雅黑" w:cs="微软雅黑"/>
          <w:color w:val="auto"/>
          <w:sz w:val="22"/>
        </w:rPr>
        <w:t>、加注“</w:t>
      </w:r>
      <w:r>
        <w:rPr>
          <w:rFonts w:hint="eastAsia" w:ascii="微软雅黑" w:hAnsi="微软雅黑" w:eastAsia="微软雅黑" w:cs="微软雅黑"/>
          <w:color w:val="auto"/>
          <w:sz w:val="21"/>
          <w:szCs w:val="21"/>
          <w:highlight w:val="none"/>
          <w:lang w:val="en-US" w:eastAsia="zh-CN"/>
        </w:rPr>
        <w:t>▲</w:t>
      </w:r>
      <w:r>
        <w:rPr>
          <w:rFonts w:hint="eastAsia" w:ascii="微软雅黑" w:hAnsi="微软雅黑" w:eastAsia="微软雅黑" w:cs="微软雅黑"/>
          <w:color w:val="auto"/>
          <w:sz w:val="22"/>
        </w:rPr>
        <w:t>”号的产品为重要条款。</w:t>
      </w:r>
    </w:p>
    <w:tbl>
      <w:tblPr>
        <w:tblStyle w:val="8"/>
        <w:tblW w:w="141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1"/>
        <w:gridCol w:w="1487"/>
        <w:gridCol w:w="10364"/>
        <w:gridCol w:w="779"/>
        <w:gridCol w:w="7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5" w:hRule="atLeast"/>
        </w:trPr>
        <w:tc>
          <w:tcPr>
            <w:tcW w:w="751" w:type="dxa"/>
            <w:vAlign w:val="center"/>
          </w:tcPr>
          <w:p>
            <w:pPr>
              <w:jc w:val="center"/>
              <w:rPr>
                <w:rFonts w:hint="eastAsia" w:ascii="微软雅黑" w:hAnsi="微软雅黑" w:eastAsia="微软雅黑" w:cs="微软雅黑"/>
                <w:color w:val="auto"/>
                <w:sz w:val="21"/>
                <w:szCs w:val="21"/>
                <w:highlight w:val="none"/>
                <w:lang w:eastAsia="zh-CN"/>
              </w:rPr>
            </w:pPr>
            <w:r>
              <w:rPr>
                <w:rFonts w:hint="eastAsia" w:ascii="微软雅黑" w:hAnsi="微软雅黑" w:eastAsia="微软雅黑" w:cs="微软雅黑"/>
                <w:color w:val="auto"/>
                <w:sz w:val="21"/>
                <w:szCs w:val="21"/>
                <w:highlight w:val="none"/>
                <w:lang w:eastAsia="zh-CN"/>
              </w:rPr>
              <w:t>序号</w:t>
            </w:r>
          </w:p>
        </w:tc>
        <w:tc>
          <w:tcPr>
            <w:tcW w:w="1487" w:type="dxa"/>
            <w:vAlign w:val="center"/>
          </w:tcPr>
          <w:p>
            <w:pPr>
              <w:jc w:val="center"/>
              <w:rPr>
                <w:rFonts w:hint="eastAsia" w:ascii="微软雅黑" w:hAnsi="微软雅黑" w:eastAsia="微软雅黑" w:cs="微软雅黑"/>
                <w:color w:val="auto"/>
                <w:sz w:val="21"/>
                <w:szCs w:val="21"/>
                <w:highlight w:val="none"/>
              </w:rPr>
            </w:pPr>
            <w:r>
              <w:rPr>
                <w:rFonts w:hint="eastAsia" w:ascii="微软雅黑" w:hAnsi="微软雅黑" w:eastAsia="微软雅黑" w:cs="微软雅黑"/>
                <w:color w:val="auto"/>
                <w:sz w:val="21"/>
                <w:szCs w:val="21"/>
                <w:highlight w:val="none"/>
              </w:rPr>
              <w:t>货物名称</w:t>
            </w:r>
          </w:p>
        </w:tc>
        <w:tc>
          <w:tcPr>
            <w:tcW w:w="10364" w:type="dxa"/>
            <w:vAlign w:val="center"/>
          </w:tcPr>
          <w:p>
            <w:pPr>
              <w:jc w:val="center"/>
              <w:rPr>
                <w:rFonts w:hint="eastAsia" w:ascii="微软雅黑" w:hAnsi="微软雅黑" w:eastAsia="微软雅黑" w:cs="微软雅黑"/>
                <w:color w:val="auto"/>
                <w:sz w:val="21"/>
                <w:szCs w:val="21"/>
                <w:highlight w:val="none"/>
              </w:rPr>
            </w:pPr>
            <w:r>
              <w:rPr>
                <w:rFonts w:hint="eastAsia" w:ascii="微软雅黑" w:hAnsi="微软雅黑" w:eastAsia="微软雅黑" w:cs="微软雅黑"/>
                <w:color w:val="auto"/>
                <w:sz w:val="21"/>
                <w:szCs w:val="21"/>
                <w:highlight w:val="none"/>
              </w:rPr>
              <w:t>采购需求</w:t>
            </w:r>
          </w:p>
        </w:tc>
        <w:tc>
          <w:tcPr>
            <w:tcW w:w="779" w:type="dxa"/>
            <w:vAlign w:val="center"/>
          </w:tcPr>
          <w:p>
            <w:pPr>
              <w:jc w:val="center"/>
              <w:rPr>
                <w:rFonts w:hint="eastAsia" w:ascii="微软雅黑" w:hAnsi="微软雅黑" w:eastAsia="微软雅黑" w:cs="微软雅黑"/>
                <w:color w:val="auto"/>
                <w:sz w:val="21"/>
                <w:szCs w:val="21"/>
                <w:highlight w:val="none"/>
              </w:rPr>
            </w:pPr>
            <w:r>
              <w:rPr>
                <w:rFonts w:hint="eastAsia" w:ascii="微软雅黑" w:hAnsi="微软雅黑" w:eastAsia="微软雅黑" w:cs="微软雅黑"/>
                <w:color w:val="auto"/>
                <w:sz w:val="21"/>
                <w:szCs w:val="21"/>
                <w:highlight w:val="none"/>
              </w:rPr>
              <w:t>单位</w:t>
            </w:r>
          </w:p>
        </w:tc>
        <w:tc>
          <w:tcPr>
            <w:tcW w:w="779" w:type="dxa"/>
            <w:vAlign w:val="center"/>
          </w:tcPr>
          <w:p>
            <w:pPr>
              <w:jc w:val="center"/>
              <w:rPr>
                <w:rFonts w:hint="eastAsia" w:ascii="微软雅黑" w:hAnsi="微软雅黑" w:eastAsia="微软雅黑" w:cs="微软雅黑"/>
                <w:color w:val="auto"/>
                <w:sz w:val="21"/>
                <w:szCs w:val="21"/>
                <w:highlight w:val="none"/>
              </w:rPr>
            </w:pPr>
            <w:r>
              <w:rPr>
                <w:rFonts w:hint="eastAsia" w:ascii="微软雅黑" w:hAnsi="微软雅黑" w:eastAsia="微软雅黑" w:cs="微软雅黑"/>
                <w:color w:val="auto"/>
                <w:sz w:val="21"/>
                <w:szCs w:val="21"/>
                <w:highlight w:val="none"/>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2" w:hRule="atLeast"/>
        </w:trPr>
        <w:tc>
          <w:tcPr>
            <w:tcW w:w="751" w:type="dxa"/>
            <w:vMerge w:val="restart"/>
            <w:vAlign w:val="center"/>
          </w:tcPr>
          <w:p>
            <w:pPr>
              <w:jc w:val="center"/>
              <w:rPr>
                <w:rFonts w:hint="eastAsia" w:ascii="微软雅黑" w:hAnsi="微软雅黑" w:eastAsia="微软雅黑" w:cs="微软雅黑"/>
                <w:color w:val="auto"/>
                <w:sz w:val="21"/>
                <w:szCs w:val="21"/>
                <w:highlight w:val="none"/>
              </w:rPr>
            </w:pPr>
            <w:r>
              <w:rPr>
                <w:rFonts w:hint="eastAsia" w:ascii="微软雅黑" w:hAnsi="微软雅黑" w:eastAsia="微软雅黑" w:cs="微软雅黑"/>
                <w:color w:val="auto"/>
                <w:sz w:val="21"/>
                <w:szCs w:val="21"/>
                <w:highlight w:val="none"/>
              </w:rPr>
              <w:t>1</w:t>
            </w:r>
          </w:p>
        </w:tc>
        <w:tc>
          <w:tcPr>
            <w:tcW w:w="1487" w:type="dxa"/>
            <w:vMerge w:val="restart"/>
            <w:vAlign w:val="center"/>
          </w:tcPr>
          <w:p>
            <w:pPr>
              <w:jc w:val="center"/>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移动检测车</w:t>
            </w:r>
          </w:p>
        </w:tc>
        <w:tc>
          <w:tcPr>
            <w:tcW w:w="10364" w:type="dxa"/>
            <w:vAlign w:val="center"/>
          </w:tcPr>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（一）车辆整体需求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车辆产品用途</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医技保障车（X光诊断车、移动医疗检测车）是集医学影像诊断、基础医技检查及快速应急响应功能于一体的多功能移动医疗平台，专为国家紧急救援队、公共卫生应急机构及基层医疗机构设计，旨在突发公共卫生事件、灾害救援、偏远地区巡诊等场景下，提供快速、精准的“一站式”临床检查服务，全面提升现场医疗救治效率和应急响应能力。</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技术参数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▲1、车辆须为工业和信息化部《车辆生产企业及产品公告目录》内的产品，投标人需在投标文件中提供汽车公告证明（车辆名称为医疗车，公告型号与投标产品型号一致）</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2、车辆整体外观应符合国家卫生应急队伍标识中关于卫生应急专用车辆的要求。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▲3、外形尺寸：长：≤12200（mm）、宽：≥2400（mm）、高：≥3700（mm）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▲4、总质量：≤20200（Kg）</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▲5、整备质量：≥19000（Kg）</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▲6、接近角/离去角：≤16/9(°)</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7、额定载客（人）：≥2</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8、前悬/后悬(mm)：≥1400/3000</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9、功率（Kw）：≥180</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10、排量(ml)：≥6200</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11、排放标准：国六</w:t>
            </w:r>
          </w:p>
        </w:tc>
        <w:tc>
          <w:tcPr>
            <w:tcW w:w="779" w:type="dxa"/>
            <w:vMerge w:val="restart"/>
            <w:vAlign w:val="center"/>
          </w:tcPr>
          <w:p>
            <w:pPr>
              <w:jc w:val="center"/>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套</w:t>
            </w:r>
          </w:p>
        </w:tc>
        <w:tc>
          <w:tcPr>
            <w:tcW w:w="779" w:type="dxa"/>
            <w:vMerge w:val="restart"/>
            <w:vAlign w:val="center"/>
          </w:tcPr>
          <w:p>
            <w:pPr>
              <w:jc w:val="center"/>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2" w:hRule="atLeast"/>
        </w:trPr>
        <w:tc>
          <w:tcPr>
            <w:tcW w:w="751" w:type="dxa"/>
            <w:vMerge w:val="continue"/>
            <w:vAlign w:val="center"/>
          </w:tcPr>
          <w:p>
            <w:pPr>
              <w:jc w:val="center"/>
              <w:rPr>
                <w:rFonts w:hint="eastAsia" w:ascii="微软雅黑" w:hAnsi="微软雅黑" w:eastAsia="微软雅黑" w:cs="微软雅黑"/>
                <w:color w:val="auto"/>
                <w:sz w:val="21"/>
                <w:szCs w:val="21"/>
                <w:highlight w:val="none"/>
              </w:rPr>
            </w:pPr>
          </w:p>
        </w:tc>
        <w:tc>
          <w:tcPr>
            <w:tcW w:w="1487" w:type="dxa"/>
            <w:vMerge w:val="continue"/>
            <w:vAlign w:val="center"/>
          </w:tcPr>
          <w:p>
            <w:pPr>
              <w:jc w:val="center"/>
              <w:rPr>
                <w:rFonts w:hint="eastAsia" w:ascii="微软雅黑" w:hAnsi="微软雅黑" w:eastAsia="微软雅黑" w:cs="微软雅黑"/>
                <w:color w:val="auto"/>
                <w:sz w:val="21"/>
                <w:szCs w:val="21"/>
                <w:highlight w:val="none"/>
                <w:lang w:val="en-US" w:eastAsia="zh-CN"/>
              </w:rPr>
            </w:pPr>
          </w:p>
        </w:tc>
        <w:tc>
          <w:tcPr>
            <w:tcW w:w="10364" w:type="dxa"/>
            <w:vAlign w:val="center"/>
          </w:tcPr>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三、配置要求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eastAsia" w:ascii="微软雅黑" w:hAnsi="微软雅黑" w:eastAsia="微软雅黑" w:cs="微软雅黑"/>
                <w:color w:val="auto"/>
                <w:sz w:val="21"/>
                <w:szCs w:val="21"/>
                <w:highlight w:val="none"/>
                <w:lang w:val="en-US" w:eastAsia="zh-CN"/>
              </w:rPr>
              <w:t>1、车辆构成及布局：医技保障车主要由底盘、医疗方舱、医疗器械、电气系统及辅助设备设施等构成(包含DR、彩色超声设备、洁净工作台、医用冷藏箱、离心机、生物安全柜、纯水机、心电图机、病人监护仪、生化分析仪、血液分析仪、尿液分析仪、蒸汽灭菌器)。</w:t>
            </w:r>
          </w:p>
        </w:tc>
        <w:tc>
          <w:tcPr>
            <w:tcW w:w="779" w:type="dxa"/>
            <w:vMerge w:val="continue"/>
            <w:vAlign w:val="center"/>
          </w:tcPr>
          <w:p>
            <w:pPr>
              <w:jc w:val="center"/>
              <w:rPr>
                <w:rFonts w:hint="eastAsia" w:ascii="微软雅黑" w:hAnsi="微软雅黑" w:eastAsia="微软雅黑" w:cs="微软雅黑"/>
                <w:color w:val="auto"/>
                <w:sz w:val="21"/>
                <w:szCs w:val="21"/>
                <w:highlight w:val="none"/>
                <w:lang w:val="en-US" w:eastAsia="zh-CN"/>
              </w:rPr>
            </w:pPr>
          </w:p>
        </w:tc>
        <w:tc>
          <w:tcPr>
            <w:tcW w:w="779" w:type="dxa"/>
            <w:vMerge w:val="continue"/>
            <w:vAlign w:val="center"/>
          </w:tcPr>
          <w:p>
            <w:pPr>
              <w:jc w:val="center"/>
              <w:rPr>
                <w:rFonts w:hint="eastAsia" w:ascii="微软雅黑" w:hAnsi="微软雅黑" w:eastAsia="微软雅黑" w:cs="微软雅黑"/>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2" w:hRule="atLeast"/>
        </w:trPr>
        <w:tc>
          <w:tcPr>
            <w:tcW w:w="751" w:type="dxa"/>
            <w:vMerge w:val="continue"/>
            <w:vAlign w:val="center"/>
          </w:tcPr>
          <w:p>
            <w:pPr>
              <w:jc w:val="center"/>
              <w:rPr>
                <w:rFonts w:hint="eastAsia" w:ascii="微软雅黑" w:hAnsi="微软雅黑" w:eastAsia="微软雅黑" w:cs="微软雅黑"/>
                <w:color w:val="auto"/>
                <w:sz w:val="21"/>
                <w:szCs w:val="21"/>
                <w:highlight w:val="none"/>
              </w:rPr>
            </w:pPr>
          </w:p>
        </w:tc>
        <w:tc>
          <w:tcPr>
            <w:tcW w:w="1487" w:type="dxa"/>
            <w:vMerge w:val="continue"/>
            <w:vAlign w:val="center"/>
          </w:tcPr>
          <w:p>
            <w:pPr>
              <w:jc w:val="center"/>
              <w:rPr>
                <w:rFonts w:hint="eastAsia" w:ascii="微软雅黑" w:hAnsi="微软雅黑" w:eastAsia="微软雅黑" w:cs="微软雅黑"/>
                <w:color w:val="auto"/>
                <w:sz w:val="21"/>
                <w:szCs w:val="21"/>
                <w:highlight w:val="none"/>
                <w:lang w:val="en-US" w:eastAsia="zh-CN"/>
              </w:rPr>
            </w:pPr>
          </w:p>
        </w:tc>
        <w:tc>
          <w:tcPr>
            <w:tcW w:w="10364" w:type="dxa"/>
            <w:vAlign w:val="center"/>
          </w:tcPr>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整车分为四个区域：设备区、DR扫描区、检验区、心电超声区。</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①、设备间：安装超静音发电机及其他辅助设施</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②、DR扫描区：位于后门入口，配DR操作台、铅防护机房、DR设备等。</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③、检验区：配备血细胞分析仪、尿液分析仪、生化分析仪、纯水机、离心机等设备。</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④、心电超声区：配备腹部彩超、心电图机、隐私床位等。</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2、改装配置</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（1）车厢</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①、车辆采用驾驶室与车厢分离的厢式车结构，驾驶室保持原车风格，车厢采用封闭式保温结构，并采用厢体一体化设计，造型美观。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②、车厢采用钢骨架厢体，并通过副车架与底盘相连接。副车架采用高强度承载式全钢结构，隐藏式整体框架式结构。骨架在焊接前进行防腐处理，焊接完毕后对损伤油漆的部位进行补漆处理。</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③、厢体的各壁板采用整体式结构，内外蒙皮采用铝合金板，骨架采用钢骨架，中间保温层采用聚氨酯泡沫板，使箱板具有较好的保温性和隔热性。厢内各部件按功能排列合理、整齐；电缆导线颜色和截面经过合理设计，线束布放平整，编号合理；电器接插件连接牢固可靠；电源进出线符合工程需要。充分考虑各设备的维修安全及方便；各设备安装均具备相应的抗震措施。</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④、车厢地板：地板铺设竹胶板，竹胶板上方粘贴PVC地板胶，地板胶具有防水、防酸、防腐的性能，且易清洁消毒。能耐受相对湿度20%～90%，可耐受70℃高温及-55℃低温。</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⑤、车厢尺寸要求：长9600mm，宽2550mm，高2600mm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（2）外部</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①、门窗：密封式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②、车门：侧门≥2扇、后开门1扇</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③、登车梯：折叠抽拉式≥2套（用于医护人员上下车）；外挂式登车梯1套（用于机房操作）</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3、液压支撑系统</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 xml:space="preserve">（1）工作电压：DC24V </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电动平衡系统：由单片机程序控制，直流电机驱动，齿轮箱传动。操作时只需一个按钮，系统便在两分钟内完成支腿伸开、支撑、调平动作。设计上，除保证产品功能基础上，重点考虑其安全可靠性、操作维护的方便性。即使是在没有电源的情况下，也可通过电机上伸出的轴，手摇驱动支腿升降。若果电气控制部分故障，可以通过应急回收接头，将支腿收回。</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（3）全自动控制支腿伸开并自动找平，系统调平精度0.5°。</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（4）8T电动压支腿，支腿行程400毫米。</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（5）一键支腿自动收回。</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（6）手按键控制任意支腿收回。</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（7）可实现紧急支撑和回收。</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（8）485通信接口，通讯可靠性高。</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（9）一健式电脑程序控制，辅以标准控制功能，确保必要时独立控制每一支腿。</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4、液压升降尾板系统</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（1）尾板板面尺寸（长×宽mm）：≥2200×2000</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（2）最大举升高度（mm）：≥1400</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（3）最大承载（kg）：≥2000</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（4）工作电压：DC24V</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（5）贮存温度:-41℃~70℃，工作温度:-41℃~46℃</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5、裙边工具箱</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（1）采用30×30×1.5和30×50×1.5的标准镀锌管，布局在保证可以满足设备安装的情况下将空间做到了最大化。</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（2）箱体内部铺设镀锌铁板和装饰板，在保证承重的情况下可以做到更好的防锈。</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（3）设有防水沿结构和密封胶条，使箱内的防水要求达到相关的行业标准。</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（4）裙箱门采用隐藏式高强度铝合金铰链。</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（5）所有裙舱均进行密封处理，缝隙处均打有密封胶，无漏水现象。</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（6）裙舱内有质量大于10kg设备均加装有预埋铁加强。</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6、空调系统</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空调系统采用顶置或顶侧安装，具备制冷与制热双向调节能力，能够在户外暴晒（环境温度≥40℃）及低温冰雪（环境温度≤-20℃）等极端气候条件下稳定运行。要求系统启动后20分钟内，使箱体内部所有区域的环境温度快速达到并维持在20℃～26℃的舒适区间，且温度分布均匀，无局部冷热死角。系统需具备自动温控及高可靠性的防护能力，满足野外无遮蔽场景下的全天候使用要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7、给排水系统</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水箱：污水箱1套≥100L，净水箱1套≥200L，配备相应水路系统及电子液位计。水箱材质为304不锈钢，与车身结构件或连接件牢固连接，密封良好。</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8、电气系统</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（1）外接电缆卷盘：≥50m，配电动卷线盘</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（2）电源系统：供电设计包括短路、过载、漏电、线路防雷保护，过欠压指示灯报警功能，舱内设备按标准接地。市电输入：AC380V±10%，三相四线制。</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（3）配电箱：设一级总断路器（带漏电保护、过流保护），二级各设备分断路器；AC220V输出分断路器带漏电保护；设置电源指示灯、交流电压表、交流电流表，可随时监控用电情况。</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b/>
                <w:bCs/>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▲（4）电气线路：改装线束采用汽车用薄壁绝缘低压电线，电线为镀锡铜线，高温压力测试，测试条件为100°、4h、1KV、1min情况下，按照GB/T 25085-2010标准进行测试，要求满足标准。</w:t>
            </w:r>
            <w:r>
              <w:rPr>
                <w:rFonts w:hint="eastAsia" w:ascii="微软雅黑" w:hAnsi="微软雅黑" w:eastAsia="微软雅黑" w:cs="微软雅黑"/>
                <w:b/>
                <w:bCs/>
                <w:color w:val="auto"/>
                <w:sz w:val="21"/>
                <w:szCs w:val="21"/>
                <w:highlight w:val="none"/>
                <w:lang w:val="en-US" w:eastAsia="zh-CN"/>
              </w:rPr>
              <w:t>（提供第三方检测构出具CNAS认证标志的检测报告复印件）</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（5）逆变器（充电一体）：功率≥5000W</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（6）电源控制箱：市电和发电机组同时输入时自动切换，市电优先。带过流、短路、漏电保护。</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（7）蓄电池：24V，300Ah</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（8）医疗保温箱在行车状态下可通过底盘蓄电池逆变AC220V供电。</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（9）车辆顶部安装室外照明，夜间照明范围≥10米</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ins w:id="0" w:author="admin" w:date="2026-06-15T17:07:44Z"/>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（10）发电机组：超静音水冷柴油发电机。</w:t>
            </w:r>
          </w:p>
          <w:p>
            <w:pPr>
              <w:keepNext w:val="0"/>
              <w:keepLines w:val="0"/>
              <w:pageBreakBefore w:val="0"/>
              <w:widowControl w:val="0"/>
              <w:numPr>
                <w:ilvl w:val="0"/>
                <w:numId w:val="0"/>
              </w:numPr>
              <w:kinsoku/>
              <w:wordWrap/>
              <w:overflowPunct/>
              <w:topLinePunct w:val="0"/>
              <w:autoSpaceDE/>
              <w:autoSpaceDN/>
              <w:bidi w:val="0"/>
              <w:adjustRightInd w:val="0"/>
              <w:snapToGrid w:val="0"/>
              <w:ind w:left="0" w:leftChars="0" w:right="0" w:rightChars="0" w:firstLine="420" w:firstLineChars="200"/>
              <w:jc w:val="left"/>
              <w:textAlignment w:val="auto"/>
              <w:rPr>
                <w:rFonts w:hint="eastAsia" w:ascii="微软雅黑" w:hAnsi="微软雅黑" w:eastAsia="微软雅黑" w:cs="微软雅黑"/>
                <w:color w:val="auto"/>
                <w:szCs w:val="21"/>
                <w:highlight w:val="none"/>
              </w:rPr>
            </w:pPr>
            <w:r>
              <w:rPr>
                <w:rFonts w:hint="eastAsia" w:ascii="微软雅黑" w:hAnsi="微软雅黑" w:eastAsia="微软雅黑" w:cs="微软雅黑"/>
                <w:color w:val="auto"/>
                <w:szCs w:val="21"/>
                <w:highlight w:val="none"/>
              </w:rPr>
              <w:t>1）发电机主要技术参数：</w:t>
            </w:r>
          </w:p>
          <w:p>
            <w:pPr>
              <w:keepNext w:val="0"/>
              <w:keepLines w:val="0"/>
              <w:pageBreakBefore w:val="0"/>
              <w:widowControl w:val="0"/>
              <w:numPr>
                <w:ilvl w:val="0"/>
                <w:numId w:val="0"/>
              </w:numPr>
              <w:kinsoku/>
              <w:wordWrap/>
              <w:overflowPunct/>
              <w:topLinePunct w:val="0"/>
              <w:autoSpaceDE/>
              <w:autoSpaceDN/>
              <w:bidi w:val="0"/>
              <w:adjustRightInd w:val="0"/>
              <w:snapToGrid w:val="0"/>
              <w:ind w:left="0" w:leftChars="0" w:right="0" w:rightChars="0" w:firstLine="420" w:firstLineChars="200"/>
              <w:jc w:val="left"/>
              <w:textAlignment w:val="auto"/>
              <w:rPr>
                <w:rFonts w:hint="eastAsia" w:ascii="微软雅黑" w:hAnsi="微软雅黑" w:eastAsia="微软雅黑" w:cs="微软雅黑"/>
                <w:color w:val="auto"/>
                <w:szCs w:val="21"/>
                <w:highlight w:val="none"/>
              </w:rPr>
            </w:pPr>
            <w:r>
              <w:rPr>
                <w:rFonts w:hint="eastAsia" w:ascii="微软雅黑" w:hAnsi="微软雅黑" w:eastAsia="微软雅黑" w:cs="微软雅黑"/>
                <w:color w:val="auto"/>
                <w:szCs w:val="21"/>
                <w:highlight w:val="none"/>
              </w:rPr>
              <w:t>供电制式：三相四线，中性点绝缘制</w:t>
            </w:r>
          </w:p>
          <w:p>
            <w:pPr>
              <w:keepNext w:val="0"/>
              <w:keepLines w:val="0"/>
              <w:pageBreakBefore w:val="0"/>
              <w:widowControl w:val="0"/>
              <w:numPr>
                <w:ilvl w:val="0"/>
                <w:numId w:val="0"/>
              </w:numPr>
              <w:kinsoku/>
              <w:wordWrap/>
              <w:overflowPunct/>
              <w:topLinePunct w:val="0"/>
              <w:autoSpaceDE/>
              <w:autoSpaceDN/>
              <w:bidi w:val="0"/>
              <w:adjustRightInd w:val="0"/>
              <w:snapToGrid w:val="0"/>
              <w:ind w:left="0" w:leftChars="0" w:right="0" w:rightChars="0" w:firstLine="420" w:firstLineChars="200"/>
              <w:jc w:val="left"/>
              <w:textAlignment w:val="auto"/>
              <w:rPr>
                <w:rFonts w:hint="eastAsia" w:ascii="微软雅黑" w:hAnsi="微软雅黑" w:eastAsia="微软雅黑" w:cs="微软雅黑"/>
                <w:color w:val="auto"/>
                <w:szCs w:val="21"/>
                <w:highlight w:val="none"/>
              </w:rPr>
            </w:pPr>
            <w:r>
              <w:rPr>
                <w:rFonts w:hint="eastAsia" w:ascii="微软雅黑" w:hAnsi="微软雅黑" w:eastAsia="微软雅黑" w:cs="微软雅黑"/>
                <w:color w:val="auto"/>
                <w:szCs w:val="21"/>
                <w:highlight w:val="none"/>
              </w:rPr>
              <w:t>额定功率（kW）：40</w:t>
            </w:r>
          </w:p>
          <w:p>
            <w:pPr>
              <w:keepNext w:val="0"/>
              <w:keepLines w:val="0"/>
              <w:pageBreakBefore w:val="0"/>
              <w:widowControl w:val="0"/>
              <w:numPr>
                <w:ilvl w:val="0"/>
                <w:numId w:val="0"/>
              </w:numPr>
              <w:kinsoku/>
              <w:wordWrap/>
              <w:overflowPunct/>
              <w:topLinePunct w:val="0"/>
              <w:autoSpaceDE/>
              <w:autoSpaceDN/>
              <w:bidi w:val="0"/>
              <w:adjustRightInd w:val="0"/>
              <w:snapToGrid w:val="0"/>
              <w:ind w:left="0" w:leftChars="0" w:right="0" w:rightChars="0" w:firstLine="420" w:firstLineChars="200"/>
              <w:jc w:val="left"/>
              <w:textAlignment w:val="auto"/>
              <w:rPr>
                <w:rFonts w:hint="eastAsia" w:ascii="微软雅黑" w:hAnsi="微软雅黑" w:eastAsia="微软雅黑" w:cs="微软雅黑"/>
                <w:color w:val="auto"/>
                <w:szCs w:val="21"/>
                <w:highlight w:val="none"/>
              </w:rPr>
            </w:pPr>
            <w:r>
              <w:rPr>
                <w:rFonts w:hint="eastAsia" w:ascii="微软雅黑" w:hAnsi="微软雅黑" w:eastAsia="微软雅黑" w:cs="微软雅黑"/>
                <w:color w:val="auto"/>
                <w:szCs w:val="21"/>
                <w:highlight w:val="none"/>
              </w:rPr>
              <w:t>额定电压（V）：230/400</w:t>
            </w:r>
          </w:p>
          <w:p>
            <w:pPr>
              <w:keepNext w:val="0"/>
              <w:keepLines w:val="0"/>
              <w:pageBreakBefore w:val="0"/>
              <w:widowControl w:val="0"/>
              <w:numPr>
                <w:ilvl w:val="0"/>
                <w:numId w:val="0"/>
              </w:numPr>
              <w:kinsoku/>
              <w:wordWrap/>
              <w:overflowPunct/>
              <w:topLinePunct w:val="0"/>
              <w:autoSpaceDE/>
              <w:autoSpaceDN/>
              <w:bidi w:val="0"/>
              <w:adjustRightInd w:val="0"/>
              <w:snapToGrid w:val="0"/>
              <w:ind w:left="0" w:leftChars="0" w:right="0" w:rightChars="0" w:firstLine="420" w:firstLineChars="200"/>
              <w:jc w:val="left"/>
              <w:textAlignment w:val="auto"/>
              <w:rPr>
                <w:rFonts w:hint="eastAsia" w:ascii="微软雅黑" w:hAnsi="微软雅黑" w:eastAsia="微软雅黑" w:cs="微软雅黑"/>
                <w:color w:val="auto"/>
                <w:szCs w:val="21"/>
                <w:highlight w:val="none"/>
              </w:rPr>
            </w:pPr>
            <w:r>
              <w:rPr>
                <w:rFonts w:hint="eastAsia" w:ascii="微软雅黑" w:hAnsi="微软雅黑" w:eastAsia="微软雅黑" w:cs="微软雅黑"/>
                <w:color w:val="auto"/>
                <w:szCs w:val="21"/>
                <w:highlight w:val="none"/>
              </w:rPr>
              <w:t>额定频率（Hz）：50</w:t>
            </w:r>
          </w:p>
          <w:p>
            <w:pPr>
              <w:keepNext w:val="0"/>
              <w:keepLines w:val="0"/>
              <w:pageBreakBefore w:val="0"/>
              <w:widowControl w:val="0"/>
              <w:numPr>
                <w:ilvl w:val="0"/>
                <w:numId w:val="0"/>
              </w:numPr>
              <w:kinsoku/>
              <w:wordWrap/>
              <w:overflowPunct/>
              <w:topLinePunct w:val="0"/>
              <w:autoSpaceDE/>
              <w:autoSpaceDN/>
              <w:bidi w:val="0"/>
              <w:adjustRightInd w:val="0"/>
              <w:snapToGrid w:val="0"/>
              <w:ind w:left="0" w:leftChars="0" w:right="0" w:rightChars="0" w:firstLine="420" w:firstLineChars="200"/>
              <w:jc w:val="left"/>
              <w:textAlignment w:val="auto"/>
              <w:rPr>
                <w:rFonts w:hint="eastAsia" w:ascii="微软雅黑" w:hAnsi="微软雅黑" w:eastAsia="微软雅黑" w:cs="微软雅黑"/>
                <w:color w:val="auto"/>
                <w:szCs w:val="21"/>
                <w:highlight w:val="none"/>
              </w:rPr>
            </w:pPr>
            <w:r>
              <w:rPr>
                <w:rFonts w:hint="eastAsia" w:ascii="微软雅黑" w:hAnsi="微软雅黑" w:eastAsia="微软雅黑" w:cs="微软雅黑"/>
                <w:color w:val="auto"/>
                <w:szCs w:val="21"/>
                <w:highlight w:val="none"/>
              </w:rPr>
              <w:t>额定转速（r/min）：3000</w:t>
            </w:r>
          </w:p>
          <w:p>
            <w:pPr>
              <w:keepNext w:val="0"/>
              <w:keepLines w:val="0"/>
              <w:pageBreakBefore w:val="0"/>
              <w:widowControl w:val="0"/>
              <w:numPr>
                <w:ilvl w:val="0"/>
                <w:numId w:val="0"/>
              </w:numPr>
              <w:kinsoku/>
              <w:wordWrap/>
              <w:overflowPunct/>
              <w:topLinePunct w:val="0"/>
              <w:autoSpaceDE/>
              <w:autoSpaceDN/>
              <w:bidi w:val="0"/>
              <w:adjustRightInd w:val="0"/>
              <w:snapToGrid w:val="0"/>
              <w:ind w:left="0" w:leftChars="0" w:right="0" w:rightChars="0" w:firstLine="420" w:firstLineChars="200"/>
              <w:jc w:val="left"/>
              <w:textAlignment w:val="auto"/>
              <w:rPr>
                <w:rFonts w:hint="eastAsia" w:ascii="微软雅黑" w:hAnsi="微软雅黑" w:eastAsia="微软雅黑" w:cs="微软雅黑"/>
                <w:color w:val="auto"/>
                <w:szCs w:val="21"/>
                <w:highlight w:val="none"/>
              </w:rPr>
            </w:pPr>
            <w:r>
              <w:rPr>
                <w:rFonts w:hint="eastAsia" w:ascii="微软雅黑" w:hAnsi="微软雅黑" w:eastAsia="微软雅黑" w:cs="微软雅黑"/>
                <w:color w:val="auto"/>
                <w:szCs w:val="21"/>
                <w:highlight w:val="none"/>
              </w:rPr>
              <w:t>功率因数：0.8</w:t>
            </w:r>
          </w:p>
          <w:p>
            <w:pPr>
              <w:keepNext w:val="0"/>
              <w:keepLines w:val="0"/>
              <w:pageBreakBefore w:val="0"/>
              <w:widowControl w:val="0"/>
              <w:numPr>
                <w:ilvl w:val="0"/>
                <w:numId w:val="0"/>
              </w:numPr>
              <w:kinsoku/>
              <w:wordWrap/>
              <w:overflowPunct/>
              <w:topLinePunct w:val="0"/>
              <w:autoSpaceDE/>
              <w:autoSpaceDN/>
              <w:bidi w:val="0"/>
              <w:adjustRightInd w:val="0"/>
              <w:snapToGrid w:val="0"/>
              <w:ind w:left="0" w:leftChars="0" w:right="0" w:rightChars="0" w:firstLine="420" w:firstLineChars="200"/>
              <w:jc w:val="left"/>
              <w:textAlignment w:val="auto"/>
              <w:rPr>
                <w:rFonts w:hint="eastAsia" w:ascii="微软雅黑" w:hAnsi="微软雅黑" w:eastAsia="微软雅黑" w:cs="微软雅黑"/>
                <w:color w:val="auto"/>
                <w:szCs w:val="21"/>
                <w:highlight w:val="none"/>
              </w:rPr>
            </w:pPr>
            <w:r>
              <w:rPr>
                <w:rFonts w:hint="eastAsia" w:ascii="微软雅黑" w:hAnsi="微软雅黑" w:eastAsia="微软雅黑" w:cs="微软雅黑"/>
                <w:color w:val="auto"/>
                <w:szCs w:val="21"/>
                <w:highlight w:val="none"/>
              </w:rPr>
              <w:t>调压方式：AVR自动稳压</w:t>
            </w:r>
          </w:p>
          <w:p>
            <w:pPr>
              <w:keepNext w:val="0"/>
              <w:keepLines w:val="0"/>
              <w:pageBreakBefore w:val="0"/>
              <w:widowControl w:val="0"/>
              <w:numPr>
                <w:ilvl w:val="0"/>
                <w:numId w:val="0"/>
              </w:numPr>
              <w:kinsoku/>
              <w:wordWrap/>
              <w:overflowPunct/>
              <w:topLinePunct w:val="0"/>
              <w:autoSpaceDE/>
              <w:autoSpaceDN/>
              <w:bidi w:val="0"/>
              <w:adjustRightInd w:val="0"/>
              <w:snapToGrid w:val="0"/>
              <w:ind w:left="0" w:leftChars="0" w:right="0" w:rightChars="0" w:firstLine="420" w:firstLineChars="200"/>
              <w:jc w:val="left"/>
              <w:textAlignment w:val="auto"/>
              <w:rPr>
                <w:rFonts w:hint="eastAsia" w:ascii="微软雅黑" w:hAnsi="微软雅黑" w:eastAsia="微软雅黑" w:cs="微软雅黑"/>
                <w:color w:val="auto"/>
                <w:szCs w:val="21"/>
                <w:highlight w:val="none"/>
              </w:rPr>
            </w:pPr>
            <w:r>
              <w:rPr>
                <w:rFonts w:hint="eastAsia" w:ascii="微软雅黑" w:hAnsi="微软雅黑" w:eastAsia="微软雅黑" w:cs="微软雅黑"/>
                <w:color w:val="auto"/>
                <w:szCs w:val="21"/>
                <w:highlight w:val="none"/>
              </w:rPr>
              <w:t>励磁方式：励磁机无刷励磁</w:t>
            </w:r>
          </w:p>
          <w:p>
            <w:pPr>
              <w:keepNext w:val="0"/>
              <w:keepLines w:val="0"/>
              <w:pageBreakBefore w:val="0"/>
              <w:widowControl w:val="0"/>
              <w:numPr>
                <w:ilvl w:val="0"/>
                <w:numId w:val="0"/>
              </w:numPr>
              <w:kinsoku/>
              <w:wordWrap/>
              <w:overflowPunct/>
              <w:topLinePunct w:val="0"/>
              <w:autoSpaceDE/>
              <w:autoSpaceDN/>
              <w:bidi w:val="0"/>
              <w:adjustRightInd w:val="0"/>
              <w:snapToGrid w:val="0"/>
              <w:ind w:left="0" w:leftChars="0" w:right="0" w:rightChars="0" w:firstLine="420" w:firstLineChars="200"/>
              <w:jc w:val="left"/>
              <w:textAlignment w:val="auto"/>
              <w:rPr>
                <w:rFonts w:hint="eastAsia" w:ascii="微软雅黑" w:hAnsi="微软雅黑" w:eastAsia="微软雅黑" w:cs="微软雅黑"/>
                <w:color w:val="auto"/>
                <w:szCs w:val="21"/>
                <w:highlight w:val="none"/>
              </w:rPr>
            </w:pPr>
            <w:r>
              <w:rPr>
                <w:rFonts w:hint="eastAsia" w:ascii="微软雅黑" w:hAnsi="微软雅黑" w:eastAsia="微软雅黑" w:cs="微软雅黑"/>
                <w:color w:val="auto"/>
                <w:szCs w:val="21"/>
                <w:highlight w:val="none"/>
              </w:rPr>
              <w:t>起动方式：电起动</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9、网络系统</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采用聚合路由器，搭载独立WiFi6模组+外置天线，户外无线连接更稳更快，完美适配手机直播、移动采编等场景。设备内置3个5G模组+3个4G模组，支持5G NSA/SA双模、4G全网通，实现10链路聚合（5G×3+4G×3+WiFi+USB×2+有线），多路带宽智能叠加。5G天线内置，外置WiFi天线5条，外置4G天线3条，随时随地拥有高速、稳定、可靠的专属网络。</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10、铅防护机房</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（1）防护标准：X线防护水平符合《放射诊断放射防护要求》(GBZ130—2020)内的要求；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（2）防护措施：机房四周采用高密度铅全面防护防护当量不小于4mm/pb,车顶和地面铅板防护当量不小于2mm/pb，铅板接缝交叠固定，射线照射方向背离X线操作台；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（3）电动感应铅防护门，操作台一侧设置铅玻璃观察窗；</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（4）机房前、后门安装射线警示红灯和电离辐射警示标志；</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（5）车载专用X光操作台，安装X光操作台对防护机房对讲系统</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w:t>
            </w:r>
            <w:r>
              <w:rPr>
                <w:rFonts w:hint="default" w:ascii="微软雅黑" w:hAnsi="微软雅黑" w:eastAsia="微软雅黑" w:cs="微软雅黑"/>
                <w:color w:val="auto"/>
                <w:sz w:val="21"/>
                <w:szCs w:val="21"/>
                <w:highlight w:val="none"/>
                <w:lang w:val="en-US" w:eastAsia="zh-CN"/>
              </w:rPr>
              <w:t>、智慧车联网调度指挥系统</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1）车辆实时位置监控系统通过车辆的终端设备进行卫星定位，准确获得车辆在任何时刻的位置、速度、里程、数据等信息，而这些信息是对车辆调度管理的前提。系统将获得的信息提取、计算、分析后，将其通过通信模块发布到监控平台的网络上。管理者只要登陆：即可对车辆的所有运行信息一目了然。（提供软件功能截图，需显示接收时间、速度、方向、状态、位置）</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2）车辆实时追踪当对某台车辆需实时追踪时，系统自动最大化的显示车辆的当前地点，和前两分钟的行车轨迹,地图连续自动以蓝色线条描述需监控车辆的运行路线。并通过文字的方式描述车辆当前位置、接收时间、车速、发动机状态和有无报警等情况。此外，系统30秒自动刷新一次车辆的最新位置。（提供软件功能截图，需显示接收时间、速度、方向、状态、位置）</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3）车辆卫星地图当用户想查询车辆周边建筑物情况时，可点卫星地图。在地图上，北斗能清晰的知道车辆周围情况。且同样有位置描述、车速等文字说明。（提供软件功能截图，需显示接收时间、速度、方向、状态、位置）</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4）历史行车轨迹由于北斗自身并不能真正实现7*24小时的监控形式，系统提供历史轨迹查询功能。北斗可以知道所需查询的车辆任意时段的车辆行驶路线情况。图中蓝色线条表示行车路线，并以报表形式详细描述了车辆每一刻的运行状态。如：发动机状态、经纬度、是否出现报警等。（提供软件功能截图）</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（5）手机查车功能用户可使用手机登陆平台，实时查询车辆的实时位置、速度、发动机情况等实时情况，并可以在手机上使用地图进行查看。（提供软件功能截图）</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（6）行车里程统计可查询任意时间段的车辆里程情况，设定好油耗后，可自动统计出油量消耗情况。(提供软件功能截图)</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（7）车辆停车报表系统自动统计出车辆的停车情况，在各点的停车地点，停车时间，停车时长，开车时间，停车时的位置描述，停车时的客户名称。（提供软件功能截图）</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（8）车辆停车未熄火报表系统可根据车辆的行车情况，自动调出车辆停车未熄火的时刻，位置，停车未熄火时长，停车未熄火时的范围。车辆中途长时间停车不熄火。（提供软件功能截图）</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（9）车辆设备断电报警定位系统的设备终端感应车辆电源，使设备能长期在线实时监控，在车辆关闭电源开关以后系统会显示报警信息。（提供软件功能截图）</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（10）超速/疲驾报警如司机有超速、疲劳驾驶、超过区域行驶等行为时，会做相应的语音提醒，特殊情况下可解除超速限制。（提供软件功能截图）</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（11）提供智慧车联网调度指挥系统著作权登记证书。（提供证书复印件加盖厂家公章）</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▲12、</w:t>
            </w:r>
            <w:r>
              <w:rPr>
                <w:rFonts w:hint="default" w:ascii="微软雅黑" w:hAnsi="微软雅黑" w:eastAsia="微软雅黑" w:cs="微软雅黑"/>
                <w:color w:val="auto"/>
                <w:sz w:val="21"/>
                <w:szCs w:val="21"/>
                <w:highlight w:val="none"/>
                <w:lang w:val="en-US" w:eastAsia="zh-CN"/>
              </w:rPr>
              <w:t>车辆应急包</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（1）整体外观：符合形体饱满，弧线自然，粘贴平服角对称，基本端正，整洁干净(提供检测报告复印件)；</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（2）产品尺寸:≤21×17×8cm(提供检测报告复印件)；</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3）含急救毯、破窗器、生理盐水、藿香正气液、绷带、止血带、胶布、冰袋等10类33个单项；降温包扎:三角绷带、止血带、冰袋；医护保健:网帽、绷带、胶布、急救毯；消毒创伤:纱布片、镊子、剪刀、碘伏消毒棒、创可贴；心肺复苏:口对口呼吸面罩、酒精消毒片、一次性检查手套；应急维能:葡萄糖、生理盐水、正气液；应急工具:破窗器、多功能手电口哨、紧急记录本、笔、水银体温计、美工刀；晕车防护:晕车贴、呕吐袋、塑料袋；防雨防霾:一次性雨衣、防霾口罩；综合配置:信息卡、急救指南、个性配置袋；</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（4）应急包内部分区分层，隔层具备物品对应放置功能，可将以上物品归类整齐。</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13、辅助设施</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（1）升降圆凳：若干</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（2）笔记本电脑：配合血细胞分析和生化分析仪使用</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（3）打印机：1台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（4）照明设施：平板洁净照明灯，若干</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（5）消毒灯：3个</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（6）车内监控系统：1套</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（7）污物桶：4个</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（二）其他医疗设备配置</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一、数字X射线系统1台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产品用于机动条件下，在远离医院的现场开展X射线摄影诊断检查。（须提供医疗器械注册证验证）。</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产品注册环境为车载，具备车载X线机注册证。</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安全性能要求：辐射安全应符合中国国家标准</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①、高压发生装置</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1.1、与整机为同一品牌，须提供医疗器械注册证或医疗器械注册检验报告验证。</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1.2、输入电源：单相AC220V，具备原装电容储能，储能单元数量≥300个</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1.3、▲最大功率：≥70KW；（须提供医疗器械注册证或医疗器械注册检验报告验证）。</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1.4、输入电源功率：≤5.0kVA。</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1.5、摄影管电压：≥150kV；</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1.6、▲摄影管电流：≥1000mA（须提供医疗器械注册证或医疗器械注册检验报告验证）。</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1.7、最长摄影加载时间：≥10s；</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1.8、电流时间积：≥800mAs</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1.9、▲逆变频率：≥410KHZ（须提供医疗器械注册证或医疗器械注册检验报告验证）。</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1.10、纹波率：≤4%（须提供医疗器械注册证或医疗器械注册检验报告验证）。</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1.11、高压发生器具备高速旋阳功能，可大幅缩短单次拍片时球管加速时间，球管从准备到可出光加速过程≤1.2S，从而大幅提高球管曝光次数（寿命），减少球管加速时间过长产生的散射线，提高图像质量。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②、X射线管</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2.1、▲小/大焦点：≤0.6mm/≤1.0mm；（须提供医疗器械注册证或医疗器械注册检验报告验证）。</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2.2、最高工作电压：≥150kV；</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2.3、▲阳极热容量：≥340kHU（须提供医疗器械注册证或医疗器械注册检验报告验证）。</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2.4、▲管组件热容量：≥1400kHU（须提供医疗器械注册证或医疗器械注册检验报告验证）。</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2.5、DR系统X射线管装置具备智能温度控制功能，能实时检测球管温度，当球管温度超过设定值时，启动散热风扇，提高球管的散热能力。</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2.6、车载DR在职业病摄影条件下，可实现≤每20秒一次曝光，连续≥8小时不停机工作，不会出现热保护。</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2.7、车载DR可在高温条件下正常开机，拍片效率不受高温影响，产品在≥50摄氏度以上条件做过高温测试。</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2.8、高压发生器及球管，在实验室进行过按照职业病摄影条件，连续10万次以上的稳定性测试。提供生产厂家承诺函及必要的测试数据照片。</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③、平板探测器</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3.1、探测器类型：碘化铯+非晶硅；</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3.2、有效区域：≥430mm×430mm；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3.3、像素距阵：≥3,072（H）×3,072（V）</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3.4、像素间距：≤140μm；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3.5、A/D转换：≥16bit。</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④、限束器</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4.1、限束器采用LED光源</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4.2、具备SID测量尺，行程≥1800mm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⑤、双立柱机架</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5.1、具备立柱运动控制系统，立柱运动精度控制软件，通过软件控制调节运动同步，根本性解决车载机架故障高发问题。</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5.2、X射线管组件升降运动范围：≥650mm；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5.3、一体式机架控制盒（含机架电源控制盒），可通过一个控制盒控制球管立柱及探测器立柱同步升降，控制盒镶嵌在立柱上，与立柱机架融为一体；控制盒尺寸（长×宽×厚）≤600mm×150mm×100mm。除此以外，DR机架再无其他电源盒或控制盒等，美观、安全，占用空间少。（须提供带尺寸的控制盒实拍照片验证）。</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⑥、滤线栅</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6.1、尺寸≥18″×18″，焦距≥180cm，栅格比≥10:1</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⑦、图像采集工作站</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7.1、采集工作站要求：≥24″液晶显示器1台；主机CPU≥3.0GHz、处理器≥i5，硬盘：≥500G，内存：≥8G。</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7.2、中文操作界面。</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7.3、在同一图像采集界面，可选择健康体检或职业病体检摄影模式。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7.4、标准DICOM3.0接口，可采阅原始图像、图像预览、预览报告内容，可选择开/关图像降噪、图像增强、图像平滑、图像锐化、组织均衡等功能；可选择拍摄部位、体型、体位，支持图像裁剪、图像旋转、图像翻转、添加备注、添加标记、正负片显示、接受/拒绝影像等功能。</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7.5、具备DICOM WORKLIST，可输入病人资料，已输入的病人资料可在WORKLIST列表中配对确认。</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7.6、标准DICOM Print SCU接口，支持多种尺寸的胶片打印。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7.7、采集工作站软件有专门的体检模式，可以实现在操作医生不登记信息的情况下，曝光后自动编号排序，并且能够按照日期或场地自动归档当日或每个场地的摄影图像，操作医生当日全部工作完成后，可以直接提出当日全部拍片图像，不需再耗时导出数据。</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7.8、具备儿童摄影模式。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7.9、具备（长骨）图像自动拼接功能。</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⑧、一体式开模DR操作面板</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8.1、操作面板将DR立柱升降，电动铅门控制，DR曝光，声音录制及播放，语音对讲等操作功能集成一体，按键操作。</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8.2、集成操作面板材质：上盖下主题均全部采用ABS工程塑料。</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8.3、集成操作面板尺寸≤32cm(长）×11cm（宽）</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8.4、DR曝光操作方式：控制面板机械按键曝光，非手柄式操作。</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配置要求：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1、高压发生装置</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2、X射线管</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3、平板探测器</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4、限束器</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5、双立柱机架</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6、滤线栅</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7、图像采集工作站</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8、一体式开模DR操作面板</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二、彩色超声设备1台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产品用途：满足腹部、妇科、产科、心脏、小器官、血管、肺部等常规全身检查需要，同时可以快速进行心肺功能监测及血流动力学评估应用，以及介入操作的可视化引导，血管通路搭建，诊断和治疗引导等</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w:t>
            </w:r>
            <w:r>
              <w:rPr>
                <w:rFonts w:hint="eastAsia" w:ascii="微软雅黑" w:hAnsi="微软雅黑" w:eastAsia="微软雅黑" w:cs="微软雅黑"/>
                <w:color w:val="auto"/>
                <w:sz w:val="21"/>
                <w:szCs w:val="21"/>
                <w:highlight w:val="none"/>
                <w:lang w:val="en-US" w:eastAsia="zh-CN"/>
              </w:rPr>
              <w:tab/>
            </w:r>
            <w:r>
              <w:rPr>
                <w:rFonts w:hint="eastAsia" w:ascii="微软雅黑" w:hAnsi="微软雅黑" w:eastAsia="微软雅黑" w:cs="微软雅黑"/>
                <w:color w:val="auto"/>
                <w:sz w:val="21"/>
                <w:szCs w:val="21"/>
                <w:highlight w:val="none"/>
                <w:lang w:val="en-US" w:eastAsia="zh-CN"/>
              </w:rPr>
              <w:t>主机重量≤4kg（含电池）</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2.2</w:t>
            </w:r>
            <w:r>
              <w:rPr>
                <w:rFonts w:hint="eastAsia" w:ascii="微软雅黑" w:hAnsi="微软雅黑" w:eastAsia="微软雅黑" w:cs="微软雅黑"/>
                <w:color w:val="auto"/>
                <w:sz w:val="21"/>
                <w:szCs w:val="21"/>
                <w:highlight w:val="none"/>
                <w:lang w:val="en-US" w:eastAsia="zh-CN"/>
              </w:rPr>
              <w:tab/>
            </w:r>
            <w:r>
              <w:rPr>
                <w:rFonts w:hint="eastAsia" w:ascii="微软雅黑" w:hAnsi="微软雅黑" w:eastAsia="微软雅黑" w:cs="微软雅黑"/>
                <w:color w:val="auto"/>
                <w:sz w:val="21"/>
                <w:szCs w:val="21"/>
                <w:highlight w:val="none"/>
                <w:lang w:val="en-US" w:eastAsia="zh-CN"/>
              </w:rPr>
              <w:t>显示器≥15英寸高分辨率LED 显示器，显示器可视角度≥170度 （左/右）</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★2.3系统启动时间：≤22秒，从电源启动至检查开始（冷启动）</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2.4触控面板操作，防泼溅、防尘、防异物;（非轨迹球操作方式）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2.5≥12英寸触摸操作屏，按键支持自定义设置，包括移动、增加、删除</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2.6可自定义物理按键≥3个</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2.7低平的物理按键，完全密封边缘，以最大限度地控制感染</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★2.8机器内置超声教学助手，可用于辅助医生进行神经阻滞的练习、操作，同时也可用于腹部、心脏及小器官的教学指导,可同时显示解剖示例，手法提示，文字说明和超声图像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2.9显示器背部具有手势触控功能，可识别剩余电量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2.11成像模式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2.11.1</w:t>
            </w:r>
            <w:r>
              <w:rPr>
                <w:rFonts w:hint="eastAsia" w:ascii="微软雅黑" w:hAnsi="微软雅黑" w:eastAsia="微软雅黑" w:cs="微软雅黑"/>
                <w:color w:val="auto"/>
                <w:sz w:val="21"/>
                <w:szCs w:val="21"/>
                <w:highlight w:val="none"/>
                <w:lang w:val="en-US" w:eastAsia="zh-CN"/>
              </w:rPr>
              <w:tab/>
            </w:r>
            <w:r>
              <w:rPr>
                <w:rFonts w:hint="eastAsia" w:ascii="微软雅黑" w:hAnsi="微软雅黑" w:eastAsia="微软雅黑" w:cs="微软雅黑"/>
                <w:color w:val="auto"/>
                <w:sz w:val="21"/>
                <w:szCs w:val="21"/>
                <w:highlight w:val="none"/>
                <w:lang w:val="en-US" w:eastAsia="zh-CN"/>
              </w:rPr>
              <w:t>二维灰阶模式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2.11.2组织谐波成像技术</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2.11.3彩色多普勒模式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2.11.4能量多普勒模式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2.11.5脉冲多普勒模式（PW）</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2.11.6连续多普勒模式（CW）</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2.11.7 M型成像模式：支持彩色M型，解剖M型，取样线≥3条，可360度任意旋转</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2.11.8组织多普勒成像，支持TVI、TVD、TVM、TEI四种模式，专用的TDI速度、应变、应变率定量分析工具</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eastAsia" w:ascii="微软雅黑" w:hAnsi="微软雅黑" w:eastAsia="微软雅黑" w:cs="微软雅黑"/>
                <w:color w:val="auto"/>
                <w:sz w:val="21"/>
                <w:szCs w:val="21"/>
                <w:highlight w:val="none"/>
                <w:lang w:val="en-US" w:eastAsia="zh-CN"/>
              </w:rPr>
              <w:t>2.9穿刺针显影增强技术，支持凸阵探头、线阵按键探头，提供最佳角度提示信息，支持双幅对比显示</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2.10组织特异性成像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2.11多角度空间复合成像技术，支持≥3条偏转线，多级可调，支持线阵按键探头和凸阵探头</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2.12斑点噪声抑制成像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2.13回波增强技术，提高心脏图像质量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2.14区域内图像增强技术，增强局部分辨率</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★2.15一键自动优化（包括应用于二维、彩色、频谱模式、TDI及造影）</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2.16图像放大技术，一键实现全屏放大，≥10倍局部放大（支持前端、后端放大）</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2.17测量分析和报告</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2.17.1常规测量软件包</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2.17.2多普勒测量（自动或手动包络测量，自动计算测量参数）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2.17.3神经专用测量软件包</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2.17.4心脏功能专用测量软件包</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2.17.5急重诊应用测量软件包</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2.17.6Auto EF射血分数自动测量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2.17.7妇科/产科专用测量软件包</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 xml:space="preserve">2.17.8含多胎测量、胎儿生理评分、中国人群产科公式 </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2.17.9自动产科测量（支持双顶径、头围、枕额径、股骨长、腹围）</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2.17.10自动NT测量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2.18连通性和外部数据管理</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2.18.1具备DICOM基础功能，可通过网络将图像传输到DICOM服务器</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eastAsia" w:ascii="微软雅黑" w:hAnsi="微软雅黑" w:eastAsia="微软雅黑" w:cs="微软雅黑"/>
                <w:color w:val="auto"/>
                <w:sz w:val="21"/>
                <w:szCs w:val="21"/>
                <w:highlight w:val="none"/>
                <w:lang w:val="en-US" w:eastAsia="zh-CN"/>
              </w:rPr>
              <w:t>2.18.2  4个USB 3.0端口</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eastAsia" w:ascii="微软雅黑" w:hAnsi="微软雅黑" w:eastAsia="微软雅黑" w:cs="微软雅黑"/>
                <w:color w:val="auto"/>
                <w:sz w:val="21"/>
                <w:szCs w:val="21"/>
                <w:highlight w:val="none"/>
                <w:lang w:val="en-US" w:eastAsia="zh-CN"/>
              </w:rPr>
              <w:t>2.18.3以太网端口，内置无线网卡，借助网络，可在机器上一键将动态或静态图像传输至移动应用端群组内；超声设备上具备可自行设置的隐私数据脱敏传输开关，用户可选择传输图像是否包含病人信息</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2.18.4 HDMI、S-Video视频输出接口</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2.18.5≥128G固态硬盘</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2.19电源供应</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2.19.1</w:t>
            </w:r>
            <w:r>
              <w:rPr>
                <w:rFonts w:hint="eastAsia" w:ascii="微软雅黑" w:hAnsi="微软雅黑" w:eastAsia="微软雅黑" w:cs="微软雅黑"/>
                <w:color w:val="auto"/>
                <w:sz w:val="21"/>
                <w:szCs w:val="21"/>
                <w:highlight w:val="none"/>
                <w:lang w:val="en-US" w:eastAsia="zh-CN"/>
              </w:rPr>
              <w:tab/>
            </w:r>
            <w:r>
              <w:rPr>
                <w:rFonts w:hint="eastAsia" w:ascii="微软雅黑" w:hAnsi="微软雅黑" w:eastAsia="微软雅黑" w:cs="微软雅黑"/>
                <w:color w:val="auto"/>
                <w:sz w:val="21"/>
                <w:szCs w:val="21"/>
                <w:highlight w:val="none"/>
                <w:lang w:val="en-US" w:eastAsia="zh-CN"/>
              </w:rPr>
              <w:t>系统通过电池或交流电源运行</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2.19.2可充电锂电池，连续使用时间≥90分钟</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★2.19.3国标220V电源线，电源和主机接口采用磁性电源插头，避免意外损坏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3.1二维灰阶模式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3.1.1最大显示深度:≥40cm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3.1.2TGC: ≥8段，LGC: ≥4段（非拨杆调节）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3.1.3动态范围: ≥340dB，可视可调</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3.1.4增益调节: B/M/D分别独立可调，≥100</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3.2彩色多普勒成像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3.2.1包括速度、速度方差、能量、方向能量显示等</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3.2.2显示方式：B/C、B/C/M、B/POWER、B/C/PW</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3.2.3取样框偏转: ≥±30度 (线阵探头)，取样框可根据探头血流方向自动调节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3.3频谱多普勒模式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3.3.1显示控制：反转、零移位、B刷新、D扩展、B/D扩展等</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3.3.2PW最大速度: ≥7.5m/s</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3.3.3最小速度: ≤5mm/s</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3.3.4取样容积: 0.5-20mm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配置要求：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主机1台，台车一个，探头扩展器1个</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凸阵探头1支，频率范围1.2-6.0MHz</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线阵探头1支，频率范围3.0-12.8MHz</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相控阵探头1支，频率范围1.5-4.5MHz</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三、洁净工作台1台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1、技术参数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 外部尺寸≤800mm×665mm×1850mm；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1.2 内部尺寸≥700mm ×575mm×625mm；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1.3 额定功率≥1150W(电源消耗功率包括柜体插座负载的功率（负载不能超过1000W）)；</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1.4 气流流速：0.30～0.45m/s；</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1.5 紫外灯功率≥20W；</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1.6 LED日光灯功率≥8W；</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1.7 前窗玻璃最大开口高度≥400mm；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1.8 前窗玻璃开口安全操作高度：200-350mm；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1.9 噪音≤65dB(A)；</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1.10 产品安全性：菌落数≤0.5CFU/30min；</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1.11 照明：≥300lx；</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1.12 洁净等级：ISO5级（ISO Class5），100级（美联邦209E）Class100（Fed 209E）；</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1.13 洁净台分类：垂直层流、单面操作；</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1.14 过滤效率:过滤器均采用无隔板高效过滤器，对直径0.3μm颗粒过滤效率为99.995%；</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1.15 具有预过滤器，能够有效拦截大的颗粒物及杂质，有效延长高效过滤器的使用寿命；</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1.16 操作前窗7°倾角设计，符合人体工程学原理，减小操作者压迫感；</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1.17 控制面板采用轻触式开关，按键由风机键、照明键、紫外键、电源键、插座键、风量减小键、风量增大键组成，易于操作；显示屏显示内容有：风机的风速、显示时间、紫外灯的工作时间、过滤器的工作时间；</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1.18初、高效过滤器可在柜体前侧进行更换，不用移动设备即可完成；</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1.19 洁净台前视窗是采用5mm厚钢化玻璃的手动视窗，玻璃门-配重结构，具有防脱落设计，上下开启灵活方便，行程范围内任意高度悬停；</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1.20 风机8挡调速，适配不同的实验类型；</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1.21 具有紫外灯、风机预约定时功能；</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1.22 具有压力单位转换功能，进行PA和m/s之间的单位切换；</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1.23 紫外灯开启延时5～20s之间可调，保护操作人员安全；</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1.24 完善的报警系统：</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（1）设置前窗开口安全高度，在低于或高于安全高度时报警，保证设备使用时性能稳定；</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（2）过滤器压力超高报警：当过滤器的阻力变大时报警；</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（3）过滤器失效更换报警：当过滤器寿命使用到期后，会有过滤器更换报警；</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（4）风速报警：当洁净台的气流波动低于标称值的20%时报警；</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1.25 福马脚轮设计，方便柜体移动与固定。</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四、医用冷藏箱1台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1、样式：立式、单门</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2、容积：≥68L</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3、温度控制：箱内温度保持在2℃~8℃范围内，显示精度0.1℃</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4、制冷方式：风冷</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5、用途：用于提供2℃～8℃储存环境，供医疗机构储存试剂等样本。</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6、外部尺寸（宽×深×高）：≥495mm×548mm×683mm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7、内部尺寸（宽×深×高）：≥415mm×405mm×455mm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8、外门：1扇；双层中空钢化玻璃门，带电加热，防止表面凝露，展示效果更佳。</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9、温度控制：采用微电脑控制系统，温度数字显示，确保精确稳定运行；精准的电子温度控制，显示精度达到0.1℃。</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10、完善的报警系统：具备箱内高低温报警、传感器故障报警、断电报警（支持≥8小时）、开关门异常报警功能；具备声音蜂鸣和灯光闪烁双重报警方式。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11、数据存储与导出：标配USB存储模块，每月可存8000条，超限后数据滚动覆盖，最多可保存10年（120个月）数据；</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12、多重保护功能：传感器故障安全运行模式（显示传感器和控制传感器互为备份）；密码保护功能，防止随意调整运行参数；延时启动功能，避免电网恢复供电时多台设备同时启动导致断路器保护。</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13、标配USB存储模块，可全程跟踪记录温度变化；</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五、离心机1台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1.</w:t>
            </w:r>
            <w:r>
              <w:rPr>
                <w:rFonts w:hint="eastAsia" w:ascii="微软雅黑" w:hAnsi="微软雅黑" w:eastAsia="微软雅黑" w:cs="微软雅黑"/>
                <w:color w:val="auto"/>
                <w:sz w:val="21"/>
                <w:szCs w:val="21"/>
                <w:highlight w:val="none"/>
                <w:lang w:val="en-US" w:eastAsia="zh-CN"/>
              </w:rPr>
              <w:t>最高转速：不小于4000r/min</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2.</w:t>
            </w:r>
            <w:r>
              <w:rPr>
                <w:rFonts w:hint="eastAsia" w:ascii="微软雅黑" w:hAnsi="微软雅黑" w:eastAsia="微软雅黑" w:cs="微软雅黑"/>
                <w:color w:val="auto"/>
                <w:sz w:val="21"/>
                <w:szCs w:val="21"/>
                <w:highlight w:val="none"/>
                <w:lang w:val="en-US" w:eastAsia="zh-CN"/>
              </w:rPr>
              <w:t>最大离心力：不小于2200*g</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3.</w:t>
            </w:r>
            <w:r>
              <w:rPr>
                <w:rFonts w:hint="eastAsia" w:ascii="微软雅黑" w:hAnsi="微软雅黑" w:eastAsia="微软雅黑" w:cs="微软雅黑"/>
                <w:color w:val="auto"/>
                <w:sz w:val="21"/>
                <w:szCs w:val="21"/>
                <w:highlight w:val="none"/>
                <w:lang w:val="en-US" w:eastAsia="zh-CN"/>
              </w:rPr>
              <w:t>最大容量：4*100ml</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4.</w:t>
            </w:r>
            <w:r>
              <w:rPr>
                <w:rFonts w:hint="eastAsia" w:ascii="微软雅黑" w:hAnsi="微软雅黑" w:eastAsia="微软雅黑" w:cs="微软雅黑"/>
                <w:color w:val="auto"/>
                <w:sz w:val="21"/>
                <w:szCs w:val="21"/>
                <w:highlight w:val="none"/>
                <w:lang w:val="en-US" w:eastAsia="zh-CN"/>
              </w:rPr>
              <w:t>定时功能：有</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5.</w:t>
            </w:r>
            <w:r>
              <w:rPr>
                <w:rFonts w:hint="eastAsia" w:ascii="微软雅黑" w:hAnsi="微软雅黑" w:eastAsia="微软雅黑" w:cs="微软雅黑"/>
                <w:color w:val="auto"/>
                <w:sz w:val="21"/>
                <w:szCs w:val="21"/>
                <w:highlight w:val="none"/>
                <w:lang w:val="en-US" w:eastAsia="zh-CN"/>
              </w:rPr>
              <w:t>噪音：不高于60分贝</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6.</w:t>
            </w:r>
            <w:r>
              <w:rPr>
                <w:rFonts w:hint="eastAsia" w:ascii="微软雅黑" w:hAnsi="微软雅黑" w:eastAsia="微软雅黑" w:cs="微软雅黑"/>
                <w:color w:val="auto"/>
                <w:sz w:val="21"/>
                <w:szCs w:val="21"/>
                <w:highlight w:val="none"/>
                <w:lang w:val="en-US" w:eastAsia="zh-CN"/>
              </w:rPr>
              <w:t>转速精度：±10r/min</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7.</w:t>
            </w:r>
            <w:r>
              <w:rPr>
                <w:rFonts w:hint="eastAsia" w:ascii="微软雅黑" w:hAnsi="微软雅黑" w:eastAsia="微软雅黑" w:cs="微软雅黑"/>
                <w:color w:val="auto"/>
                <w:sz w:val="21"/>
                <w:szCs w:val="21"/>
                <w:highlight w:val="none"/>
                <w:lang w:val="en-US" w:eastAsia="zh-CN"/>
              </w:rPr>
              <w:t>配有多种角转子及多种适配器可选，适用于0.2ml-100ml离心管，可根据实际需求，实现一机多用。</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8.</w:t>
            </w:r>
            <w:r>
              <w:rPr>
                <w:rFonts w:hint="eastAsia" w:ascii="微软雅黑" w:hAnsi="微软雅黑" w:eastAsia="微软雅黑" w:cs="微软雅黑"/>
                <w:color w:val="auto"/>
                <w:sz w:val="21"/>
                <w:szCs w:val="21"/>
                <w:highlight w:val="none"/>
                <w:lang w:val="en-US" w:eastAsia="zh-CN"/>
              </w:rPr>
              <w:t>全金属结构多层防爆设计，运行性能安全超稳。采用食品级硅胶整体密封圈，避免气溶胶外溢，保证工作人员的安全。</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9.</w:t>
            </w:r>
            <w:r>
              <w:rPr>
                <w:rFonts w:hint="eastAsia" w:ascii="微软雅黑" w:hAnsi="微软雅黑" w:eastAsia="微软雅黑" w:cs="微软雅黑"/>
                <w:color w:val="auto"/>
                <w:sz w:val="21"/>
                <w:szCs w:val="21"/>
                <w:highlight w:val="none"/>
                <w:lang w:val="en-US" w:eastAsia="zh-CN"/>
              </w:rPr>
              <w:t>嵌入式微处理器控制，直流无刷电机驱动，免维护，运行平稳。操作简便，免维护，升降速度快。报警检测功能，实时检测门锁及电机状态，运行安全可靠。</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10.</w:t>
            </w:r>
            <w:r>
              <w:rPr>
                <w:rFonts w:hint="eastAsia" w:ascii="微软雅黑" w:hAnsi="微软雅黑" w:eastAsia="微软雅黑" w:cs="微软雅黑"/>
                <w:color w:val="auto"/>
                <w:sz w:val="21"/>
                <w:szCs w:val="21"/>
                <w:highlight w:val="none"/>
                <w:lang w:val="en-US" w:eastAsia="zh-CN"/>
              </w:rPr>
              <w:t>按键式编程设计，数码管显示，操作更加直观、亮度高、整体外观更加简洁、故障率低。</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六、生物安全柜1台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技术指标：</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1.气流模式：30%外排，70%循环</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2.通过GB 41918-2022 生物安全柜认证</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3.流入气流平均风速≥0.52m/s，下降气流平均风速≥0.32m/s</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4.送风过滤器与排风过滤器均采用ULPA超高效空气过滤器，针对颗粒直径0.12um，过滤效率≥99.9995%</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5.具有气流隔断技术，沿玻璃门上沿缝隙有负压气流阻断保护，防止工作区内外气体交互</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 xml:space="preserve">6.洁净级别为10级的工作环境 </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7.LCD液晶屏彩色显示，触摸按键，可显示时钟、工作区温度与湿度、气流流速、送风以及排风过滤器压差、系统时间、过滤膜使用寿命、紫外使用时间、功能图标以及报警提示等参数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8.在线实时监测并条形码显示高效过滤器的使用寿命，具有过滤器失效声光报警功能</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9.前窗采用电动升降方式，可一键上升或者下降到安全高度</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10.紫外灯安装在工作区背面上部，确保操作区能完全覆盖照射杀菌，同时具有一键紫外灯预约30min功能，并可设定更改预约时长</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11.照明灯安装在工作区前部，采用两根高亮度LED灯管，照度可达1000lx以上</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12.前窗玻璃采用双层夹胶防爆安全玻璃，防护人员安全</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13.前窗玻璃具有全幅可清洁功能,彻底解决安全柜玻璃内部无法清洗障碍， 扫除卫生死角</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14.配备双路压力传感器，实时监测送风过滤器以及排风过滤器的压差,压力变化超限时自动声光报警</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15.有断电记忆功能，恢复供电后，恢复断电前的运行状态并有报警提示</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16.有关门监测功能，未关严门有声光报警提示</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17.有开门高度警示功能，开门超高或过低均有声光报警提示</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18.有监测气流波动功能，气流波动超过20%有声光报警提示</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19.报警代码显示提醒设计</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20.前窗关闭双重触发信号，在紫外灯杀菌消毒一路线路故障时，可以继续正常开启紫外杀菌功能</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21.负压风道设有过滤格栅，防止纸屑等杂物进入后部负压腔体</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22.高效过滤器与风机的维修、更换，均可在柜体前侧进行，并且可实现单人更换，维修保养快捷</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23.一体式搁手板大平面设计，与胳膊的接触面积更大，人员操作更舒适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24.上柜体底部结构的可搬抬结构设计，便于叉车搬运及人工搬抬放置上柜体，安全方便</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25.柜内电源：双防水插座设计，插座位于安全柜操作区后部的左右两侧，操作区两侧取电方便</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26.、具有水阀、气阀孔交错设计，位于正视安全柜方向的左侧</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27.柜体底座下方没有横撑横杆设计，全敞开空间方便放置或移动物品及方便座椅推进</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28.脚轮与支架一体化设计，柜体可实现万向移动，也可以调节支脚高度来固定柜体和调平工作台平面</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29.外部尺寸≤（L×D×H）700mm×660mm×1950mm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30.内部尺寸≥（L×D×H）600mm ×500mm×520mm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七、纯水机1台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1、出水水质符和国标GB/T6682-2008 符合一级水要求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 xml:space="preserve"> 2、DI去离子水指标</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3、电导率：0.055~0.1μs/cm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4、电阻率：10~18.25MΩ·cm@25℃</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5、重金属离子：&lt;0.1μg/L</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6、颗粒物：&lt;1/ml</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7、脱盐率：≥95%</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8、TOC:≤50μg/L</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9、RO反渗透水指标</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10、离子截留率：96~99%</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11、有机物截留率：&gt;99%</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12、颗粒和细菌截留率：&gt;99%</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13、产水量（25℃）：20升/小时</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14、瞬间出水量：≥333ml/min</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15、出水口：1个RO反渗透水（选配），1个DI去离子水（标配）</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16、裸机外形尺寸：≤403*325*650mm</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17、标准配置：≥40升pe水桶，带液位浮球</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18、</w:t>
            </w:r>
            <w:r>
              <w:rPr>
                <w:rFonts w:hint="default" w:ascii="微软雅黑" w:hAnsi="微软雅黑" w:eastAsia="微软雅黑" w:cs="微软雅黑"/>
                <w:color w:val="auto"/>
                <w:sz w:val="21"/>
                <w:szCs w:val="21"/>
                <w:highlight w:val="none"/>
                <w:lang w:val="en-US" w:eastAsia="zh-CN"/>
              </w:rPr>
              <w:t>全自动控制，水少自动产水，水满自动停机</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19、</w:t>
            </w:r>
            <w:r>
              <w:rPr>
                <w:rFonts w:hint="default" w:ascii="微软雅黑" w:hAnsi="微软雅黑" w:eastAsia="微软雅黑" w:cs="微软雅黑"/>
                <w:color w:val="auto"/>
                <w:sz w:val="21"/>
                <w:szCs w:val="21"/>
                <w:highlight w:val="none"/>
                <w:lang w:val="en-US" w:eastAsia="zh-CN"/>
              </w:rPr>
              <w:t>高压保护，高压状态下设备报警停机</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20、标配</w:t>
            </w:r>
            <w:r>
              <w:rPr>
                <w:rFonts w:hint="default" w:ascii="微软雅黑" w:hAnsi="微软雅黑" w:eastAsia="微软雅黑" w:cs="微软雅黑"/>
                <w:color w:val="auto"/>
                <w:sz w:val="21"/>
                <w:szCs w:val="21"/>
                <w:highlight w:val="none"/>
                <w:lang w:val="en-US" w:eastAsia="zh-CN"/>
              </w:rPr>
              <w:t>低压保护，低压状态下设备报警，(可选配低压停机保护功能)</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w:t>
            </w:r>
            <w:r>
              <w:rPr>
                <w:rFonts w:hint="default" w:ascii="微软雅黑" w:hAnsi="微软雅黑" w:eastAsia="微软雅黑" w:cs="微软雅黑"/>
                <w:color w:val="auto"/>
                <w:sz w:val="21"/>
                <w:szCs w:val="21"/>
                <w:highlight w:val="none"/>
                <w:lang w:val="en-US" w:eastAsia="zh-CN"/>
              </w:rPr>
              <w:t>漏水保护功能，检测到漏水可自动切断设备进水(选配)</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22、</w:t>
            </w:r>
            <w:r>
              <w:rPr>
                <w:rFonts w:hint="default" w:ascii="微软雅黑" w:hAnsi="微软雅黑" w:eastAsia="微软雅黑" w:cs="微软雅黑"/>
                <w:color w:val="auto"/>
                <w:sz w:val="21"/>
                <w:szCs w:val="21"/>
                <w:highlight w:val="none"/>
                <w:lang w:val="en-US" w:eastAsia="zh-CN"/>
              </w:rPr>
              <w:t>标配减压阀，避免进水压力过高</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23、</w:t>
            </w:r>
            <w:r>
              <w:rPr>
                <w:rFonts w:hint="default" w:ascii="微软雅黑" w:hAnsi="微软雅黑" w:eastAsia="微软雅黑" w:cs="微软雅黑"/>
                <w:color w:val="auto"/>
                <w:sz w:val="21"/>
                <w:szCs w:val="21"/>
                <w:highlight w:val="none"/>
                <w:lang w:val="en-US" w:eastAsia="zh-CN"/>
              </w:rPr>
              <w:t>流式紫外消毒灯，波长 254m(选配)</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24、</w:t>
            </w:r>
            <w:r>
              <w:rPr>
                <w:rFonts w:hint="default" w:ascii="微软雅黑" w:hAnsi="微软雅黑" w:eastAsia="微软雅黑" w:cs="微软雅黑"/>
                <w:color w:val="auto"/>
                <w:sz w:val="21"/>
                <w:szCs w:val="21"/>
                <w:highlight w:val="none"/>
                <w:lang w:val="en-US" w:eastAsia="zh-CN"/>
              </w:rPr>
              <w:t>水桶空气滤芯，防止灰尘、细菌、霉菌等污染物随空气进入水桶(选配)</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25、</w:t>
            </w:r>
            <w:r>
              <w:rPr>
                <w:rFonts w:hint="default" w:ascii="微软雅黑" w:hAnsi="微软雅黑" w:eastAsia="微软雅黑" w:cs="微软雅黑"/>
                <w:color w:val="auto"/>
                <w:sz w:val="21"/>
                <w:szCs w:val="21"/>
                <w:highlight w:val="none"/>
                <w:lang w:val="en-US" w:eastAsia="zh-CN"/>
              </w:rPr>
              <w:t>水桶</w:t>
            </w:r>
            <w:r>
              <w:rPr>
                <w:rFonts w:hint="eastAsia" w:ascii="微软雅黑" w:hAnsi="微软雅黑" w:eastAsia="微软雅黑" w:cs="微软雅黑"/>
                <w:color w:val="auto"/>
                <w:sz w:val="21"/>
                <w:szCs w:val="21"/>
                <w:highlight w:val="none"/>
                <w:lang w:val="en-US" w:eastAsia="zh-CN"/>
              </w:rPr>
              <w:t>浸没</w:t>
            </w:r>
            <w:r>
              <w:rPr>
                <w:rFonts w:hint="default" w:ascii="微软雅黑" w:hAnsi="微软雅黑" w:eastAsia="微软雅黑" w:cs="微软雅黑"/>
                <w:color w:val="auto"/>
                <w:sz w:val="21"/>
                <w:szCs w:val="21"/>
                <w:highlight w:val="none"/>
                <w:lang w:val="en-US" w:eastAsia="zh-CN"/>
              </w:rPr>
              <w:t>式紫外灯，减少水桶细菌滋生(选配)</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八、心电图机1台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default" w:ascii="微软雅黑" w:hAnsi="微软雅黑" w:eastAsia="微软雅黑" w:cs="微软雅黑"/>
                <w:color w:val="auto"/>
                <w:sz w:val="21"/>
                <w:szCs w:val="21"/>
                <w:highlight w:val="none"/>
                <w:lang w:val="en-US" w:eastAsia="zh-CN"/>
              </w:rPr>
              <w:t>1、ECG输入通道：标准12导联心电信号同步采集，支持九导联专用儿童模式，具有9导联、12导联同步自动分析功能</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2、输入阻抗：≥90MΩ</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3、A/D转换：24bit</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★4、采样率：≥60k Hz</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5、独立起搏通道，起搏采样率≥60k Hz</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6、频率响应：至少包含0.05Hz-500Hz</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 xml:space="preserve">★7、耐极化电压：≥±955mV </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8、时间常数：≥5s</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9、共模抑制比：≥135dB</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10、定标电压：1mV±1%</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11、抗干扰滤波：具有交流滤波、肌电滤波、基线漂移滤波、低通滤波功能</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12、增益：1.25、2.5、5、10、20、10/5、自动（AGC）mm/mV可选</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13、走速：5mm/s、6.25 mm/s、10 mm/s、12.5mm/s、25mm/s、50mm/s可选</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★14、≥8英寸彩色液晶电容触摸屏，屏幕倾斜角设计，分辨率≥1280×800</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15、整机重量≤3kg</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16、内置热敏点阵打印机（非外置模块），并支持通过有线/无线方式外接激光打印机打印A4报告</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default" w:ascii="微软雅黑" w:hAnsi="微软雅黑" w:eastAsia="微软雅黑" w:cs="微软雅黑"/>
                <w:color w:val="auto"/>
                <w:sz w:val="21"/>
                <w:szCs w:val="21"/>
                <w:highlight w:val="none"/>
                <w:lang w:val="en-US" w:eastAsia="zh-CN"/>
              </w:rPr>
              <w:t>17、设备内置存储器可支持≥100000例病例储存，并支持外接U盘和SD卡扩展存储空间</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18、可支持通过有线、无线、移动网络的方式进行联网，内置WIFI模块，可支持2.4GHz/5G Hz双频带传输</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19、内置蓝牙模块，支持通过蓝牙分享报告，实现远程会诊</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default" w:ascii="微软雅黑" w:hAnsi="微软雅黑" w:eastAsia="微软雅黑" w:cs="微软雅黑"/>
                <w:color w:val="auto"/>
                <w:sz w:val="21"/>
                <w:szCs w:val="21"/>
                <w:highlight w:val="none"/>
                <w:lang w:val="en-US" w:eastAsia="zh-CN"/>
              </w:rPr>
              <w:t>20、智能采集：具有智能采集功能，可根据导联信号质量自动开始/停止心电采集</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21、手动、自动、节律等检查模式可选，并支持实时采样、预采样及触发采样等采样模式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22、采集过程中可自动检测心律失常并予以提示</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23、具有图形指示功能，判断ST抬高/压低的情况心肌梗死相关信息，并可打印相关报告</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24、直流电源：内置可充电锂离子电池，充足后可正常工作时间≥4小时</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配置要求：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1.主机1台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2.心电导联线1根</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3.胸电极吸球1盒（6只）</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4.肢电极夹1盒（4只）</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5.记录纸1本</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6.电源线1根</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default" w:ascii="微软雅黑" w:hAnsi="微软雅黑" w:eastAsia="微软雅黑" w:cs="微软雅黑"/>
                <w:color w:val="auto"/>
                <w:sz w:val="21"/>
                <w:szCs w:val="21"/>
                <w:highlight w:val="none"/>
                <w:lang w:val="en-US" w:eastAsia="zh-CN"/>
              </w:rPr>
              <w:t>锂电池1个</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九、生化分析仪1台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1、检测项目：肝功能、肾功能、血脂血糖、心肌、电解质等</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2、检测标本：全血、血浆、血清</w:t>
            </w:r>
            <w:r>
              <w:rPr>
                <w:rFonts w:hint="eastAsia" w:ascii="微软雅黑" w:hAnsi="微软雅黑" w:eastAsia="微软雅黑" w:cs="微软雅黑"/>
                <w:color w:val="auto"/>
                <w:sz w:val="21"/>
                <w:szCs w:val="21"/>
                <w:highlight w:val="none"/>
                <w:lang w:val="en-US" w:eastAsia="zh-CN"/>
              </w:rPr>
              <w:br w:type="textWrapping"/>
            </w:r>
            <w:r>
              <w:rPr>
                <w:rFonts w:hint="eastAsia" w:ascii="微软雅黑" w:hAnsi="微软雅黑" w:eastAsia="微软雅黑" w:cs="微软雅黑"/>
                <w:color w:val="auto"/>
                <w:sz w:val="21"/>
                <w:szCs w:val="21"/>
                <w:highlight w:val="none"/>
                <w:lang w:val="en-US" w:eastAsia="zh-CN"/>
              </w:rPr>
              <w:t>3、检测时间：≤12分钟/样本</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4、检测原理：光电比色法、吸收光谱、透射比浊法</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5、温控精度：≤37℃±0.5℃</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6、样 本 量：≤100μl</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配置要求：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1、全自动干式生化分析仪主机 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2、电源线 1条</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3、合格证 1张</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4、说明书 1本</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十、血液分析仪1台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1、检测原理：激光流式细胞+细胞化学染色</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2、检测速度：每小时≥60个样品</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3、白细胞五分类检测模式：具有专用的末梢全血模式、普通全血模式和末梢血预稀释模式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4、用血量：末梢全血和普通全血模式≤16μl，实现血细胞计数与白细胞五分类；末梢血预稀释模式≤20μl，实现血细胞计数与白细胞五分类；</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5、测试参数不少于25项参数；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eastAsia" w:ascii="微软雅黑" w:hAnsi="微软雅黑" w:eastAsia="微软雅黑" w:cs="微软雅黑"/>
                <w:color w:val="auto"/>
                <w:sz w:val="21"/>
                <w:szCs w:val="21"/>
                <w:highlight w:val="none"/>
                <w:lang w:val="en-US" w:eastAsia="zh-CN"/>
              </w:rPr>
              <w:t>6、散点图需≥4个，直方图需≥3个</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eastAsia" w:ascii="微软雅黑" w:hAnsi="微软雅黑" w:eastAsia="微软雅黑" w:cs="微软雅黑"/>
                <w:color w:val="auto"/>
                <w:sz w:val="21"/>
                <w:szCs w:val="21"/>
                <w:highlight w:val="none"/>
                <w:lang w:val="en-US" w:eastAsia="zh-CN"/>
              </w:rPr>
              <w:t>7、具有单独嗜碱性粒细胞检测通道</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8、线性范围：WBC：0-500×10</w:t>
            </w:r>
            <w:r>
              <w:rPr>
                <w:rFonts w:hint="eastAsia" w:ascii="微软雅黑" w:hAnsi="微软雅黑" w:eastAsia="微软雅黑" w:cs="微软雅黑"/>
                <w:color w:val="auto"/>
                <w:sz w:val="21"/>
                <w:szCs w:val="21"/>
                <w:highlight w:val="none"/>
                <w:vertAlign w:val="superscript"/>
                <w:lang w:val="en-US" w:eastAsia="zh-CN"/>
              </w:rPr>
              <w:t>9</w:t>
            </w:r>
            <w:r>
              <w:rPr>
                <w:rFonts w:hint="eastAsia" w:ascii="微软雅黑" w:hAnsi="微软雅黑" w:eastAsia="微软雅黑" w:cs="微软雅黑"/>
                <w:color w:val="auto"/>
                <w:sz w:val="21"/>
                <w:szCs w:val="21"/>
                <w:highlight w:val="none"/>
                <w:lang w:val="en-US" w:eastAsia="zh-CN"/>
              </w:rPr>
              <w:t>/L，PLT：0-5000×10</w:t>
            </w:r>
            <w:r>
              <w:rPr>
                <w:rFonts w:hint="eastAsia" w:ascii="微软雅黑" w:hAnsi="微软雅黑" w:eastAsia="微软雅黑" w:cs="微软雅黑"/>
                <w:color w:val="auto"/>
                <w:sz w:val="21"/>
                <w:szCs w:val="21"/>
                <w:highlight w:val="none"/>
                <w:vertAlign w:val="superscript"/>
                <w:lang w:val="en-US" w:eastAsia="zh-CN"/>
              </w:rPr>
              <w:t>9</w:t>
            </w:r>
            <w:r>
              <w:rPr>
                <w:rFonts w:hint="eastAsia" w:ascii="微软雅黑" w:hAnsi="微软雅黑" w:eastAsia="微软雅黑" w:cs="微软雅黑"/>
                <w:color w:val="auto"/>
                <w:sz w:val="21"/>
                <w:szCs w:val="21"/>
                <w:highlight w:val="none"/>
                <w:lang w:val="en-US" w:eastAsia="zh-CN"/>
              </w:rPr>
              <w:t>/L；</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9、血液分析仪主机自带10寸彩色液晶触摸屏，并且可以同屏显示全部检测结果；</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10、仪器数据存储量≥200000个检测结果</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配置要求：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1、全自动血液细胞分析仪 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2、电源线 1根</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3、合格证 1张</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4、使用说明书1本</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十一、尿液分析仪1台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1、检测功能：具备尿干化学检测功能，可外接条码阅读器。</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eastAsia" w:ascii="微软雅黑" w:hAnsi="微软雅黑" w:eastAsia="微软雅黑" w:cs="微软雅黑"/>
                <w:color w:val="auto"/>
                <w:sz w:val="21"/>
                <w:szCs w:val="21"/>
                <w:highlight w:val="none"/>
                <w:lang w:val="en-US" w:eastAsia="zh-CN"/>
              </w:rPr>
              <w:t>2、检测项目：干化学检测参数≥14项，尿胆原、胆红素、酮体、肌酐、血、蛋白质、微白蛋白、亚硝酸盐、白细胞、葡萄糖、比重 、酸碱度、维生素、尿钙（其中肌酐、微白蛋白、维生素C、尿钙可选）；</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3、测试原理：采用多波长光电比色法</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4、测试速度：检测≥590T/H</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5、数据存储量：存储≥10000条记录，供随时查找结果</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配置要求：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1、主机 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2、用户手册 1本</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3、电源线 1根</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4、合格证 1张</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十二、蒸汽灭菌器1台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1、容积：≥24L。</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2、设计压力：-0.1/0.3MPa</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3、设计温度：≥144℃</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4、储水装置：内置双水箱，不外排蒸汽，一次加水可运行多次程序。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5、材质：SUS304。</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6、压力传感器：独立安装压力传感器（非电路板安装式）。</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7、操作方式：彩色触摸屏操作</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配置要求：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1、蒸汽灭菌器 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2、说明书 1本</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3、合格证 1套</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十三、监护仪1台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 xml:space="preserve">1.一体化便携监护仪，整机无风扇设计，配置提手,方便移动。 </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eastAsia" w:ascii="微软雅黑" w:hAnsi="微软雅黑" w:eastAsia="微软雅黑" w:cs="微软雅黑"/>
                <w:color w:val="auto"/>
                <w:sz w:val="21"/>
                <w:szCs w:val="21"/>
                <w:highlight w:val="none"/>
                <w:lang w:val="en-US" w:eastAsia="zh-CN"/>
              </w:rPr>
              <w:t>2.≥10.1英寸彩色液晶触摸屏，分辨率≥1280×800，≥8通道波形显示，屏幕标配最新电容屏非电阻屏，显示屏采用宽视角技术，支持≥170度可视范围。</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3.内置锂电池，插槽式设计，无需螺丝刀工具支持快速拆卸和安装，锂电池支持监护仪工作时间≥4小时。</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4.安全规格：ECG, TEMP, SpO2 , NIBP监测参数抗电击程度为防除颤CF型。</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5.监护仪设计使用年限≥10年。</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6.主机防水等级≥IPX1，整机抗跌落设计通过0.75米6面跌落测试。</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eastAsia" w:ascii="微软雅黑" w:hAnsi="微软雅黑" w:eastAsia="微软雅黑" w:cs="微软雅黑"/>
                <w:color w:val="auto"/>
                <w:sz w:val="21"/>
                <w:szCs w:val="21"/>
                <w:highlight w:val="none"/>
                <w:lang w:val="en-US" w:eastAsia="zh-CN"/>
              </w:rPr>
              <w:t>7.USB接口支持连接包括但不限于鼠标、键盘、条码扫描枪和遥控器设备。</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eastAsia" w:ascii="微软雅黑" w:hAnsi="微软雅黑" w:eastAsia="微软雅黑" w:cs="微软雅黑"/>
                <w:color w:val="auto"/>
                <w:sz w:val="21"/>
                <w:szCs w:val="21"/>
                <w:highlight w:val="none"/>
                <w:lang w:val="en-US" w:eastAsia="zh-CN"/>
              </w:rPr>
              <w:t>8.监护仪清洁消毒维护支持的消毒剂≥40种。</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9.配置3/5导心电，呼吸，无创血压，血氧饱和度，脉搏和双通道体温参数监测，以上参数适用于成人、小儿、新生儿患者。</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10.心电监护支持心率，ST段测量，心律失常分析，QT/QTc连续实时测量和对应报警功能，支持成人、小儿、新生儿患者。</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eastAsia" w:ascii="微软雅黑" w:hAnsi="微软雅黑" w:eastAsia="微软雅黑" w:cs="微软雅黑"/>
                <w:color w:val="auto"/>
                <w:sz w:val="21"/>
                <w:szCs w:val="21"/>
                <w:highlight w:val="none"/>
                <w:lang w:val="en-US" w:eastAsia="zh-CN"/>
              </w:rPr>
              <w:t>11.支持包括但不限于室上性心动过速和SVCs/min室上性心律失常分析。</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eastAsia" w:ascii="微软雅黑" w:hAnsi="微软雅黑" w:eastAsia="微软雅黑" w:cs="微软雅黑"/>
                <w:color w:val="auto"/>
                <w:sz w:val="21"/>
                <w:szCs w:val="21"/>
                <w:highlight w:val="none"/>
                <w:lang w:val="en-US" w:eastAsia="zh-CN"/>
              </w:rPr>
              <w:t>12.心电支持≥3个分析导联实时动态同步分析，并非多个导联波形同屏显示及12导联静息分析。</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13.提供SpO2,PR和PI参数的实时监测，适用于成人，小儿和新生儿。来自SpO2的PR测量范围：20-300。</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14.支持指套式血氧探头，IPX7防水等级，支持液体浸泡消毒和清洁。</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15.提供手动，自动，连续、序列和整点5种测量模式，提供24小时血压统计结果。</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16.配置无创血压测量，适用于成人，小儿和新生儿。无创血压成人测量范围：收缩压25~290mmH。</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17.提供包括但不限于双通道体温和温差参数的监测, 并可根据需要更改体温通道标名。</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18.支持≥1000条事件回顾。每条报警事件至少能够存储32秒相关波形，以及报警触发时所有测量参数值。</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 xml:space="preserve">19.具备参数组合报警功能（并非早期预警评分EWS），可对患者同时多个参数变化给出统一报警提示，更好地反映病人状态，提供≥10个预设组合报警，并允许自定义≥6个组合报警。 </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20.动态趋势界面可支持统计1-24小时心律失常报警、参数超限报警信息，并对超限报警区间的波形进行高亮显示，帮助医护人员快速识别异常趋势信息。</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21.支持带ABD事件的呼吸氧合界面。</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配置要求：</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eastAsia"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1.主机一台。</w:t>
            </w:r>
          </w:p>
          <w:p>
            <w:pPr>
              <w:pageBreakBefore w:val="0"/>
              <w:widowControl w:val="0"/>
              <w:numPr>
                <w:ilvl w:val="0"/>
                <w:numId w:val="0"/>
              </w:numPr>
              <w:kinsoku/>
              <w:wordWrap/>
              <w:overflowPunct/>
              <w:topLinePunct w:val="0"/>
              <w:autoSpaceDE/>
              <w:autoSpaceDN/>
              <w:bidi w:val="0"/>
              <w:adjustRightInd w:val="0"/>
              <w:snapToGrid w:val="0"/>
              <w:ind w:left="0" w:leftChars="0" w:right="0" w:rightChars="0" w:firstLine="0" w:firstLineChars="0"/>
              <w:jc w:val="left"/>
              <w:textAlignment w:val="auto"/>
              <w:rPr>
                <w:rFonts w:hint="default" w:ascii="微软雅黑" w:hAnsi="微软雅黑" w:eastAsia="微软雅黑" w:cs="微软雅黑"/>
                <w:color w:val="auto"/>
                <w:sz w:val="21"/>
                <w:szCs w:val="21"/>
                <w:highlight w:val="none"/>
                <w:lang w:val="en-US" w:eastAsia="zh-CN"/>
              </w:rPr>
            </w:pPr>
            <w:r>
              <w:rPr>
                <w:rFonts w:hint="eastAsia" w:ascii="微软雅黑" w:hAnsi="微软雅黑" w:eastAsia="微软雅黑" w:cs="微软雅黑"/>
                <w:color w:val="auto"/>
                <w:sz w:val="21"/>
                <w:szCs w:val="21"/>
                <w:highlight w:val="none"/>
                <w:lang w:val="en-US" w:eastAsia="zh-CN"/>
              </w:rPr>
              <w:t>2.配套附件一套。</w:t>
            </w:r>
          </w:p>
        </w:tc>
        <w:tc>
          <w:tcPr>
            <w:tcW w:w="779" w:type="dxa"/>
            <w:vMerge w:val="continue"/>
            <w:vAlign w:val="center"/>
          </w:tcPr>
          <w:p>
            <w:pPr>
              <w:jc w:val="center"/>
              <w:rPr>
                <w:rFonts w:hint="eastAsia" w:ascii="微软雅黑" w:hAnsi="微软雅黑" w:eastAsia="微软雅黑" w:cs="微软雅黑"/>
                <w:color w:val="auto"/>
                <w:sz w:val="21"/>
                <w:szCs w:val="21"/>
                <w:highlight w:val="none"/>
                <w:lang w:val="en-US" w:eastAsia="zh-CN"/>
              </w:rPr>
            </w:pPr>
          </w:p>
        </w:tc>
        <w:tc>
          <w:tcPr>
            <w:tcW w:w="779" w:type="dxa"/>
            <w:vMerge w:val="continue"/>
            <w:vAlign w:val="center"/>
          </w:tcPr>
          <w:p>
            <w:pPr>
              <w:jc w:val="center"/>
              <w:rPr>
                <w:rFonts w:hint="eastAsia" w:ascii="微软雅黑" w:hAnsi="微软雅黑" w:eastAsia="微软雅黑" w:cs="微软雅黑"/>
                <w:color w:val="auto"/>
                <w:sz w:val="21"/>
                <w:szCs w:val="21"/>
                <w:highlight w:val="none"/>
                <w:lang w:val="en-US" w:eastAsia="zh-CN"/>
              </w:rPr>
            </w:pPr>
          </w:p>
        </w:tc>
      </w:tr>
    </w:tbl>
    <w:p>
      <w:pPr>
        <w:pStyle w:val="3"/>
        <w:rPr>
          <w:rFonts w:hint="eastAsia" w:ascii="微软雅黑" w:hAnsi="微软雅黑" w:eastAsia="微软雅黑" w:cs="微软雅黑"/>
          <w:color w:val="auto"/>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G Times">
    <w:altName w:val="Times New Roman"/>
    <w:panose1 w:val="00000000000000000000"/>
    <w:charset w:val="00"/>
    <w:family w:val="roman"/>
    <w:pitch w:val="default"/>
    <w:sig w:usb0="00000000" w:usb1="00000000" w:usb2="00000000" w:usb3="00000000" w:csb0="00000093" w:csb1="00000000"/>
  </w:font>
  <w:font w:name="微软雅黑">
    <w:panose1 w:val="020B0503020204020204"/>
    <w:charset w:val="86"/>
    <w:family w:val="auto"/>
    <w:pitch w:val="default"/>
    <w:sig w:usb0="80000287" w:usb1="2ACF3C50" w:usb2="00000016" w:usb3="00000000" w:csb0="0004001F" w:csb1="0000000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JiYzNmOGUwZWZkMmU3ZDVjYjg5NzYxODFjMTAxYmQifQ=="/>
  </w:docVars>
  <w:rsids>
    <w:rsidRoot w:val="2E114B92"/>
    <w:rsid w:val="00051250"/>
    <w:rsid w:val="00142106"/>
    <w:rsid w:val="00445FA0"/>
    <w:rsid w:val="006E2DB2"/>
    <w:rsid w:val="00733856"/>
    <w:rsid w:val="007F10B9"/>
    <w:rsid w:val="008F5532"/>
    <w:rsid w:val="00EA7769"/>
    <w:rsid w:val="00F01ED3"/>
    <w:rsid w:val="00F8583D"/>
    <w:rsid w:val="053B6789"/>
    <w:rsid w:val="05693656"/>
    <w:rsid w:val="09741BF2"/>
    <w:rsid w:val="0B457761"/>
    <w:rsid w:val="0E7A447D"/>
    <w:rsid w:val="0F182768"/>
    <w:rsid w:val="16EA3BA9"/>
    <w:rsid w:val="188415D0"/>
    <w:rsid w:val="1EE359B9"/>
    <w:rsid w:val="257416D9"/>
    <w:rsid w:val="25E27736"/>
    <w:rsid w:val="2928699B"/>
    <w:rsid w:val="297665B1"/>
    <w:rsid w:val="29EC2A9E"/>
    <w:rsid w:val="2E114B92"/>
    <w:rsid w:val="308654D5"/>
    <w:rsid w:val="32C42142"/>
    <w:rsid w:val="32EA1F77"/>
    <w:rsid w:val="33412D0A"/>
    <w:rsid w:val="34EB371B"/>
    <w:rsid w:val="367479D5"/>
    <w:rsid w:val="3DBB413B"/>
    <w:rsid w:val="40F7174F"/>
    <w:rsid w:val="43A6660D"/>
    <w:rsid w:val="49AF16B8"/>
    <w:rsid w:val="4DCA5F47"/>
    <w:rsid w:val="4F2836FD"/>
    <w:rsid w:val="55D16E86"/>
    <w:rsid w:val="56E3245E"/>
    <w:rsid w:val="5958632C"/>
    <w:rsid w:val="59763FC2"/>
    <w:rsid w:val="5B086A7C"/>
    <w:rsid w:val="60515615"/>
    <w:rsid w:val="60EE76C2"/>
    <w:rsid w:val="61EF7890"/>
    <w:rsid w:val="627553AB"/>
    <w:rsid w:val="63457430"/>
    <w:rsid w:val="640E702D"/>
    <w:rsid w:val="66033847"/>
    <w:rsid w:val="6A954F50"/>
    <w:rsid w:val="6D094388"/>
    <w:rsid w:val="6DDD2D40"/>
    <w:rsid w:val="70D9132F"/>
    <w:rsid w:val="73092C77"/>
    <w:rsid w:val="77A672CC"/>
    <w:rsid w:val="797352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3"/>
    <w:qFormat/>
    <w:uiPriority w:val="0"/>
    <w:pPr>
      <w:keepNext/>
      <w:keepLines/>
      <w:spacing w:before="260" w:after="260" w:line="415" w:lineRule="auto"/>
      <w:jc w:val="center"/>
      <w:outlineLvl w:val="1"/>
    </w:pPr>
    <w:rPr>
      <w:rFonts w:ascii="CG Times" w:hAnsi="CG Times"/>
      <w:b/>
      <w:sz w:val="30"/>
    </w:rPr>
  </w:style>
  <w:style w:type="character" w:default="1" w:styleId="7">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customStyle="1" w:styleId="3">
    <w:name w:val="标准正文"/>
    <w:basedOn w:val="1"/>
    <w:qFormat/>
    <w:uiPriority w:val="0"/>
    <w:pPr>
      <w:spacing w:line="360" w:lineRule="auto"/>
      <w:ind w:firstLine="200" w:firstLineChars="200"/>
    </w:pPr>
    <w:rPr>
      <w:sz w:val="24"/>
    </w:rPr>
  </w:style>
  <w:style w:type="paragraph" w:styleId="4">
    <w:name w:val="annotation text"/>
    <w:basedOn w:val="1"/>
    <w:qFormat/>
    <w:uiPriority w:val="0"/>
    <w:pPr>
      <w:jc w:val="left"/>
    </w:pPr>
  </w:style>
  <w:style w:type="paragraph" w:styleId="5">
    <w:name w:val="footer"/>
    <w:basedOn w:val="1"/>
    <w:link w:val="10"/>
    <w:qFormat/>
    <w:uiPriority w:val="0"/>
    <w:pPr>
      <w:tabs>
        <w:tab w:val="center" w:pos="4153"/>
        <w:tab w:val="right" w:pos="8306"/>
      </w:tabs>
      <w:snapToGrid w:val="0"/>
      <w:jc w:val="left"/>
    </w:pPr>
    <w:rPr>
      <w:sz w:val="18"/>
      <w:szCs w:val="18"/>
    </w:rPr>
  </w:style>
  <w:style w:type="paragraph" w:styleId="6">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页眉 字符"/>
    <w:basedOn w:val="7"/>
    <w:link w:val="6"/>
    <w:qFormat/>
    <w:uiPriority w:val="0"/>
    <w:rPr>
      <w:rFonts w:ascii="Times New Roman" w:hAnsi="Times New Roman" w:eastAsia="宋体" w:cs="Times New Roman"/>
      <w:kern w:val="2"/>
      <w:sz w:val="18"/>
      <w:szCs w:val="18"/>
    </w:rPr>
  </w:style>
  <w:style w:type="character" w:customStyle="1" w:styleId="10">
    <w:name w:val="页脚 字符"/>
    <w:basedOn w:val="7"/>
    <w:link w:val="5"/>
    <w:qFormat/>
    <w:uiPriority w:val="0"/>
    <w:rPr>
      <w:rFonts w:ascii="Times New Roman" w:hAnsi="Times New Roman" w:eastAsia="宋体" w:cs="Times New Roman"/>
      <w:kern w:val="2"/>
      <w:sz w:val="18"/>
      <w:szCs w:val="18"/>
    </w:rPr>
  </w:style>
  <w:style w:type="paragraph" w:styleId="11">
    <w:name w:val="List Paragraph"/>
    <w:basedOn w:val="1"/>
    <w:qFormat/>
    <w:uiPriority w:val="34"/>
    <w:pPr>
      <w:ind w:firstLine="420" w:firstLineChars="200"/>
    </w:pPr>
  </w:style>
  <w:style w:type="paragraph" w:customStyle="1" w:styleId="12">
    <w:name w:val="正文格式"/>
    <w:qFormat/>
    <w:uiPriority w:val="0"/>
    <w:pPr>
      <w:spacing w:line="360" w:lineRule="auto"/>
      <w:ind w:firstLine="200" w:firstLineChars="200"/>
    </w:pPr>
    <w:rPr>
      <w:rFonts w:ascii="宋体" w:hAnsi="宋体" w:eastAsia="宋体" w:cs="Times New Roman"/>
      <w:kern w:val="2"/>
      <w:sz w:val="28"/>
      <w:szCs w:val="22"/>
      <w:lang w:val="en-US" w:eastAsia="zh-CN" w:bidi="ar-SA"/>
    </w:rPr>
  </w:style>
</w:styles>
</file>

<file path=word/_rels/document.xml.rels><?xml version="1.0" encoding="UTF-8" standalone="yes"?>
<Relationships xmlns="http://schemas.openxmlformats.org/package/2006/relationships"><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27</Pages>
  <Words>1797</Words>
  <Characters>1876</Characters>
  <Lines>8</Lines>
  <Paragraphs>2</Paragraphs>
  <TotalTime>5</TotalTime>
  <ScaleCrop>false</ScaleCrop>
  <LinksUpToDate>false</LinksUpToDate>
  <CharactersWithSpaces>1888</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2024-01-19T06:30:00Z</dcterms:created>
  <dc:creator>河水凉爽</dc:creator>
  <cp:lastModifiedBy>jgkxhq</cp:lastModifiedBy>
  <dcterms:modified xsi:type="dcterms:W3CDTF">2026-06-22T02:13:47Z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y fmtid="{D5CDD505-2E9C-101B-9397-08002B2CF9AE}" pid="3" name="ICV">
    <vt:lpwstr>46AEC6C70A56428B8325FD7F789BA654_13</vt:lpwstr>
  </property>
  <property fmtid="{D5CDD505-2E9C-101B-9397-08002B2CF9AE}" pid="4" name="KSOTemplateDocerSaveRecord">
    <vt:lpwstr>eyJoZGlkIjoiZmYwNDE5YzZmOGRkMjk1NGY1YzM5NzQ3YWE4N2ZiYzIiLCJ1c2VySWQiOiIxMjgwMTE4MDgyIn0=</vt:lpwstr>
  </property>
</Properties>
</file>