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59CC99">
      <w:pPr>
        <w:widowControl/>
        <w:spacing w:line="360" w:lineRule="auto"/>
        <w:jc w:val="center"/>
        <w:rPr>
          <w:rFonts w:ascii="宋体" w:hAnsi="宋体" w:cs="宋体"/>
          <w:sz w:val="32"/>
          <w:szCs w:val="32"/>
        </w:rPr>
      </w:pPr>
      <w:r>
        <w:rPr>
          <w:rFonts w:hint="eastAsia" w:ascii="宋体" w:hAnsi="宋体" w:cs="宋体"/>
          <w:kern w:val="0"/>
          <w:sz w:val="32"/>
          <w:szCs w:val="32"/>
        </w:rPr>
        <w:t>天津市滨海新区大港医院电梯更换项目</w:t>
      </w:r>
    </w:p>
    <w:p w14:paraId="27534541">
      <w:pPr>
        <w:widowControl/>
        <w:spacing w:line="360" w:lineRule="auto"/>
        <w:jc w:val="left"/>
        <w:rPr>
          <w:rFonts w:ascii="宋体" w:hAnsi="宋体" w:cs="宋体"/>
          <w:szCs w:val="21"/>
        </w:rPr>
      </w:pPr>
      <w:r>
        <w:rPr>
          <w:rFonts w:hint="eastAsia" w:ascii="宋体" w:hAnsi="宋体" w:cs="宋体"/>
          <w:kern w:val="0"/>
          <w:szCs w:val="21"/>
        </w:rPr>
        <w:t>一、项目基本情况</w:t>
      </w:r>
    </w:p>
    <w:p w14:paraId="04B0D633">
      <w:pPr>
        <w:widowControl/>
        <w:spacing w:line="360" w:lineRule="auto"/>
        <w:jc w:val="left"/>
        <w:rPr>
          <w:rFonts w:ascii="宋体" w:hAnsi="宋体" w:cs="宋体"/>
          <w:szCs w:val="21"/>
        </w:rPr>
      </w:pPr>
      <w:r>
        <w:rPr>
          <w:rFonts w:hint="eastAsia" w:ascii="宋体" w:hAnsi="宋体" w:cs="宋体"/>
          <w:kern w:val="0"/>
          <w:szCs w:val="21"/>
        </w:rPr>
        <w:t>项目名称：天津市滨海新区大港医院电梯更换项目</w:t>
      </w:r>
      <w:bookmarkStart w:id="70" w:name="_GoBack"/>
      <w:bookmarkEnd w:id="70"/>
    </w:p>
    <w:p w14:paraId="379D3B04">
      <w:pPr>
        <w:widowControl/>
        <w:spacing w:line="360" w:lineRule="auto"/>
        <w:jc w:val="left"/>
        <w:rPr>
          <w:rFonts w:ascii="宋体" w:hAnsi="宋体" w:cs="宋体"/>
          <w:szCs w:val="21"/>
          <w:highlight w:val="none"/>
        </w:rPr>
      </w:pPr>
      <w:r>
        <w:rPr>
          <w:rFonts w:hint="eastAsia" w:ascii="宋体" w:hAnsi="宋体" w:cs="宋体"/>
          <w:kern w:val="0"/>
          <w:szCs w:val="21"/>
        </w:rPr>
        <w:t>预算金额：</w:t>
      </w:r>
      <w:r>
        <w:rPr>
          <w:rFonts w:hint="eastAsia" w:ascii="仿宋_GB2312" w:eastAsia="仿宋_GB2312"/>
          <w:sz w:val="24"/>
          <w:szCs w:val="24"/>
        </w:rPr>
        <w:t>84</w:t>
      </w:r>
      <w:r>
        <w:rPr>
          <w:rFonts w:hint="eastAsia" w:ascii="仿宋_GB2312" w:eastAsia="仿宋_GB2312"/>
          <w:sz w:val="24"/>
          <w:szCs w:val="24"/>
          <w:lang w:val="en-US" w:eastAsia="zh-CN"/>
        </w:rPr>
        <w:t>.</w:t>
      </w:r>
      <w:r>
        <w:rPr>
          <w:rFonts w:hint="eastAsia" w:ascii="仿宋_GB2312" w:eastAsia="仿宋_GB2312"/>
          <w:sz w:val="24"/>
          <w:szCs w:val="24"/>
        </w:rPr>
        <w:t>665</w:t>
      </w:r>
      <w:r>
        <w:rPr>
          <w:rFonts w:hint="eastAsia" w:ascii="宋体" w:hAnsi="宋体" w:cs="宋体"/>
          <w:kern w:val="0"/>
          <w:szCs w:val="21"/>
        </w:rPr>
        <w:t xml:space="preserve">    </w:t>
      </w:r>
      <w:r>
        <w:rPr>
          <w:rFonts w:hint="eastAsia" w:ascii="宋体" w:hAnsi="宋体" w:cs="宋体"/>
          <w:kern w:val="0"/>
          <w:szCs w:val="21"/>
          <w:highlight w:val="none"/>
        </w:rPr>
        <w:t>万元</w:t>
      </w:r>
    </w:p>
    <w:p w14:paraId="7176A24E">
      <w:pPr>
        <w:widowControl/>
        <w:spacing w:line="360" w:lineRule="auto"/>
        <w:jc w:val="left"/>
        <w:rPr>
          <w:rFonts w:ascii="宋体" w:hAnsi="宋体" w:cs="宋体"/>
          <w:szCs w:val="21"/>
          <w:highlight w:val="yellow"/>
        </w:rPr>
      </w:pPr>
      <w:r>
        <w:rPr>
          <w:rFonts w:hint="eastAsia" w:ascii="宋体" w:hAnsi="宋体" w:cs="宋体"/>
          <w:kern w:val="0"/>
          <w:szCs w:val="21"/>
        </w:rPr>
        <w:t>最高限价：</w:t>
      </w:r>
      <w:r>
        <w:rPr>
          <w:rFonts w:hint="eastAsia" w:ascii="仿宋_GB2312" w:eastAsia="仿宋_GB2312"/>
          <w:sz w:val="24"/>
          <w:szCs w:val="24"/>
        </w:rPr>
        <w:t>84</w:t>
      </w:r>
      <w:r>
        <w:rPr>
          <w:rFonts w:hint="eastAsia" w:ascii="仿宋_GB2312" w:eastAsia="仿宋_GB2312"/>
          <w:sz w:val="24"/>
          <w:szCs w:val="24"/>
          <w:lang w:val="en-US" w:eastAsia="zh-CN"/>
        </w:rPr>
        <w:t>.</w:t>
      </w:r>
      <w:r>
        <w:rPr>
          <w:rFonts w:hint="eastAsia" w:ascii="仿宋_GB2312" w:eastAsia="仿宋_GB2312"/>
          <w:sz w:val="24"/>
          <w:szCs w:val="24"/>
        </w:rPr>
        <w:t>665</w:t>
      </w:r>
      <w:r>
        <w:rPr>
          <w:rFonts w:hint="eastAsia" w:ascii="仿宋_GB2312" w:eastAsia="仿宋_GB2312"/>
          <w:sz w:val="24"/>
          <w:szCs w:val="24"/>
          <w:lang w:val="en-US" w:eastAsia="zh-CN"/>
        </w:rPr>
        <w:t xml:space="preserve"> </w:t>
      </w:r>
      <w:r>
        <w:rPr>
          <w:rFonts w:hint="eastAsia" w:ascii="宋体" w:hAnsi="宋体" w:cs="宋体"/>
          <w:kern w:val="0"/>
          <w:szCs w:val="21"/>
        </w:rPr>
        <w:t xml:space="preserve"> </w:t>
      </w:r>
      <w:r>
        <w:rPr>
          <w:rFonts w:hint="eastAsia" w:ascii="宋体" w:hAnsi="宋体" w:cs="宋体"/>
          <w:kern w:val="0"/>
          <w:szCs w:val="21"/>
          <w:lang w:val="en-US" w:eastAsia="zh-CN"/>
        </w:rPr>
        <w:t xml:space="preserve">  </w:t>
      </w:r>
      <w:r>
        <w:rPr>
          <w:rFonts w:hint="eastAsia" w:ascii="宋体" w:hAnsi="宋体" w:cs="宋体"/>
          <w:kern w:val="0"/>
          <w:szCs w:val="21"/>
          <w:highlight w:val="none"/>
        </w:rPr>
        <w:t>万元</w:t>
      </w:r>
    </w:p>
    <w:p w14:paraId="6E7F792E">
      <w:pPr>
        <w:autoSpaceDE w:val="0"/>
        <w:autoSpaceDN w:val="0"/>
        <w:adjustRightInd w:val="0"/>
        <w:spacing w:line="360" w:lineRule="auto"/>
        <w:rPr>
          <w:rFonts w:hint="eastAsia" w:ascii="宋体" w:hAnsi="宋体" w:cs="宋体"/>
          <w:szCs w:val="21"/>
        </w:rPr>
      </w:pPr>
      <w:r>
        <w:rPr>
          <w:rFonts w:hint="eastAsia" w:ascii="宋体" w:hAnsi="宋体" w:cs="宋体"/>
          <w:szCs w:val="21"/>
        </w:rPr>
        <w:t>报价应包括：</w:t>
      </w:r>
      <w:r>
        <w:rPr>
          <w:rFonts w:hint="eastAsia" w:ascii="宋体" w:hAnsi="宋体" w:cs="宋体"/>
          <w:kern w:val="0"/>
          <w:szCs w:val="21"/>
        </w:rPr>
        <w:t>人员费用、改造服务费含货款及设计费用、维修及配件更换费用，利润及税金等</w:t>
      </w:r>
      <w:r>
        <w:rPr>
          <w:rFonts w:hint="eastAsia" w:ascii="宋体" w:hAnsi="宋体" w:cs="宋体"/>
          <w:szCs w:val="21"/>
        </w:rPr>
        <w:t>完成该项目所需的所有费用。投标人所报价格为最终优惠价格。</w:t>
      </w:r>
      <w:r>
        <w:rPr>
          <w:rFonts w:hint="eastAsia" w:ascii="宋体" w:hAnsi="宋体"/>
          <w:spacing w:val="4"/>
          <w:szCs w:val="21"/>
          <w:lang w:val="zh-TW"/>
        </w:rPr>
        <w:t>投标人须整包进行投标，不得拆包分项投标。</w:t>
      </w:r>
    </w:p>
    <w:p w14:paraId="1D6A7B1C">
      <w:pPr>
        <w:widowControl/>
        <w:spacing w:line="360" w:lineRule="auto"/>
        <w:jc w:val="left"/>
        <w:rPr>
          <w:rFonts w:ascii="宋体" w:hAnsi="宋体" w:cs="宋体"/>
          <w:szCs w:val="21"/>
        </w:rPr>
      </w:pPr>
      <w:r>
        <w:rPr>
          <w:rFonts w:hint="eastAsia" w:ascii="宋体" w:hAnsi="宋体" w:cs="宋体"/>
          <w:kern w:val="0"/>
          <w:szCs w:val="21"/>
        </w:rPr>
        <w:t>采购需求：</w:t>
      </w:r>
    </w:p>
    <w:tbl>
      <w:tblPr>
        <w:tblStyle w:val="44"/>
        <w:tblW w:w="5098" w:type="pct"/>
        <w:jc w:val="center"/>
        <w:tblBorders>
          <w:top w:val="outset" w:color="AAAAAA" w:sz="6" w:space="0"/>
          <w:left w:val="outset" w:color="AAAAAA" w:sz="6" w:space="0"/>
          <w:bottom w:val="outset" w:color="AAAAAA" w:sz="6" w:space="0"/>
          <w:right w:val="outset" w:color="AAAAAA" w:sz="6" w:space="0"/>
          <w:insideH w:val="outset" w:color="AAAAAA" w:sz="6" w:space="0"/>
          <w:insideV w:val="outset" w:color="AAAAAA" w:sz="6" w:space="0"/>
        </w:tblBorders>
        <w:tblLayout w:type="autofit"/>
        <w:tblCellMar>
          <w:top w:w="60" w:type="dxa"/>
          <w:left w:w="60" w:type="dxa"/>
          <w:bottom w:w="60" w:type="dxa"/>
          <w:right w:w="60" w:type="dxa"/>
        </w:tblCellMar>
      </w:tblPr>
      <w:tblGrid>
        <w:gridCol w:w="817"/>
        <w:gridCol w:w="1292"/>
        <w:gridCol w:w="1285"/>
        <w:gridCol w:w="1613"/>
        <w:gridCol w:w="1278"/>
        <w:gridCol w:w="2934"/>
      </w:tblGrid>
      <w:tr w14:paraId="4878B028">
        <w:tblPrEx>
          <w:tblBorders>
            <w:top w:val="outset" w:color="AAAAAA" w:sz="6" w:space="0"/>
            <w:left w:val="outset" w:color="AAAAAA" w:sz="6" w:space="0"/>
            <w:bottom w:val="outset" w:color="AAAAAA" w:sz="6" w:space="0"/>
            <w:right w:val="outset" w:color="AAAAAA" w:sz="6" w:space="0"/>
            <w:insideH w:val="outset" w:color="AAAAAA" w:sz="6" w:space="0"/>
            <w:insideV w:val="outset" w:color="AAAAAA" w:sz="6" w:space="0"/>
          </w:tblBorders>
          <w:tblCellMar>
            <w:top w:w="60" w:type="dxa"/>
            <w:left w:w="60" w:type="dxa"/>
            <w:bottom w:w="60" w:type="dxa"/>
            <w:right w:w="60" w:type="dxa"/>
          </w:tblCellMar>
        </w:tblPrEx>
        <w:trPr>
          <w:jc w:val="center"/>
        </w:trPr>
        <w:tc>
          <w:tcPr>
            <w:tcW w:w="814"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4906315F">
            <w:pPr>
              <w:widowControl/>
              <w:spacing w:line="360" w:lineRule="auto"/>
              <w:jc w:val="center"/>
              <w:rPr>
                <w:rFonts w:ascii="宋体" w:hAnsi="宋体" w:cs="宋体"/>
                <w:szCs w:val="21"/>
              </w:rPr>
            </w:pPr>
            <w:r>
              <w:rPr>
                <w:rFonts w:hint="eastAsia" w:ascii="宋体" w:hAnsi="宋体" w:cs="宋体"/>
                <w:szCs w:val="21"/>
              </w:rPr>
              <w:t>包号</w:t>
            </w:r>
          </w:p>
        </w:tc>
        <w:tc>
          <w:tcPr>
            <w:tcW w:w="1288"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5D2E7C5C">
            <w:pPr>
              <w:widowControl/>
              <w:spacing w:line="360" w:lineRule="auto"/>
              <w:ind w:right="118" w:rightChars="56" w:firstLine="84" w:firstLineChars="40"/>
              <w:jc w:val="center"/>
              <w:rPr>
                <w:rFonts w:ascii="宋体" w:hAnsi="宋体" w:cs="宋体"/>
                <w:szCs w:val="21"/>
              </w:rPr>
            </w:pPr>
            <w:r>
              <w:rPr>
                <w:rFonts w:hint="eastAsia" w:ascii="宋体" w:hAnsi="宋体" w:cs="宋体"/>
                <w:szCs w:val="21"/>
              </w:rPr>
              <w:t>是否设置最高限额</w:t>
            </w:r>
          </w:p>
        </w:tc>
        <w:tc>
          <w:tcPr>
            <w:tcW w:w="1281"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592F4FB8">
            <w:pPr>
              <w:widowControl/>
              <w:spacing w:line="360" w:lineRule="auto"/>
              <w:jc w:val="center"/>
              <w:rPr>
                <w:rFonts w:ascii="宋体" w:hAnsi="宋体" w:cs="宋体"/>
                <w:szCs w:val="21"/>
              </w:rPr>
            </w:pPr>
            <w:r>
              <w:rPr>
                <w:rFonts w:hint="eastAsia" w:ascii="宋体" w:hAnsi="宋体" w:cs="宋体"/>
                <w:szCs w:val="21"/>
              </w:rPr>
              <w:t xml:space="preserve">预算 </w:t>
            </w:r>
            <w:r>
              <w:rPr>
                <w:rFonts w:ascii="宋体" w:hAnsi="宋体" w:cs="宋体"/>
                <w:szCs w:val="21"/>
              </w:rPr>
              <w:t xml:space="preserve">     </w:t>
            </w:r>
            <w:r>
              <w:rPr>
                <w:rFonts w:hint="eastAsia" w:ascii="宋体" w:hAnsi="宋体" w:cs="宋体"/>
                <w:szCs w:val="21"/>
                <w:highlight w:val="none"/>
              </w:rPr>
              <w:t>（万元）</w:t>
            </w:r>
          </w:p>
        </w:tc>
        <w:tc>
          <w:tcPr>
            <w:tcW w:w="1607"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16435CC2">
            <w:pPr>
              <w:widowControl/>
              <w:spacing w:line="360" w:lineRule="auto"/>
              <w:jc w:val="center"/>
              <w:rPr>
                <w:rFonts w:ascii="宋体" w:hAnsi="宋体" w:cs="宋体"/>
                <w:szCs w:val="21"/>
              </w:rPr>
            </w:pPr>
            <w:r>
              <w:rPr>
                <w:rFonts w:hint="eastAsia" w:ascii="宋体" w:hAnsi="宋体" w:cs="宋体"/>
                <w:szCs w:val="21"/>
              </w:rPr>
              <w:t xml:space="preserve">最高限额 </w:t>
            </w:r>
            <w:r>
              <w:rPr>
                <w:rFonts w:ascii="宋体" w:hAnsi="宋体" w:cs="宋体"/>
                <w:szCs w:val="21"/>
              </w:rPr>
              <w:t xml:space="preserve">    </w:t>
            </w:r>
            <w:r>
              <w:rPr>
                <w:rFonts w:hint="eastAsia" w:ascii="宋体" w:hAnsi="宋体" w:cs="宋体"/>
                <w:szCs w:val="21"/>
                <w:highlight w:val="none"/>
              </w:rPr>
              <w:t>（万元）</w:t>
            </w:r>
          </w:p>
        </w:tc>
        <w:tc>
          <w:tcPr>
            <w:tcW w:w="1274"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5380560A">
            <w:pPr>
              <w:widowControl/>
              <w:spacing w:line="360" w:lineRule="auto"/>
              <w:jc w:val="center"/>
              <w:rPr>
                <w:rFonts w:ascii="宋体" w:hAnsi="宋体" w:cs="宋体"/>
                <w:szCs w:val="21"/>
              </w:rPr>
            </w:pPr>
            <w:r>
              <w:rPr>
                <w:rFonts w:hint="eastAsia" w:ascii="宋体" w:hAnsi="宋体" w:cs="宋体"/>
                <w:szCs w:val="21"/>
              </w:rPr>
              <w:t>采购目录</w:t>
            </w:r>
          </w:p>
        </w:tc>
        <w:tc>
          <w:tcPr>
            <w:tcW w:w="2923"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06FD0B9F">
            <w:pPr>
              <w:widowControl/>
              <w:spacing w:line="360" w:lineRule="auto"/>
              <w:jc w:val="center"/>
              <w:rPr>
                <w:rFonts w:ascii="宋体" w:hAnsi="宋体" w:cs="宋体"/>
                <w:szCs w:val="21"/>
              </w:rPr>
            </w:pPr>
            <w:r>
              <w:rPr>
                <w:rFonts w:hint="eastAsia" w:ascii="宋体" w:hAnsi="宋体" w:cs="宋体"/>
                <w:szCs w:val="21"/>
              </w:rPr>
              <w:t>采购需求</w:t>
            </w:r>
          </w:p>
        </w:tc>
      </w:tr>
      <w:tr w14:paraId="27887560">
        <w:tblPrEx>
          <w:tblBorders>
            <w:top w:val="outset" w:color="AAAAAA" w:sz="6" w:space="0"/>
            <w:left w:val="outset" w:color="AAAAAA" w:sz="6" w:space="0"/>
            <w:bottom w:val="outset" w:color="AAAAAA" w:sz="6" w:space="0"/>
            <w:right w:val="outset" w:color="AAAAAA" w:sz="6" w:space="0"/>
            <w:insideH w:val="outset" w:color="AAAAAA" w:sz="6" w:space="0"/>
            <w:insideV w:val="outset" w:color="AAAAAA" w:sz="6" w:space="0"/>
          </w:tblBorders>
          <w:tblCellMar>
            <w:top w:w="60" w:type="dxa"/>
            <w:left w:w="60" w:type="dxa"/>
            <w:bottom w:w="60" w:type="dxa"/>
            <w:right w:w="60" w:type="dxa"/>
          </w:tblCellMar>
        </w:tblPrEx>
        <w:trPr>
          <w:jc w:val="center"/>
        </w:trPr>
        <w:tc>
          <w:tcPr>
            <w:tcW w:w="814"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783FC754">
            <w:pPr>
              <w:widowControl/>
              <w:spacing w:line="360" w:lineRule="auto"/>
              <w:jc w:val="center"/>
              <w:rPr>
                <w:rFonts w:ascii="宋体" w:hAnsi="宋体" w:cs="宋体"/>
                <w:szCs w:val="21"/>
              </w:rPr>
            </w:pPr>
            <w:r>
              <w:rPr>
                <w:rFonts w:hint="eastAsia" w:ascii="宋体" w:hAnsi="宋体" w:cs="宋体"/>
                <w:szCs w:val="21"/>
              </w:rPr>
              <w:t>第1包</w:t>
            </w:r>
          </w:p>
        </w:tc>
        <w:tc>
          <w:tcPr>
            <w:tcW w:w="1288"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04D5E8F4">
            <w:pPr>
              <w:widowControl/>
              <w:spacing w:line="360" w:lineRule="auto"/>
              <w:jc w:val="center"/>
              <w:rPr>
                <w:rFonts w:ascii="宋体" w:hAnsi="宋体" w:cs="宋体"/>
                <w:szCs w:val="21"/>
              </w:rPr>
            </w:pPr>
            <w:r>
              <w:rPr>
                <w:rFonts w:hint="eastAsia" w:ascii="宋体" w:hAnsi="宋体" w:cs="宋体"/>
                <w:szCs w:val="21"/>
              </w:rPr>
              <w:t>是</w:t>
            </w:r>
          </w:p>
        </w:tc>
        <w:tc>
          <w:tcPr>
            <w:tcW w:w="1281"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6927FFD4">
            <w:pPr>
              <w:widowControl/>
              <w:spacing w:line="360" w:lineRule="auto"/>
              <w:jc w:val="center"/>
              <w:rPr>
                <w:rFonts w:ascii="宋体" w:hAnsi="宋体" w:cs="宋体"/>
                <w:szCs w:val="21"/>
              </w:rPr>
            </w:pPr>
            <w:r>
              <w:rPr>
                <w:rFonts w:hint="eastAsia" w:ascii="仿宋_GB2312" w:eastAsia="仿宋_GB2312"/>
                <w:sz w:val="24"/>
                <w:szCs w:val="24"/>
              </w:rPr>
              <w:t>84</w:t>
            </w:r>
            <w:r>
              <w:rPr>
                <w:rFonts w:hint="eastAsia" w:ascii="仿宋_GB2312" w:eastAsia="仿宋_GB2312"/>
                <w:sz w:val="24"/>
                <w:szCs w:val="24"/>
                <w:lang w:val="en-US" w:eastAsia="zh-CN"/>
              </w:rPr>
              <w:t>.</w:t>
            </w:r>
            <w:r>
              <w:rPr>
                <w:rFonts w:hint="eastAsia" w:ascii="仿宋_GB2312" w:eastAsia="仿宋_GB2312"/>
                <w:sz w:val="24"/>
                <w:szCs w:val="24"/>
              </w:rPr>
              <w:t>665</w:t>
            </w:r>
          </w:p>
        </w:tc>
        <w:tc>
          <w:tcPr>
            <w:tcW w:w="1607"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549708B4">
            <w:pPr>
              <w:widowControl/>
              <w:spacing w:line="360" w:lineRule="auto"/>
              <w:jc w:val="center"/>
              <w:rPr>
                <w:rFonts w:ascii="宋体" w:hAnsi="宋体" w:cs="宋体"/>
                <w:szCs w:val="21"/>
              </w:rPr>
            </w:pPr>
            <w:r>
              <w:rPr>
                <w:rFonts w:hint="eastAsia" w:ascii="仿宋_GB2312" w:eastAsia="仿宋_GB2312"/>
                <w:sz w:val="24"/>
                <w:szCs w:val="24"/>
              </w:rPr>
              <w:t>84</w:t>
            </w:r>
            <w:r>
              <w:rPr>
                <w:rFonts w:hint="eastAsia" w:ascii="仿宋_GB2312" w:eastAsia="仿宋_GB2312"/>
                <w:sz w:val="24"/>
                <w:szCs w:val="24"/>
                <w:lang w:val="en-US" w:eastAsia="zh-CN"/>
              </w:rPr>
              <w:t>.</w:t>
            </w:r>
            <w:r>
              <w:rPr>
                <w:rFonts w:hint="eastAsia" w:ascii="仿宋_GB2312" w:eastAsia="仿宋_GB2312"/>
                <w:sz w:val="24"/>
                <w:szCs w:val="24"/>
              </w:rPr>
              <w:t>665</w:t>
            </w:r>
          </w:p>
        </w:tc>
        <w:tc>
          <w:tcPr>
            <w:tcW w:w="1274"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6250B102">
            <w:pPr>
              <w:widowControl/>
              <w:spacing w:line="360" w:lineRule="auto"/>
              <w:ind w:right="73" w:rightChars="35"/>
              <w:jc w:val="center"/>
              <w:rPr>
                <w:rFonts w:ascii="宋体" w:hAnsi="宋体" w:cs="宋体"/>
                <w:szCs w:val="21"/>
              </w:rPr>
            </w:pPr>
            <w:r>
              <w:rPr>
                <w:rFonts w:hint="eastAsia" w:ascii="宋体" w:hAnsi="宋体" w:cs="宋体"/>
                <w:szCs w:val="21"/>
              </w:rPr>
              <w:t>其他维修和</w:t>
            </w:r>
          </w:p>
          <w:p w14:paraId="6644738D">
            <w:pPr>
              <w:widowControl/>
              <w:spacing w:line="360" w:lineRule="auto"/>
              <w:jc w:val="center"/>
              <w:rPr>
                <w:rFonts w:ascii="宋体" w:hAnsi="宋体" w:cs="宋体"/>
                <w:szCs w:val="21"/>
              </w:rPr>
            </w:pPr>
            <w:r>
              <w:rPr>
                <w:rFonts w:hint="eastAsia" w:ascii="宋体" w:hAnsi="宋体" w:cs="宋体"/>
                <w:szCs w:val="21"/>
              </w:rPr>
              <w:t>保养服务</w:t>
            </w:r>
          </w:p>
        </w:tc>
        <w:tc>
          <w:tcPr>
            <w:tcW w:w="2923" w:type="dxa"/>
            <w:tcBorders>
              <w:top w:val="outset" w:color="AAAAAA" w:sz="6" w:space="0"/>
              <w:left w:val="outset" w:color="AAAAAA" w:sz="6" w:space="0"/>
              <w:bottom w:val="outset" w:color="AAAAAA" w:sz="6" w:space="0"/>
              <w:right w:val="outset" w:color="AAAAAA" w:sz="6" w:space="0"/>
            </w:tcBorders>
            <w:tcMar>
              <w:top w:w="0" w:type="dxa"/>
              <w:left w:w="0" w:type="dxa"/>
              <w:bottom w:w="0" w:type="dxa"/>
              <w:right w:w="0" w:type="dxa"/>
            </w:tcMar>
            <w:vAlign w:val="center"/>
          </w:tcPr>
          <w:p w14:paraId="75BAA93D">
            <w:pPr>
              <w:widowControl/>
              <w:spacing w:line="276" w:lineRule="auto"/>
              <w:ind w:left="53" w:leftChars="25" w:firstLine="1"/>
              <w:jc w:val="left"/>
              <w:rPr>
                <w:rFonts w:ascii="宋体" w:hAnsi="宋体" w:cs="宋体"/>
                <w:szCs w:val="21"/>
              </w:rPr>
            </w:pPr>
            <w:r>
              <w:rPr>
                <w:rFonts w:hint="eastAsia" w:ascii="宋体" w:hAnsi="宋体" w:cs="宋体"/>
                <w:szCs w:val="21"/>
              </w:rPr>
              <w:t>本项目是对医院大楼现有电梯2部进行整体更换</w:t>
            </w:r>
            <w:r>
              <w:rPr>
                <w:rFonts w:hint="eastAsia" w:ascii="宋体" w:hAnsi="宋体" w:cs="宋体"/>
                <w:szCs w:val="21"/>
                <w:lang w:val="en-US" w:eastAsia="zh-CN"/>
              </w:rPr>
              <w:t>改造</w:t>
            </w:r>
            <w:r>
              <w:rPr>
                <w:rFonts w:hint="eastAsia" w:ascii="宋体" w:hAnsi="宋体" w:cs="宋体"/>
                <w:szCs w:val="21"/>
              </w:rPr>
              <w:t>。</w:t>
            </w:r>
          </w:p>
        </w:tc>
      </w:tr>
    </w:tbl>
    <w:p w14:paraId="23A5F3AB">
      <w:pPr>
        <w:widowControl/>
        <w:spacing w:line="360" w:lineRule="auto"/>
        <w:jc w:val="left"/>
        <w:rPr>
          <w:rFonts w:ascii="宋体" w:hAnsi="宋体" w:cs="宋体"/>
          <w:szCs w:val="21"/>
        </w:rPr>
      </w:pPr>
      <w:r>
        <w:rPr>
          <w:rFonts w:hint="eastAsia" w:ascii="宋体" w:hAnsi="宋体" w:cs="宋体"/>
          <w:kern w:val="0"/>
          <w:szCs w:val="21"/>
        </w:rPr>
        <w:t>合同履行期限：</w:t>
      </w:r>
      <w:r>
        <w:rPr>
          <w:rFonts w:hint="eastAsia" w:ascii="宋体" w:hAnsi="宋体" w:cs="宋体"/>
          <w:szCs w:val="21"/>
        </w:rPr>
        <w:t>服务期限</w:t>
      </w:r>
      <w:r>
        <w:rPr>
          <w:rFonts w:ascii="宋体" w:hAnsi="宋体" w:cs="宋体"/>
          <w:szCs w:val="21"/>
        </w:rPr>
        <w:t>：</w:t>
      </w:r>
      <w:r>
        <w:rPr>
          <w:rFonts w:hint="eastAsia" w:ascii="宋体" w:hAnsi="宋体" w:cs="宋体"/>
          <w:szCs w:val="21"/>
        </w:rPr>
        <w:t>签订合同之日起4个月内完成项目涉及所有工作（具体以签订合同为准）</w:t>
      </w:r>
    </w:p>
    <w:p w14:paraId="56C0905C">
      <w:pPr>
        <w:widowControl/>
        <w:spacing w:line="360" w:lineRule="auto"/>
        <w:jc w:val="left"/>
        <w:rPr>
          <w:rFonts w:ascii="宋体" w:hAnsi="宋体" w:cs="宋体"/>
          <w:szCs w:val="21"/>
        </w:rPr>
      </w:pPr>
      <w:r>
        <w:rPr>
          <w:rFonts w:hint="eastAsia" w:ascii="宋体" w:hAnsi="宋体" w:cs="宋体"/>
          <w:kern w:val="0"/>
          <w:szCs w:val="21"/>
        </w:rPr>
        <w:t>本项目不接受联合体参与，本项目不接受进口产品</w:t>
      </w:r>
    </w:p>
    <w:p w14:paraId="4830FC37">
      <w:pPr>
        <w:widowControl/>
        <w:spacing w:line="360" w:lineRule="auto"/>
        <w:jc w:val="left"/>
        <w:rPr>
          <w:rFonts w:ascii="宋体" w:hAnsi="宋体" w:cs="宋体"/>
          <w:szCs w:val="21"/>
        </w:rPr>
      </w:pPr>
      <w:r>
        <w:rPr>
          <w:rFonts w:hint="eastAsia" w:ascii="宋体" w:hAnsi="宋体" w:cs="宋体"/>
          <w:kern w:val="0"/>
          <w:szCs w:val="21"/>
        </w:rPr>
        <w:t>二、本项目的特定资格要求：</w:t>
      </w:r>
    </w:p>
    <w:p w14:paraId="7C9381B5">
      <w:pPr>
        <w:widowControl/>
        <w:numPr>
          <w:ilvl w:val="0"/>
          <w:numId w:val="8"/>
        </w:numPr>
        <w:spacing w:line="360" w:lineRule="auto"/>
        <w:ind w:left="0" w:firstLine="420" w:firstLineChars="200"/>
        <w:jc w:val="left"/>
        <w:rPr>
          <w:rFonts w:ascii="宋体" w:hAnsi="宋体" w:cs="宋体"/>
          <w:kern w:val="0"/>
          <w:szCs w:val="21"/>
        </w:rPr>
      </w:pPr>
      <w:r>
        <w:rPr>
          <w:rFonts w:hint="eastAsia" w:ascii="宋体" w:hAnsi="宋体" w:cs="宋体"/>
          <w:kern w:val="0"/>
          <w:szCs w:val="21"/>
        </w:rPr>
        <w:t>投标人须提供有效期内的营业执照或事业单位法人证书或民办非企业单位登记证书或社会团体法人登记证书或基金会法人登记证书（复印件加盖公章）；</w:t>
      </w:r>
    </w:p>
    <w:p w14:paraId="3C08D662">
      <w:pPr>
        <w:widowControl/>
        <w:numPr>
          <w:ilvl w:val="0"/>
          <w:numId w:val="8"/>
        </w:numPr>
        <w:spacing w:line="360" w:lineRule="auto"/>
        <w:ind w:left="0" w:firstLine="420" w:firstLineChars="200"/>
        <w:jc w:val="left"/>
        <w:rPr>
          <w:rFonts w:ascii="宋体" w:hAnsi="宋体" w:cs="宋体"/>
          <w:kern w:val="0"/>
          <w:szCs w:val="21"/>
        </w:rPr>
      </w:pPr>
      <w:r>
        <w:rPr>
          <w:rFonts w:hint="eastAsia" w:ascii="宋体" w:hAnsi="宋体" w:cs="宋体"/>
          <w:kern w:val="0"/>
          <w:szCs w:val="21"/>
        </w:rPr>
        <w:t>投标人须具备有效期内的建筑机电安装工程专业承包三级及以上资质（复印件加盖公章）；</w:t>
      </w:r>
    </w:p>
    <w:p w14:paraId="5F22E31A">
      <w:pPr>
        <w:widowControl/>
        <w:numPr>
          <w:ilvl w:val="0"/>
          <w:numId w:val="8"/>
        </w:numPr>
        <w:spacing w:line="360" w:lineRule="auto"/>
        <w:ind w:left="0" w:firstLine="420" w:firstLineChars="200"/>
        <w:jc w:val="left"/>
        <w:rPr>
          <w:rFonts w:ascii="宋体" w:hAnsi="宋体" w:cs="宋体"/>
          <w:kern w:val="0"/>
          <w:szCs w:val="21"/>
        </w:rPr>
      </w:pPr>
      <w:r>
        <w:rPr>
          <w:rFonts w:hint="eastAsia" w:ascii="宋体" w:hAnsi="宋体" w:cs="宋体"/>
          <w:kern w:val="0"/>
          <w:szCs w:val="21"/>
        </w:rPr>
        <w:t>投标人或其所投产品制造商需应具备有效的《中华人民共和国特种设备生产许可证》（电梯制造（含安装、修理、改造）或电梯安装（含修理）A2，子项目中需包含曳引驱动乘客电梯（含消防员电梯）），提供证书扫描件。</w:t>
      </w:r>
    </w:p>
    <w:p w14:paraId="036357DC">
      <w:pPr>
        <w:widowControl/>
        <w:numPr>
          <w:ilvl w:val="0"/>
          <w:numId w:val="8"/>
        </w:numPr>
        <w:spacing w:line="360" w:lineRule="auto"/>
        <w:ind w:left="0" w:firstLine="420" w:firstLineChars="200"/>
        <w:jc w:val="left"/>
        <w:rPr>
          <w:rFonts w:ascii="宋体" w:hAnsi="宋体" w:cs="宋体"/>
          <w:kern w:val="0"/>
          <w:szCs w:val="21"/>
          <w:lang w:val="zh-CN"/>
        </w:rPr>
      </w:pPr>
      <w:r>
        <w:rPr>
          <w:rFonts w:hint="eastAsia" w:ascii="宋体" w:hAnsi="宋体" w:cs="宋体"/>
          <w:kern w:val="0"/>
          <w:szCs w:val="21"/>
        </w:rPr>
        <w:t>投标人</w:t>
      </w:r>
      <w:r>
        <w:rPr>
          <w:rFonts w:hint="eastAsia" w:ascii="宋体" w:hAnsi="宋体" w:cs="宋体"/>
          <w:kern w:val="0"/>
          <w:szCs w:val="21"/>
          <w:lang w:val="zh-CN"/>
        </w:rPr>
        <w:t>须提供经会计师事务所审计的</w:t>
      </w:r>
      <w:r>
        <w:rPr>
          <w:rFonts w:hint="eastAsia" w:ascii="宋体" w:hAnsi="宋体" w:cs="宋体"/>
          <w:kern w:val="0"/>
          <w:szCs w:val="21"/>
        </w:rPr>
        <w:t>2024年度</w:t>
      </w:r>
      <w:r>
        <w:rPr>
          <w:rFonts w:hint="eastAsia" w:ascii="宋体" w:hAnsi="宋体" w:cs="宋体"/>
          <w:kern w:val="0"/>
          <w:szCs w:val="21"/>
          <w:lang w:val="zh-CN"/>
        </w:rPr>
        <w:t>财务审计报告或投标截止时间前</w:t>
      </w:r>
      <w:r>
        <w:rPr>
          <w:rFonts w:hint="eastAsia" w:ascii="宋体" w:hAnsi="宋体" w:cs="宋体"/>
          <w:kern w:val="0"/>
          <w:szCs w:val="21"/>
        </w:rPr>
        <w:t>3</w:t>
      </w:r>
      <w:r>
        <w:rPr>
          <w:rFonts w:hint="eastAsia" w:ascii="宋体" w:hAnsi="宋体" w:cs="宋体"/>
          <w:kern w:val="0"/>
          <w:szCs w:val="21"/>
          <w:lang w:val="zh-CN"/>
        </w:rPr>
        <w:t>个月以内银行出具的资信证明复印件加盖公章；</w:t>
      </w:r>
    </w:p>
    <w:p w14:paraId="39228F8B">
      <w:pPr>
        <w:widowControl/>
        <w:numPr>
          <w:ilvl w:val="0"/>
          <w:numId w:val="8"/>
        </w:numPr>
        <w:spacing w:line="360" w:lineRule="auto"/>
        <w:ind w:left="0" w:firstLine="420" w:firstLineChars="200"/>
        <w:jc w:val="left"/>
        <w:rPr>
          <w:rFonts w:ascii="宋体" w:hAnsi="宋体" w:cs="宋体"/>
          <w:kern w:val="0"/>
          <w:szCs w:val="21"/>
          <w:lang w:val="zh-CN"/>
        </w:rPr>
      </w:pPr>
      <w:r>
        <w:rPr>
          <w:rFonts w:hint="eastAsia" w:ascii="宋体" w:hAnsi="宋体" w:cs="宋体"/>
          <w:kern w:val="0"/>
          <w:szCs w:val="21"/>
        </w:rPr>
        <w:t>投标人须提供2025年1月至今任意1个月依法缴纳税收和社会保障资金的资金保障记录（复印件加盖公章）或提供依法缴纳税收和社会保险承诺书（依法免缴的，应提供依法免缴的相关证明文件；新成立的投标人按实际的缴纳情况递交相关证明）</w:t>
      </w:r>
      <w:r>
        <w:rPr>
          <w:rFonts w:hint="eastAsia" w:ascii="宋体" w:hAnsi="宋体" w:cs="宋体"/>
          <w:kern w:val="0"/>
          <w:szCs w:val="21"/>
          <w:lang w:val="zh-CN"/>
        </w:rPr>
        <w:t>；</w:t>
      </w:r>
    </w:p>
    <w:p w14:paraId="0BCA01E7">
      <w:pPr>
        <w:widowControl/>
        <w:numPr>
          <w:ilvl w:val="0"/>
          <w:numId w:val="8"/>
        </w:numPr>
        <w:spacing w:line="360" w:lineRule="auto"/>
        <w:ind w:left="0" w:firstLine="420" w:firstLineChars="200"/>
        <w:jc w:val="left"/>
        <w:rPr>
          <w:rFonts w:ascii="宋体" w:hAnsi="宋体" w:cs="宋体"/>
          <w:kern w:val="0"/>
          <w:szCs w:val="21"/>
          <w:lang w:val="zh-CN"/>
        </w:rPr>
      </w:pPr>
      <w:r>
        <w:rPr>
          <w:rFonts w:hint="eastAsia" w:ascii="宋体" w:hAnsi="宋体" w:cs="宋体"/>
          <w:kern w:val="0"/>
          <w:szCs w:val="21"/>
        </w:rPr>
        <w:t>投标人</w:t>
      </w:r>
      <w:r>
        <w:rPr>
          <w:rFonts w:hint="eastAsia" w:ascii="宋体" w:hAnsi="宋体" w:cs="宋体"/>
          <w:kern w:val="0"/>
          <w:szCs w:val="21"/>
          <w:lang w:val="zh-CN"/>
        </w:rPr>
        <w:t>须提供参加政府采购活动前3年内在经营活动中没有重大违法记录的书面声明，需提供承诺书原件（截至提交投标文件截止日成立不足3年的投标人可提供自成立以来无重大违法记录的书面声明）；</w:t>
      </w:r>
    </w:p>
    <w:p w14:paraId="127C3EDE">
      <w:pPr>
        <w:widowControl/>
        <w:numPr>
          <w:ilvl w:val="0"/>
          <w:numId w:val="8"/>
        </w:numPr>
        <w:spacing w:line="360" w:lineRule="auto"/>
        <w:ind w:left="0" w:firstLine="420" w:firstLineChars="200"/>
        <w:jc w:val="left"/>
        <w:rPr>
          <w:rFonts w:ascii="宋体" w:hAnsi="宋体" w:cs="宋体"/>
          <w:kern w:val="0"/>
          <w:szCs w:val="21"/>
          <w:lang w:val="zh-CN"/>
        </w:rPr>
      </w:pPr>
      <w:r>
        <w:rPr>
          <w:rFonts w:hint="eastAsia" w:ascii="宋体" w:hAnsi="宋体" w:cs="宋体"/>
          <w:kern w:val="0"/>
          <w:szCs w:val="21"/>
          <w:lang w:val="zh-CN"/>
        </w:rPr>
        <w:t>投标人若法定代表人参加投标，须提供法定代表人资格证明书（须由法定代表人签字或盖章）及法定代表人身份证明</w:t>
      </w:r>
      <w:r>
        <w:rPr>
          <w:rFonts w:hint="eastAsia" w:ascii="宋体" w:hAnsi="宋体" w:cs="宋体"/>
          <w:kern w:val="0"/>
          <w:szCs w:val="21"/>
        </w:rPr>
        <w:t>加盖公章</w:t>
      </w:r>
      <w:r>
        <w:rPr>
          <w:rFonts w:hint="eastAsia" w:ascii="宋体" w:hAnsi="宋体" w:cs="宋体"/>
          <w:kern w:val="0"/>
          <w:szCs w:val="21"/>
          <w:lang w:val="zh-CN"/>
        </w:rPr>
        <w:t>复印件；若为被授权人参加投标，须提供法定代表人资格证明书（须由法定代表人签字或盖章）及法定代表人身份证明复印件、法定代表人授权书（须由法定代表人签字或盖章）及被授权人身份证明</w:t>
      </w:r>
      <w:r>
        <w:rPr>
          <w:rFonts w:hint="eastAsia" w:ascii="宋体" w:hAnsi="宋体" w:cs="宋体"/>
          <w:kern w:val="0"/>
          <w:szCs w:val="21"/>
        </w:rPr>
        <w:t>加盖公章复印件</w:t>
      </w:r>
      <w:r>
        <w:rPr>
          <w:rFonts w:hint="eastAsia" w:ascii="宋体" w:hAnsi="宋体" w:cs="宋体"/>
          <w:kern w:val="0"/>
          <w:szCs w:val="21"/>
          <w:lang w:val="zh-CN"/>
        </w:rPr>
        <w:t>（若无法定代表人，需由企业负责人提供授权、签字或盖章）</w:t>
      </w:r>
      <w:r>
        <w:rPr>
          <w:rFonts w:hint="eastAsia" w:ascii="宋体" w:hAnsi="宋体" w:cs="宋体"/>
          <w:kern w:val="0"/>
          <w:szCs w:val="21"/>
        </w:rPr>
        <w:t>；</w:t>
      </w:r>
    </w:p>
    <w:p w14:paraId="7B8373E4">
      <w:pPr>
        <w:widowControl/>
        <w:numPr>
          <w:ilvl w:val="0"/>
          <w:numId w:val="8"/>
        </w:numPr>
        <w:spacing w:line="360" w:lineRule="auto"/>
        <w:ind w:left="0" w:firstLine="420" w:firstLineChars="200"/>
        <w:jc w:val="left"/>
        <w:rPr>
          <w:rFonts w:ascii="宋体" w:hAnsi="宋体" w:cs="宋体"/>
          <w:szCs w:val="21"/>
        </w:rPr>
      </w:pPr>
      <w:r>
        <w:rPr>
          <w:rFonts w:hint="eastAsia" w:ascii="宋体" w:hAnsi="宋体" w:cs="宋体"/>
          <w:kern w:val="0"/>
          <w:szCs w:val="21"/>
          <w:lang w:val="zh-CN"/>
        </w:rPr>
        <w:t>本项目不接受联合体投标。</w:t>
      </w:r>
    </w:p>
    <w:p w14:paraId="73BEA5CD">
      <w:pPr>
        <w:pStyle w:val="231"/>
        <w:numPr>
          <w:ilvl w:val="0"/>
          <w:numId w:val="9"/>
        </w:numPr>
        <w:autoSpaceDE w:val="0"/>
        <w:autoSpaceDN w:val="0"/>
        <w:adjustRightInd w:val="0"/>
        <w:spacing w:line="360" w:lineRule="auto"/>
        <w:ind w:firstLineChars="0"/>
        <w:outlineLvl w:val="2"/>
        <w:rPr>
          <w:rFonts w:ascii="宋体" w:hAnsi="宋体"/>
          <w:spacing w:val="4"/>
          <w:szCs w:val="21"/>
        </w:rPr>
      </w:pPr>
      <w:r>
        <w:rPr>
          <w:rFonts w:hint="eastAsia" w:ascii="宋体" w:hAnsi="宋体"/>
          <w:spacing w:val="4"/>
          <w:szCs w:val="21"/>
        </w:rPr>
        <w:t>服务要求</w:t>
      </w:r>
    </w:p>
    <w:p w14:paraId="5F993C13">
      <w:pPr>
        <w:numPr>
          <w:ilvl w:val="0"/>
          <w:numId w:val="10"/>
        </w:numPr>
        <w:autoSpaceDE w:val="0"/>
        <w:autoSpaceDN w:val="0"/>
        <w:adjustRightInd w:val="0"/>
        <w:spacing w:line="360" w:lineRule="auto"/>
        <w:ind w:firstLine="420" w:firstLineChars="200"/>
        <w:rPr>
          <w:rFonts w:ascii="宋体" w:hAnsi="宋体" w:cs="宋体"/>
          <w:szCs w:val="21"/>
        </w:rPr>
      </w:pPr>
      <w:r>
        <w:rPr>
          <w:rFonts w:hint="eastAsia" w:ascii="宋体" w:hAnsi="宋体" w:cs="宋体"/>
          <w:szCs w:val="21"/>
        </w:rPr>
        <w:t>服务期限：</w:t>
      </w:r>
      <w:r>
        <w:rPr>
          <w:szCs w:val="21"/>
        </w:rPr>
        <w:t>签订合同之日起</w:t>
      </w:r>
      <w:r>
        <w:rPr>
          <w:rFonts w:hint="eastAsia"/>
          <w:szCs w:val="21"/>
        </w:rPr>
        <w:t>4个月内完成项目涉及所有工作（</w:t>
      </w:r>
      <w:r>
        <w:rPr>
          <w:rFonts w:hint="eastAsia" w:ascii="宋体" w:hAnsi="宋体" w:cs="宋体"/>
          <w:szCs w:val="21"/>
        </w:rPr>
        <w:t>具体以签订合同为准）</w:t>
      </w:r>
    </w:p>
    <w:p w14:paraId="3BBC6B9A">
      <w:pPr>
        <w:numPr>
          <w:ilvl w:val="0"/>
          <w:numId w:val="10"/>
        </w:numPr>
        <w:autoSpaceDE w:val="0"/>
        <w:autoSpaceDN w:val="0"/>
        <w:adjustRightInd w:val="0"/>
        <w:spacing w:line="360" w:lineRule="auto"/>
        <w:ind w:firstLine="420" w:firstLineChars="200"/>
        <w:rPr>
          <w:rFonts w:ascii="宋体" w:hAnsi="宋体" w:cs="宋体"/>
          <w:szCs w:val="21"/>
        </w:rPr>
      </w:pPr>
      <w:r>
        <w:rPr>
          <w:rFonts w:hint="eastAsia" w:ascii="宋体" w:hAnsi="宋体" w:cs="宋体"/>
          <w:szCs w:val="21"/>
        </w:rPr>
        <w:t>服务地点：</w:t>
      </w:r>
      <w:r>
        <w:rPr>
          <w:rFonts w:hint="eastAsia" w:ascii="宋体" w:hAnsi="宋体" w:cs="宋体"/>
          <w:szCs w:val="21"/>
          <w:lang w:val="zh-CN"/>
        </w:rPr>
        <w:t>天津市滨海新区大港医院</w:t>
      </w:r>
      <w:r>
        <w:rPr>
          <w:rFonts w:hint="eastAsia" w:ascii="宋体" w:hAnsi="宋体" w:cs="宋体"/>
          <w:szCs w:val="21"/>
        </w:rPr>
        <w:t>（具体情况以合同为准）</w:t>
      </w:r>
    </w:p>
    <w:p w14:paraId="7D32DEA6">
      <w:pPr>
        <w:numPr>
          <w:ilvl w:val="0"/>
          <w:numId w:val="10"/>
        </w:numPr>
        <w:autoSpaceDE w:val="0"/>
        <w:autoSpaceDN w:val="0"/>
        <w:adjustRightInd w:val="0"/>
        <w:spacing w:line="360" w:lineRule="auto"/>
        <w:ind w:firstLine="420" w:firstLineChars="200"/>
        <w:rPr>
          <w:rFonts w:ascii="宋体" w:hAnsi="宋体" w:cs="宋体"/>
          <w:szCs w:val="21"/>
        </w:rPr>
      </w:pPr>
      <w:r>
        <w:rPr>
          <w:rFonts w:hint="eastAsia" w:ascii="宋体" w:hAnsi="宋体" w:cs="宋体"/>
          <w:szCs w:val="21"/>
        </w:rPr>
        <w:t>投标人必须承诺进行技术答疑、培训、质量监督等项目的服务；</w:t>
      </w:r>
    </w:p>
    <w:p w14:paraId="5C1D1DAB">
      <w:pPr>
        <w:numPr>
          <w:ilvl w:val="0"/>
          <w:numId w:val="10"/>
        </w:numPr>
        <w:autoSpaceDE w:val="0"/>
        <w:autoSpaceDN w:val="0"/>
        <w:adjustRightInd w:val="0"/>
        <w:spacing w:line="360" w:lineRule="auto"/>
        <w:ind w:firstLine="420" w:firstLineChars="200"/>
        <w:rPr>
          <w:rFonts w:ascii="宋体" w:hAnsi="宋体" w:cs="宋体"/>
          <w:szCs w:val="21"/>
        </w:rPr>
      </w:pPr>
      <w:r>
        <w:rPr>
          <w:rFonts w:hint="eastAsia" w:ascii="宋体" w:hAnsi="宋体" w:cs="宋体"/>
          <w:szCs w:val="21"/>
        </w:rPr>
        <w:t>提供项目负责人及相关技术服务团队成员、工作经验、分工情况等信息。</w:t>
      </w:r>
    </w:p>
    <w:p w14:paraId="3E29334D">
      <w:pPr>
        <w:numPr>
          <w:ilvl w:val="0"/>
          <w:numId w:val="10"/>
        </w:numPr>
        <w:autoSpaceDE w:val="0"/>
        <w:autoSpaceDN w:val="0"/>
        <w:adjustRightInd w:val="0"/>
        <w:spacing w:line="360" w:lineRule="auto"/>
        <w:ind w:firstLine="420" w:firstLineChars="200"/>
        <w:rPr>
          <w:rFonts w:ascii="宋体" w:hAnsi="宋体" w:cs="宋体"/>
          <w:szCs w:val="21"/>
        </w:rPr>
      </w:pPr>
      <w:r>
        <w:rPr>
          <w:rFonts w:hint="eastAsia" w:ascii="宋体" w:hAnsi="宋体" w:cs="宋体"/>
          <w:szCs w:val="21"/>
        </w:rPr>
        <w:t>提供完备的售后技术服务，包括咨询反馈，技术答疑等。</w:t>
      </w:r>
    </w:p>
    <w:p w14:paraId="6ECCDAD7">
      <w:pPr>
        <w:pStyle w:val="231"/>
        <w:numPr>
          <w:ilvl w:val="0"/>
          <w:numId w:val="11"/>
        </w:numPr>
        <w:autoSpaceDE w:val="0"/>
        <w:autoSpaceDN w:val="0"/>
        <w:adjustRightInd w:val="0"/>
        <w:spacing w:line="360" w:lineRule="auto"/>
        <w:ind w:firstLineChars="0"/>
        <w:outlineLvl w:val="2"/>
        <w:rPr>
          <w:szCs w:val="21"/>
        </w:rPr>
      </w:pPr>
      <w:r>
        <w:rPr>
          <w:rFonts w:hint="eastAsia"/>
          <w:szCs w:val="21"/>
        </w:rPr>
        <w:t>付款方式</w:t>
      </w:r>
    </w:p>
    <w:p w14:paraId="797FA7AC">
      <w:pPr>
        <w:pStyle w:val="2"/>
        <w:spacing w:line="360" w:lineRule="auto"/>
        <w:ind w:firstLine="420" w:firstLineChars="200"/>
        <w:rPr>
          <w:rFonts w:ascii="宋体" w:hAnsi="宋体" w:cs="宋体"/>
          <w:szCs w:val="21"/>
        </w:rPr>
      </w:pPr>
      <w:r>
        <w:rPr>
          <w:rFonts w:hint="eastAsia" w:ascii="宋体" w:hAnsi="宋体" w:cs="宋体"/>
          <w:szCs w:val="21"/>
        </w:rPr>
        <w:t>设备款：签订合同后10日内向供方支付设备总额20%的货款，到货后10日内支付设备总额的40%货款，安装验收完毕支付设备总额的35%货款，质保金设备总额的5%货款。（特殊情况以合同为准）。</w:t>
      </w:r>
    </w:p>
    <w:p w14:paraId="4A65A580">
      <w:pPr>
        <w:pStyle w:val="2"/>
        <w:spacing w:line="360" w:lineRule="auto"/>
        <w:ind w:firstLine="420" w:firstLineChars="200"/>
        <w:rPr>
          <w:rFonts w:ascii="Arial" w:hAnsi="宋体" w:cs="Arial"/>
          <w:szCs w:val="21"/>
          <w:lang w:val="zh-TW"/>
        </w:rPr>
      </w:pPr>
      <w:r>
        <w:rPr>
          <w:rFonts w:hint="eastAsia" w:ascii="宋体" w:hAnsi="宋体" w:cs="宋体"/>
          <w:szCs w:val="21"/>
        </w:rPr>
        <w:t>安装款：安装前10日内支付50%的安装款，安装验收合格后10日内支付其余50%（特殊情况以合</w:t>
      </w:r>
      <w:r>
        <w:rPr>
          <w:rFonts w:hint="eastAsia" w:ascii="Arial" w:hAnsi="宋体" w:cs="Arial"/>
          <w:szCs w:val="21"/>
          <w:lang w:val="zh-TW"/>
        </w:rPr>
        <w:t xml:space="preserve"> </w:t>
      </w:r>
    </w:p>
    <w:p w14:paraId="7B7DEB23">
      <w:pPr>
        <w:numPr>
          <w:ilvl w:val="0"/>
          <w:numId w:val="12"/>
        </w:numPr>
        <w:spacing w:line="360" w:lineRule="auto"/>
        <w:ind w:firstLine="420" w:firstLineChars="200"/>
        <w:outlineLvl w:val="1"/>
        <w:rPr>
          <w:rFonts w:ascii="宋体" w:hAnsi="宋体" w:cs="宋体"/>
          <w:szCs w:val="21"/>
        </w:rPr>
      </w:pPr>
      <w:r>
        <w:rPr>
          <w:rFonts w:hint="eastAsia" w:ascii="宋体" w:hAnsi="宋体" w:cs="宋体"/>
          <w:szCs w:val="21"/>
        </w:rPr>
        <w:t>项目需求书</w:t>
      </w:r>
      <w:bookmarkStart w:id="0" w:name="_Toc14790470"/>
      <w:bookmarkEnd w:id="0"/>
    </w:p>
    <w:p w14:paraId="0232BD5A">
      <w:pPr>
        <w:spacing w:line="360" w:lineRule="auto"/>
        <w:ind w:firstLine="422" w:firstLineChars="200"/>
        <w:rPr>
          <w:rFonts w:ascii="宋体" w:hAnsi="宋体" w:cs="宋体"/>
          <w:b/>
          <w:bCs/>
        </w:rPr>
      </w:pPr>
      <w:bookmarkStart w:id="1" w:name="_Toc520444667"/>
      <w:r>
        <w:rPr>
          <w:rFonts w:hint="eastAsia" w:ascii="宋体" w:hAnsi="宋体" w:cs="宋体"/>
          <w:b/>
          <w:bCs/>
        </w:rPr>
        <w:t>1、项目概况及总则</w:t>
      </w:r>
      <w:bookmarkEnd w:id="1"/>
    </w:p>
    <w:p w14:paraId="6E6E9F3E">
      <w:pPr>
        <w:spacing w:line="360" w:lineRule="auto"/>
        <w:ind w:firstLine="420" w:firstLineChars="200"/>
        <w:rPr>
          <w:rFonts w:ascii="宋体" w:hAnsi="宋体" w:cs="宋体"/>
        </w:rPr>
      </w:pPr>
      <w:bookmarkStart w:id="2" w:name="_Toc520444668"/>
      <w:r>
        <w:rPr>
          <w:rFonts w:hint="eastAsia" w:ascii="宋体" w:hAnsi="宋体" w:cs="宋体"/>
        </w:rPr>
        <w:t>1.1项目概况</w:t>
      </w:r>
      <w:bookmarkEnd w:id="2"/>
    </w:p>
    <w:p w14:paraId="33C1D71F">
      <w:pPr>
        <w:spacing w:line="360" w:lineRule="auto"/>
        <w:ind w:firstLine="420" w:firstLineChars="200"/>
        <w:rPr>
          <w:rFonts w:ascii="宋体" w:hAnsi="宋体" w:cs="宋体"/>
        </w:rPr>
      </w:pPr>
      <w:bookmarkStart w:id="3" w:name="_Hlk212151983"/>
      <w:r>
        <w:rPr>
          <w:rFonts w:hint="eastAsia" w:ascii="宋体" w:hAnsi="宋体" w:cs="宋体"/>
        </w:rPr>
        <w:t>天津市滨海新区大港医院</w:t>
      </w:r>
      <w:bookmarkEnd w:id="3"/>
      <w:r>
        <w:rPr>
          <w:rFonts w:hint="eastAsia" w:ascii="宋体" w:hAnsi="宋体" w:cs="宋体"/>
        </w:rPr>
        <w:t>位于天津市滨海新区南环路1200号，是一所集医疗、教学、科研、</w:t>
      </w:r>
      <w:r>
        <w:rPr>
          <w:rFonts w:ascii="宋体" w:hAnsi="宋体" w:cs="宋体"/>
        </w:rPr>
        <w:t>预防</w:t>
      </w:r>
      <w:r>
        <w:rPr>
          <w:rFonts w:hint="eastAsia" w:ascii="宋体" w:hAnsi="宋体" w:cs="宋体"/>
        </w:rPr>
        <w:t>于一体医院。医院大楼于 2005年投入使用，本项目是对医院大楼</w:t>
      </w:r>
      <w:r>
        <w:rPr>
          <w:rFonts w:hint="eastAsia" w:asciiTheme="minorEastAsia" w:hAnsiTheme="minorEastAsia"/>
          <w:szCs w:val="28"/>
        </w:rPr>
        <w:t>现</w:t>
      </w:r>
      <w:r>
        <w:rPr>
          <w:rFonts w:asciiTheme="minorEastAsia" w:hAnsiTheme="minorEastAsia"/>
          <w:szCs w:val="28"/>
        </w:rPr>
        <w:t>有电梯</w:t>
      </w:r>
      <w:r>
        <w:rPr>
          <w:rFonts w:hint="eastAsia" w:asciiTheme="minorEastAsia" w:hAnsiTheme="minorEastAsia"/>
          <w:szCs w:val="28"/>
        </w:rPr>
        <w:t>2部</w:t>
      </w:r>
      <w:r>
        <w:rPr>
          <w:rFonts w:hint="eastAsia" w:ascii="宋体" w:hAnsi="宋体" w:cs="宋体"/>
        </w:rPr>
        <w:t>进行整体</w:t>
      </w:r>
      <w:r>
        <w:rPr>
          <w:rFonts w:hint="eastAsia" w:ascii="宋体" w:hAnsi="宋体" w:cs="宋体"/>
          <w:lang w:val="en-US" w:eastAsia="zh-CN"/>
        </w:rPr>
        <w:t>改造</w:t>
      </w:r>
      <w:r>
        <w:rPr>
          <w:rFonts w:hint="eastAsia" w:ascii="宋体" w:hAnsi="宋体" w:cs="宋体"/>
        </w:rPr>
        <w:t>。</w:t>
      </w:r>
    </w:p>
    <w:p w14:paraId="22506B95">
      <w:pPr>
        <w:spacing w:line="360" w:lineRule="auto"/>
        <w:ind w:firstLine="420" w:firstLineChars="200"/>
        <w:rPr>
          <w:rFonts w:ascii="宋体" w:hAnsi="宋体" w:cs="宋体"/>
        </w:rPr>
      </w:pPr>
      <w:bookmarkStart w:id="4" w:name="_Toc520444669"/>
      <w:r>
        <w:rPr>
          <w:rFonts w:hint="eastAsia" w:ascii="宋体" w:hAnsi="宋体" w:cs="宋体"/>
        </w:rPr>
        <w:t>1.2招标范围</w:t>
      </w:r>
      <w:bookmarkEnd w:id="4"/>
    </w:p>
    <w:p w14:paraId="0EA799CA">
      <w:pPr>
        <w:pStyle w:val="17"/>
        <w:spacing w:line="360" w:lineRule="auto"/>
        <w:ind w:firstLine="420" w:firstLineChars="200"/>
        <w:rPr>
          <w:rFonts w:ascii="宋体" w:hAnsi="宋体" w:cs="宋体"/>
        </w:rPr>
      </w:pPr>
      <w:r>
        <w:rPr>
          <w:rFonts w:hint="eastAsia" w:ascii="宋体" w:hAnsi="宋体" w:cs="宋体"/>
        </w:rPr>
        <w:t>本次招标范围为：</w:t>
      </w:r>
      <w:bookmarkStart w:id="5" w:name="_Hlk212152090"/>
      <w:r>
        <w:rPr>
          <w:rFonts w:hint="eastAsia" w:ascii="宋体" w:hAnsi="宋体" w:cs="宋体"/>
        </w:rPr>
        <w:t>天津市滨海新区大港医院</w:t>
      </w:r>
      <w:bookmarkEnd w:id="5"/>
      <w:r>
        <w:rPr>
          <w:rFonts w:hint="eastAsia" w:ascii="宋体" w:hAnsi="宋体" w:cs="宋体"/>
        </w:rPr>
        <w:t>大楼</w:t>
      </w:r>
      <w:r>
        <w:rPr>
          <w:rFonts w:asciiTheme="minorEastAsia" w:hAnsiTheme="minorEastAsia"/>
          <w:szCs w:val="28"/>
        </w:rPr>
        <w:t>电梯</w:t>
      </w:r>
      <w:r>
        <w:rPr>
          <w:rFonts w:hint="eastAsia" w:asciiTheme="minorEastAsia" w:hAnsiTheme="minorEastAsia"/>
          <w:szCs w:val="28"/>
        </w:rPr>
        <w:t>2部</w:t>
      </w:r>
      <w:r>
        <w:rPr>
          <w:rFonts w:hint="eastAsia" w:ascii="宋体" w:hAnsi="宋体" w:cs="宋体"/>
        </w:rPr>
        <w:t>进行整体改造，此项目为交钥匙工程，分为拆除、改造、修复、安装、验收等工程，其中包括旧电梯的控制柜、导轨、曳引机及相关部件的拆除搬离，机房井道门厅等相关改造，新电梯安装及调试等工作，电梯安装完成后的门厅及相关修复工程，自检、厂检及政府验收。</w:t>
      </w:r>
    </w:p>
    <w:p w14:paraId="031D0508">
      <w:pPr>
        <w:spacing w:line="360" w:lineRule="auto"/>
        <w:ind w:firstLine="420" w:firstLineChars="200"/>
        <w:rPr>
          <w:rFonts w:ascii="宋体" w:hAnsi="宋体" w:cs="宋体"/>
        </w:rPr>
      </w:pPr>
      <w:r>
        <w:rPr>
          <w:rFonts w:hint="eastAsia" w:ascii="宋体" w:hAnsi="宋体" w:cs="宋体"/>
        </w:rPr>
        <w:t>天津市滨海新区大港医院电梯更换项目的数量、安装地点、层站数、开门数、安装位置、开门方式等，见表1-1“天津市滨海新区大港医院电梯更换项目电梯汇总表”。表中设备参数及数量为目前情况，不排除在项目实施阶段设备参数和提升高度发生变化的可能，最终以现场实际实施情况为准。提升高度允许在投产通知之前进行调整，如供货数量增减，将不对设备单价进行调整。</w:t>
      </w:r>
    </w:p>
    <w:p w14:paraId="3BA09EA8">
      <w:pPr>
        <w:spacing w:line="360" w:lineRule="auto"/>
        <w:ind w:firstLine="420" w:firstLineChars="200"/>
        <w:rPr>
          <w:rFonts w:ascii="宋体" w:hAnsi="宋体" w:cs="宋体"/>
        </w:rPr>
        <w:sectPr>
          <w:footerReference r:id="rId3" w:type="default"/>
          <w:pgSz w:w="11906" w:h="16838"/>
          <w:pgMar w:top="1440" w:right="1440" w:bottom="1440" w:left="1440" w:header="851" w:footer="992" w:gutter="0"/>
          <w:cols w:space="425" w:num="1"/>
          <w:docGrid w:type="lines" w:linePitch="312" w:charSpace="0"/>
        </w:sectPr>
      </w:pPr>
      <w:r>
        <w:rPr>
          <w:rFonts w:hint="eastAsia" w:ascii="宋体" w:hAnsi="宋体" w:cs="宋体"/>
        </w:rPr>
        <w:t>每台电梯配备钥匙。</w:t>
      </w:r>
    </w:p>
    <w:p w14:paraId="45BF3960">
      <w:pPr>
        <w:spacing w:line="360" w:lineRule="auto"/>
        <w:ind w:firstLine="420" w:firstLineChars="200"/>
        <w:jc w:val="center"/>
        <w:rPr>
          <w:b/>
          <w:bCs/>
        </w:rPr>
      </w:pPr>
      <w:r>
        <w:rPr>
          <w:b/>
          <w:bCs/>
        </w:rPr>
        <w:t>表1-1天津市</w:t>
      </w:r>
      <w:r>
        <w:rPr>
          <w:rFonts w:hint="eastAsia"/>
          <w:b/>
          <w:bCs/>
        </w:rPr>
        <w:t>滨海新区大港</w:t>
      </w:r>
      <w:r>
        <w:rPr>
          <w:b/>
          <w:bCs/>
        </w:rPr>
        <w:t>医院电梯更换项目电梯汇总表</w:t>
      </w:r>
    </w:p>
    <w:tbl>
      <w:tblPr>
        <w:tblStyle w:val="44"/>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02"/>
        <w:gridCol w:w="1297"/>
        <w:gridCol w:w="1299"/>
        <w:gridCol w:w="1010"/>
        <w:gridCol w:w="1010"/>
        <w:gridCol w:w="1440"/>
        <w:gridCol w:w="1871"/>
        <w:gridCol w:w="1585"/>
        <w:gridCol w:w="1296"/>
        <w:gridCol w:w="1154"/>
        <w:gridCol w:w="1210"/>
      </w:tblGrid>
      <w:tr w14:paraId="4191A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76" w:hRule="atLeast"/>
          <w:tblHeader/>
          <w:jc w:val="center"/>
        </w:trPr>
        <w:tc>
          <w:tcPr>
            <w:tcW w:w="353" w:type="pct"/>
            <w:tcBorders>
              <w:top w:val="single" w:color="auto" w:sz="6" w:space="0"/>
              <w:left w:val="single" w:color="auto" w:sz="6" w:space="0"/>
              <w:bottom w:val="single" w:color="auto" w:sz="6" w:space="0"/>
              <w:right w:val="single" w:color="auto" w:sz="6" w:space="0"/>
            </w:tcBorders>
            <w:vAlign w:val="center"/>
          </w:tcPr>
          <w:p w14:paraId="60C39699">
            <w:pPr>
              <w:jc w:val="center"/>
              <w:rPr>
                <w:szCs w:val="21"/>
              </w:rPr>
            </w:pPr>
            <w:r>
              <w:rPr>
                <w:szCs w:val="21"/>
              </w:rPr>
              <w:t>梯号</w:t>
            </w:r>
          </w:p>
        </w:tc>
        <w:tc>
          <w:tcPr>
            <w:tcW w:w="457" w:type="pct"/>
            <w:tcBorders>
              <w:top w:val="single" w:color="auto" w:sz="6" w:space="0"/>
              <w:left w:val="single" w:color="auto" w:sz="6" w:space="0"/>
              <w:bottom w:val="single" w:color="auto" w:sz="6" w:space="0"/>
              <w:right w:val="single" w:color="auto" w:sz="6" w:space="0"/>
            </w:tcBorders>
            <w:vAlign w:val="center"/>
          </w:tcPr>
          <w:p w14:paraId="0B073823">
            <w:pPr>
              <w:jc w:val="center"/>
              <w:rPr>
                <w:szCs w:val="21"/>
              </w:rPr>
            </w:pPr>
            <w:r>
              <w:rPr>
                <w:szCs w:val="21"/>
              </w:rPr>
              <w:t>型号</w:t>
            </w:r>
          </w:p>
        </w:tc>
        <w:tc>
          <w:tcPr>
            <w:tcW w:w="458" w:type="pct"/>
            <w:tcBorders>
              <w:top w:val="single" w:color="auto" w:sz="6" w:space="0"/>
              <w:left w:val="single" w:color="auto" w:sz="6" w:space="0"/>
              <w:bottom w:val="single" w:color="auto" w:sz="6" w:space="0"/>
              <w:right w:val="single" w:color="auto" w:sz="6" w:space="0"/>
            </w:tcBorders>
            <w:vAlign w:val="center"/>
          </w:tcPr>
          <w:p w14:paraId="652D3B14">
            <w:pPr>
              <w:jc w:val="center"/>
              <w:rPr>
                <w:szCs w:val="21"/>
              </w:rPr>
            </w:pPr>
            <w:r>
              <w:rPr>
                <w:szCs w:val="21"/>
              </w:rPr>
              <w:t>层/站</w:t>
            </w:r>
          </w:p>
        </w:tc>
        <w:tc>
          <w:tcPr>
            <w:tcW w:w="356" w:type="pct"/>
            <w:tcBorders>
              <w:top w:val="single" w:color="auto" w:sz="6" w:space="0"/>
              <w:left w:val="single" w:color="auto" w:sz="6" w:space="0"/>
              <w:bottom w:val="single" w:color="auto" w:sz="6" w:space="0"/>
              <w:right w:val="single" w:color="auto" w:sz="6" w:space="0"/>
            </w:tcBorders>
            <w:vAlign w:val="center"/>
          </w:tcPr>
          <w:p w14:paraId="5FE6C4E5">
            <w:pPr>
              <w:jc w:val="center"/>
              <w:rPr>
                <w:szCs w:val="21"/>
              </w:rPr>
            </w:pPr>
            <w:r>
              <w:rPr>
                <w:szCs w:val="21"/>
              </w:rPr>
              <w:t>载重 Kg</w:t>
            </w:r>
          </w:p>
        </w:tc>
        <w:tc>
          <w:tcPr>
            <w:tcW w:w="356" w:type="pct"/>
            <w:tcBorders>
              <w:top w:val="single" w:color="auto" w:sz="6" w:space="0"/>
              <w:left w:val="single" w:color="auto" w:sz="6" w:space="0"/>
              <w:bottom w:val="single" w:color="auto" w:sz="6" w:space="0"/>
              <w:right w:val="single" w:color="auto" w:sz="6" w:space="0"/>
            </w:tcBorders>
            <w:vAlign w:val="center"/>
          </w:tcPr>
          <w:p w14:paraId="463197CF">
            <w:pPr>
              <w:jc w:val="center"/>
              <w:rPr>
                <w:szCs w:val="21"/>
              </w:rPr>
            </w:pPr>
            <w:r>
              <w:rPr>
                <w:szCs w:val="21"/>
              </w:rPr>
              <w:t>速度M/S</w:t>
            </w:r>
          </w:p>
        </w:tc>
        <w:tc>
          <w:tcPr>
            <w:tcW w:w="508" w:type="pct"/>
            <w:tcBorders>
              <w:top w:val="single" w:color="auto" w:sz="6" w:space="0"/>
              <w:left w:val="single" w:color="auto" w:sz="6" w:space="0"/>
              <w:bottom w:val="single" w:color="auto" w:sz="6" w:space="0"/>
              <w:right w:val="single" w:color="auto" w:sz="6" w:space="0"/>
            </w:tcBorders>
            <w:vAlign w:val="center"/>
          </w:tcPr>
          <w:p w14:paraId="11793EF3">
            <w:pPr>
              <w:jc w:val="center"/>
              <w:rPr>
                <w:szCs w:val="21"/>
              </w:rPr>
            </w:pPr>
            <w:r>
              <w:rPr>
                <w:szCs w:val="21"/>
              </w:rPr>
              <w:t>开门形式</w:t>
            </w:r>
          </w:p>
        </w:tc>
        <w:tc>
          <w:tcPr>
            <w:tcW w:w="660" w:type="pct"/>
            <w:tcBorders>
              <w:top w:val="single" w:color="auto" w:sz="6" w:space="0"/>
              <w:left w:val="single" w:color="auto" w:sz="6" w:space="0"/>
              <w:bottom w:val="single" w:color="auto" w:sz="6" w:space="0"/>
              <w:right w:val="single" w:color="auto" w:sz="6" w:space="0"/>
            </w:tcBorders>
            <w:vAlign w:val="center"/>
          </w:tcPr>
          <w:p w14:paraId="0D829935">
            <w:pPr>
              <w:jc w:val="center"/>
              <w:rPr>
                <w:szCs w:val="21"/>
              </w:rPr>
            </w:pPr>
            <w:r>
              <w:rPr>
                <w:szCs w:val="21"/>
              </w:rPr>
              <w:t>轿厢尺寸mm</w:t>
            </w:r>
          </w:p>
        </w:tc>
        <w:tc>
          <w:tcPr>
            <w:tcW w:w="559" w:type="pct"/>
            <w:tcBorders>
              <w:top w:val="single" w:color="auto" w:sz="6" w:space="0"/>
              <w:left w:val="single" w:color="auto" w:sz="6" w:space="0"/>
              <w:bottom w:val="single" w:color="auto" w:sz="6" w:space="0"/>
              <w:right w:val="single" w:color="auto" w:sz="6" w:space="0"/>
            </w:tcBorders>
            <w:vAlign w:val="center"/>
          </w:tcPr>
          <w:p w14:paraId="7C4E8089">
            <w:pPr>
              <w:jc w:val="center"/>
              <w:rPr>
                <w:szCs w:val="21"/>
              </w:rPr>
            </w:pPr>
            <w:r>
              <w:rPr>
                <w:szCs w:val="21"/>
              </w:rPr>
              <w:t>开门尺寸mm宽*高</w:t>
            </w:r>
          </w:p>
        </w:tc>
        <w:tc>
          <w:tcPr>
            <w:tcW w:w="457" w:type="pct"/>
            <w:tcBorders>
              <w:top w:val="single" w:color="auto" w:sz="6" w:space="0"/>
              <w:left w:val="single" w:color="auto" w:sz="6" w:space="0"/>
              <w:bottom w:val="single" w:color="auto" w:sz="6" w:space="0"/>
              <w:right w:val="single" w:color="auto" w:sz="6" w:space="0"/>
            </w:tcBorders>
            <w:vAlign w:val="center"/>
          </w:tcPr>
          <w:p w14:paraId="77D2D688">
            <w:pPr>
              <w:jc w:val="center"/>
              <w:rPr>
                <w:szCs w:val="21"/>
              </w:rPr>
            </w:pPr>
            <w:r>
              <w:rPr>
                <w:szCs w:val="21"/>
              </w:rPr>
              <w:t>有</w:t>
            </w:r>
            <w:r>
              <w:rPr>
                <w:rFonts w:hint="eastAsia"/>
                <w:szCs w:val="21"/>
              </w:rPr>
              <w:t>/</w:t>
            </w:r>
            <w:r>
              <w:rPr>
                <w:szCs w:val="21"/>
              </w:rPr>
              <w:t>无机房</w:t>
            </w:r>
          </w:p>
        </w:tc>
        <w:tc>
          <w:tcPr>
            <w:tcW w:w="407" w:type="pct"/>
            <w:tcBorders>
              <w:top w:val="single" w:color="auto" w:sz="6" w:space="0"/>
              <w:left w:val="single" w:color="auto" w:sz="6" w:space="0"/>
              <w:bottom w:val="single" w:color="auto" w:sz="6" w:space="0"/>
              <w:right w:val="single" w:color="auto" w:sz="6" w:space="0"/>
            </w:tcBorders>
            <w:vAlign w:val="center"/>
          </w:tcPr>
          <w:p w14:paraId="16A420AB">
            <w:pPr>
              <w:jc w:val="center"/>
              <w:rPr>
                <w:szCs w:val="21"/>
              </w:rPr>
            </w:pPr>
            <w:r>
              <w:rPr>
                <w:szCs w:val="21"/>
              </w:rPr>
              <w:t>控制方式</w:t>
            </w:r>
          </w:p>
        </w:tc>
        <w:tc>
          <w:tcPr>
            <w:tcW w:w="427" w:type="pct"/>
            <w:tcBorders>
              <w:top w:val="single" w:color="auto" w:sz="6" w:space="0"/>
              <w:left w:val="single" w:color="auto" w:sz="6" w:space="0"/>
              <w:bottom w:val="single" w:color="auto" w:sz="6" w:space="0"/>
              <w:right w:val="single" w:color="auto" w:sz="6" w:space="0"/>
            </w:tcBorders>
            <w:vAlign w:val="center"/>
          </w:tcPr>
          <w:p w14:paraId="7C75B0B3">
            <w:pPr>
              <w:jc w:val="center"/>
              <w:rPr>
                <w:szCs w:val="21"/>
              </w:rPr>
            </w:pPr>
            <w:r>
              <w:rPr>
                <w:szCs w:val="21"/>
              </w:rPr>
              <w:t>是否为无障碍电梯</w:t>
            </w:r>
          </w:p>
        </w:tc>
      </w:tr>
      <w:tr w14:paraId="108DF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93" w:hRule="atLeast"/>
          <w:jc w:val="center"/>
        </w:trPr>
        <w:tc>
          <w:tcPr>
            <w:tcW w:w="353" w:type="pct"/>
            <w:tcBorders>
              <w:top w:val="single" w:color="auto" w:sz="6" w:space="0"/>
              <w:left w:val="single" w:color="auto" w:sz="6" w:space="0"/>
              <w:bottom w:val="single" w:color="auto" w:sz="6" w:space="0"/>
              <w:right w:val="single" w:color="auto" w:sz="6" w:space="0"/>
            </w:tcBorders>
            <w:vAlign w:val="center"/>
          </w:tcPr>
          <w:p w14:paraId="78ECD6F7">
            <w:pPr>
              <w:spacing w:line="360" w:lineRule="auto"/>
              <w:jc w:val="center"/>
              <w:rPr>
                <w:szCs w:val="21"/>
              </w:rPr>
            </w:pPr>
            <w:r>
              <w:rPr>
                <w:szCs w:val="21"/>
              </w:rPr>
              <w:t>1</w:t>
            </w:r>
          </w:p>
        </w:tc>
        <w:tc>
          <w:tcPr>
            <w:tcW w:w="457" w:type="pct"/>
            <w:tcBorders>
              <w:top w:val="single" w:color="auto" w:sz="6" w:space="0"/>
              <w:left w:val="single" w:color="auto" w:sz="6" w:space="0"/>
              <w:bottom w:val="single" w:color="auto" w:sz="6" w:space="0"/>
              <w:right w:val="single" w:color="auto" w:sz="6" w:space="0"/>
            </w:tcBorders>
            <w:vAlign w:val="center"/>
          </w:tcPr>
          <w:p w14:paraId="0F772B34">
            <w:pPr>
              <w:spacing w:line="360" w:lineRule="auto"/>
              <w:jc w:val="center"/>
              <w:rPr>
                <w:szCs w:val="21"/>
              </w:rPr>
            </w:pPr>
            <w:r>
              <w:rPr>
                <w:rFonts w:hint="eastAsia"/>
              </w:rPr>
              <w:t>3#无障碍  病床梯</w:t>
            </w:r>
          </w:p>
        </w:tc>
        <w:tc>
          <w:tcPr>
            <w:tcW w:w="458" w:type="pct"/>
            <w:tcBorders>
              <w:top w:val="single" w:color="auto" w:sz="6" w:space="0"/>
              <w:left w:val="single" w:color="auto" w:sz="6" w:space="0"/>
              <w:bottom w:val="single" w:color="auto" w:sz="6" w:space="0"/>
              <w:right w:val="single" w:color="auto" w:sz="6" w:space="0"/>
            </w:tcBorders>
            <w:vAlign w:val="center"/>
          </w:tcPr>
          <w:p w14:paraId="339753C3">
            <w:pPr>
              <w:spacing w:line="360" w:lineRule="auto"/>
              <w:jc w:val="center"/>
              <w:rPr>
                <w:szCs w:val="21"/>
              </w:rPr>
            </w:pPr>
            <w:r>
              <w:rPr>
                <w:szCs w:val="21"/>
              </w:rPr>
              <w:t>1</w:t>
            </w:r>
            <w:r>
              <w:rPr>
                <w:rFonts w:hint="eastAsia"/>
                <w:szCs w:val="21"/>
              </w:rPr>
              <w:t>0</w:t>
            </w:r>
            <w:r>
              <w:rPr>
                <w:szCs w:val="21"/>
              </w:rPr>
              <w:t>/1</w:t>
            </w:r>
            <w:r>
              <w:rPr>
                <w:rFonts w:hint="eastAsia"/>
                <w:szCs w:val="21"/>
              </w:rPr>
              <w:t>0</w:t>
            </w:r>
          </w:p>
        </w:tc>
        <w:tc>
          <w:tcPr>
            <w:tcW w:w="356" w:type="pct"/>
            <w:tcBorders>
              <w:top w:val="single" w:color="auto" w:sz="6" w:space="0"/>
              <w:left w:val="single" w:color="auto" w:sz="6" w:space="0"/>
              <w:bottom w:val="single" w:color="auto" w:sz="6" w:space="0"/>
              <w:right w:val="single" w:color="auto" w:sz="6" w:space="0"/>
            </w:tcBorders>
            <w:vAlign w:val="center"/>
          </w:tcPr>
          <w:p w14:paraId="586D0104">
            <w:pPr>
              <w:spacing w:line="360" w:lineRule="auto"/>
              <w:jc w:val="center"/>
              <w:rPr>
                <w:szCs w:val="21"/>
              </w:rPr>
            </w:pPr>
            <w:r>
              <w:rPr>
                <w:szCs w:val="21"/>
              </w:rPr>
              <w:t>1</w:t>
            </w:r>
            <w:r>
              <w:rPr>
                <w:rFonts w:hint="eastAsia"/>
                <w:szCs w:val="21"/>
              </w:rPr>
              <w:t>800</w:t>
            </w:r>
          </w:p>
        </w:tc>
        <w:tc>
          <w:tcPr>
            <w:tcW w:w="356" w:type="pct"/>
            <w:tcBorders>
              <w:top w:val="single" w:color="auto" w:sz="6" w:space="0"/>
              <w:left w:val="single" w:color="auto" w:sz="6" w:space="0"/>
              <w:bottom w:val="single" w:color="auto" w:sz="6" w:space="0"/>
              <w:right w:val="single" w:color="auto" w:sz="6" w:space="0"/>
            </w:tcBorders>
            <w:vAlign w:val="center"/>
          </w:tcPr>
          <w:p w14:paraId="192187EB">
            <w:pPr>
              <w:spacing w:line="360" w:lineRule="auto"/>
              <w:jc w:val="center"/>
              <w:rPr>
                <w:szCs w:val="21"/>
              </w:rPr>
            </w:pPr>
            <w:r>
              <w:rPr>
                <w:szCs w:val="21"/>
              </w:rPr>
              <w:t>1.</w:t>
            </w:r>
            <w:r>
              <w:rPr>
                <w:rFonts w:hint="eastAsia"/>
                <w:szCs w:val="21"/>
              </w:rPr>
              <w:t>0</w:t>
            </w:r>
          </w:p>
        </w:tc>
        <w:tc>
          <w:tcPr>
            <w:tcW w:w="508" w:type="pct"/>
            <w:tcBorders>
              <w:top w:val="single" w:color="auto" w:sz="6" w:space="0"/>
              <w:left w:val="single" w:color="auto" w:sz="6" w:space="0"/>
              <w:bottom w:val="single" w:color="auto" w:sz="6" w:space="0"/>
              <w:right w:val="single" w:color="auto" w:sz="6" w:space="0"/>
            </w:tcBorders>
            <w:vAlign w:val="center"/>
          </w:tcPr>
          <w:p w14:paraId="50502A1E">
            <w:pPr>
              <w:spacing w:line="360" w:lineRule="auto"/>
              <w:jc w:val="center"/>
              <w:rPr>
                <w:szCs w:val="21"/>
              </w:rPr>
            </w:pPr>
            <w:r>
              <w:rPr>
                <w:rFonts w:hint="eastAsia"/>
                <w:szCs w:val="21"/>
              </w:rPr>
              <w:t>旁开门</w:t>
            </w:r>
          </w:p>
        </w:tc>
        <w:tc>
          <w:tcPr>
            <w:tcW w:w="660" w:type="pct"/>
            <w:tcBorders>
              <w:top w:val="single" w:color="auto" w:sz="6" w:space="0"/>
              <w:left w:val="single" w:color="auto" w:sz="6" w:space="0"/>
              <w:bottom w:val="single" w:color="auto" w:sz="6" w:space="0"/>
              <w:right w:val="single" w:color="auto" w:sz="6" w:space="0"/>
            </w:tcBorders>
            <w:vAlign w:val="center"/>
          </w:tcPr>
          <w:p w14:paraId="2924FA19">
            <w:pPr>
              <w:jc w:val="center"/>
              <w:textAlignment w:val="center"/>
              <w:rPr>
                <w:szCs w:val="21"/>
              </w:rPr>
            </w:pPr>
            <w:r>
              <w:rPr>
                <w:szCs w:val="21"/>
              </w:rPr>
              <w:t>1</w:t>
            </w:r>
            <w:r>
              <w:rPr>
                <w:rFonts w:hint="eastAsia"/>
                <w:szCs w:val="21"/>
              </w:rPr>
              <w:t>5</w:t>
            </w:r>
            <w:r>
              <w:rPr>
                <w:szCs w:val="21"/>
              </w:rPr>
              <w:t>00*2</w:t>
            </w:r>
            <w:r>
              <w:rPr>
                <w:rFonts w:hint="eastAsia"/>
                <w:szCs w:val="21"/>
              </w:rPr>
              <w:t>5</w:t>
            </w:r>
            <w:r>
              <w:rPr>
                <w:szCs w:val="21"/>
              </w:rPr>
              <w:t>00*2</w:t>
            </w:r>
            <w:r>
              <w:rPr>
                <w:rFonts w:hint="eastAsia"/>
                <w:szCs w:val="21"/>
              </w:rPr>
              <w:t>4</w:t>
            </w:r>
            <w:r>
              <w:rPr>
                <w:szCs w:val="21"/>
              </w:rPr>
              <w:t>00</w:t>
            </w:r>
          </w:p>
        </w:tc>
        <w:tc>
          <w:tcPr>
            <w:tcW w:w="559" w:type="pct"/>
            <w:tcBorders>
              <w:top w:val="single" w:color="auto" w:sz="6" w:space="0"/>
              <w:left w:val="single" w:color="auto" w:sz="6" w:space="0"/>
              <w:bottom w:val="single" w:color="auto" w:sz="6" w:space="0"/>
              <w:right w:val="single" w:color="auto" w:sz="6" w:space="0"/>
            </w:tcBorders>
            <w:vAlign w:val="center"/>
          </w:tcPr>
          <w:p w14:paraId="3D5809E7">
            <w:pPr>
              <w:spacing w:line="360" w:lineRule="auto"/>
              <w:jc w:val="center"/>
              <w:rPr>
                <w:szCs w:val="21"/>
              </w:rPr>
            </w:pPr>
            <w:r>
              <w:rPr>
                <w:rFonts w:hint="eastAsia"/>
                <w:szCs w:val="21"/>
              </w:rPr>
              <w:t>12</w:t>
            </w:r>
            <w:r>
              <w:rPr>
                <w:szCs w:val="21"/>
              </w:rPr>
              <w:t>00*2100</w:t>
            </w:r>
          </w:p>
        </w:tc>
        <w:tc>
          <w:tcPr>
            <w:tcW w:w="457" w:type="pct"/>
            <w:tcBorders>
              <w:top w:val="single" w:color="auto" w:sz="6" w:space="0"/>
              <w:left w:val="single" w:color="auto" w:sz="6" w:space="0"/>
              <w:bottom w:val="single" w:color="auto" w:sz="6" w:space="0"/>
              <w:right w:val="single" w:color="auto" w:sz="6" w:space="0"/>
            </w:tcBorders>
            <w:vAlign w:val="center"/>
          </w:tcPr>
          <w:p w14:paraId="33CA2B5B">
            <w:pPr>
              <w:spacing w:line="360" w:lineRule="auto"/>
              <w:jc w:val="center"/>
              <w:rPr>
                <w:szCs w:val="21"/>
              </w:rPr>
            </w:pPr>
            <w:r>
              <w:rPr>
                <w:rFonts w:hint="eastAsia"/>
                <w:szCs w:val="21"/>
              </w:rPr>
              <w:t>有</w:t>
            </w:r>
          </w:p>
        </w:tc>
        <w:tc>
          <w:tcPr>
            <w:tcW w:w="407" w:type="pct"/>
            <w:vMerge w:val="restart"/>
            <w:tcBorders>
              <w:top w:val="single" w:color="auto" w:sz="6" w:space="0"/>
              <w:left w:val="single" w:color="auto" w:sz="6" w:space="0"/>
              <w:right w:val="single" w:color="auto" w:sz="6" w:space="0"/>
            </w:tcBorders>
            <w:vAlign w:val="center"/>
          </w:tcPr>
          <w:p w14:paraId="0FE925DD">
            <w:pPr>
              <w:spacing w:line="360" w:lineRule="auto"/>
              <w:jc w:val="center"/>
              <w:rPr>
                <w:szCs w:val="21"/>
              </w:rPr>
            </w:pPr>
            <w:r>
              <w:rPr>
                <w:szCs w:val="21"/>
              </w:rPr>
              <w:t>并联</w:t>
            </w:r>
          </w:p>
        </w:tc>
        <w:tc>
          <w:tcPr>
            <w:tcW w:w="427" w:type="pct"/>
            <w:tcBorders>
              <w:top w:val="single" w:color="auto" w:sz="6" w:space="0"/>
              <w:left w:val="single" w:color="auto" w:sz="6" w:space="0"/>
              <w:bottom w:val="single" w:color="auto" w:sz="6" w:space="0"/>
              <w:right w:val="single" w:color="auto" w:sz="6" w:space="0"/>
            </w:tcBorders>
            <w:vAlign w:val="center"/>
          </w:tcPr>
          <w:p w14:paraId="361816DB">
            <w:pPr>
              <w:spacing w:line="360" w:lineRule="auto"/>
              <w:jc w:val="center"/>
              <w:rPr>
                <w:szCs w:val="21"/>
              </w:rPr>
            </w:pPr>
            <w:r>
              <w:rPr>
                <w:rFonts w:hint="eastAsia"/>
                <w:szCs w:val="21"/>
              </w:rPr>
              <w:t>是</w:t>
            </w:r>
          </w:p>
        </w:tc>
      </w:tr>
      <w:tr w14:paraId="48E34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93" w:hRule="atLeast"/>
          <w:jc w:val="center"/>
        </w:trPr>
        <w:tc>
          <w:tcPr>
            <w:tcW w:w="353" w:type="pct"/>
            <w:tcBorders>
              <w:top w:val="single" w:color="auto" w:sz="6" w:space="0"/>
              <w:left w:val="single" w:color="auto" w:sz="6" w:space="0"/>
              <w:bottom w:val="single" w:color="auto" w:sz="6" w:space="0"/>
              <w:right w:val="single" w:color="auto" w:sz="6" w:space="0"/>
            </w:tcBorders>
            <w:vAlign w:val="center"/>
          </w:tcPr>
          <w:p w14:paraId="3EB2BAF1">
            <w:pPr>
              <w:spacing w:line="360" w:lineRule="auto"/>
              <w:jc w:val="center"/>
              <w:rPr>
                <w:szCs w:val="21"/>
              </w:rPr>
            </w:pPr>
            <w:r>
              <w:rPr>
                <w:szCs w:val="21"/>
              </w:rPr>
              <w:t>2</w:t>
            </w:r>
          </w:p>
        </w:tc>
        <w:tc>
          <w:tcPr>
            <w:tcW w:w="457" w:type="pct"/>
            <w:tcBorders>
              <w:top w:val="single" w:color="auto" w:sz="6" w:space="0"/>
              <w:left w:val="single" w:color="auto" w:sz="6" w:space="0"/>
              <w:bottom w:val="single" w:color="auto" w:sz="6" w:space="0"/>
              <w:right w:val="single" w:color="auto" w:sz="6" w:space="0"/>
            </w:tcBorders>
            <w:vAlign w:val="center"/>
          </w:tcPr>
          <w:p w14:paraId="35D3279C">
            <w:pPr>
              <w:spacing w:line="360" w:lineRule="auto"/>
              <w:jc w:val="center"/>
              <w:rPr>
                <w:rFonts w:hint="eastAsia"/>
              </w:rPr>
            </w:pPr>
            <w:r>
              <w:rPr>
                <w:rFonts w:hint="eastAsia"/>
              </w:rPr>
              <w:t>4#无障碍</w:t>
            </w:r>
          </w:p>
          <w:p w14:paraId="136442FF">
            <w:pPr>
              <w:spacing w:line="360" w:lineRule="auto"/>
              <w:jc w:val="center"/>
              <w:rPr>
                <w:szCs w:val="21"/>
              </w:rPr>
            </w:pPr>
            <w:r>
              <w:rPr>
                <w:rFonts w:hint="eastAsia"/>
              </w:rPr>
              <w:t>病床梯</w:t>
            </w:r>
          </w:p>
        </w:tc>
        <w:tc>
          <w:tcPr>
            <w:tcW w:w="458" w:type="pct"/>
            <w:tcBorders>
              <w:top w:val="single" w:color="auto" w:sz="6" w:space="0"/>
              <w:left w:val="single" w:color="auto" w:sz="6" w:space="0"/>
              <w:bottom w:val="single" w:color="auto" w:sz="6" w:space="0"/>
              <w:right w:val="single" w:color="auto" w:sz="6" w:space="0"/>
            </w:tcBorders>
            <w:vAlign w:val="center"/>
          </w:tcPr>
          <w:p w14:paraId="24712C02">
            <w:pPr>
              <w:spacing w:line="360" w:lineRule="auto"/>
              <w:jc w:val="center"/>
              <w:rPr>
                <w:szCs w:val="21"/>
              </w:rPr>
            </w:pPr>
            <w:r>
              <w:rPr>
                <w:szCs w:val="21"/>
              </w:rPr>
              <w:t>1</w:t>
            </w:r>
            <w:r>
              <w:rPr>
                <w:rFonts w:hint="eastAsia"/>
                <w:szCs w:val="21"/>
              </w:rPr>
              <w:t>0</w:t>
            </w:r>
            <w:r>
              <w:rPr>
                <w:szCs w:val="21"/>
              </w:rPr>
              <w:t>/1</w:t>
            </w:r>
            <w:r>
              <w:rPr>
                <w:rFonts w:hint="eastAsia"/>
                <w:szCs w:val="21"/>
              </w:rPr>
              <w:t>0</w:t>
            </w:r>
          </w:p>
        </w:tc>
        <w:tc>
          <w:tcPr>
            <w:tcW w:w="356" w:type="pct"/>
            <w:tcBorders>
              <w:top w:val="single" w:color="auto" w:sz="6" w:space="0"/>
              <w:left w:val="single" w:color="auto" w:sz="6" w:space="0"/>
              <w:bottom w:val="single" w:color="auto" w:sz="6" w:space="0"/>
              <w:right w:val="single" w:color="auto" w:sz="6" w:space="0"/>
            </w:tcBorders>
            <w:vAlign w:val="center"/>
          </w:tcPr>
          <w:p w14:paraId="791E2C49">
            <w:pPr>
              <w:spacing w:line="360" w:lineRule="auto"/>
              <w:jc w:val="center"/>
              <w:rPr>
                <w:szCs w:val="21"/>
              </w:rPr>
            </w:pPr>
            <w:r>
              <w:rPr>
                <w:szCs w:val="21"/>
              </w:rPr>
              <w:t>1</w:t>
            </w:r>
            <w:r>
              <w:rPr>
                <w:rFonts w:hint="eastAsia"/>
                <w:szCs w:val="21"/>
              </w:rPr>
              <w:t>800</w:t>
            </w:r>
          </w:p>
        </w:tc>
        <w:tc>
          <w:tcPr>
            <w:tcW w:w="356" w:type="pct"/>
            <w:tcBorders>
              <w:top w:val="single" w:color="auto" w:sz="6" w:space="0"/>
              <w:left w:val="single" w:color="auto" w:sz="6" w:space="0"/>
              <w:bottom w:val="single" w:color="auto" w:sz="6" w:space="0"/>
              <w:right w:val="single" w:color="auto" w:sz="6" w:space="0"/>
            </w:tcBorders>
            <w:vAlign w:val="center"/>
          </w:tcPr>
          <w:p w14:paraId="6DCC03FF">
            <w:pPr>
              <w:spacing w:line="360" w:lineRule="auto"/>
              <w:jc w:val="center"/>
              <w:rPr>
                <w:szCs w:val="21"/>
              </w:rPr>
            </w:pPr>
            <w:r>
              <w:rPr>
                <w:szCs w:val="21"/>
              </w:rPr>
              <w:t>1.</w:t>
            </w:r>
            <w:r>
              <w:rPr>
                <w:rFonts w:hint="eastAsia"/>
                <w:szCs w:val="21"/>
              </w:rPr>
              <w:t>0</w:t>
            </w:r>
          </w:p>
        </w:tc>
        <w:tc>
          <w:tcPr>
            <w:tcW w:w="508" w:type="pct"/>
            <w:tcBorders>
              <w:top w:val="single" w:color="auto" w:sz="6" w:space="0"/>
              <w:left w:val="single" w:color="auto" w:sz="6" w:space="0"/>
              <w:bottom w:val="single" w:color="auto" w:sz="6" w:space="0"/>
              <w:right w:val="single" w:color="auto" w:sz="6" w:space="0"/>
            </w:tcBorders>
            <w:vAlign w:val="center"/>
          </w:tcPr>
          <w:p w14:paraId="09782605">
            <w:pPr>
              <w:spacing w:line="360" w:lineRule="auto"/>
              <w:jc w:val="center"/>
              <w:rPr>
                <w:szCs w:val="21"/>
              </w:rPr>
            </w:pPr>
            <w:r>
              <w:rPr>
                <w:rFonts w:hint="eastAsia"/>
                <w:szCs w:val="21"/>
              </w:rPr>
              <w:t>旁开门</w:t>
            </w:r>
          </w:p>
        </w:tc>
        <w:tc>
          <w:tcPr>
            <w:tcW w:w="660" w:type="pct"/>
            <w:tcBorders>
              <w:top w:val="single" w:color="auto" w:sz="6" w:space="0"/>
              <w:left w:val="single" w:color="auto" w:sz="6" w:space="0"/>
              <w:bottom w:val="single" w:color="auto" w:sz="6" w:space="0"/>
              <w:right w:val="single" w:color="auto" w:sz="6" w:space="0"/>
            </w:tcBorders>
            <w:vAlign w:val="center"/>
          </w:tcPr>
          <w:p w14:paraId="76E3BC96">
            <w:pPr>
              <w:jc w:val="center"/>
              <w:textAlignment w:val="center"/>
              <w:rPr>
                <w:szCs w:val="21"/>
              </w:rPr>
            </w:pPr>
            <w:r>
              <w:rPr>
                <w:szCs w:val="21"/>
              </w:rPr>
              <w:t>1500*2500*2400</w:t>
            </w:r>
          </w:p>
        </w:tc>
        <w:tc>
          <w:tcPr>
            <w:tcW w:w="559" w:type="pct"/>
            <w:tcBorders>
              <w:top w:val="single" w:color="auto" w:sz="6" w:space="0"/>
              <w:left w:val="single" w:color="auto" w:sz="6" w:space="0"/>
              <w:bottom w:val="single" w:color="auto" w:sz="6" w:space="0"/>
              <w:right w:val="single" w:color="auto" w:sz="6" w:space="0"/>
            </w:tcBorders>
            <w:vAlign w:val="center"/>
          </w:tcPr>
          <w:p w14:paraId="0107E5AC">
            <w:pPr>
              <w:spacing w:line="360" w:lineRule="auto"/>
              <w:jc w:val="center"/>
              <w:rPr>
                <w:szCs w:val="21"/>
              </w:rPr>
            </w:pPr>
            <w:r>
              <w:rPr>
                <w:rFonts w:hint="eastAsia"/>
                <w:szCs w:val="21"/>
              </w:rPr>
              <w:t>12</w:t>
            </w:r>
            <w:r>
              <w:rPr>
                <w:szCs w:val="21"/>
              </w:rPr>
              <w:t>00*2100</w:t>
            </w:r>
          </w:p>
        </w:tc>
        <w:tc>
          <w:tcPr>
            <w:tcW w:w="457" w:type="pct"/>
            <w:tcBorders>
              <w:top w:val="single" w:color="auto" w:sz="6" w:space="0"/>
              <w:left w:val="single" w:color="auto" w:sz="6" w:space="0"/>
              <w:bottom w:val="single" w:color="auto" w:sz="6" w:space="0"/>
              <w:right w:val="single" w:color="auto" w:sz="6" w:space="0"/>
            </w:tcBorders>
            <w:vAlign w:val="center"/>
          </w:tcPr>
          <w:p w14:paraId="734603DF">
            <w:pPr>
              <w:spacing w:line="360" w:lineRule="auto"/>
              <w:jc w:val="center"/>
              <w:rPr>
                <w:szCs w:val="21"/>
              </w:rPr>
            </w:pPr>
            <w:r>
              <w:rPr>
                <w:szCs w:val="21"/>
              </w:rPr>
              <w:t>有</w:t>
            </w:r>
          </w:p>
        </w:tc>
        <w:tc>
          <w:tcPr>
            <w:tcW w:w="407" w:type="pct"/>
            <w:vMerge w:val="continue"/>
            <w:tcBorders>
              <w:left w:val="single" w:color="auto" w:sz="6" w:space="0"/>
              <w:bottom w:val="single" w:color="auto" w:sz="6" w:space="0"/>
              <w:right w:val="single" w:color="auto" w:sz="6" w:space="0"/>
            </w:tcBorders>
            <w:vAlign w:val="center"/>
          </w:tcPr>
          <w:p w14:paraId="37C8C447">
            <w:pPr>
              <w:jc w:val="center"/>
              <w:rPr>
                <w:szCs w:val="21"/>
              </w:rPr>
            </w:pPr>
          </w:p>
        </w:tc>
        <w:tc>
          <w:tcPr>
            <w:tcW w:w="427" w:type="pct"/>
            <w:tcBorders>
              <w:top w:val="single" w:color="auto" w:sz="6" w:space="0"/>
              <w:left w:val="single" w:color="auto" w:sz="6" w:space="0"/>
              <w:bottom w:val="single" w:color="auto" w:sz="6" w:space="0"/>
              <w:right w:val="single" w:color="auto" w:sz="6" w:space="0"/>
            </w:tcBorders>
            <w:vAlign w:val="center"/>
          </w:tcPr>
          <w:p w14:paraId="1BBF3230">
            <w:pPr>
              <w:jc w:val="center"/>
              <w:rPr>
                <w:szCs w:val="21"/>
              </w:rPr>
            </w:pPr>
            <w:r>
              <w:rPr>
                <w:rFonts w:hint="eastAsia"/>
                <w:szCs w:val="21"/>
              </w:rPr>
              <w:t>是</w:t>
            </w:r>
          </w:p>
        </w:tc>
      </w:tr>
    </w:tbl>
    <w:p w14:paraId="543C46EA">
      <w:pPr>
        <w:spacing w:line="360" w:lineRule="auto"/>
        <w:rPr>
          <w:rFonts w:ascii="宋体" w:hAnsi="宋体" w:cs="宋体"/>
        </w:rPr>
      </w:pPr>
      <w:r>
        <w:rPr>
          <w:rFonts w:hint="eastAsia" w:ascii="宋体" w:hAnsi="宋体" w:cs="宋体"/>
        </w:rPr>
        <w:t>注：具体土建尺寸以现场实际测量为准</w:t>
      </w:r>
    </w:p>
    <w:p w14:paraId="650923E1">
      <w:pPr>
        <w:spacing w:line="360" w:lineRule="auto"/>
        <w:ind w:firstLine="420" w:firstLineChars="200"/>
        <w:rPr>
          <w:rFonts w:ascii="宋体" w:hAnsi="宋体" w:cs="宋体"/>
          <w:b/>
          <w:bCs/>
        </w:rPr>
      </w:pPr>
      <w:bookmarkStart w:id="6" w:name="_Toc520444670"/>
    </w:p>
    <w:p w14:paraId="19C7A8B7">
      <w:pPr>
        <w:spacing w:line="360" w:lineRule="auto"/>
        <w:rPr>
          <w:rFonts w:ascii="宋体" w:hAnsi="宋体" w:cs="宋体"/>
          <w:b/>
          <w:bCs/>
        </w:rPr>
      </w:pPr>
    </w:p>
    <w:p w14:paraId="726347CA">
      <w:pPr>
        <w:spacing w:line="360" w:lineRule="auto"/>
        <w:ind w:firstLine="420" w:firstLineChars="200"/>
        <w:rPr>
          <w:rFonts w:ascii="宋体" w:hAnsi="宋体" w:cs="宋体"/>
          <w:b/>
          <w:bCs/>
        </w:rPr>
        <w:sectPr>
          <w:pgSz w:w="16838" w:h="11906" w:orient="landscape"/>
          <w:pgMar w:top="1440" w:right="1440" w:bottom="1440" w:left="1440" w:header="851" w:footer="992" w:gutter="0"/>
          <w:cols w:space="425" w:num="1"/>
          <w:docGrid w:type="linesAndChars" w:linePitch="312" w:charSpace="0"/>
        </w:sectPr>
      </w:pPr>
    </w:p>
    <w:p w14:paraId="46FF360A">
      <w:pPr>
        <w:spacing w:line="360" w:lineRule="auto"/>
        <w:ind w:firstLine="422" w:firstLineChars="200"/>
        <w:rPr>
          <w:rFonts w:ascii="宋体" w:hAnsi="宋体" w:cs="宋体"/>
        </w:rPr>
      </w:pPr>
      <w:r>
        <w:rPr>
          <w:rFonts w:hint="eastAsia" w:ascii="宋体" w:hAnsi="宋体" w:cs="宋体"/>
          <w:b/>
          <w:bCs/>
        </w:rPr>
        <w:t>1.3目标、工期计划</w:t>
      </w:r>
      <w:bookmarkEnd w:id="6"/>
      <w:r>
        <w:rPr>
          <w:rFonts w:hint="eastAsia" w:ascii="宋体" w:hAnsi="宋体" w:cs="宋体"/>
          <w:b/>
          <w:bCs/>
        </w:rPr>
        <w:t>、售后服务</w:t>
      </w:r>
    </w:p>
    <w:p w14:paraId="0F61CB80">
      <w:pPr>
        <w:spacing w:line="360" w:lineRule="auto"/>
        <w:ind w:firstLine="420" w:firstLineChars="200"/>
        <w:rPr>
          <w:rFonts w:ascii="宋体" w:hAnsi="宋体" w:cs="宋体"/>
        </w:rPr>
      </w:pPr>
      <w:r>
        <w:rPr>
          <w:rFonts w:hint="eastAsia" w:ascii="宋体" w:hAnsi="宋体" w:cs="宋体"/>
        </w:rPr>
        <w:t>项目完工后，该设备所有功能均应全部调试验收完成，取得政府相关部门的验收合格证明，并达到全系统投入运营条件，具体工期要求在工程实施过程中可能进行相应的调整，投标人必须接到招标人下达的生产指令后，按生产指令的要求进行相应系统设备的生产、供货。</w:t>
      </w:r>
    </w:p>
    <w:p w14:paraId="3A07A1FE">
      <w:pPr>
        <w:spacing w:line="360" w:lineRule="auto"/>
        <w:ind w:firstLine="422" w:firstLineChars="200"/>
        <w:rPr>
          <w:rFonts w:ascii="宋体" w:hAnsi="宋体" w:cs="宋体"/>
        </w:rPr>
      </w:pPr>
      <w:r>
        <w:rPr>
          <w:rFonts w:hint="eastAsia" w:ascii="宋体" w:hAnsi="宋体" w:cs="宋体"/>
          <w:b/>
          <w:bCs/>
        </w:rPr>
        <w:t>具体阶段名称及时间安排</w:t>
      </w:r>
    </w:p>
    <w:p w14:paraId="34992F5B">
      <w:pPr>
        <w:spacing w:line="360" w:lineRule="auto"/>
        <w:ind w:firstLine="420" w:firstLineChars="200"/>
        <w:rPr>
          <w:rFonts w:ascii="宋体" w:hAnsi="宋体" w:cs="宋体"/>
        </w:rPr>
      </w:pPr>
      <w:r>
        <w:rPr>
          <w:rFonts w:hint="eastAsia" w:ascii="宋体" w:hAnsi="宋体" w:cs="宋体"/>
        </w:rPr>
        <w:t>投标人应充分考虑各种因素，在投标文件中，根据招标人总体工期要求，制定本项目设备拆除计划、机房井道门厅改造计划、设计联络、设备制造／采购、供货、施工安装、调试、机房门厅等修复计划、验收等全过程工期计划。</w:t>
      </w:r>
    </w:p>
    <w:p w14:paraId="7FC8B613">
      <w:pPr>
        <w:spacing w:line="360" w:lineRule="auto"/>
        <w:ind w:firstLine="420" w:firstLineChars="200"/>
        <w:rPr>
          <w:rFonts w:ascii="宋体" w:hAnsi="宋体" w:cs="宋体"/>
        </w:rPr>
      </w:pPr>
      <w:r>
        <w:rPr>
          <w:rFonts w:hint="eastAsia" w:ascii="宋体" w:hAnsi="宋体" w:cs="宋体"/>
        </w:rPr>
        <w:t>投标人对本系统的工程进度安排必须服从关键工期时间。在工程实施阶段，招标人有权根据工程的实际情况在合理的范围内适当调整工程计划，投标人对此应具备迅速响应的能力，并不得因此增加相关费用。</w:t>
      </w:r>
    </w:p>
    <w:p w14:paraId="621793EC">
      <w:pPr>
        <w:spacing w:line="360" w:lineRule="auto"/>
        <w:ind w:firstLine="422" w:firstLineChars="200"/>
        <w:rPr>
          <w:rFonts w:ascii="宋体" w:hAnsi="宋体" w:cs="宋体"/>
        </w:rPr>
      </w:pPr>
      <w:r>
        <w:rPr>
          <w:rFonts w:hint="eastAsia" w:ascii="宋体" w:hAnsi="宋体" w:cs="宋体"/>
          <w:b/>
          <w:bCs/>
        </w:rPr>
        <w:t>投标人售后服务：</w:t>
      </w:r>
      <w:bookmarkStart w:id="7" w:name="_Hlk73455467"/>
      <w:r>
        <w:rPr>
          <w:rFonts w:hint="eastAsia" w:ascii="宋体" w:hAnsi="宋体" w:cs="宋体"/>
        </w:rPr>
        <w:t>免费维保一年。免费维保期内，厂家安排二名持证维保员对现场的电梯进行正常保养，接到报修30分钟内到场，24小时内有效解决电梯故障并免费维修。</w:t>
      </w:r>
    </w:p>
    <w:bookmarkEnd w:id="7"/>
    <w:p w14:paraId="7602157A">
      <w:pPr>
        <w:spacing w:line="360" w:lineRule="auto"/>
        <w:ind w:firstLine="422" w:firstLineChars="200"/>
        <w:rPr>
          <w:rFonts w:ascii="宋体" w:hAnsi="宋体" w:cs="宋体"/>
          <w:b/>
          <w:bCs/>
        </w:rPr>
      </w:pPr>
      <w:bookmarkStart w:id="8" w:name="_Toc520444671"/>
      <w:r>
        <w:rPr>
          <w:rFonts w:hint="eastAsia" w:ascii="宋体" w:hAnsi="宋体" w:cs="宋体"/>
          <w:b/>
          <w:bCs/>
        </w:rPr>
        <w:t>1.4总则</w:t>
      </w:r>
      <w:bookmarkEnd w:id="8"/>
    </w:p>
    <w:p w14:paraId="2942CCCA">
      <w:pPr>
        <w:spacing w:line="360" w:lineRule="auto"/>
        <w:ind w:firstLine="420" w:firstLineChars="200"/>
        <w:rPr>
          <w:rFonts w:ascii="宋体" w:hAnsi="宋体" w:cs="宋体"/>
        </w:rPr>
      </w:pPr>
      <w:r>
        <w:rPr>
          <w:rFonts w:hint="eastAsia" w:ascii="宋体" w:hAnsi="宋体" w:cs="宋体"/>
        </w:rPr>
        <w:t>1.4.1本招标范围为天津市滨海新区大港医院电梯改造2台电梯项目，详见表1-1。</w:t>
      </w:r>
    </w:p>
    <w:p w14:paraId="5B8ACEF9">
      <w:pPr>
        <w:spacing w:line="360" w:lineRule="auto"/>
        <w:ind w:firstLine="420" w:firstLineChars="200"/>
        <w:rPr>
          <w:rFonts w:ascii="宋体" w:hAnsi="宋体" w:cs="宋体"/>
        </w:rPr>
      </w:pPr>
      <w:r>
        <w:rPr>
          <w:rFonts w:hint="eastAsia" w:ascii="宋体" w:hAnsi="宋体" w:cs="宋体"/>
        </w:rPr>
        <w:t>1.4.2本次招标采用系统总承包方式。包括旧电梯、控制柜、导轨曳引机及相关部件的拆除搬离，机房井道照明的设计及施工，机房井道门厅设计、改造与施工，设备供货及安装，设备的装卸、运输，仓储保管，二次倒运，吊装，安装，调试（包括配合设备联调），厂家验收、竣工政府验收、向管理部门报检、领取使用许可证，交付使用及1年质保期内的免费维保服务等,并包括培训等各类技术服务以及随机的备品备件、专用工具等。投标人只有在招标人最终验收合格后，整个工程才能算完成工作。</w:t>
      </w:r>
    </w:p>
    <w:p w14:paraId="081565BE">
      <w:pPr>
        <w:spacing w:line="360" w:lineRule="auto"/>
        <w:ind w:firstLine="420" w:firstLineChars="200"/>
        <w:rPr>
          <w:rFonts w:ascii="宋体" w:hAnsi="宋体" w:cs="宋体"/>
        </w:rPr>
      </w:pPr>
      <w:r>
        <w:rPr>
          <w:rFonts w:hint="eastAsia" w:ascii="宋体" w:hAnsi="宋体" w:cs="宋体"/>
        </w:rPr>
        <w:t>1.4.3本次招标还包括电梯与动力照明、通信、土建（含装修）等其它相关系统的接口。投标人应按照接口要求与其它系统的承包商密切配合，解决各系统相互间的接口，确保本系统能顺利实施并协调工作。</w:t>
      </w:r>
    </w:p>
    <w:p w14:paraId="6F97F4B2">
      <w:pPr>
        <w:spacing w:line="360" w:lineRule="auto"/>
        <w:ind w:firstLine="422" w:firstLineChars="200"/>
        <w:rPr>
          <w:rFonts w:ascii="宋体" w:hAnsi="宋体" w:cs="宋体"/>
        </w:rPr>
      </w:pPr>
      <w:r>
        <w:rPr>
          <w:rFonts w:hint="eastAsia" w:ascii="宋体" w:hAnsi="宋体" w:cs="宋体"/>
          <w:b/>
          <w:bCs/>
        </w:rPr>
        <w:t xml:space="preserve">1.4.4 </w:t>
      </w:r>
      <w:r>
        <w:rPr>
          <w:rFonts w:hint="eastAsia" w:ascii="宋体" w:hAnsi="宋体" w:cs="宋体"/>
        </w:rPr>
        <w:t>投标人必须对所提供的电梯的一切专利和执照及所办理的手续承担责任，并负责保护招标人的权益不受任何损害。一切由于文字、商标、和技术专利侵权引起的法律裁决、诉讼和费用均与招标人无关。</w:t>
      </w:r>
    </w:p>
    <w:p w14:paraId="5E7F5A2F">
      <w:pPr>
        <w:spacing w:line="360" w:lineRule="auto"/>
        <w:ind w:firstLine="420" w:firstLineChars="200"/>
        <w:rPr>
          <w:rFonts w:ascii="宋体" w:hAnsi="宋体" w:cs="宋体"/>
        </w:rPr>
      </w:pPr>
      <w:r>
        <w:rPr>
          <w:rFonts w:hint="eastAsia" w:ascii="宋体" w:hAnsi="宋体" w:cs="宋体"/>
        </w:rPr>
        <w:t>1.4.5本项目需求书仅提出电梯的基本要求，不应理解成全部要求。投标人应对本用户需求书进行完善和细化，并负责向招标人移交完整的、安全的、可靠的电梯。招标附图和设备、材料清单仅作为招标使用。</w:t>
      </w:r>
    </w:p>
    <w:p w14:paraId="1F38BCFF">
      <w:pPr>
        <w:spacing w:line="360" w:lineRule="auto"/>
        <w:ind w:firstLine="420" w:firstLineChars="200"/>
        <w:rPr>
          <w:rFonts w:ascii="宋体" w:hAnsi="宋体" w:cs="宋体"/>
        </w:rPr>
      </w:pPr>
      <w:r>
        <w:rPr>
          <w:rFonts w:hint="eastAsia" w:ascii="宋体" w:hAnsi="宋体" w:cs="宋体"/>
        </w:rPr>
        <w:t>1.4.6投标人中标后，未经招标人许可，不得更换主要部件规格、型号、品牌、厂家等。从合同签订开始直至工程竣工验收，对于不满足本工程要求的设备和材料，招标人有权要求投标人更换，投标人不得依此提出延长工期等任何要求。</w:t>
      </w:r>
    </w:p>
    <w:p w14:paraId="0A171069">
      <w:pPr>
        <w:spacing w:line="360" w:lineRule="auto"/>
        <w:ind w:firstLine="420" w:firstLineChars="200"/>
        <w:rPr>
          <w:rFonts w:ascii="宋体" w:hAnsi="宋体" w:cs="宋体"/>
        </w:rPr>
      </w:pPr>
      <w:r>
        <w:rPr>
          <w:rFonts w:hint="eastAsia" w:ascii="宋体" w:hAnsi="宋体" w:cs="宋体"/>
        </w:rPr>
        <w:t>1.4.7提供同型号产品近5年工程业绩，包括供货数量、规格、工程实例的相关图片及说明等资料作为投标文件的附件。</w:t>
      </w:r>
    </w:p>
    <w:p w14:paraId="1347A151">
      <w:pPr>
        <w:spacing w:line="360" w:lineRule="auto"/>
        <w:ind w:firstLine="420" w:firstLineChars="200"/>
        <w:rPr>
          <w:rFonts w:ascii="宋体" w:hAnsi="宋体" w:cs="宋体"/>
        </w:rPr>
      </w:pPr>
      <w:r>
        <w:rPr>
          <w:rFonts w:hint="eastAsia" w:ascii="宋体" w:hAnsi="宋体" w:cs="宋体"/>
        </w:rPr>
        <w:t>1.4.8投标人应承诺在质保期后，能长期向招标人以优惠价格提供电梯配件，并提供承诺书。</w:t>
      </w:r>
    </w:p>
    <w:p w14:paraId="51FC424F">
      <w:pPr>
        <w:spacing w:line="360" w:lineRule="auto"/>
        <w:ind w:firstLine="420" w:firstLineChars="200"/>
        <w:rPr>
          <w:rFonts w:ascii="宋体" w:hAnsi="宋体" w:cs="宋体"/>
        </w:rPr>
      </w:pPr>
      <w:r>
        <w:rPr>
          <w:rFonts w:hint="eastAsia" w:ascii="宋体" w:hAnsi="宋体" w:cs="宋体"/>
        </w:rPr>
        <w:t>1.4.9如投标人没有以书面形式对本项目需求书要求提出异议，则意味着投标人所提供的设备完全符合本用户需求书的要求；如有异议，投标人应在投标书中以“对工程要求的意见和与工程要求的差异”为题的专门章节中加以详细描述。</w:t>
      </w:r>
    </w:p>
    <w:p w14:paraId="29E4B36F">
      <w:pPr>
        <w:spacing w:line="360" w:lineRule="auto"/>
        <w:ind w:firstLine="420" w:firstLineChars="200"/>
        <w:rPr>
          <w:rFonts w:ascii="宋体" w:hAnsi="宋体" w:cs="宋体"/>
        </w:rPr>
      </w:pPr>
      <w:r>
        <w:rPr>
          <w:rFonts w:hint="eastAsia" w:ascii="宋体" w:hAnsi="宋体" w:cs="宋体"/>
        </w:rPr>
        <w:t>1.4.10投标人提供与本次投标产品同型号产品的速度、载重详见1-1具有国家权威机构出具的型式试验合格证书，并处在有效期内。</w:t>
      </w:r>
    </w:p>
    <w:p w14:paraId="257317BE">
      <w:pPr>
        <w:spacing w:line="360" w:lineRule="auto"/>
        <w:ind w:firstLine="420" w:firstLineChars="200"/>
        <w:rPr>
          <w:rFonts w:ascii="宋体" w:hAnsi="宋体" w:cs="宋体"/>
        </w:rPr>
      </w:pPr>
      <w:r>
        <w:rPr>
          <w:rFonts w:hint="eastAsia" w:ascii="宋体" w:hAnsi="宋体" w:cs="宋体"/>
        </w:rPr>
        <w:t>1.4.11在投标文件中提供与本次同型号产品的整机及主要部件型式试验合格报告，主要部件包括但不限于：曳引机、控制柜、轿厢意外移动保护装置、限速器、安全钳、门机等。</w:t>
      </w:r>
    </w:p>
    <w:p w14:paraId="3FB0852B">
      <w:pPr>
        <w:spacing w:line="360" w:lineRule="auto"/>
        <w:ind w:firstLine="420" w:firstLineChars="200"/>
        <w:rPr>
          <w:rFonts w:ascii="宋体" w:hAnsi="宋体" w:cs="宋体"/>
        </w:rPr>
      </w:pPr>
      <w:r>
        <w:rPr>
          <w:rFonts w:hint="eastAsia" w:ascii="宋体" w:hAnsi="宋体" w:cs="宋体"/>
        </w:rPr>
        <w:t>1.4.12投标人提供的设备及对安装中所使用的附件（或配件）、材料、布线方法、安装工艺、调试开通及验收等要求，均应符合国家的有关规范及标准。</w:t>
      </w:r>
    </w:p>
    <w:p w14:paraId="3441ABB9">
      <w:pPr>
        <w:spacing w:line="360" w:lineRule="auto"/>
        <w:ind w:firstLine="420" w:firstLineChars="200"/>
        <w:rPr>
          <w:rFonts w:ascii="宋体" w:hAnsi="宋体" w:cs="宋体"/>
        </w:rPr>
      </w:pPr>
      <w:r>
        <w:rPr>
          <w:rFonts w:hint="eastAsia" w:ascii="宋体" w:hAnsi="宋体" w:cs="宋体"/>
        </w:rPr>
        <w:t>1.4.13投标产品应能全面适应现有楼宇的土建要求，投标人应充分考虑土建施工时吊钩遗漏或预埋吊钩不可用或预留孔洞存在一定偏差情况下设备供货及安装。在这种情况下，投标人应提出可行的安装方案报招标人，通过审核后方可实施，不得因此而提出额外要求，相关费用含在投标报价内。</w:t>
      </w:r>
    </w:p>
    <w:p w14:paraId="52588862">
      <w:pPr>
        <w:spacing w:line="360" w:lineRule="auto"/>
        <w:ind w:firstLine="422" w:firstLineChars="200"/>
        <w:rPr>
          <w:rFonts w:ascii="宋体" w:hAnsi="宋体" w:cs="宋体"/>
          <w:b/>
          <w:bCs/>
        </w:rPr>
      </w:pPr>
      <w:bookmarkStart w:id="9" w:name="_Toc520444673"/>
      <w:r>
        <w:rPr>
          <w:rFonts w:hint="eastAsia" w:ascii="宋体" w:hAnsi="宋体" w:cs="宋体"/>
          <w:b/>
          <w:bCs/>
        </w:rPr>
        <w:t>2、电梯技术要求</w:t>
      </w:r>
      <w:bookmarkEnd w:id="9"/>
    </w:p>
    <w:p w14:paraId="30E35D62">
      <w:pPr>
        <w:spacing w:line="360" w:lineRule="auto"/>
        <w:ind w:firstLine="420" w:firstLineChars="200"/>
        <w:rPr>
          <w:rFonts w:ascii="宋体" w:hAnsi="宋体" w:cs="宋体"/>
        </w:rPr>
      </w:pPr>
      <w:bookmarkStart w:id="10" w:name="_Toc520444674"/>
      <w:r>
        <w:rPr>
          <w:rFonts w:hint="eastAsia" w:ascii="宋体" w:hAnsi="宋体" w:cs="宋体"/>
        </w:rPr>
        <w:t>2.1采用标准与规范及相关规定</w:t>
      </w:r>
      <w:bookmarkEnd w:id="10"/>
    </w:p>
    <w:p w14:paraId="408ADC3E">
      <w:pPr>
        <w:spacing w:line="360" w:lineRule="auto"/>
        <w:ind w:firstLine="420" w:firstLineChars="200"/>
        <w:rPr>
          <w:rFonts w:ascii="宋体" w:hAnsi="宋体" w:cs="宋体"/>
        </w:rPr>
      </w:pPr>
      <w:r>
        <w:rPr>
          <w:rFonts w:hint="eastAsia" w:ascii="宋体" w:hAnsi="宋体" w:cs="宋体"/>
        </w:rPr>
        <w:t>本工程采用电梯的设计、制造、安装、安全装置应满足以下规范和标准：</w:t>
      </w:r>
    </w:p>
    <w:p w14:paraId="1EE83E1A">
      <w:pPr>
        <w:spacing w:line="360" w:lineRule="auto"/>
        <w:ind w:firstLine="420" w:firstLineChars="200"/>
        <w:rPr>
          <w:rFonts w:ascii="宋体" w:hAnsi="宋体" w:cs="宋体"/>
        </w:rPr>
      </w:pPr>
      <w:r>
        <w:rPr>
          <w:rFonts w:hint="eastAsia" w:ascii="宋体" w:hAnsi="宋体" w:cs="宋体"/>
        </w:rPr>
        <w:t>《电梯主要参数及轿厢、井道、机房的型式与尺寸》（GB7025-</w:t>
      </w:r>
      <w:r>
        <w:rPr>
          <w:rFonts w:ascii="宋体" w:hAnsi="宋体" w:cs="宋体"/>
        </w:rPr>
        <w:t>2008</w:t>
      </w:r>
      <w:r>
        <w:rPr>
          <w:rFonts w:hint="eastAsia" w:ascii="宋体" w:hAnsi="宋体" w:cs="宋体"/>
        </w:rPr>
        <w:t>）</w:t>
      </w:r>
    </w:p>
    <w:p w14:paraId="4FBD1A9A">
      <w:pPr>
        <w:spacing w:line="360" w:lineRule="auto"/>
        <w:ind w:firstLine="420" w:firstLineChars="200"/>
        <w:rPr>
          <w:rFonts w:ascii="宋体" w:hAnsi="宋体" w:cs="宋体"/>
        </w:rPr>
      </w:pPr>
      <w:r>
        <w:rPr>
          <w:rFonts w:hint="eastAsia" w:ascii="宋体" w:hAnsi="宋体" w:cs="宋体"/>
        </w:rPr>
        <w:t>《电梯技术条件》 （</w:t>
      </w:r>
      <w:bookmarkStart w:id="11" w:name="OLE_LINK3"/>
      <w:r>
        <w:rPr>
          <w:rFonts w:hint="eastAsia" w:ascii="宋体" w:hAnsi="宋体" w:cs="宋体"/>
        </w:rPr>
        <w:t>GB10058</w:t>
      </w:r>
      <w:bookmarkEnd w:id="11"/>
      <w:r>
        <w:rPr>
          <w:rFonts w:hint="eastAsia" w:ascii="宋体" w:hAnsi="宋体" w:cs="宋体"/>
        </w:rPr>
        <w:t>-2023）</w:t>
      </w:r>
    </w:p>
    <w:p w14:paraId="2B76254E">
      <w:pPr>
        <w:spacing w:line="360" w:lineRule="auto"/>
        <w:ind w:firstLine="420" w:firstLineChars="200"/>
        <w:rPr>
          <w:rFonts w:ascii="宋体" w:hAnsi="宋体" w:cs="宋体"/>
        </w:rPr>
      </w:pPr>
      <w:r>
        <w:rPr>
          <w:rFonts w:hint="eastAsia" w:ascii="宋体" w:hAnsi="宋体" w:cs="宋体"/>
        </w:rPr>
        <w:t>《适用于残障人员的电梯附加要求（</w:t>
      </w:r>
      <w:bookmarkStart w:id="12" w:name="OLE_LINK4"/>
      <w:r>
        <w:rPr>
          <w:rFonts w:hint="eastAsia" w:ascii="宋体" w:hAnsi="宋体" w:cs="宋体"/>
        </w:rPr>
        <w:t>GB/T24477</w:t>
      </w:r>
      <w:bookmarkEnd w:id="12"/>
      <w:r>
        <w:rPr>
          <w:rFonts w:hint="eastAsia" w:ascii="宋体" w:hAnsi="宋体" w:cs="宋体"/>
        </w:rPr>
        <w:t>-2009）</w:t>
      </w:r>
    </w:p>
    <w:p w14:paraId="57D47465">
      <w:pPr>
        <w:spacing w:line="360" w:lineRule="auto"/>
        <w:ind w:firstLine="420" w:firstLineChars="200"/>
        <w:rPr>
          <w:rFonts w:ascii="宋体" w:hAnsi="宋体" w:cs="宋体"/>
        </w:rPr>
      </w:pPr>
      <w:r>
        <w:rPr>
          <w:rFonts w:hint="eastAsia" w:ascii="宋体" w:hAnsi="宋体" w:cs="宋体"/>
        </w:rPr>
        <w:t>《无障碍设计规范》（</w:t>
      </w:r>
      <w:bookmarkStart w:id="13" w:name="OLE_LINK5"/>
      <w:r>
        <w:rPr>
          <w:rFonts w:hint="eastAsia" w:ascii="宋体" w:hAnsi="宋体" w:cs="宋体"/>
        </w:rPr>
        <w:t>GB50763</w:t>
      </w:r>
      <w:bookmarkEnd w:id="13"/>
      <w:r>
        <w:rPr>
          <w:rFonts w:hint="eastAsia" w:ascii="宋体" w:hAnsi="宋体" w:cs="宋体"/>
        </w:rPr>
        <w:t>-2012）</w:t>
      </w:r>
    </w:p>
    <w:p w14:paraId="366D80EF">
      <w:pPr>
        <w:spacing w:line="360" w:lineRule="auto"/>
        <w:ind w:firstLine="420" w:firstLineChars="200"/>
        <w:rPr>
          <w:rFonts w:ascii="宋体" w:hAnsi="宋体" w:cs="宋体"/>
        </w:rPr>
      </w:pPr>
      <w:r>
        <w:rPr>
          <w:rFonts w:hint="eastAsia" w:ascii="宋体" w:hAnsi="宋体" w:cs="宋体"/>
        </w:rPr>
        <w:t>《火灾情况下的电梯特性》（</w:t>
      </w:r>
      <w:bookmarkStart w:id="14" w:name="OLE_LINK6"/>
      <w:r>
        <w:rPr>
          <w:rFonts w:hint="eastAsia" w:ascii="宋体" w:hAnsi="宋体" w:cs="宋体"/>
        </w:rPr>
        <w:t>GB/T24479</w:t>
      </w:r>
      <w:bookmarkEnd w:id="14"/>
      <w:r>
        <w:rPr>
          <w:rFonts w:hint="eastAsia" w:ascii="宋体" w:hAnsi="宋体" w:cs="宋体"/>
        </w:rPr>
        <w:t>-2023）</w:t>
      </w:r>
    </w:p>
    <w:p w14:paraId="6BE62231">
      <w:pPr>
        <w:spacing w:line="360" w:lineRule="auto"/>
        <w:ind w:firstLine="420" w:firstLineChars="200"/>
        <w:rPr>
          <w:rFonts w:ascii="宋体" w:hAnsi="宋体" w:cs="宋体"/>
        </w:rPr>
      </w:pPr>
      <w:r>
        <w:rPr>
          <w:rFonts w:hint="eastAsia" w:ascii="宋体" w:hAnsi="宋体" w:cs="宋体"/>
        </w:rPr>
        <w:t>《电梯试验方法》（</w:t>
      </w:r>
      <w:bookmarkStart w:id="15" w:name="OLE_LINK7"/>
      <w:r>
        <w:rPr>
          <w:rFonts w:hint="eastAsia" w:ascii="宋体" w:hAnsi="宋体" w:cs="宋体"/>
        </w:rPr>
        <w:t>GB</w:t>
      </w:r>
      <w:r>
        <w:rPr>
          <w:rFonts w:ascii="宋体" w:hAnsi="宋体" w:cs="宋体"/>
        </w:rPr>
        <w:t xml:space="preserve">/T </w:t>
      </w:r>
      <w:r>
        <w:rPr>
          <w:rFonts w:hint="eastAsia" w:ascii="宋体" w:hAnsi="宋体" w:cs="宋体"/>
        </w:rPr>
        <w:t>10059</w:t>
      </w:r>
      <w:bookmarkEnd w:id="15"/>
      <w:r>
        <w:rPr>
          <w:rFonts w:hint="eastAsia" w:ascii="宋体" w:hAnsi="宋体" w:cs="宋体"/>
        </w:rPr>
        <w:t>-2009）</w:t>
      </w:r>
    </w:p>
    <w:p w14:paraId="5432B324">
      <w:pPr>
        <w:spacing w:line="360" w:lineRule="auto"/>
        <w:ind w:firstLine="420" w:firstLineChars="200"/>
        <w:rPr>
          <w:rFonts w:ascii="宋体" w:hAnsi="宋体" w:cs="宋体"/>
        </w:rPr>
      </w:pPr>
      <w:r>
        <w:rPr>
          <w:rFonts w:hint="eastAsia" w:ascii="宋体" w:hAnsi="宋体" w:cs="宋体"/>
        </w:rPr>
        <w:t>《电梯安装验收规范》（</w:t>
      </w:r>
      <w:bookmarkStart w:id="16" w:name="OLE_LINK8"/>
      <w:r>
        <w:rPr>
          <w:rFonts w:hint="eastAsia" w:ascii="宋体" w:hAnsi="宋体" w:cs="宋体"/>
        </w:rPr>
        <w:t>GB</w:t>
      </w:r>
      <w:r>
        <w:rPr>
          <w:rFonts w:ascii="宋体" w:hAnsi="宋体" w:cs="宋体"/>
        </w:rPr>
        <w:t xml:space="preserve">/T </w:t>
      </w:r>
      <w:r>
        <w:rPr>
          <w:rFonts w:hint="eastAsia" w:ascii="宋体" w:hAnsi="宋体" w:cs="宋体"/>
        </w:rPr>
        <w:t>10060</w:t>
      </w:r>
      <w:bookmarkEnd w:id="16"/>
      <w:r>
        <w:rPr>
          <w:rFonts w:hint="eastAsia" w:ascii="宋体" w:hAnsi="宋体" w:cs="宋体"/>
        </w:rPr>
        <w:t>-2023）</w:t>
      </w:r>
    </w:p>
    <w:p w14:paraId="0ECD761C">
      <w:pPr>
        <w:spacing w:line="360" w:lineRule="auto"/>
        <w:ind w:firstLine="420" w:firstLineChars="200"/>
        <w:rPr>
          <w:rFonts w:ascii="宋体" w:hAnsi="宋体" w:cs="宋体"/>
        </w:rPr>
      </w:pPr>
      <w:r>
        <w:rPr>
          <w:rFonts w:hint="eastAsia" w:ascii="宋体" w:hAnsi="宋体" w:cs="宋体"/>
        </w:rPr>
        <w:t>《电梯曳引机》 （</w:t>
      </w:r>
      <w:bookmarkStart w:id="17" w:name="OLE_LINK9"/>
      <w:r>
        <w:rPr>
          <w:rFonts w:hint="eastAsia" w:ascii="宋体" w:hAnsi="宋体" w:cs="宋体"/>
        </w:rPr>
        <w:t>GB/T24478</w:t>
      </w:r>
      <w:bookmarkEnd w:id="17"/>
      <w:r>
        <w:rPr>
          <w:rFonts w:hint="eastAsia" w:ascii="宋体" w:hAnsi="宋体" w:cs="宋体"/>
        </w:rPr>
        <w:t>-2023）</w:t>
      </w:r>
    </w:p>
    <w:p w14:paraId="2337583B">
      <w:pPr>
        <w:spacing w:line="360" w:lineRule="auto"/>
        <w:ind w:firstLine="420" w:firstLineChars="200"/>
        <w:rPr>
          <w:rFonts w:ascii="宋体" w:hAnsi="宋体" w:cs="宋体"/>
        </w:rPr>
      </w:pPr>
      <w:r>
        <w:rPr>
          <w:rFonts w:hint="eastAsia" w:ascii="宋体" w:hAnsi="宋体" w:cs="宋体"/>
        </w:rPr>
        <w:t>《电梯操作装置、信号及附件》 （</w:t>
      </w:r>
      <w:bookmarkStart w:id="18" w:name="OLE_LINK10"/>
      <w:r>
        <w:rPr>
          <w:rFonts w:hint="eastAsia" w:ascii="宋体" w:hAnsi="宋体" w:cs="宋体"/>
        </w:rPr>
        <w:t>JG5009-92</w:t>
      </w:r>
      <w:bookmarkEnd w:id="18"/>
      <w:r>
        <w:rPr>
          <w:rFonts w:hint="eastAsia" w:ascii="宋体" w:hAnsi="宋体" w:cs="宋体"/>
        </w:rPr>
        <w:t>）</w:t>
      </w:r>
    </w:p>
    <w:p w14:paraId="11923AF6">
      <w:pPr>
        <w:spacing w:line="360" w:lineRule="auto"/>
        <w:ind w:firstLine="420" w:firstLineChars="200"/>
        <w:rPr>
          <w:rFonts w:ascii="宋体" w:hAnsi="宋体" w:cs="宋体"/>
        </w:rPr>
      </w:pPr>
      <w:r>
        <w:rPr>
          <w:rFonts w:hint="eastAsia" w:ascii="宋体" w:hAnsi="宋体" w:cs="宋体"/>
        </w:rPr>
        <w:t>《电梯T型导轨》 （</w:t>
      </w:r>
      <w:bookmarkStart w:id="19" w:name="OLE_LINK11"/>
      <w:r>
        <w:rPr>
          <w:rFonts w:hint="eastAsia" w:ascii="宋体" w:hAnsi="宋体" w:cs="宋体"/>
        </w:rPr>
        <w:t>GB/T22562</w:t>
      </w:r>
      <w:bookmarkEnd w:id="19"/>
      <w:r>
        <w:rPr>
          <w:rFonts w:hint="eastAsia" w:ascii="宋体" w:hAnsi="宋体" w:cs="宋体"/>
        </w:rPr>
        <w:t>-2008）</w:t>
      </w:r>
    </w:p>
    <w:p w14:paraId="54BF8486">
      <w:pPr>
        <w:spacing w:line="360" w:lineRule="auto"/>
        <w:ind w:firstLine="420" w:firstLineChars="200"/>
        <w:rPr>
          <w:rFonts w:ascii="宋体" w:hAnsi="宋体" w:cs="宋体"/>
        </w:rPr>
      </w:pPr>
      <w:r>
        <w:rPr>
          <w:rFonts w:hint="eastAsia" w:ascii="宋体" w:hAnsi="宋体" w:cs="宋体"/>
        </w:rPr>
        <w:t>《电梯T型导轨检查规范》 （</w:t>
      </w:r>
      <w:bookmarkStart w:id="20" w:name="OLE_LINK12"/>
      <w:r>
        <w:rPr>
          <w:rFonts w:hint="eastAsia" w:ascii="宋体" w:hAnsi="宋体" w:cs="宋体"/>
        </w:rPr>
        <w:t>JG/T5072.1</w:t>
      </w:r>
      <w:bookmarkEnd w:id="20"/>
      <w:r>
        <w:rPr>
          <w:rFonts w:hint="eastAsia" w:ascii="宋体" w:hAnsi="宋体" w:cs="宋体"/>
        </w:rPr>
        <w:t>-1996）</w:t>
      </w:r>
    </w:p>
    <w:p w14:paraId="09B1EA8C">
      <w:pPr>
        <w:spacing w:line="360" w:lineRule="auto"/>
        <w:ind w:firstLine="420" w:firstLineChars="200"/>
        <w:rPr>
          <w:rFonts w:ascii="宋体" w:hAnsi="宋体" w:cs="宋体"/>
        </w:rPr>
      </w:pPr>
      <w:r>
        <w:rPr>
          <w:rFonts w:hint="eastAsia" w:ascii="宋体" w:hAnsi="宋体" w:cs="宋体"/>
        </w:rPr>
        <w:t>《电梯对重和平衡重用空心导轨</w:t>
      </w:r>
      <w:bookmarkStart w:id="21" w:name="OLE_LINK13"/>
      <w:r>
        <w:rPr>
          <w:rFonts w:hint="eastAsia" w:ascii="宋体" w:hAnsi="宋体" w:cs="宋体"/>
        </w:rPr>
        <w:t>G</w:t>
      </w:r>
      <w:r>
        <w:rPr>
          <w:rFonts w:ascii="宋体" w:hAnsi="宋体" w:cs="宋体"/>
        </w:rPr>
        <w:t>B/T 30977</w:t>
      </w:r>
      <w:bookmarkEnd w:id="21"/>
      <w:r>
        <w:rPr>
          <w:rFonts w:hint="eastAsia" w:ascii="宋体" w:hAnsi="宋体" w:cs="宋体"/>
        </w:rPr>
        <w:t>-</w:t>
      </w:r>
      <w:r>
        <w:rPr>
          <w:rFonts w:ascii="宋体" w:hAnsi="宋体" w:cs="宋体"/>
        </w:rPr>
        <w:t>2014</w:t>
      </w:r>
      <w:r>
        <w:rPr>
          <w:rFonts w:hint="eastAsia" w:ascii="宋体" w:hAnsi="宋体" w:cs="宋体"/>
        </w:rPr>
        <w:t xml:space="preserve">》 </w:t>
      </w:r>
    </w:p>
    <w:p w14:paraId="1853D058">
      <w:pPr>
        <w:spacing w:line="360" w:lineRule="auto"/>
        <w:ind w:firstLine="420" w:firstLineChars="200"/>
        <w:rPr>
          <w:rFonts w:ascii="宋体" w:hAnsi="宋体" w:cs="宋体"/>
        </w:rPr>
      </w:pPr>
      <w:r>
        <w:rPr>
          <w:rFonts w:hint="eastAsia" w:ascii="宋体" w:hAnsi="宋体" w:cs="宋体"/>
        </w:rPr>
        <w:t>《交流电梯电动机通用技术条件》（</w:t>
      </w:r>
      <w:bookmarkStart w:id="22" w:name="OLE_LINK14"/>
      <w:r>
        <w:rPr>
          <w:rFonts w:hint="eastAsia" w:ascii="宋体" w:hAnsi="宋体" w:cs="宋体"/>
        </w:rPr>
        <w:t>GB/T 12974</w:t>
      </w:r>
      <w:bookmarkEnd w:id="22"/>
      <w:r>
        <w:rPr>
          <w:rFonts w:hint="eastAsia" w:ascii="宋体" w:hAnsi="宋体" w:cs="宋体"/>
        </w:rPr>
        <w:t>-</w:t>
      </w:r>
      <w:r>
        <w:rPr>
          <w:rFonts w:ascii="宋体" w:hAnsi="宋体" w:cs="宋体"/>
        </w:rPr>
        <w:t>20</w:t>
      </w:r>
      <w:r>
        <w:rPr>
          <w:rFonts w:hint="eastAsia" w:ascii="宋体" w:hAnsi="宋体" w:cs="宋体"/>
        </w:rPr>
        <w:t>23）</w:t>
      </w:r>
    </w:p>
    <w:p w14:paraId="1F8BD62F">
      <w:pPr>
        <w:spacing w:line="360" w:lineRule="auto"/>
        <w:ind w:firstLine="420" w:firstLineChars="200"/>
        <w:rPr>
          <w:rFonts w:ascii="宋体" w:hAnsi="宋体" w:cs="宋体"/>
        </w:rPr>
      </w:pPr>
      <w:r>
        <w:rPr>
          <w:rFonts w:hint="eastAsia" w:ascii="宋体" w:hAnsi="宋体" w:cs="宋体"/>
        </w:rPr>
        <w:t>《电梯、自动扶梯和自动人行道维修规范》（</w:t>
      </w:r>
      <w:bookmarkStart w:id="23" w:name="OLE_LINK15"/>
      <w:r>
        <w:rPr>
          <w:rFonts w:hint="eastAsia" w:ascii="宋体" w:hAnsi="宋体" w:cs="宋体"/>
        </w:rPr>
        <w:t>GB/T</w:t>
      </w:r>
      <w:r>
        <w:rPr>
          <w:rFonts w:ascii="宋体" w:hAnsi="宋体" w:cs="宋体"/>
        </w:rPr>
        <w:t xml:space="preserve"> </w:t>
      </w:r>
      <w:r>
        <w:rPr>
          <w:rFonts w:hint="eastAsia" w:ascii="宋体" w:hAnsi="宋体" w:cs="宋体"/>
        </w:rPr>
        <w:t>18775</w:t>
      </w:r>
      <w:bookmarkEnd w:id="23"/>
      <w:r>
        <w:rPr>
          <w:rFonts w:hint="eastAsia" w:ascii="宋体" w:hAnsi="宋体" w:cs="宋体"/>
        </w:rPr>
        <w:t>-200</w:t>
      </w:r>
      <w:r>
        <w:rPr>
          <w:rFonts w:ascii="宋体" w:hAnsi="宋体" w:cs="宋体"/>
        </w:rPr>
        <w:t>9</w:t>
      </w:r>
      <w:r>
        <w:rPr>
          <w:rFonts w:hint="eastAsia" w:ascii="宋体" w:hAnsi="宋体" w:cs="宋体"/>
        </w:rPr>
        <w:t>）</w:t>
      </w:r>
    </w:p>
    <w:p w14:paraId="210797C1">
      <w:pPr>
        <w:spacing w:line="360" w:lineRule="auto"/>
        <w:ind w:firstLine="420" w:firstLineChars="200"/>
        <w:rPr>
          <w:rFonts w:ascii="宋体" w:hAnsi="宋体" w:cs="宋体"/>
        </w:rPr>
      </w:pPr>
      <w:r>
        <w:rPr>
          <w:rFonts w:hint="eastAsia" w:ascii="宋体" w:hAnsi="宋体" w:cs="宋体"/>
        </w:rPr>
        <w:t>《电梯工程施工质量验收规范》 （</w:t>
      </w:r>
      <w:bookmarkStart w:id="24" w:name="OLE_LINK16"/>
      <w:r>
        <w:rPr>
          <w:rFonts w:hint="eastAsia" w:ascii="宋体" w:hAnsi="宋体" w:cs="宋体"/>
        </w:rPr>
        <w:t>GB50310</w:t>
      </w:r>
      <w:bookmarkEnd w:id="24"/>
      <w:r>
        <w:rPr>
          <w:rFonts w:hint="eastAsia" w:ascii="宋体" w:hAnsi="宋体" w:cs="宋体"/>
        </w:rPr>
        <w:t>-2022）</w:t>
      </w:r>
    </w:p>
    <w:p w14:paraId="35BF17B2">
      <w:pPr>
        <w:spacing w:line="360" w:lineRule="auto"/>
        <w:ind w:firstLine="420" w:firstLineChars="200"/>
        <w:rPr>
          <w:rFonts w:ascii="宋体" w:hAnsi="宋体" w:cs="宋体"/>
        </w:rPr>
      </w:pPr>
      <w:r>
        <w:rPr>
          <w:rFonts w:hint="eastAsia" w:ascii="宋体" w:hAnsi="宋体" w:cs="宋体"/>
        </w:rPr>
        <w:t>《电梯监督检验和定期检验规则—曳引与强制驱动电梯》(</w:t>
      </w:r>
      <w:bookmarkStart w:id="25" w:name="OLE_LINK17"/>
      <w:r>
        <w:rPr>
          <w:rFonts w:hint="eastAsia" w:ascii="宋体" w:hAnsi="宋体" w:cs="宋体"/>
        </w:rPr>
        <w:t>TSGT7001</w:t>
      </w:r>
      <w:bookmarkEnd w:id="25"/>
      <w:r>
        <w:rPr>
          <w:rFonts w:hint="eastAsia" w:ascii="宋体" w:hAnsi="宋体" w:cs="宋体"/>
        </w:rPr>
        <w:t>-2022）</w:t>
      </w:r>
    </w:p>
    <w:p w14:paraId="6833F6CE">
      <w:pPr>
        <w:spacing w:line="360" w:lineRule="auto"/>
        <w:ind w:firstLine="420" w:firstLineChars="200"/>
        <w:rPr>
          <w:rFonts w:ascii="宋体" w:hAnsi="宋体" w:cs="宋体"/>
        </w:rPr>
      </w:pPr>
      <w:r>
        <w:rPr>
          <w:rFonts w:hint="eastAsia" w:ascii="宋体" w:hAnsi="宋体" w:cs="宋体"/>
        </w:rPr>
        <w:t>《特种设备安全监察条例》 (国务院令第549号)</w:t>
      </w:r>
    </w:p>
    <w:p w14:paraId="72D825B5">
      <w:pPr>
        <w:spacing w:line="360" w:lineRule="auto"/>
        <w:ind w:firstLine="420" w:firstLineChars="200"/>
        <w:rPr>
          <w:rFonts w:ascii="宋体" w:hAnsi="宋体" w:cs="宋体"/>
        </w:rPr>
      </w:pPr>
      <w:r>
        <w:rPr>
          <w:rFonts w:hint="eastAsia" w:ascii="宋体" w:hAnsi="宋体" w:cs="宋体"/>
        </w:rPr>
        <w:t>《施工现场临时用电安全技术规范》（附条文说明）(</w:t>
      </w:r>
      <w:bookmarkStart w:id="26" w:name="OLE_LINK18"/>
      <w:r>
        <w:rPr>
          <w:rFonts w:hint="eastAsia" w:ascii="宋体" w:hAnsi="宋体" w:cs="宋体"/>
        </w:rPr>
        <w:t>JGJ46</w:t>
      </w:r>
      <w:bookmarkEnd w:id="26"/>
      <w:r>
        <w:rPr>
          <w:rFonts w:hint="eastAsia" w:ascii="宋体" w:hAnsi="宋体" w:cs="宋体"/>
        </w:rPr>
        <w:t>-2024 )</w:t>
      </w:r>
    </w:p>
    <w:p w14:paraId="356E065F">
      <w:pPr>
        <w:spacing w:line="360" w:lineRule="auto"/>
        <w:ind w:firstLine="420" w:firstLineChars="200"/>
        <w:rPr>
          <w:rFonts w:ascii="宋体" w:hAnsi="宋体" w:cs="宋体"/>
        </w:rPr>
      </w:pPr>
      <w:r>
        <w:rPr>
          <w:rFonts w:hint="eastAsia" w:ascii="宋体" w:hAnsi="宋体" w:cs="宋体"/>
        </w:rPr>
        <w:t>《火灾自动报警系统设计规范》（GB 50116）</w:t>
      </w:r>
    </w:p>
    <w:p w14:paraId="23E029E4">
      <w:pPr>
        <w:spacing w:line="360" w:lineRule="auto"/>
        <w:ind w:firstLine="420" w:firstLineChars="200"/>
        <w:rPr>
          <w:rFonts w:ascii="宋体" w:hAnsi="宋体" w:cs="宋体"/>
        </w:rPr>
      </w:pPr>
      <w:r>
        <w:rPr>
          <w:rFonts w:hint="eastAsia" w:ascii="宋体" w:hAnsi="宋体" w:cs="宋体"/>
        </w:rPr>
        <w:t xml:space="preserve"> 电梯施工图</w:t>
      </w:r>
    </w:p>
    <w:p w14:paraId="5A6433C4">
      <w:pPr>
        <w:spacing w:line="360" w:lineRule="auto"/>
        <w:ind w:firstLine="420" w:firstLineChars="200"/>
        <w:rPr>
          <w:rFonts w:ascii="宋体" w:hAnsi="宋体" w:cs="宋体"/>
        </w:rPr>
      </w:pPr>
      <w:r>
        <w:rPr>
          <w:rFonts w:hint="eastAsia" w:ascii="宋体" w:hAnsi="宋体" w:cs="宋体"/>
        </w:rPr>
        <w:t>其它与电梯制造、安装、检验、运行、维护保养等有关的国家标准、行业标准及地方相关规定。</w:t>
      </w:r>
    </w:p>
    <w:p w14:paraId="49FA0886">
      <w:pPr>
        <w:spacing w:line="360" w:lineRule="auto"/>
        <w:ind w:firstLine="420" w:firstLineChars="200"/>
        <w:rPr>
          <w:rFonts w:ascii="宋体" w:hAnsi="宋体" w:cs="宋体"/>
        </w:rPr>
      </w:pPr>
      <w:r>
        <w:rPr>
          <w:rFonts w:hint="eastAsia" w:ascii="宋体" w:hAnsi="宋体" w:cs="宋体"/>
        </w:rPr>
        <w:t>投标人提供的产品应满足上述规范要求。如果投标人所提供的产品与服务采用的标准和实施规范与上述标准和实施规范不同，投标人应对其使用的标准和实施规范作出说明，且只有当该标准和实施规范等效于或优于本技术要求时，其产品才能被招标人接受。投标人应清楚地说明用于替代的标准或实际使用的规范，并提交该标准或实施规范供招标人参考。投标人不得因此而增加费用。</w:t>
      </w:r>
    </w:p>
    <w:p w14:paraId="682A0712">
      <w:pPr>
        <w:spacing w:line="360" w:lineRule="auto"/>
        <w:ind w:firstLine="420" w:firstLineChars="200"/>
        <w:rPr>
          <w:rFonts w:ascii="宋体" w:hAnsi="宋体" w:cs="宋体"/>
        </w:rPr>
      </w:pPr>
      <w:bookmarkStart w:id="27" w:name="_Toc520444675"/>
      <w:r>
        <w:rPr>
          <w:rFonts w:hint="eastAsia" w:ascii="宋体" w:hAnsi="宋体" w:cs="宋体"/>
        </w:rPr>
        <w:t>2.2电梯的工作条件</w:t>
      </w:r>
      <w:bookmarkEnd w:id="27"/>
    </w:p>
    <w:p w14:paraId="6A7EAB1A">
      <w:pPr>
        <w:spacing w:line="360" w:lineRule="auto"/>
        <w:ind w:firstLine="420" w:firstLineChars="200"/>
        <w:rPr>
          <w:rFonts w:ascii="宋体" w:hAnsi="宋体" w:cs="宋体"/>
        </w:rPr>
      </w:pPr>
      <w:r>
        <w:rPr>
          <w:rFonts w:hint="eastAsia" w:ascii="宋体" w:hAnsi="宋体" w:cs="宋体"/>
        </w:rPr>
        <w:t>2.2.1工作环境</w:t>
      </w:r>
    </w:p>
    <w:p w14:paraId="6B7AA84D">
      <w:pPr>
        <w:spacing w:line="360" w:lineRule="auto"/>
        <w:ind w:firstLine="420" w:firstLineChars="200"/>
        <w:rPr>
          <w:rFonts w:ascii="宋体" w:hAnsi="宋体" w:cs="宋体"/>
        </w:rPr>
      </w:pPr>
      <w:r>
        <w:rPr>
          <w:rFonts w:hint="eastAsia" w:ascii="宋体" w:hAnsi="宋体" w:cs="宋体"/>
        </w:rPr>
        <w:t>机房的空气温度应保持在5℃-40℃之间;环境相对湿度不大于90%(在25℃时);</w:t>
      </w:r>
    </w:p>
    <w:p w14:paraId="7FF9AD97">
      <w:pPr>
        <w:spacing w:line="360" w:lineRule="auto"/>
        <w:ind w:firstLine="420" w:firstLineChars="200"/>
        <w:rPr>
          <w:rFonts w:ascii="宋体" w:hAnsi="宋体" w:cs="宋体"/>
        </w:rPr>
      </w:pPr>
      <w:r>
        <w:rPr>
          <w:rFonts w:hint="eastAsia" w:ascii="宋体" w:hAnsi="宋体" w:cs="宋体"/>
        </w:rPr>
        <w:t>2.2.2工作条件及强度</w:t>
      </w:r>
    </w:p>
    <w:p w14:paraId="3BBD7F14">
      <w:pPr>
        <w:spacing w:line="360" w:lineRule="auto"/>
        <w:ind w:firstLine="420" w:firstLineChars="200"/>
        <w:rPr>
          <w:rFonts w:ascii="宋体" w:hAnsi="宋体" w:cs="宋体"/>
        </w:rPr>
      </w:pPr>
      <w:r>
        <w:rPr>
          <w:rFonts w:hint="eastAsia" w:ascii="宋体" w:hAnsi="宋体" w:cs="宋体"/>
        </w:rPr>
        <w:t>符合国家相关标准</w:t>
      </w:r>
    </w:p>
    <w:p w14:paraId="719778D0">
      <w:pPr>
        <w:spacing w:line="360" w:lineRule="auto"/>
        <w:ind w:firstLine="422" w:firstLineChars="200"/>
        <w:rPr>
          <w:rFonts w:ascii="宋体" w:hAnsi="宋体" w:cs="宋体"/>
          <w:b/>
          <w:bCs/>
        </w:rPr>
      </w:pPr>
      <w:r>
        <w:rPr>
          <w:rFonts w:hint="eastAsia" w:ascii="宋体" w:hAnsi="宋体" w:cs="宋体"/>
          <w:b/>
          <w:bCs/>
        </w:rPr>
        <w:t>2.3服务要求</w:t>
      </w:r>
    </w:p>
    <w:p w14:paraId="04E287F0">
      <w:pPr>
        <w:spacing w:line="360" w:lineRule="auto"/>
        <w:ind w:firstLine="420" w:firstLineChars="200"/>
        <w:rPr>
          <w:rFonts w:ascii="宋体" w:hAnsi="宋体" w:cs="宋体"/>
        </w:rPr>
      </w:pPr>
      <w:r>
        <w:rPr>
          <w:rFonts w:hint="eastAsia" w:ascii="宋体" w:hAnsi="宋体" w:cs="宋体"/>
        </w:rPr>
        <w:t>投标人需按照本用户需求书中的井道尺寸进行制造安装。投标人在中标后提供电梯布置图。</w:t>
      </w:r>
    </w:p>
    <w:p w14:paraId="67F1BC54">
      <w:pPr>
        <w:spacing w:line="360" w:lineRule="auto"/>
        <w:ind w:firstLine="420" w:firstLineChars="200"/>
        <w:rPr>
          <w:rFonts w:ascii="宋体" w:hAnsi="宋体" w:cs="宋体"/>
        </w:rPr>
      </w:pPr>
      <w:r>
        <w:rPr>
          <w:rFonts w:hint="eastAsia" w:ascii="宋体" w:hAnsi="宋体" w:cs="宋体"/>
        </w:rPr>
        <w:t>对电梯大修周期及整机寿命要求：</w:t>
      </w:r>
    </w:p>
    <w:p w14:paraId="51C0E5F7">
      <w:pPr>
        <w:spacing w:line="360" w:lineRule="auto"/>
        <w:ind w:firstLine="420" w:firstLineChars="200"/>
        <w:rPr>
          <w:rFonts w:ascii="宋体" w:hAnsi="宋体" w:cs="宋体"/>
        </w:rPr>
      </w:pPr>
      <w:r>
        <w:rPr>
          <w:rFonts w:hint="eastAsia" w:ascii="宋体" w:hAnsi="宋体" w:cs="宋体"/>
        </w:rPr>
        <w:t>电梯大修周期一般不小于5年，具体情况需根据使用情况而定。整机正常寿命不小于20年。电梯能长期安全工作，并能长期保持良好的工作性能。在大修周期乃至整个寿命期内，主要部件能正常工作，在大修周期内，轿厢的振动与噪声没有大的变化，且乘坐舒适感好。同时电梯经大修后能基本恢复原有的性能。其各子系统之间能够长期持久的保持良好的匹配性。</w:t>
      </w:r>
    </w:p>
    <w:p w14:paraId="3556058A">
      <w:pPr>
        <w:spacing w:line="360" w:lineRule="auto"/>
        <w:ind w:firstLine="420" w:firstLineChars="200"/>
        <w:rPr>
          <w:rFonts w:ascii="宋体" w:hAnsi="宋体" w:cs="宋体"/>
        </w:rPr>
      </w:pPr>
      <w:r>
        <w:rPr>
          <w:rFonts w:hint="eastAsia" w:ascii="宋体" w:hAnsi="宋体" w:cs="宋体"/>
        </w:rPr>
        <w:t>2.3.1电梯的特殊要求</w:t>
      </w:r>
    </w:p>
    <w:p w14:paraId="05856AEC">
      <w:pPr>
        <w:spacing w:line="360" w:lineRule="auto"/>
        <w:ind w:firstLine="420" w:firstLineChars="200"/>
        <w:rPr>
          <w:rFonts w:ascii="宋体" w:hAnsi="宋体" w:cs="宋体"/>
        </w:rPr>
      </w:pPr>
      <w:r>
        <w:rPr>
          <w:rFonts w:hint="eastAsia" w:ascii="宋体" w:hAnsi="宋体" w:cs="宋体"/>
        </w:rPr>
        <w:t>主要技术参数</w:t>
      </w:r>
    </w:p>
    <w:p w14:paraId="1F59A6A6">
      <w:pPr>
        <w:spacing w:line="360" w:lineRule="auto"/>
        <w:ind w:firstLine="420" w:firstLineChars="200"/>
        <w:rPr>
          <w:rFonts w:ascii="宋体" w:hAnsi="宋体" w:cs="宋体"/>
        </w:rPr>
      </w:pPr>
      <w:r>
        <w:rPr>
          <w:rFonts w:hint="eastAsia" w:ascii="宋体" w:hAnsi="宋体" w:cs="宋体"/>
        </w:rPr>
        <w:t>额定载重：见表1-1</w:t>
      </w:r>
    </w:p>
    <w:p w14:paraId="1E325EAF">
      <w:pPr>
        <w:spacing w:line="360" w:lineRule="auto"/>
        <w:ind w:firstLine="420" w:firstLineChars="200"/>
        <w:rPr>
          <w:rFonts w:ascii="宋体" w:hAnsi="宋体" w:cs="宋体"/>
        </w:rPr>
      </w:pPr>
      <w:r>
        <w:rPr>
          <w:rFonts w:hint="eastAsia" w:ascii="宋体" w:hAnsi="宋体" w:cs="宋体"/>
        </w:rPr>
        <w:t>额定速度：见表1-1</w:t>
      </w:r>
    </w:p>
    <w:p w14:paraId="313E0F7E">
      <w:pPr>
        <w:spacing w:line="360" w:lineRule="auto"/>
        <w:ind w:firstLine="420" w:firstLineChars="200"/>
        <w:rPr>
          <w:rFonts w:ascii="宋体" w:hAnsi="宋体" w:cs="宋体"/>
        </w:rPr>
      </w:pPr>
      <w:r>
        <w:rPr>
          <w:rFonts w:hint="eastAsia" w:ascii="宋体" w:hAnsi="宋体" w:cs="宋体"/>
        </w:rPr>
        <w:t>开门及层站数：见表1-1</w:t>
      </w:r>
    </w:p>
    <w:p w14:paraId="522B98B9">
      <w:pPr>
        <w:spacing w:line="360" w:lineRule="auto"/>
        <w:ind w:firstLine="420" w:firstLineChars="200"/>
        <w:rPr>
          <w:rFonts w:ascii="宋体" w:hAnsi="宋体" w:cs="宋体"/>
        </w:rPr>
      </w:pPr>
      <w:r>
        <w:rPr>
          <w:rFonts w:hint="eastAsia" w:ascii="宋体" w:hAnsi="宋体" w:cs="宋体"/>
        </w:rPr>
        <w:t>轿厢内尺寸：见表1-1</w:t>
      </w:r>
    </w:p>
    <w:p w14:paraId="746B54FF">
      <w:pPr>
        <w:spacing w:line="360" w:lineRule="auto"/>
        <w:ind w:firstLine="420" w:firstLineChars="200"/>
        <w:rPr>
          <w:rFonts w:ascii="宋体" w:hAnsi="宋体" w:cs="宋体"/>
        </w:rPr>
      </w:pPr>
      <w:r>
        <w:rPr>
          <w:rFonts w:hint="eastAsia" w:ascii="宋体" w:hAnsi="宋体" w:cs="宋体"/>
        </w:rPr>
        <w:t>层门及轿门：旁开门。见表1-1</w:t>
      </w:r>
    </w:p>
    <w:p w14:paraId="175464C3">
      <w:pPr>
        <w:spacing w:line="360" w:lineRule="auto"/>
        <w:ind w:firstLine="420" w:firstLineChars="200"/>
        <w:rPr>
          <w:rFonts w:ascii="宋体" w:hAnsi="宋体" w:cs="宋体"/>
        </w:rPr>
      </w:pPr>
      <w:r>
        <w:rPr>
          <w:rFonts w:hint="eastAsia" w:ascii="宋体" w:hAnsi="宋体" w:cs="宋体"/>
        </w:rPr>
        <w:t>开门尺寸： 以现有电梯尺寸为准，见表1-2</w:t>
      </w:r>
    </w:p>
    <w:p w14:paraId="6213C6C3">
      <w:pPr>
        <w:spacing w:line="360" w:lineRule="auto"/>
        <w:ind w:firstLine="420" w:firstLineChars="200"/>
        <w:rPr>
          <w:rFonts w:ascii="宋体" w:hAnsi="宋体" w:cs="宋体"/>
        </w:rPr>
      </w:pPr>
      <w:r>
        <w:rPr>
          <w:rFonts w:hint="eastAsia" w:ascii="宋体" w:hAnsi="宋体" w:cs="宋体"/>
        </w:rPr>
        <w:t>控制方式：见表1-2</w:t>
      </w:r>
    </w:p>
    <w:p w14:paraId="52082AC1">
      <w:pPr>
        <w:spacing w:line="360" w:lineRule="auto"/>
        <w:ind w:firstLine="420" w:firstLineChars="200"/>
        <w:rPr>
          <w:rFonts w:ascii="宋体" w:hAnsi="宋体" w:cs="宋体"/>
        </w:rPr>
      </w:pPr>
      <w:r>
        <w:rPr>
          <w:rFonts w:hint="eastAsia" w:ascii="宋体" w:hAnsi="宋体" w:cs="宋体"/>
        </w:rPr>
        <w:t>电气控制类型：微机控制。</w:t>
      </w:r>
    </w:p>
    <w:p w14:paraId="6E944D3A">
      <w:pPr>
        <w:spacing w:line="360" w:lineRule="auto"/>
        <w:ind w:firstLine="420" w:firstLineChars="200"/>
        <w:rPr>
          <w:rFonts w:ascii="宋体" w:hAnsi="宋体" w:cs="宋体"/>
        </w:rPr>
      </w:pPr>
      <w:r>
        <w:rPr>
          <w:rFonts w:hint="eastAsia" w:ascii="宋体" w:hAnsi="宋体" w:cs="宋体"/>
        </w:rPr>
        <w:t>驱动方式：采用交流无齿轮永磁同步曳引机驱动。</w:t>
      </w:r>
    </w:p>
    <w:p w14:paraId="08F27F38">
      <w:pPr>
        <w:spacing w:line="360" w:lineRule="auto"/>
        <w:ind w:firstLine="420" w:firstLineChars="200"/>
        <w:rPr>
          <w:rFonts w:ascii="宋体" w:hAnsi="宋体" w:cs="宋体"/>
        </w:rPr>
      </w:pPr>
      <w:r>
        <w:rPr>
          <w:rFonts w:hint="eastAsia" w:ascii="宋体" w:hAnsi="宋体" w:cs="宋体"/>
        </w:rPr>
        <w:t>曳引绳采用复合钢带或钢丝绳。</w:t>
      </w:r>
    </w:p>
    <w:p w14:paraId="6B04EE74">
      <w:pPr>
        <w:spacing w:line="360" w:lineRule="auto"/>
        <w:ind w:firstLine="420" w:firstLineChars="200"/>
        <w:rPr>
          <w:rFonts w:ascii="宋体" w:hAnsi="宋体" w:cs="宋体"/>
        </w:rPr>
      </w:pPr>
      <w:r>
        <w:rPr>
          <w:rFonts w:hint="eastAsia" w:ascii="宋体" w:hAnsi="宋体" w:cs="宋体"/>
        </w:rPr>
        <w:t>电梯速度控制方式：VVVF调速。</w:t>
      </w:r>
    </w:p>
    <w:p w14:paraId="3B961224">
      <w:pPr>
        <w:spacing w:line="360" w:lineRule="auto"/>
        <w:ind w:firstLine="420" w:firstLineChars="200"/>
        <w:rPr>
          <w:rFonts w:ascii="宋体" w:hAnsi="宋体" w:cs="宋体"/>
        </w:rPr>
      </w:pPr>
      <w:r>
        <w:rPr>
          <w:rFonts w:hint="eastAsia" w:ascii="宋体" w:hAnsi="宋体" w:cs="宋体"/>
        </w:rPr>
        <w:t>厅门外呼：层楼操作指示按钮，带楼层、方向显示。</w:t>
      </w:r>
    </w:p>
    <w:p w14:paraId="7C7B2979">
      <w:pPr>
        <w:spacing w:line="360" w:lineRule="auto"/>
        <w:ind w:firstLine="420" w:firstLineChars="200"/>
        <w:rPr>
          <w:rFonts w:ascii="宋体" w:hAnsi="宋体" w:cs="宋体"/>
        </w:rPr>
      </w:pPr>
      <w:r>
        <w:rPr>
          <w:rFonts w:hint="eastAsia" w:ascii="宋体" w:hAnsi="宋体" w:cs="宋体"/>
        </w:rPr>
        <w:t>PM永磁同步门机</w:t>
      </w:r>
    </w:p>
    <w:p w14:paraId="4322E3E6">
      <w:pPr>
        <w:spacing w:line="360" w:lineRule="auto"/>
        <w:ind w:firstLine="420" w:firstLineChars="200"/>
        <w:rPr>
          <w:rFonts w:ascii="宋体" w:hAnsi="宋体" w:cs="宋体"/>
        </w:rPr>
      </w:pPr>
      <w:r>
        <w:rPr>
          <w:rFonts w:hint="eastAsia" w:ascii="宋体" w:hAnsi="宋体" w:cs="宋体"/>
        </w:rPr>
        <w:t>电源条件：</w:t>
      </w:r>
    </w:p>
    <w:p w14:paraId="529C7938">
      <w:pPr>
        <w:spacing w:line="360" w:lineRule="auto"/>
        <w:ind w:firstLine="420" w:firstLineChars="200"/>
        <w:rPr>
          <w:rFonts w:ascii="宋体" w:hAnsi="宋体" w:cs="宋体"/>
        </w:rPr>
      </w:pPr>
      <w:r>
        <w:rPr>
          <w:rFonts w:hint="eastAsia" w:ascii="宋体" w:hAnsi="宋体" w:cs="宋体"/>
        </w:rPr>
        <w:t>三相五线制（带PE线），AC 380（1±10%）V，50Hz；</w:t>
      </w:r>
    </w:p>
    <w:p w14:paraId="4EC07C55">
      <w:pPr>
        <w:spacing w:line="360" w:lineRule="auto"/>
        <w:ind w:firstLine="420" w:firstLineChars="200"/>
        <w:rPr>
          <w:rFonts w:ascii="宋体" w:hAnsi="宋体" w:cs="宋体"/>
        </w:rPr>
      </w:pPr>
      <w:r>
        <w:rPr>
          <w:rFonts w:hint="eastAsia" w:ascii="宋体" w:hAnsi="宋体" w:cs="宋体"/>
        </w:rPr>
        <w:t>单相（带PE线），AC 220（1±10%）V，50Hz；</w:t>
      </w:r>
    </w:p>
    <w:p w14:paraId="0D1AC2C0">
      <w:pPr>
        <w:spacing w:line="360" w:lineRule="auto"/>
        <w:ind w:firstLine="420" w:firstLineChars="200"/>
        <w:rPr>
          <w:rFonts w:ascii="宋体" w:hAnsi="宋体" w:cs="宋体"/>
        </w:rPr>
      </w:pPr>
      <w:r>
        <w:rPr>
          <w:rFonts w:hint="eastAsia" w:ascii="宋体" w:hAnsi="宋体" w:cs="宋体"/>
        </w:rPr>
        <w:t>接地形式：TN-S；</w:t>
      </w:r>
    </w:p>
    <w:p w14:paraId="1A615408">
      <w:pPr>
        <w:spacing w:line="360" w:lineRule="auto"/>
        <w:ind w:firstLine="420" w:firstLineChars="200"/>
        <w:rPr>
          <w:rFonts w:ascii="宋体" w:hAnsi="宋体" w:cs="宋体"/>
        </w:rPr>
      </w:pPr>
      <w:r>
        <w:rPr>
          <w:rFonts w:hint="eastAsia" w:ascii="宋体" w:hAnsi="宋体" w:cs="宋体"/>
        </w:rPr>
        <w:t>供电等级：二级负荷。</w:t>
      </w:r>
    </w:p>
    <w:p w14:paraId="76C2D730">
      <w:pPr>
        <w:spacing w:line="360" w:lineRule="auto"/>
        <w:ind w:firstLine="420" w:firstLineChars="200"/>
        <w:rPr>
          <w:rFonts w:ascii="宋体" w:hAnsi="宋体" w:cs="宋体"/>
        </w:rPr>
      </w:pPr>
      <w:r>
        <w:rPr>
          <w:rFonts w:hint="eastAsia" w:ascii="宋体" w:hAnsi="宋体" w:cs="宋体"/>
        </w:rPr>
        <w:t>轿厢门应具有机械锁紧装置，轿厢门只能在开锁区内打开，且轿厢门锁紧必须有符合GB7588－2003第14.1.12条要求的电气安全装置。</w:t>
      </w:r>
    </w:p>
    <w:p w14:paraId="5991D69D">
      <w:pPr>
        <w:spacing w:line="360" w:lineRule="auto"/>
        <w:ind w:firstLine="420" w:firstLineChars="200"/>
        <w:rPr>
          <w:rFonts w:ascii="宋体" w:hAnsi="宋体" w:cs="宋体"/>
        </w:rPr>
      </w:pPr>
      <w:r>
        <w:rPr>
          <w:rFonts w:hint="eastAsia" w:ascii="宋体" w:hAnsi="宋体" w:cs="宋体"/>
        </w:rPr>
        <w:t>电梯须配备语音报站-中文、语音安抚-中文、轿厢通风装置、自动救援操作、紧急消防服务(自动)、物联网监控平台。</w:t>
      </w:r>
    </w:p>
    <w:p w14:paraId="62BFEC7D">
      <w:pPr>
        <w:spacing w:line="360" w:lineRule="auto"/>
        <w:ind w:firstLine="422" w:firstLineChars="200"/>
        <w:rPr>
          <w:rFonts w:ascii="宋体" w:hAnsi="宋体" w:cs="宋体"/>
          <w:b/>
          <w:bCs/>
        </w:rPr>
      </w:pPr>
      <w:r>
        <w:rPr>
          <w:rFonts w:hint="eastAsia" w:ascii="宋体" w:hAnsi="宋体" w:cs="宋体"/>
          <w:b/>
          <w:bCs/>
        </w:rPr>
        <w:t>2.3.2排水条件</w:t>
      </w:r>
    </w:p>
    <w:p w14:paraId="2C1AF011">
      <w:pPr>
        <w:spacing w:line="360" w:lineRule="auto"/>
        <w:ind w:firstLine="422" w:firstLineChars="200"/>
        <w:rPr>
          <w:rFonts w:ascii="宋体" w:hAnsi="宋体" w:cs="宋体"/>
          <w:b/>
          <w:bCs/>
        </w:rPr>
      </w:pPr>
      <w:r>
        <w:rPr>
          <w:rFonts w:hint="eastAsia" w:ascii="宋体" w:hAnsi="宋体" w:cs="宋体"/>
          <w:b/>
          <w:bCs/>
        </w:rPr>
        <w:t>投标人应考虑电梯自身相应的排水措施。若电梯井道底部积水坑需要遮蔽，如地坑排水设施需要改造的，由投标人负责遮蔽和改造。</w:t>
      </w:r>
    </w:p>
    <w:p w14:paraId="48AD035F">
      <w:pPr>
        <w:spacing w:line="360" w:lineRule="auto"/>
        <w:ind w:firstLine="420" w:firstLineChars="200"/>
        <w:rPr>
          <w:rFonts w:ascii="宋体" w:hAnsi="宋体" w:cs="宋体"/>
        </w:rPr>
      </w:pPr>
      <w:bookmarkStart w:id="28" w:name="_Toc520444677"/>
      <w:r>
        <w:rPr>
          <w:rFonts w:hint="eastAsia" w:ascii="宋体" w:hAnsi="宋体" w:cs="宋体"/>
        </w:rPr>
        <w:t>2.4整机技术性能</w:t>
      </w:r>
      <w:bookmarkEnd w:id="28"/>
    </w:p>
    <w:p w14:paraId="1C67B02C">
      <w:pPr>
        <w:spacing w:line="360" w:lineRule="auto"/>
        <w:ind w:firstLine="420" w:firstLineChars="200"/>
        <w:rPr>
          <w:rFonts w:ascii="宋体" w:hAnsi="宋体" w:cs="宋体"/>
        </w:rPr>
      </w:pPr>
      <w:r>
        <w:rPr>
          <w:rFonts w:hint="eastAsia" w:ascii="宋体" w:hAnsi="宋体" w:cs="宋体"/>
        </w:rPr>
        <w:t>2.4.1运行中轿厢内噪声：不大于55dB(A)（测量仪位于轿厢中央且距轿厢地面1.5m处）</w:t>
      </w:r>
    </w:p>
    <w:p w14:paraId="0B3C2C84">
      <w:pPr>
        <w:spacing w:line="360" w:lineRule="auto"/>
        <w:ind w:firstLine="420" w:firstLineChars="200"/>
        <w:rPr>
          <w:rFonts w:ascii="宋体" w:hAnsi="宋体" w:cs="宋体"/>
        </w:rPr>
      </w:pPr>
      <w:r>
        <w:rPr>
          <w:rFonts w:hint="eastAsia" w:ascii="宋体" w:hAnsi="宋体" w:cs="宋体"/>
        </w:rPr>
        <w:t>2.4.2开关门过程噪声：不大于55dB(A)（测量仪位于轿厢中央且距轿厢地面1.5m处）</w:t>
      </w:r>
    </w:p>
    <w:p w14:paraId="0663F7AD">
      <w:pPr>
        <w:spacing w:line="360" w:lineRule="auto"/>
        <w:ind w:firstLine="420" w:firstLineChars="200"/>
        <w:rPr>
          <w:rFonts w:ascii="宋体" w:hAnsi="宋体" w:cs="宋体"/>
        </w:rPr>
      </w:pPr>
      <w:r>
        <w:rPr>
          <w:rFonts w:hint="eastAsia" w:ascii="宋体" w:hAnsi="宋体" w:cs="宋体"/>
        </w:rPr>
        <w:t>2.4.3平层精度：不大于±5mm。</w:t>
      </w:r>
    </w:p>
    <w:p w14:paraId="34697BC4">
      <w:pPr>
        <w:spacing w:line="360" w:lineRule="auto"/>
        <w:ind w:firstLine="420" w:firstLineChars="200"/>
        <w:rPr>
          <w:rFonts w:ascii="宋体" w:hAnsi="宋体" w:cs="宋体"/>
        </w:rPr>
      </w:pPr>
      <w:r>
        <w:rPr>
          <w:rFonts w:hint="eastAsia" w:ascii="宋体" w:hAnsi="宋体" w:cs="宋体"/>
        </w:rPr>
        <w:t>2.4.4层门地坎至轿厢地坎之间的水平距离最大偏差不大于3mm。</w:t>
      </w:r>
    </w:p>
    <w:p w14:paraId="14A98056">
      <w:pPr>
        <w:spacing w:line="360" w:lineRule="auto"/>
        <w:ind w:firstLine="420" w:firstLineChars="200"/>
        <w:rPr>
          <w:rFonts w:ascii="宋体" w:hAnsi="宋体" w:cs="宋体"/>
        </w:rPr>
      </w:pPr>
      <w:r>
        <w:rPr>
          <w:rFonts w:hint="eastAsia" w:ascii="宋体" w:hAnsi="宋体" w:cs="宋体"/>
        </w:rPr>
        <w:t>2.4.5速度偏差：-8～+5％（在50％额定载重向下运行时）</w:t>
      </w:r>
    </w:p>
    <w:p w14:paraId="1E355402">
      <w:pPr>
        <w:spacing w:line="360" w:lineRule="auto"/>
        <w:ind w:firstLine="420" w:firstLineChars="200"/>
        <w:rPr>
          <w:rFonts w:ascii="宋体" w:hAnsi="宋体" w:cs="宋体"/>
        </w:rPr>
      </w:pPr>
      <w:r>
        <w:rPr>
          <w:rFonts w:hint="eastAsia" w:ascii="宋体" w:hAnsi="宋体" w:cs="宋体"/>
        </w:rPr>
        <w:t>2.4.6电梯运行性能指标：要求运行平稳，起动、制动及加、减速度变化顺畅，舒适感好：</w:t>
      </w:r>
    </w:p>
    <w:p w14:paraId="5ECDC65D">
      <w:pPr>
        <w:spacing w:line="360" w:lineRule="auto"/>
        <w:ind w:firstLine="420" w:firstLineChars="200"/>
        <w:rPr>
          <w:rFonts w:ascii="宋体" w:hAnsi="宋体" w:cs="宋体"/>
        </w:rPr>
      </w:pPr>
      <w:r>
        <w:rPr>
          <w:rFonts w:hint="eastAsia" w:ascii="宋体" w:hAnsi="宋体" w:cs="宋体"/>
        </w:rPr>
        <w:t>最大垂直振动加速度：＜20cm/s2</w:t>
      </w:r>
    </w:p>
    <w:p w14:paraId="42095464">
      <w:pPr>
        <w:spacing w:line="360" w:lineRule="auto"/>
        <w:ind w:firstLine="420" w:firstLineChars="200"/>
        <w:rPr>
          <w:rFonts w:ascii="宋体" w:hAnsi="宋体" w:cs="宋体"/>
        </w:rPr>
      </w:pPr>
      <w:r>
        <w:rPr>
          <w:rFonts w:hint="eastAsia" w:ascii="宋体" w:hAnsi="宋体" w:cs="宋体"/>
        </w:rPr>
        <w:t>最大水平（前/后）振动加速度：＜15cm/s2</w:t>
      </w:r>
    </w:p>
    <w:p w14:paraId="29E1E313">
      <w:pPr>
        <w:spacing w:line="360" w:lineRule="auto"/>
        <w:ind w:firstLine="420" w:firstLineChars="200"/>
        <w:rPr>
          <w:rFonts w:ascii="宋体" w:hAnsi="宋体" w:cs="宋体"/>
        </w:rPr>
      </w:pPr>
      <w:r>
        <w:rPr>
          <w:rFonts w:hint="eastAsia" w:ascii="宋体" w:hAnsi="宋体" w:cs="宋体"/>
        </w:rPr>
        <w:t>2.4.7电梯的平衡系数：40％～50％</w:t>
      </w:r>
    </w:p>
    <w:p w14:paraId="15796FEC">
      <w:pPr>
        <w:spacing w:line="360" w:lineRule="auto"/>
        <w:ind w:firstLine="420" w:firstLineChars="200"/>
        <w:rPr>
          <w:rFonts w:ascii="宋体" w:hAnsi="宋体" w:cs="宋体"/>
        </w:rPr>
      </w:pPr>
      <w:r>
        <w:rPr>
          <w:rFonts w:hint="eastAsia" w:ascii="宋体" w:hAnsi="宋体" w:cs="宋体"/>
        </w:rPr>
        <w:t>2.4.8所有钢制件均应进行防腐处理。</w:t>
      </w:r>
    </w:p>
    <w:p w14:paraId="533A46E1">
      <w:pPr>
        <w:spacing w:line="360" w:lineRule="auto"/>
        <w:ind w:firstLine="420" w:firstLineChars="200"/>
        <w:rPr>
          <w:rFonts w:ascii="宋体" w:hAnsi="宋体" w:cs="宋体"/>
        </w:rPr>
      </w:pPr>
      <w:r>
        <w:rPr>
          <w:rFonts w:hint="eastAsia" w:ascii="宋体" w:hAnsi="宋体" w:cs="宋体"/>
        </w:rPr>
        <w:t>2.4.9电磁兼容性应符合EN12015/16的相关要求。</w:t>
      </w:r>
    </w:p>
    <w:p w14:paraId="278244A4">
      <w:pPr>
        <w:spacing w:line="360" w:lineRule="auto"/>
        <w:ind w:firstLine="420" w:firstLineChars="200"/>
        <w:rPr>
          <w:rFonts w:ascii="宋体" w:hAnsi="宋体" w:cs="宋体"/>
        </w:rPr>
      </w:pPr>
      <w:r>
        <w:rPr>
          <w:rFonts w:hint="eastAsia" w:ascii="宋体" w:hAnsi="宋体" w:cs="宋体"/>
        </w:rPr>
        <w:t>2.4.10抗干扰要求：国家标准</w:t>
      </w:r>
    </w:p>
    <w:p w14:paraId="6BCCA071">
      <w:pPr>
        <w:spacing w:line="360" w:lineRule="auto"/>
        <w:ind w:firstLine="420" w:firstLineChars="200"/>
        <w:rPr>
          <w:rFonts w:ascii="宋体" w:hAnsi="宋体" w:cs="宋体"/>
        </w:rPr>
      </w:pPr>
      <w:r>
        <w:rPr>
          <w:rFonts w:hint="eastAsia" w:ascii="宋体" w:hAnsi="宋体" w:cs="宋体"/>
        </w:rPr>
        <w:t>2.4.11可靠性和可维修性要求：国家标准</w:t>
      </w:r>
    </w:p>
    <w:p w14:paraId="76BB149E">
      <w:pPr>
        <w:spacing w:line="360" w:lineRule="auto"/>
        <w:ind w:firstLine="420" w:firstLineChars="200"/>
        <w:rPr>
          <w:rFonts w:ascii="宋体" w:hAnsi="宋体" w:cs="宋体"/>
        </w:rPr>
      </w:pPr>
      <w:r>
        <w:rPr>
          <w:rFonts w:hint="eastAsia" w:ascii="宋体" w:hAnsi="宋体" w:cs="宋体"/>
        </w:rPr>
        <w:t>2.4.12绝缘要求：国家标准</w:t>
      </w:r>
    </w:p>
    <w:p w14:paraId="46077DD0">
      <w:pPr>
        <w:spacing w:line="360" w:lineRule="auto"/>
        <w:ind w:firstLine="420" w:firstLineChars="200"/>
        <w:rPr>
          <w:rFonts w:ascii="宋体" w:hAnsi="宋体" w:cs="宋体"/>
        </w:rPr>
      </w:pPr>
      <w:r>
        <w:rPr>
          <w:rFonts w:hint="eastAsia" w:ascii="宋体" w:hAnsi="宋体" w:cs="宋体"/>
        </w:rPr>
        <w:t>2.4.13投标人应在投标文件中说明在故障情况下的处理方法：</w:t>
      </w:r>
    </w:p>
    <w:p w14:paraId="2D02CB2D">
      <w:pPr>
        <w:spacing w:line="360" w:lineRule="auto"/>
        <w:ind w:firstLine="422" w:firstLineChars="200"/>
        <w:rPr>
          <w:rFonts w:ascii="宋体" w:hAnsi="宋体" w:cs="宋体"/>
          <w:b/>
          <w:bCs/>
        </w:rPr>
      </w:pPr>
      <w:bookmarkStart w:id="29" w:name="_Toc520444678"/>
      <w:r>
        <w:rPr>
          <w:rFonts w:hint="eastAsia" w:ascii="宋体" w:hAnsi="宋体" w:cs="宋体"/>
          <w:b/>
          <w:bCs/>
        </w:rPr>
        <w:t>2.5基本功能</w:t>
      </w:r>
      <w:bookmarkEnd w:id="29"/>
    </w:p>
    <w:tbl>
      <w:tblPr>
        <w:tblStyle w:val="4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7"/>
        <w:gridCol w:w="7191"/>
      </w:tblGrid>
      <w:tr w14:paraId="6390A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147" w:type="dxa"/>
            <w:vAlign w:val="center"/>
          </w:tcPr>
          <w:p w14:paraId="7EE636B8">
            <w:pPr>
              <w:spacing w:line="360" w:lineRule="auto"/>
              <w:jc w:val="center"/>
              <w:rPr>
                <w:rFonts w:ascii="宋体" w:hAnsi="宋体" w:cs="宋体"/>
                <w:b/>
                <w:bCs/>
              </w:rPr>
            </w:pPr>
            <w:r>
              <w:rPr>
                <w:rFonts w:hint="eastAsia" w:ascii="宋体" w:hAnsi="宋体" w:cs="宋体"/>
                <w:b/>
                <w:bCs/>
              </w:rPr>
              <w:t>序号</w:t>
            </w:r>
          </w:p>
        </w:tc>
        <w:tc>
          <w:tcPr>
            <w:tcW w:w="7191" w:type="dxa"/>
            <w:vAlign w:val="center"/>
          </w:tcPr>
          <w:p w14:paraId="21B0A005">
            <w:pPr>
              <w:spacing w:line="360" w:lineRule="auto"/>
              <w:jc w:val="center"/>
              <w:rPr>
                <w:rFonts w:ascii="宋体" w:hAnsi="宋体" w:cs="宋体"/>
                <w:b/>
                <w:bCs/>
              </w:rPr>
            </w:pPr>
            <w:r>
              <w:rPr>
                <w:rFonts w:hint="eastAsia" w:ascii="宋体" w:hAnsi="宋体" w:cs="宋体"/>
                <w:b/>
                <w:bCs/>
              </w:rPr>
              <w:t>标准功能</w:t>
            </w:r>
          </w:p>
        </w:tc>
      </w:tr>
      <w:tr w14:paraId="1B75F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7799B291">
            <w:pPr>
              <w:spacing w:line="360" w:lineRule="auto"/>
              <w:jc w:val="center"/>
              <w:rPr>
                <w:rFonts w:ascii="宋体" w:hAnsi="宋体" w:cs="宋体"/>
              </w:rPr>
            </w:pPr>
            <w:r>
              <w:rPr>
                <w:rFonts w:hint="eastAsia" w:ascii="宋体" w:hAnsi="宋体" w:cs="宋体"/>
              </w:rPr>
              <w:t>1</w:t>
            </w:r>
          </w:p>
        </w:tc>
        <w:tc>
          <w:tcPr>
            <w:tcW w:w="7191" w:type="dxa"/>
            <w:vAlign w:val="center"/>
          </w:tcPr>
          <w:p w14:paraId="7B873599">
            <w:pPr>
              <w:widowControl/>
              <w:spacing w:line="360" w:lineRule="auto"/>
              <w:jc w:val="center"/>
              <w:rPr>
                <w:rFonts w:ascii="宋体" w:hAnsi="宋体" w:cs="宋体"/>
              </w:rPr>
            </w:pPr>
            <w:r>
              <w:rPr>
                <w:rFonts w:hint="eastAsia" w:ascii="宋体" w:hAnsi="宋体" w:cs="宋体"/>
              </w:rPr>
              <w:t>门系统自动回路断路器</w:t>
            </w:r>
          </w:p>
        </w:tc>
      </w:tr>
      <w:tr w14:paraId="4D569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F97EDFC">
            <w:pPr>
              <w:spacing w:line="360" w:lineRule="auto"/>
              <w:jc w:val="center"/>
              <w:rPr>
                <w:rFonts w:ascii="宋体" w:hAnsi="宋体" w:cs="宋体"/>
              </w:rPr>
            </w:pPr>
            <w:r>
              <w:rPr>
                <w:rFonts w:hint="eastAsia" w:ascii="宋体" w:hAnsi="宋体" w:cs="宋体"/>
              </w:rPr>
              <w:t>2</w:t>
            </w:r>
          </w:p>
        </w:tc>
        <w:tc>
          <w:tcPr>
            <w:tcW w:w="7191" w:type="dxa"/>
            <w:vAlign w:val="center"/>
          </w:tcPr>
          <w:p w14:paraId="4312B805">
            <w:pPr>
              <w:widowControl/>
              <w:spacing w:line="360" w:lineRule="auto"/>
              <w:jc w:val="center"/>
              <w:rPr>
                <w:rFonts w:ascii="宋体" w:hAnsi="宋体" w:cs="宋体"/>
              </w:rPr>
            </w:pPr>
            <w:r>
              <w:rPr>
                <w:rFonts w:hint="eastAsia" w:ascii="宋体" w:hAnsi="宋体" w:cs="宋体"/>
              </w:rPr>
              <w:t>电流谐波滤波器</w:t>
            </w:r>
          </w:p>
        </w:tc>
      </w:tr>
      <w:tr w14:paraId="59F03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67D1C9C">
            <w:pPr>
              <w:spacing w:line="360" w:lineRule="auto"/>
              <w:jc w:val="center"/>
              <w:rPr>
                <w:rFonts w:ascii="宋体" w:hAnsi="宋体" w:cs="宋体"/>
              </w:rPr>
            </w:pPr>
            <w:r>
              <w:rPr>
                <w:rFonts w:hint="eastAsia" w:ascii="宋体" w:hAnsi="宋体" w:cs="宋体"/>
              </w:rPr>
              <w:t>3</w:t>
            </w:r>
          </w:p>
        </w:tc>
        <w:tc>
          <w:tcPr>
            <w:tcW w:w="7191" w:type="dxa"/>
            <w:vAlign w:val="center"/>
          </w:tcPr>
          <w:p w14:paraId="04E9B6FA">
            <w:pPr>
              <w:widowControl/>
              <w:spacing w:line="360" w:lineRule="auto"/>
              <w:jc w:val="center"/>
              <w:rPr>
                <w:rFonts w:ascii="宋体" w:hAnsi="宋体" w:cs="宋体"/>
              </w:rPr>
            </w:pPr>
            <w:r>
              <w:rPr>
                <w:rFonts w:hint="eastAsia" w:ascii="宋体" w:hAnsi="宋体" w:cs="宋体"/>
              </w:rPr>
              <w:t>极限开关</w:t>
            </w:r>
          </w:p>
        </w:tc>
      </w:tr>
      <w:tr w14:paraId="6A0E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635DF766">
            <w:pPr>
              <w:spacing w:line="360" w:lineRule="auto"/>
              <w:jc w:val="center"/>
              <w:rPr>
                <w:rFonts w:ascii="宋体" w:hAnsi="宋体" w:cs="宋体"/>
              </w:rPr>
            </w:pPr>
            <w:r>
              <w:rPr>
                <w:rFonts w:hint="eastAsia" w:ascii="宋体" w:hAnsi="宋体" w:cs="宋体"/>
              </w:rPr>
              <w:t>4</w:t>
            </w:r>
          </w:p>
        </w:tc>
        <w:tc>
          <w:tcPr>
            <w:tcW w:w="7191" w:type="dxa"/>
            <w:vAlign w:val="center"/>
          </w:tcPr>
          <w:p w14:paraId="34383AA8">
            <w:pPr>
              <w:widowControl/>
              <w:spacing w:line="360" w:lineRule="auto"/>
              <w:jc w:val="center"/>
              <w:rPr>
                <w:rFonts w:ascii="宋体" w:hAnsi="宋体" w:cs="宋体"/>
              </w:rPr>
            </w:pPr>
            <w:r>
              <w:rPr>
                <w:rFonts w:hint="eastAsia" w:ascii="宋体" w:hAnsi="宋体" w:cs="宋体"/>
              </w:rPr>
              <w:t>强迫关门</w:t>
            </w:r>
          </w:p>
        </w:tc>
      </w:tr>
      <w:tr w14:paraId="3637D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FCB3B49">
            <w:pPr>
              <w:spacing w:line="360" w:lineRule="auto"/>
              <w:jc w:val="center"/>
              <w:rPr>
                <w:rFonts w:ascii="宋体" w:hAnsi="宋体" w:cs="宋体"/>
              </w:rPr>
            </w:pPr>
            <w:r>
              <w:rPr>
                <w:rFonts w:hint="eastAsia" w:ascii="宋体" w:hAnsi="宋体" w:cs="宋体"/>
              </w:rPr>
              <w:t>5</w:t>
            </w:r>
          </w:p>
        </w:tc>
        <w:tc>
          <w:tcPr>
            <w:tcW w:w="7191" w:type="dxa"/>
            <w:vAlign w:val="center"/>
          </w:tcPr>
          <w:p w14:paraId="4B12B7D2">
            <w:pPr>
              <w:widowControl/>
              <w:spacing w:line="360" w:lineRule="auto"/>
              <w:jc w:val="center"/>
              <w:rPr>
                <w:rFonts w:ascii="宋体" w:hAnsi="宋体" w:cs="宋体"/>
              </w:rPr>
            </w:pPr>
            <w:r>
              <w:rPr>
                <w:rFonts w:hint="eastAsia" w:ascii="宋体" w:hAnsi="宋体" w:cs="宋体"/>
              </w:rPr>
              <w:t>上行超速保护装置</w:t>
            </w:r>
          </w:p>
        </w:tc>
      </w:tr>
      <w:tr w14:paraId="56DF5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77DA339">
            <w:pPr>
              <w:spacing w:line="360" w:lineRule="auto"/>
              <w:jc w:val="center"/>
              <w:rPr>
                <w:rFonts w:ascii="宋体" w:hAnsi="宋体" w:cs="宋体"/>
              </w:rPr>
            </w:pPr>
            <w:r>
              <w:rPr>
                <w:rFonts w:hint="eastAsia" w:ascii="宋体" w:hAnsi="宋体" w:cs="宋体"/>
              </w:rPr>
              <w:t>6</w:t>
            </w:r>
          </w:p>
        </w:tc>
        <w:tc>
          <w:tcPr>
            <w:tcW w:w="7191" w:type="dxa"/>
            <w:vAlign w:val="center"/>
          </w:tcPr>
          <w:p w14:paraId="335CA8A9">
            <w:pPr>
              <w:widowControl/>
              <w:spacing w:line="360" w:lineRule="auto"/>
              <w:jc w:val="center"/>
              <w:rPr>
                <w:rFonts w:ascii="宋体" w:hAnsi="宋体" w:cs="宋体"/>
              </w:rPr>
            </w:pPr>
            <w:r>
              <w:rPr>
                <w:rFonts w:hint="eastAsia" w:ascii="宋体" w:hAnsi="宋体" w:cs="宋体"/>
              </w:rPr>
              <w:t>独立轿厢门和厅门定时</w:t>
            </w:r>
          </w:p>
        </w:tc>
      </w:tr>
      <w:tr w14:paraId="236E9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34C5AC73">
            <w:pPr>
              <w:spacing w:line="360" w:lineRule="auto"/>
              <w:jc w:val="center"/>
              <w:rPr>
                <w:rFonts w:ascii="宋体" w:hAnsi="宋体" w:cs="宋体"/>
              </w:rPr>
            </w:pPr>
            <w:r>
              <w:rPr>
                <w:rFonts w:hint="eastAsia" w:ascii="宋体" w:hAnsi="宋体" w:cs="宋体"/>
              </w:rPr>
              <w:t>7</w:t>
            </w:r>
          </w:p>
        </w:tc>
        <w:tc>
          <w:tcPr>
            <w:tcW w:w="7191" w:type="dxa"/>
            <w:vAlign w:val="center"/>
          </w:tcPr>
          <w:p w14:paraId="4A4C5A61">
            <w:pPr>
              <w:widowControl/>
              <w:spacing w:line="360" w:lineRule="auto"/>
              <w:jc w:val="center"/>
              <w:rPr>
                <w:rFonts w:ascii="宋体" w:hAnsi="宋体" w:cs="宋体"/>
              </w:rPr>
            </w:pPr>
            <w:r>
              <w:rPr>
                <w:rFonts w:hint="eastAsia" w:ascii="宋体" w:hAnsi="宋体" w:cs="宋体"/>
              </w:rPr>
              <w:t>限速器涨紧开关</w:t>
            </w:r>
          </w:p>
        </w:tc>
      </w:tr>
      <w:tr w14:paraId="3575F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DF5F4A5">
            <w:pPr>
              <w:spacing w:line="360" w:lineRule="auto"/>
              <w:jc w:val="center"/>
              <w:rPr>
                <w:rFonts w:ascii="宋体" w:hAnsi="宋体" w:cs="宋体"/>
              </w:rPr>
            </w:pPr>
            <w:r>
              <w:rPr>
                <w:rFonts w:hint="eastAsia" w:ascii="宋体" w:hAnsi="宋体" w:cs="宋体"/>
              </w:rPr>
              <w:t>8</w:t>
            </w:r>
          </w:p>
        </w:tc>
        <w:tc>
          <w:tcPr>
            <w:tcW w:w="7191" w:type="dxa"/>
            <w:vAlign w:val="center"/>
          </w:tcPr>
          <w:p w14:paraId="38E82E25">
            <w:pPr>
              <w:widowControl/>
              <w:spacing w:line="360" w:lineRule="auto"/>
              <w:jc w:val="center"/>
              <w:rPr>
                <w:rFonts w:ascii="宋体" w:hAnsi="宋体" w:cs="宋体"/>
              </w:rPr>
            </w:pPr>
            <w:r>
              <w:rPr>
                <w:rFonts w:hint="eastAsia" w:ascii="宋体" w:hAnsi="宋体" w:cs="宋体"/>
              </w:rPr>
              <w:t>主断路器</w:t>
            </w:r>
          </w:p>
        </w:tc>
      </w:tr>
      <w:tr w14:paraId="5FD85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4A959A9">
            <w:pPr>
              <w:spacing w:line="360" w:lineRule="auto"/>
              <w:jc w:val="center"/>
              <w:rPr>
                <w:rFonts w:ascii="宋体" w:hAnsi="宋体" w:cs="宋体"/>
              </w:rPr>
            </w:pPr>
            <w:r>
              <w:rPr>
                <w:rFonts w:hint="eastAsia" w:ascii="宋体" w:hAnsi="宋体" w:cs="宋体"/>
              </w:rPr>
              <w:t>9</w:t>
            </w:r>
          </w:p>
        </w:tc>
        <w:tc>
          <w:tcPr>
            <w:tcW w:w="7191" w:type="dxa"/>
            <w:vAlign w:val="center"/>
          </w:tcPr>
          <w:p w14:paraId="398A0107">
            <w:pPr>
              <w:widowControl/>
              <w:spacing w:line="360" w:lineRule="auto"/>
              <w:jc w:val="center"/>
              <w:rPr>
                <w:rFonts w:ascii="宋体" w:hAnsi="宋体" w:cs="宋体"/>
              </w:rPr>
            </w:pPr>
            <w:r>
              <w:rPr>
                <w:rFonts w:hint="eastAsia" w:ascii="宋体" w:hAnsi="宋体" w:cs="宋体"/>
              </w:rPr>
              <w:t>提前开门</w:t>
            </w:r>
          </w:p>
        </w:tc>
      </w:tr>
      <w:tr w14:paraId="71A85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C5A1E3E">
            <w:pPr>
              <w:spacing w:line="360" w:lineRule="auto"/>
              <w:jc w:val="center"/>
              <w:rPr>
                <w:rFonts w:ascii="宋体" w:hAnsi="宋体" w:cs="宋体"/>
              </w:rPr>
            </w:pPr>
            <w:r>
              <w:rPr>
                <w:rFonts w:hint="eastAsia" w:ascii="宋体" w:hAnsi="宋体" w:cs="宋体"/>
              </w:rPr>
              <w:t>10</w:t>
            </w:r>
          </w:p>
        </w:tc>
        <w:tc>
          <w:tcPr>
            <w:tcW w:w="7191" w:type="dxa"/>
            <w:vAlign w:val="center"/>
          </w:tcPr>
          <w:p w14:paraId="7E60F1A3">
            <w:pPr>
              <w:widowControl/>
              <w:spacing w:line="360" w:lineRule="auto"/>
              <w:jc w:val="center"/>
              <w:rPr>
                <w:rFonts w:ascii="宋体" w:hAnsi="宋体" w:cs="宋体"/>
              </w:rPr>
            </w:pPr>
            <w:r>
              <w:rPr>
                <w:rFonts w:hint="eastAsia" w:ascii="宋体" w:hAnsi="宋体" w:cs="宋体"/>
              </w:rPr>
              <w:t>轿厢位置指示器</w:t>
            </w:r>
          </w:p>
        </w:tc>
      </w:tr>
      <w:tr w14:paraId="364A8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6AFFF19">
            <w:pPr>
              <w:spacing w:line="360" w:lineRule="auto"/>
              <w:jc w:val="center"/>
              <w:rPr>
                <w:rFonts w:ascii="宋体" w:hAnsi="宋体" w:cs="宋体"/>
              </w:rPr>
            </w:pPr>
            <w:r>
              <w:rPr>
                <w:rFonts w:hint="eastAsia" w:ascii="宋体" w:hAnsi="宋体" w:cs="宋体"/>
              </w:rPr>
              <w:t>11</w:t>
            </w:r>
          </w:p>
        </w:tc>
        <w:tc>
          <w:tcPr>
            <w:tcW w:w="7191" w:type="dxa"/>
            <w:vAlign w:val="center"/>
          </w:tcPr>
          <w:p w14:paraId="1E90DB38">
            <w:pPr>
              <w:widowControl/>
              <w:spacing w:line="360" w:lineRule="auto"/>
              <w:jc w:val="center"/>
              <w:rPr>
                <w:rFonts w:ascii="宋体" w:hAnsi="宋体" w:cs="宋体"/>
              </w:rPr>
            </w:pPr>
            <w:r>
              <w:rPr>
                <w:rFonts w:hint="eastAsia" w:ascii="宋体" w:hAnsi="宋体" w:cs="宋体"/>
              </w:rPr>
              <w:t>井道安全检测</w:t>
            </w:r>
          </w:p>
        </w:tc>
      </w:tr>
      <w:tr w14:paraId="5DB0C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6161429C">
            <w:pPr>
              <w:spacing w:line="360" w:lineRule="auto"/>
              <w:jc w:val="center"/>
              <w:rPr>
                <w:rFonts w:ascii="宋体" w:hAnsi="宋体" w:cs="宋体"/>
              </w:rPr>
            </w:pPr>
            <w:r>
              <w:rPr>
                <w:rFonts w:hint="eastAsia" w:ascii="宋体" w:hAnsi="宋体" w:cs="宋体"/>
              </w:rPr>
              <w:t>12</w:t>
            </w:r>
          </w:p>
        </w:tc>
        <w:tc>
          <w:tcPr>
            <w:tcW w:w="7191" w:type="dxa"/>
            <w:vAlign w:val="center"/>
          </w:tcPr>
          <w:p w14:paraId="43677E0E">
            <w:pPr>
              <w:widowControl/>
              <w:spacing w:line="360" w:lineRule="auto"/>
              <w:jc w:val="center"/>
              <w:rPr>
                <w:rFonts w:ascii="宋体" w:hAnsi="宋体" w:cs="宋体"/>
              </w:rPr>
            </w:pPr>
            <w:r>
              <w:rPr>
                <w:rFonts w:hint="eastAsia" w:ascii="宋体" w:hAnsi="宋体" w:cs="宋体"/>
              </w:rPr>
              <w:t>超载不启动</w:t>
            </w:r>
          </w:p>
        </w:tc>
      </w:tr>
      <w:tr w14:paraId="223C6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168B711">
            <w:pPr>
              <w:spacing w:line="360" w:lineRule="auto"/>
              <w:jc w:val="center"/>
              <w:rPr>
                <w:rFonts w:ascii="宋体" w:hAnsi="宋体" w:cs="宋体"/>
              </w:rPr>
            </w:pPr>
            <w:r>
              <w:rPr>
                <w:rFonts w:hint="eastAsia" w:ascii="宋体" w:hAnsi="宋体" w:cs="宋体"/>
              </w:rPr>
              <w:t>13</w:t>
            </w:r>
          </w:p>
        </w:tc>
        <w:tc>
          <w:tcPr>
            <w:tcW w:w="7191" w:type="dxa"/>
            <w:vAlign w:val="center"/>
          </w:tcPr>
          <w:p w14:paraId="25B36C9B">
            <w:pPr>
              <w:widowControl/>
              <w:spacing w:line="360" w:lineRule="auto"/>
              <w:jc w:val="center"/>
              <w:rPr>
                <w:rFonts w:ascii="宋体" w:hAnsi="宋体" w:cs="宋体"/>
              </w:rPr>
            </w:pPr>
            <w:r>
              <w:rPr>
                <w:rFonts w:hint="eastAsia" w:ascii="宋体" w:hAnsi="宋体" w:cs="宋体"/>
              </w:rPr>
              <w:t>轿厢警铃</w:t>
            </w:r>
          </w:p>
        </w:tc>
      </w:tr>
      <w:tr w14:paraId="7CE54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7714BF5">
            <w:pPr>
              <w:spacing w:line="360" w:lineRule="auto"/>
              <w:jc w:val="center"/>
              <w:rPr>
                <w:rFonts w:ascii="宋体" w:hAnsi="宋体" w:cs="宋体"/>
              </w:rPr>
            </w:pPr>
            <w:r>
              <w:rPr>
                <w:rFonts w:hint="eastAsia" w:ascii="宋体" w:hAnsi="宋体" w:cs="宋体"/>
              </w:rPr>
              <w:t>14</w:t>
            </w:r>
          </w:p>
        </w:tc>
        <w:tc>
          <w:tcPr>
            <w:tcW w:w="7191" w:type="dxa"/>
            <w:vAlign w:val="center"/>
          </w:tcPr>
          <w:p w14:paraId="2922D604">
            <w:pPr>
              <w:widowControl/>
              <w:spacing w:line="360" w:lineRule="auto"/>
              <w:jc w:val="center"/>
              <w:rPr>
                <w:rFonts w:ascii="宋体" w:hAnsi="宋体" w:cs="宋体"/>
              </w:rPr>
            </w:pPr>
            <w:r>
              <w:rPr>
                <w:rFonts w:hint="eastAsia" w:ascii="宋体" w:hAnsi="宋体" w:cs="宋体"/>
              </w:rPr>
              <w:t>轿厢信号灯</w:t>
            </w:r>
          </w:p>
        </w:tc>
      </w:tr>
      <w:tr w14:paraId="1DE04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42FC74DC">
            <w:pPr>
              <w:spacing w:line="360" w:lineRule="auto"/>
              <w:jc w:val="center"/>
              <w:rPr>
                <w:rFonts w:ascii="宋体" w:hAnsi="宋体" w:cs="宋体"/>
              </w:rPr>
            </w:pPr>
            <w:r>
              <w:rPr>
                <w:rFonts w:hint="eastAsia" w:ascii="宋体" w:hAnsi="宋体" w:cs="宋体"/>
              </w:rPr>
              <w:t>15</w:t>
            </w:r>
          </w:p>
        </w:tc>
        <w:tc>
          <w:tcPr>
            <w:tcW w:w="7191" w:type="dxa"/>
            <w:vAlign w:val="center"/>
          </w:tcPr>
          <w:p w14:paraId="64A91FED">
            <w:pPr>
              <w:widowControl/>
              <w:spacing w:line="360" w:lineRule="auto"/>
              <w:jc w:val="center"/>
              <w:rPr>
                <w:rFonts w:ascii="宋体" w:hAnsi="宋体" w:cs="宋体"/>
              </w:rPr>
            </w:pPr>
            <w:r>
              <w:rPr>
                <w:rFonts w:hint="eastAsia" w:ascii="宋体" w:hAnsi="宋体" w:cs="宋体"/>
              </w:rPr>
              <w:t>大厅位置指示器</w:t>
            </w:r>
          </w:p>
        </w:tc>
      </w:tr>
      <w:tr w14:paraId="084B8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4F3750B7">
            <w:pPr>
              <w:widowControl/>
              <w:spacing w:line="360" w:lineRule="auto"/>
              <w:jc w:val="center"/>
              <w:rPr>
                <w:rFonts w:ascii="宋体" w:hAnsi="宋体" w:cs="宋体"/>
              </w:rPr>
            </w:pPr>
            <w:r>
              <w:rPr>
                <w:rFonts w:hint="eastAsia" w:ascii="宋体" w:hAnsi="宋体" w:cs="宋体"/>
              </w:rPr>
              <w:t>16</w:t>
            </w:r>
          </w:p>
        </w:tc>
        <w:tc>
          <w:tcPr>
            <w:tcW w:w="7191" w:type="dxa"/>
            <w:vAlign w:val="center"/>
          </w:tcPr>
          <w:p w14:paraId="5CCBC974">
            <w:pPr>
              <w:widowControl/>
              <w:spacing w:line="360" w:lineRule="auto"/>
              <w:jc w:val="center"/>
              <w:rPr>
                <w:rFonts w:ascii="宋体" w:hAnsi="宋体" w:cs="宋体"/>
              </w:rPr>
            </w:pPr>
            <w:r>
              <w:rPr>
                <w:rFonts w:hint="eastAsia" w:ascii="宋体" w:hAnsi="宋体" w:cs="宋体"/>
              </w:rPr>
              <w:t>限速器超速开关</w:t>
            </w:r>
          </w:p>
        </w:tc>
      </w:tr>
      <w:tr w14:paraId="6F4CC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766DE16F">
            <w:pPr>
              <w:widowControl/>
              <w:spacing w:line="360" w:lineRule="auto"/>
              <w:jc w:val="center"/>
              <w:rPr>
                <w:rFonts w:ascii="宋体" w:hAnsi="宋体" w:cs="宋体"/>
              </w:rPr>
            </w:pPr>
            <w:r>
              <w:rPr>
                <w:rFonts w:hint="eastAsia" w:ascii="宋体" w:hAnsi="宋体" w:cs="宋体"/>
              </w:rPr>
              <w:t>17</w:t>
            </w:r>
          </w:p>
        </w:tc>
        <w:tc>
          <w:tcPr>
            <w:tcW w:w="7191" w:type="dxa"/>
            <w:vAlign w:val="center"/>
          </w:tcPr>
          <w:p w14:paraId="15489D26">
            <w:pPr>
              <w:widowControl/>
              <w:spacing w:line="360" w:lineRule="auto"/>
              <w:jc w:val="center"/>
              <w:rPr>
                <w:rFonts w:ascii="宋体" w:hAnsi="宋体" w:cs="宋体"/>
              </w:rPr>
            </w:pPr>
            <w:r>
              <w:rPr>
                <w:rFonts w:hint="eastAsia" w:ascii="宋体" w:hAnsi="宋体" w:cs="宋体"/>
              </w:rPr>
              <w:t>防捣乱操作</w:t>
            </w:r>
          </w:p>
        </w:tc>
      </w:tr>
      <w:tr w14:paraId="000E2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9A71996">
            <w:pPr>
              <w:widowControl/>
              <w:spacing w:line="360" w:lineRule="auto"/>
              <w:jc w:val="center"/>
              <w:rPr>
                <w:rFonts w:ascii="宋体" w:hAnsi="宋体" w:cs="宋体"/>
              </w:rPr>
            </w:pPr>
            <w:r>
              <w:rPr>
                <w:rFonts w:hint="eastAsia" w:ascii="宋体" w:hAnsi="宋体" w:cs="宋体"/>
              </w:rPr>
              <w:t>18</w:t>
            </w:r>
          </w:p>
        </w:tc>
        <w:tc>
          <w:tcPr>
            <w:tcW w:w="7191" w:type="dxa"/>
            <w:vAlign w:val="center"/>
          </w:tcPr>
          <w:p w14:paraId="51528A90">
            <w:pPr>
              <w:widowControl/>
              <w:spacing w:line="360" w:lineRule="auto"/>
              <w:jc w:val="center"/>
              <w:rPr>
                <w:rFonts w:ascii="宋体" w:hAnsi="宋体" w:cs="宋体"/>
              </w:rPr>
            </w:pPr>
            <w:r>
              <w:rPr>
                <w:rFonts w:hint="eastAsia" w:ascii="宋体" w:hAnsi="宋体" w:cs="宋体"/>
              </w:rPr>
              <w:t>大厅呼梯登记</w:t>
            </w:r>
          </w:p>
        </w:tc>
      </w:tr>
      <w:tr w14:paraId="07DF3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43E9492E">
            <w:pPr>
              <w:widowControl/>
              <w:spacing w:line="360" w:lineRule="auto"/>
              <w:jc w:val="center"/>
              <w:rPr>
                <w:rFonts w:ascii="宋体" w:hAnsi="宋体" w:cs="宋体"/>
              </w:rPr>
            </w:pPr>
            <w:r>
              <w:rPr>
                <w:rFonts w:hint="eastAsia" w:ascii="宋体" w:hAnsi="宋体" w:cs="宋体"/>
              </w:rPr>
              <w:t>19</w:t>
            </w:r>
          </w:p>
        </w:tc>
        <w:tc>
          <w:tcPr>
            <w:tcW w:w="7191" w:type="dxa"/>
            <w:vAlign w:val="center"/>
          </w:tcPr>
          <w:p w14:paraId="45909E51">
            <w:pPr>
              <w:widowControl/>
              <w:spacing w:line="360" w:lineRule="auto"/>
              <w:jc w:val="center"/>
              <w:rPr>
                <w:rFonts w:ascii="宋体" w:hAnsi="宋体" w:cs="宋体"/>
              </w:rPr>
            </w:pPr>
            <w:r>
              <w:rPr>
                <w:rFonts w:hint="eastAsia" w:ascii="宋体" w:hAnsi="宋体" w:cs="宋体"/>
              </w:rPr>
              <w:t>轿厢自动返回设备</w:t>
            </w:r>
          </w:p>
        </w:tc>
      </w:tr>
      <w:tr w14:paraId="33174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3D951C9">
            <w:pPr>
              <w:widowControl/>
              <w:spacing w:line="360" w:lineRule="auto"/>
              <w:jc w:val="center"/>
              <w:rPr>
                <w:rFonts w:ascii="宋体" w:hAnsi="宋体" w:cs="宋体"/>
              </w:rPr>
            </w:pPr>
            <w:r>
              <w:rPr>
                <w:rFonts w:hint="eastAsia" w:ascii="宋体" w:hAnsi="宋体" w:cs="宋体"/>
              </w:rPr>
              <w:t>20</w:t>
            </w:r>
          </w:p>
        </w:tc>
        <w:tc>
          <w:tcPr>
            <w:tcW w:w="7191" w:type="dxa"/>
            <w:vAlign w:val="center"/>
          </w:tcPr>
          <w:p w14:paraId="2550F356">
            <w:pPr>
              <w:widowControl/>
              <w:spacing w:line="360" w:lineRule="auto"/>
              <w:jc w:val="center"/>
              <w:rPr>
                <w:rFonts w:ascii="宋体" w:hAnsi="宋体" w:cs="宋体"/>
              </w:rPr>
            </w:pPr>
            <w:r>
              <w:rPr>
                <w:rFonts w:hint="eastAsia" w:ascii="宋体" w:hAnsi="宋体" w:cs="宋体"/>
              </w:rPr>
              <w:t>延时驱动保护</w:t>
            </w:r>
          </w:p>
        </w:tc>
      </w:tr>
      <w:tr w14:paraId="75802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11BE952">
            <w:pPr>
              <w:widowControl/>
              <w:spacing w:line="360" w:lineRule="auto"/>
              <w:jc w:val="center"/>
              <w:rPr>
                <w:rFonts w:ascii="宋体" w:hAnsi="宋体" w:cs="宋体"/>
              </w:rPr>
            </w:pPr>
            <w:r>
              <w:rPr>
                <w:rFonts w:hint="eastAsia" w:ascii="宋体" w:hAnsi="宋体" w:cs="宋体"/>
              </w:rPr>
              <w:t>21</w:t>
            </w:r>
          </w:p>
        </w:tc>
        <w:tc>
          <w:tcPr>
            <w:tcW w:w="7191" w:type="dxa"/>
            <w:vAlign w:val="center"/>
          </w:tcPr>
          <w:p w14:paraId="18DDC5DD">
            <w:pPr>
              <w:widowControl/>
              <w:spacing w:line="360" w:lineRule="auto"/>
              <w:jc w:val="center"/>
              <w:rPr>
                <w:rFonts w:ascii="宋体" w:hAnsi="宋体" w:cs="宋体"/>
              </w:rPr>
            </w:pPr>
            <w:r>
              <w:rPr>
                <w:rFonts w:hint="eastAsia" w:ascii="宋体" w:hAnsi="宋体" w:cs="宋体"/>
              </w:rPr>
              <w:t>快速开门</w:t>
            </w:r>
          </w:p>
        </w:tc>
      </w:tr>
      <w:tr w14:paraId="3574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BEE2A78">
            <w:pPr>
              <w:widowControl/>
              <w:spacing w:line="360" w:lineRule="auto"/>
              <w:jc w:val="center"/>
              <w:rPr>
                <w:rFonts w:ascii="宋体" w:hAnsi="宋体" w:cs="宋体"/>
              </w:rPr>
            </w:pPr>
            <w:r>
              <w:rPr>
                <w:rFonts w:hint="eastAsia" w:ascii="宋体" w:hAnsi="宋体" w:cs="宋体"/>
              </w:rPr>
              <w:t>22</w:t>
            </w:r>
          </w:p>
        </w:tc>
        <w:tc>
          <w:tcPr>
            <w:tcW w:w="7191" w:type="dxa"/>
            <w:vAlign w:val="center"/>
          </w:tcPr>
          <w:p w14:paraId="77A8FE4D">
            <w:pPr>
              <w:widowControl/>
              <w:spacing w:line="360" w:lineRule="auto"/>
              <w:jc w:val="center"/>
              <w:rPr>
                <w:rFonts w:ascii="宋体" w:hAnsi="宋体" w:cs="宋体"/>
              </w:rPr>
            </w:pPr>
            <w:r>
              <w:rPr>
                <w:rFonts w:hint="eastAsia" w:ascii="宋体" w:hAnsi="宋体" w:cs="宋体"/>
              </w:rPr>
              <w:t>五方对讲系统</w:t>
            </w:r>
          </w:p>
        </w:tc>
      </w:tr>
      <w:tr w14:paraId="0D285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A3A44FF">
            <w:pPr>
              <w:widowControl/>
              <w:spacing w:line="360" w:lineRule="auto"/>
              <w:jc w:val="center"/>
              <w:rPr>
                <w:rFonts w:ascii="宋体" w:hAnsi="宋体" w:cs="宋体"/>
              </w:rPr>
            </w:pPr>
            <w:r>
              <w:rPr>
                <w:rFonts w:hint="eastAsia" w:ascii="宋体" w:hAnsi="宋体" w:cs="宋体"/>
              </w:rPr>
              <w:t>23</w:t>
            </w:r>
          </w:p>
        </w:tc>
        <w:tc>
          <w:tcPr>
            <w:tcW w:w="7191" w:type="dxa"/>
            <w:vAlign w:val="center"/>
          </w:tcPr>
          <w:p w14:paraId="61CEA09B">
            <w:pPr>
              <w:widowControl/>
              <w:spacing w:line="360" w:lineRule="auto"/>
              <w:jc w:val="center"/>
              <w:rPr>
                <w:rFonts w:ascii="宋体" w:hAnsi="宋体" w:cs="宋体"/>
              </w:rPr>
            </w:pPr>
            <w:r>
              <w:rPr>
                <w:rFonts w:hint="eastAsia" w:ascii="宋体" w:hAnsi="宋体" w:cs="宋体"/>
              </w:rPr>
              <w:t>单相轿厢灯电源开关</w:t>
            </w:r>
          </w:p>
        </w:tc>
      </w:tr>
      <w:tr w14:paraId="64495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6991445">
            <w:pPr>
              <w:widowControl/>
              <w:spacing w:line="360" w:lineRule="auto"/>
              <w:jc w:val="center"/>
              <w:rPr>
                <w:rFonts w:ascii="宋体" w:hAnsi="宋体" w:cs="宋体"/>
              </w:rPr>
            </w:pPr>
            <w:r>
              <w:rPr>
                <w:rFonts w:hint="eastAsia" w:ascii="宋体" w:hAnsi="宋体" w:cs="宋体"/>
              </w:rPr>
              <w:t>24</w:t>
            </w:r>
          </w:p>
        </w:tc>
        <w:tc>
          <w:tcPr>
            <w:tcW w:w="7191" w:type="dxa"/>
            <w:vAlign w:val="center"/>
          </w:tcPr>
          <w:p w14:paraId="0F1C1029">
            <w:pPr>
              <w:widowControl/>
              <w:spacing w:line="360" w:lineRule="auto"/>
              <w:jc w:val="center"/>
              <w:rPr>
                <w:rFonts w:ascii="宋体" w:hAnsi="宋体" w:cs="宋体"/>
              </w:rPr>
            </w:pPr>
            <w:r>
              <w:rPr>
                <w:rFonts w:hint="eastAsia" w:ascii="宋体" w:hAnsi="宋体" w:cs="宋体"/>
              </w:rPr>
              <w:t>地下室服务</w:t>
            </w:r>
          </w:p>
        </w:tc>
      </w:tr>
      <w:tr w14:paraId="098C3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6ED7E81">
            <w:pPr>
              <w:widowControl/>
              <w:spacing w:line="360" w:lineRule="auto"/>
              <w:jc w:val="center"/>
              <w:rPr>
                <w:rFonts w:ascii="宋体" w:hAnsi="宋体" w:cs="宋体"/>
              </w:rPr>
            </w:pPr>
            <w:r>
              <w:rPr>
                <w:rFonts w:hint="eastAsia" w:ascii="宋体" w:hAnsi="宋体" w:cs="宋体"/>
              </w:rPr>
              <w:t>25</w:t>
            </w:r>
          </w:p>
        </w:tc>
        <w:tc>
          <w:tcPr>
            <w:tcW w:w="7191" w:type="dxa"/>
            <w:vAlign w:val="center"/>
          </w:tcPr>
          <w:p w14:paraId="7DC7669A">
            <w:pPr>
              <w:widowControl/>
              <w:spacing w:line="360" w:lineRule="auto"/>
              <w:jc w:val="center"/>
              <w:rPr>
                <w:rFonts w:ascii="宋体" w:hAnsi="宋体" w:cs="宋体"/>
              </w:rPr>
            </w:pPr>
            <w:r>
              <w:rPr>
                <w:rFonts w:hint="eastAsia" w:ascii="宋体" w:hAnsi="宋体" w:cs="宋体"/>
              </w:rPr>
              <w:t>厅门旁路操作</w:t>
            </w:r>
          </w:p>
        </w:tc>
      </w:tr>
      <w:tr w14:paraId="01F77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8F89637">
            <w:pPr>
              <w:widowControl/>
              <w:spacing w:line="360" w:lineRule="auto"/>
              <w:jc w:val="center"/>
              <w:rPr>
                <w:rFonts w:ascii="宋体" w:hAnsi="宋体" w:cs="宋体"/>
              </w:rPr>
            </w:pPr>
            <w:r>
              <w:rPr>
                <w:rFonts w:hint="eastAsia" w:ascii="宋体" w:hAnsi="宋体" w:cs="宋体"/>
              </w:rPr>
              <w:t>26</w:t>
            </w:r>
          </w:p>
        </w:tc>
        <w:tc>
          <w:tcPr>
            <w:tcW w:w="7191" w:type="dxa"/>
            <w:vAlign w:val="center"/>
          </w:tcPr>
          <w:p w14:paraId="0438B060">
            <w:pPr>
              <w:widowControl/>
              <w:spacing w:line="360" w:lineRule="auto"/>
              <w:jc w:val="center"/>
              <w:rPr>
                <w:rFonts w:ascii="宋体" w:hAnsi="宋体" w:cs="宋体"/>
              </w:rPr>
            </w:pPr>
            <w:r>
              <w:rPr>
                <w:rFonts w:hint="eastAsia" w:ascii="宋体" w:hAnsi="宋体" w:cs="宋体"/>
              </w:rPr>
              <w:t>安全钳超速开关</w:t>
            </w:r>
          </w:p>
        </w:tc>
      </w:tr>
      <w:tr w14:paraId="4AB81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427E4CAC">
            <w:pPr>
              <w:widowControl/>
              <w:spacing w:line="360" w:lineRule="auto"/>
              <w:jc w:val="center"/>
              <w:rPr>
                <w:rFonts w:ascii="宋体" w:hAnsi="宋体" w:cs="宋体"/>
              </w:rPr>
            </w:pPr>
            <w:r>
              <w:rPr>
                <w:rFonts w:hint="eastAsia" w:ascii="宋体" w:hAnsi="宋体" w:cs="宋体"/>
              </w:rPr>
              <w:t>27</w:t>
            </w:r>
          </w:p>
        </w:tc>
        <w:tc>
          <w:tcPr>
            <w:tcW w:w="7191" w:type="dxa"/>
            <w:vAlign w:val="center"/>
          </w:tcPr>
          <w:p w14:paraId="0CB3F43B">
            <w:pPr>
              <w:widowControl/>
              <w:spacing w:line="360" w:lineRule="auto"/>
              <w:jc w:val="center"/>
              <w:rPr>
                <w:rFonts w:ascii="宋体" w:hAnsi="宋体" w:cs="宋体"/>
              </w:rPr>
            </w:pPr>
            <w:r>
              <w:rPr>
                <w:rFonts w:hint="eastAsia" w:ascii="宋体" w:hAnsi="宋体" w:cs="宋体"/>
              </w:rPr>
              <w:t>轿厢呼叫取消</w:t>
            </w:r>
          </w:p>
        </w:tc>
      </w:tr>
      <w:tr w14:paraId="35801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336DFE5">
            <w:pPr>
              <w:widowControl/>
              <w:spacing w:line="360" w:lineRule="auto"/>
              <w:jc w:val="center"/>
              <w:rPr>
                <w:rFonts w:ascii="宋体" w:hAnsi="宋体" w:cs="宋体"/>
              </w:rPr>
            </w:pPr>
            <w:r>
              <w:rPr>
                <w:rFonts w:hint="eastAsia" w:ascii="宋体" w:hAnsi="宋体" w:cs="宋体"/>
              </w:rPr>
              <w:t>28</w:t>
            </w:r>
          </w:p>
        </w:tc>
        <w:tc>
          <w:tcPr>
            <w:tcW w:w="7191" w:type="dxa"/>
            <w:vAlign w:val="center"/>
          </w:tcPr>
          <w:p w14:paraId="4A9D4B63">
            <w:pPr>
              <w:widowControl/>
              <w:spacing w:line="360" w:lineRule="auto"/>
              <w:jc w:val="center"/>
              <w:rPr>
                <w:rFonts w:ascii="宋体" w:hAnsi="宋体" w:cs="宋体"/>
              </w:rPr>
            </w:pPr>
            <w:r>
              <w:rPr>
                <w:rFonts w:hint="eastAsia" w:ascii="宋体" w:hAnsi="宋体" w:cs="宋体"/>
              </w:rPr>
              <w:t>数字编码器</w:t>
            </w:r>
          </w:p>
        </w:tc>
      </w:tr>
      <w:tr w14:paraId="5583D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4B8B366">
            <w:pPr>
              <w:widowControl/>
              <w:spacing w:line="360" w:lineRule="auto"/>
              <w:jc w:val="center"/>
              <w:rPr>
                <w:rFonts w:ascii="宋体" w:hAnsi="宋体" w:cs="宋体"/>
              </w:rPr>
            </w:pPr>
            <w:r>
              <w:rPr>
                <w:rFonts w:hint="eastAsia" w:ascii="宋体" w:hAnsi="宋体" w:cs="宋体"/>
              </w:rPr>
              <w:t>2</w:t>
            </w:r>
            <w:r>
              <w:rPr>
                <w:rFonts w:ascii="宋体" w:hAnsi="宋体" w:cs="宋体"/>
              </w:rPr>
              <w:t>9</w:t>
            </w:r>
          </w:p>
        </w:tc>
        <w:tc>
          <w:tcPr>
            <w:tcW w:w="7191" w:type="dxa"/>
            <w:vAlign w:val="center"/>
          </w:tcPr>
          <w:p w14:paraId="5CC1A471">
            <w:pPr>
              <w:widowControl/>
              <w:spacing w:line="360" w:lineRule="auto"/>
              <w:jc w:val="center"/>
              <w:rPr>
                <w:rFonts w:ascii="宋体" w:hAnsi="宋体" w:cs="宋体"/>
              </w:rPr>
            </w:pPr>
            <w:r>
              <w:rPr>
                <w:rFonts w:hint="eastAsia" w:ascii="宋体" w:hAnsi="宋体" w:cs="宋体"/>
              </w:rPr>
              <w:t>门定时保护</w:t>
            </w:r>
          </w:p>
        </w:tc>
      </w:tr>
      <w:tr w14:paraId="06042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242B734">
            <w:pPr>
              <w:widowControl/>
              <w:spacing w:line="360" w:lineRule="auto"/>
              <w:jc w:val="center"/>
              <w:rPr>
                <w:rFonts w:ascii="宋体" w:hAnsi="宋体" w:cs="宋体"/>
              </w:rPr>
            </w:pPr>
            <w:r>
              <w:rPr>
                <w:rFonts w:hint="eastAsia" w:ascii="宋体" w:hAnsi="宋体" w:cs="宋体"/>
              </w:rPr>
              <w:t>3</w:t>
            </w:r>
            <w:r>
              <w:rPr>
                <w:rFonts w:ascii="宋体" w:hAnsi="宋体" w:cs="宋体"/>
              </w:rPr>
              <w:t>0</w:t>
            </w:r>
          </w:p>
        </w:tc>
        <w:tc>
          <w:tcPr>
            <w:tcW w:w="7191" w:type="dxa"/>
            <w:vAlign w:val="center"/>
          </w:tcPr>
          <w:p w14:paraId="2552EFDC">
            <w:pPr>
              <w:widowControl/>
              <w:spacing w:line="360" w:lineRule="auto"/>
              <w:jc w:val="center"/>
              <w:rPr>
                <w:rFonts w:ascii="宋体" w:hAnsi="宋体" w:cs="宋体"/>
              </w:rPr>
            </w:pPr>
            <w:r>
              <w:rPr>
                <w:rFonts w:hint="eastAsia" w:ascii="宋体" w:hAnsi="宋体" w:cs="宋体"/>
              </w:rPr>
              <w:t>错相或缺相保护</w:t>
            </w:r>
          </w:p>
        </w:tc>
      </w:tr>
      <w:tr w14:paraId="453C3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3A9DDCE8">
            <w:pPr>
              <w:widowControl/>
              <w:spacing w:line="360" w:lineRule="auto"/>
              <w:jc w:val="center"/>
              <w:rPr>
                <w:rFonts w:ascii="宋体" w:hAnsi="宋体" w:cs="宋体"/>
              </w:rPr>
            </w:pPr>
            <w:r>
              <w:rPr>
                <w:rFonts w:hint="eastAsia" w:ascii="宋体" w:hAnsi="宋体" w:cs="宋体"/>
              </w:rPr>
              <w:t>3</w:t>
            </w:r>
            <w:r>
              <w:rPr>
                <w:rFonts w:ascii="宋体" w:hAnsi="宋体" w:cs="宋体"/>
              </w:rPr>
              <w:t>1</w:t>
            </w:r>
          </w:p>
        </w:tc>
        <w:tc>
          <w:tcPr>
            <w:tcW w:w="7191" w:type="dxa"/>
            <w:vAlign w:val="center"/>
          </w:tcPr>
          <w:p w14:paraId="681B8794">
            <w:pPr>
              <w:widowControl/>
              <w:spacing w:line="360" w:lineRule="auto"/>
              <w:jc w:val="center"/>
              <w:rPr>
                <w:rFonts w:ascii="宋体" w:hAnsi="宋体" w:cs="宋体"/>
              </w:rPr>
            </w:pPr>
            <w:r>
              <w:rPr>
                <w:rFonts w:hint="eastAsia" w:ascii="宋体" w:hAnsi="宋体" w:cs="宋体"/>
              </w:rPr>
              <w:t>门区指示灯</w:t>
            </w:r>
          </w:p>
        </w:tc>
      </w:tr>
      <w:tr w14:paraId="7269D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A791EB6">
            <w:pPr>
              <w:widowControl/>
              <w:spacing w:line="360" w:lineRule="auto"/>
              <w:jc w:val="center"/>
              <w:rPr>
                <w:rFonts w:ascii="宋体" w:hAnsi="宋体" w:cs="宋体"/>
              </w:rPr>
            </w:pPr>
            <w:r>
              <w:rPr>
                <w:rFonts w:hint="eastAsia" w:ascii="宋体" w:hAnsi="宋体" w:cs="宋体"/>
              </w:rPr>
              <w:t>3</w:t>
            </w:r>
            <w:r>
              <w:rPr>
                <w:rFonts w:ascii="宋体" w:hAnsi="宋体" w:cs="宋体"/>
              </w:rPr>
              <w:t>2</w:t>
            </w:r>
          </w:p>
        </w:tc>
        <w:tc>
          <w:tcPr>
            <w:tcW w:w="7191" w:type="dxa"/>
            <w:vAlign w:val="center"/>
          </w:tcPr>
          <w:p w14:paraId="0DD3B6AE">
            <w:pPr>
              <w:widowControl/>
              <w:spacing w:line="360" w:lineRule="auto"/>
              <w:jc w:val="center"/>
              <w:rPr>
                <w:rFonts w:ascii="宋体" w:hAnsi="宋体" w:cs="宋体"/>
              </w:rPr>
            </w:pPr>
            <w:r>
              <w:rPr>
                <w:rFonts w:hint="eastAsia" w:ascii="宋体" w:hAnsi="宋体" w:cs="宋体"/>
              </w:rPr>
              <w:t>井道灯</w:t>
            </w:r>
          </w:p>
        </w:tc>
      </w:tr>
      <w:tr w14:paraId="06564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35DEFBDB">
            <w:pPr>
              <w:widowControl/>
              <w:spacing w:line="360" w:lineRule="auto"/>
              <w:jc w:val="center"/>
              <w:rPr>
                <w:rFonts w:ascii="宋体" w:hAnsi="宋体" w:cs="宋体"/>
              </w:rPr>
            </w:pPr>
            <w:r>
              <w:rPr>
                <w:rFonts w:hint="eastAsia" w:ascii="宋体" w:hAnsi="宋体" w:cs="宋体"/>
              </w:rPr>
              <w:t>3</w:t>
            </w:r>
            <w:r>
              <w:rPr>
                <w:rFonts w:ascii="宋体" w:hAnsi="宋体" w:cs="宋体"/>
              </w:rPr>
              <w:t>3</w:t>
            </w:r>
          </w:p>
        </w:tc>
        <w:tc>
          <w:tcPr>
            <w:tcW w:w="7191" w:type="dxa"/>
            <w:vAlign w:val="center"/>
          </w:tcPr>
          <w:p w14:paraId="7BDF407B">
            <w:pPr>
              <w:widowControl/>
              <w:spacing w:line="360" w:lineRule="auto"/>
              <w:jc w:val="center"/>
              <w:rPr>
                <w:rFonts w:ascii="宋体" w:hAnsi="宋体" w:cs="宋体"/>
              </w:rPr>
            </w:pPr>
            <w:r>
              <w:rPr>
                <w:rFonts w:hint="eastAsia" w:ascii="宋体" w:hAnsi="宋体" w:cs="宋体"/>
              </w:rPr>
              <w:t>★光幕+安全触板</w:t>
            </w:r>
          </w:p>
        </w:tc>
      </w:tr>
      <w:tr w14:paraId="6BA1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DEBED2C">
            <w:pPr>
              <w:widowControl/>
              <w:spacing w:line="360" w:lineRule="auto"/>
              <w:jc w:val="center"/>
              <w:rPr>
                <w:rFonts w:ascii="宋体" w:hAnsi="宋体" w:cs="宋体"/>
              </w:rPr>
            </w:pPr>
            <w:r>
              <w:rPr>
                <w:rFonts w:hint="eastAsia" w:ascii="宋体" w:hAnsi="宋体" w:cs="宋体"/>
              </w:rPr>
              <w:t>3</w:t>
            </w:r>
            <w:r>
              <w:rPr>
                <w:rFonts w:ascii="宋体" w:hAnsi="宋体" w:cs="宋体"/>
              </w:rPr>
              <w:t>4</w:t>
            </w:r>
          </w:p>
        </w:tc>
        <w:tc>
          <w:tcPr>
            <w:tcW w:w="7191" w:type="dxa"/>
            <w:vAlign w:val="center"/>
          </w:tcPr>
          <w:p w14:paraId="6A995460">
            <w:pPr>
              <w:widowControl/>
              <w:spacing w:line="360" w:lineRule="auto"/>
              <w:jc w:val="center"/>
              <w:rPr>
                <w:rFonts w:ascii="宋体" w:hAnsi="宋体" w:cs="宋体"/>
              </w:rPr>
            </w:pPr>
            <w:r>
              <w:rPr>
                <w:rFonts w:hint="eastAsia" w:ascii="宋体" w:hAnsi="宋体" w:cs="宋体"/>
              </w:rPr>
              <w:t>可控轿厢照明</w:t>
            </w:r>
          </w:p>
        </w:tc>
      </w:tr>
      <w:tr w14:paraId="0E9F6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7CA5941D">
            <w:pPr>
              <w:widowControl/>
              <w:spacing w:line="360" w:lineRule="auto"/>
              <w:jc w:val="center"/>
              <w:rPr>
                <w:rFonts w:ascii="宋体" w:hAnsi="宋体" w:cs="宋体"/>
              </w:rPr>
            </w:pPr>
            <w:r>
              <w:rPr>
                <w:rFonts w:hint="eastAsia" w:ascii="宋体" w:hAnsi="宋体" w:cs="宋体"/>
              </w:rPr>
              <w:t>3</w:t>
            </w:r>
            <w:r>
              <w:rPr>
                <w:rFonts w:ascii="宋体" w:hAnsi="宋体" w:cs="宋体"/>
              </w:rPr>
              <w:t>5</w:t>
            </w:r>
          </w:p>
        </w:tc>
        <w:tc>
          <w:tcPr>
            <w:tcW w:w="7191" w:type="dxa"/>
            <w:vAlign w:val="center"/>
          </w:tcPr>
          <w:p w14:paraId="6B1BA0DD">
            <w:pPr>
              <w:widowControl/>
              <w:spacing w:line="360" w:lineRule="auto"/>
              <w:jc w:val="center"/>
              <w:rPr>
                <w:rFonts w:ascii="宋体" w:hAnsi="宋体" w:cs="宋体"/>
              </w:rPr>
            </w:pPr>
            <w:r>
              <w:rPr>
                <w:rFonts w:hint="eastAsia" w:ascii="宋体" w:hAnsi="宋体" w:cs="宋体"/>
              </w:rPr>
              <w:t>切除大厅呼叫开关</w:t>
            </w:r>
          </w:p>
        </w:tc>
      </w:tr>
      <w:tr w14:paraId="42A18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3FB3AA01">
            <w:pPr>
              <w:widowControl/>
              <w:spacing w:line="360" w:lineRule="auto"/>
              <w:jc w:val="center"/>
              <w:rPr>
                <w:rFonts w:ascii="宋体" w:hAnsi="宋体" w:cs="宋体"/>
              </w:rPr>
            </w:pPr>
            <w:r>
              <w:rPr>
                <w:rFonts w:hint="eastAsia" w:ascii="宋体" w:hAnsi="宋体" w:cs="宋体"/>
              </w:rPr>
              <w:t>3</w:t>
            </w:r>
            <w:r>
              <w:rPr>
                <w:rFonts w:ascii="宋体" w:hAnsi="宋体" w:cs="宋体"/>
              </w:rPr>
              <w:t>6</w:t>
            </w:r>
          </w:p>
        </w:tc>
        <w:tc>
          <w:tcPr>
            <w:tcW w:w="7191" w:type="dxa"/>
            <w:vAlign w:val="center"/>
          </w:tcPr>
          <w:p w14:paraId="3FC008B8">
            <w:pPr>
              <w:widowControl/>
              <w:spacing w:line="360" w:lineRule="auto"/>
              <w:jc w:val="center"/>
              <w:rPr>
                <w:rFonts w:ascii="宋体" w:hAnsi="宋体" w:cs="宋体"/>
              </w:rPr>
            </w:pPr>
            <w:r>
              <w:rPr>
                <w:rFonts w:hint="eastAsia" w:ascii="宋体" w:hAnsi="宋体" w:cs="宋体"/>
              </w:rPr>
              <w:t>紧急电动操作</w:t>
            </w:r>
          </w:p>
        </w:tc>
      </w:tr>
      <w:tr w14:paraId="7F6B4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6567E985">
            <w:pPr>
              <w:widowControl/>
              <w:spacing w:line="360" w:lineRule="auto"/>
              <w:jc w:val="center"/>
              <w:rPr>
                <w:rFonts w:ascii="宋体" w:hAnsi="宋体" w:cs="宋体"/>
              </w:rPr>
            </w:pPr>
            <w:r>
              <w:rPr>
                <w:rFonts w:hint="eastAsia" w:ascii="宋体" w:hAnsi="宋体" w:cs="宋体"/>
              </w:rPr>
              <w:t>3</w:t>
            </w:r>
            <w:r>
              <w:rPr>
                <w:rFonts w:ascii="宋体" w:hAnsi="宋体" w:cs="宋体"/>
              </w:rPr>
              <w:t>7</w:t>
            </w:r>
          </w:p>
        </w:tc>
        <w:tc>
          <w:tcPr>
            <w:tcW w:w="7191" w:type="dxa"/>
            <w:vAlign w:val="center"/>
          </w:tcPr>
          <w:p w14:paraId="309A18B6">
            <w:pPr>
              <w:widowControl/>
              <w:spacing w:line="360" w:lineRule="auto"/>
              <w:jc w:val="center"/>
              <w:rPr>
                <w:rFonts w:ascii="宋体" w:hAnsi="宋体" w:cs="宋体"/>
              </w:rPr>
            </w:pPr>
            <w:r>
              <w:rPr>
                <w:rFonts w:hint="eastAsia" w:ascii="宋体" w:hAnsi="宋体" w:cs="宋体"/>
              </w:rPr>
              <w:t>故障自诊断</w:t>
            </w:r>
          </w:p>
        </w:tc>
      </w:tr>
      <w:tr w14:paraId="2791D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6AD9AA08">
            <w:pPr>
              <w:widowControl/>
              <w:spacing w:line="360" w:lineRule="auto"/>
              <w:jc w:val="center"/>
              <w:rPr>
                <w:rFonts w:ascii="宋体" w:hAnsi="宋体" w:cs="宋体"/>
              </w:rPr>
            </w:pPr>
            <w:r>
              <w:rPr>
                <w:rFonts w:hint="eastAsia" w:ascii="宋体" w:hAnsi="宋体" w:cs="宋体"/>
              </w:rPr>
              <w:t>3</w:t>
            </w:r>
            <w:r>
              <w:rPr>
                <w:rFonts w:ascii="宋体" w:hAnsi="宋体" w:cs="宋体"/>
              </w:rPr>
              <w:t>8</w:t>
            </w:r>
          </w:p>
        </w:tc>
        <w:tc>
          <w:tcPr>
            <w:tcW w:w="7191" w:type="dxa"/>
            <w:vAlign w:val="center"/>
          </w:tcPr>
          <w:p w14:paraId="3A57C223">
            <w:pPr>
              <w:widowControl/>
              <w:spacing w:line="360" w:lineRule="auto"/>
              <w:jc w:val="center"/>
              <w:rPr>
                <w:rFonts w:ascii="宋体" w:hAnsi="宋体" w:cs="宋体"/>
              </w:rPr>
            </w:pPr>
            <w:r>
              <w:rPr>
                <w:rFonts w:hint="eastAsia" w:ascii="宋体" w:hAnsi="宋体" w:cs="宋体"/>
              </w:rPr>
              <w:t>电动机过热保护(可自动复位)</w:t>
            </w:r>
          </w:p>
        </w:tc>
      </w:tr>
      <w:tr w14:paraId="23169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E5EC426">
            <w:pPr>
              <w:widowControl/>
              <w:spacing w:line="360" w:lineRule="auto"/>
              <w:jc w:val="center"/>
              <w:rPr>
                <w:rFonts w:ascii="宋体" w:hAnsi="宋体" w:cs="宋体"/>
              </w:rPr>
            </w:pPr>
            <w:r>
              <w:rPr>
                <w:rFonts w:hint="eastAsia" w:ascii="宋体" w:hAnsi="宋体" w:cs="宋体"/>
              </w:rPr>
              <w:t>3</w:t>
            </w:r>
            <w:r>
              <w:rPr>
                <w:rFonts w:ascii="宋体" w:hAnsi="宋体" w:cs="宋体"/>
              </w:rPr>
              <w:t>9</w:t>
            </w:r>
          </w:p>
        </w:tc>
        <w:tc>
          <w:tcPr>
            <w:tcW w:w="7191" w:type="dxa"/>
            <w:vAlign w:val="center"/>
          </w:tcPr>
          <w:p w14:paraId="5522425D">
            <w:pPr>
              <w:widowControl/>
              <w:spacing w:line="360" w:lineRule="auto"/>
              <w:jc w:val="center"/>
              <w:rPr>
                <w:rFonts w:ascii="宋体" w:hAnsi="宋体" w:cs="宋体"/>
              </w:rPr>
            </w:pPr>
            <w:r>
              <w:rPr>
                <w:rFonts w:hint="eastAsia" w:ascii="宋体" w:hAnsi="宋体" w:cs="宋体"/>
              </w:rPr>
              <w:t>手动救援操作</w:t>
            </w:r>
          </w:p>
        </w:tc>
      </w:tr>
      <w:tr w14:paraId="642DF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203C6277">
            <w:pPr>
              <w:widowControl/>
              <w:spacing w:line="360" w:lineRule="auto"/>
              <w:jc w:val="center"/>
              <w:rPr>
                <w:rFonts w:ascii="宋体" w:hAnsi="宋体" w:cs="宋体"/>
              </w:rPr>
            </w:pPr>
            <w:r>
              <w:rPr>
                <w:rFonts w:hint="eastAsia" w:ascii="宋体" w:hAnsi="宋体" w:cs="宋体"/>
              </w:rPr>
              <w:t>4</w:t>
            </w:r>
            <w:r>
              <w:rPr>
                <w:rFonts w:ascii="宋体" w:hAnsi="宋体" w:cs="宋体"/>
              </w:rPr>
              <w:t>0</w:t>
            </w:r>
          </w:p>
        </w:tc>
        <w:tc>
          <w:tcPr>
            <w:tcW w:w="7191" w:type="dxa"/>
            <w:vAlign w:val="center"/>
          </w:tcPr>
          <w:p w14:paraId="3FF10C3A">
            <w:pPr>
              <w:widowControl/>
              <w:spacing w:line="360" w:lineRule="auto"/>
              <w:jc w:val="center"/>
              <w:rPr>
                <w:rFonts w:ascii="宋体" w:hAnsi="宋体" w:cs="宋体"/>
              </w:rPr>
            </w:pPr>
            <w:r>
              <w:rPr>
                <w:rFonts w:hint="eastAsia" w:ascii="宋体" w:hAnsi="宋体" w:cs="宋体"/>
              </w:rPr>
              <w:t>轿厢意外移动保护</w:t>
            </w:r>
          </w:p>
        </w:tc>
      </w:tr>
      <w:tr w14:paraId="4E3A8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87B6503">
            <w:pPr>
              <w:widowControl/>
              <w:spacing w:line="360" w:lineRule="auto"/>
              <w:jc w:val="center"/>
              <w:rPr>
                <w:rFonts w:ascii="宋体" w:hAnsi="宋体" w:cs="宋体"/>
              </w:rPr>
            </w:pPr>
            <w:r>
              <w:rPr>
                <w:rFonts w:hint="eastAsia" w:ascii="宋体" w:hAnsi="宋体" w:cs="宋体"/>
              </w:rPr>
              <w:t>4</w:t>
            </w:r>
            <w:r>
              <w:rPr>
                <w:rFonts w:ascii="宋体" w:hAnsi="宋体" w:cs="宋体"/>
              </w:rPr>
              <w:t>1</w:t>
            </w:r>
          </w:p>
        </w:tc>
        <w:tc>
          <w:tcPr>
            <w:tcW w:w="7191" w:type="dxa"/>
            <w:vAlign w:val="center"/>
          </w:tcPr>
          <w:p w14:paraId="36387773">
            <w:pPr>
              <w:widowControl/>
              <w:spacing w:line="360" w:lineRule="auto"/>
              <w:jc w:val="center"/>
              <w:rPr>
                <w:rFonts w:ascii="宋体" w:hAnsi="宋体" w:cs="宋体"/>
              </w:rPr>
            </w:pPr>
            <w:r>
              <w:rPr>
                <w:rFonts w:hint="eastAsia" w:ascii="宋体" w:hAnsi="宋体" w:cs="宋体"/>
              </w:rPr>
              <w:t>再平层操作</w:t>
            </w:r>
          </w:p>
        </w:tc>
      </w:tr>
      <w:tr w14:paraId="622D7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14A2A4B">
            <w:pPr>
              <w:widowControl/>
              <w:spacing w:line="360" w:lineRule="auto"/>
              <w:jc w:val="center"/>
              <w:rPr>
                <w:rFonts w:ascii="宋体" w:hAnsi="宋体" w:cs="宋体"/>
              </w:rPr>
            </w:pPr>
            <w:r>
              <w:rPr>
                <w:rFonts w:hint="eastAsia" w:ascii="宋体" w:hAnsi="宋体" w:cs="宋体"/>
              </w:rPr>
              <w:t>4</w:t>
            </w:r>
            <w:r>
              <w:rPr>
                <w:rFonts w:ascii="宋体" w:hAnsi="宋体" w:cs="宋体"/>
              </w:rPr>
              <w:t>2</w:t>
            </w:r>
          </w:p>
        </w:tc>
        <w:tc>
          <w:tcPr>
            <w:tcW w:w="7191" w:type="dxa"/>
            <w:vAlign w:val="center"/>
          </w:tcPr>
          <w:p w14:paraId="52B7D49E">
            <w:pPr>
              <w:widowControl/>
              <w:spacing w:line="360" w:lineRule="auto"/>
              <w:jc w:val="center"/>
              <w:rPr>
                <w:rFonts w:ascii="宋体" w:hAnsi="宋体" w:cs="宋体"/>
              </w:rPr>
            </w:pPr>
            <w:r>
              <w:rPr>
                <w:rFonts w:hint="eastAsia" w:ascii="宋体" w:hAnsi="宋体" w:cs="宋体"/>
              </w:rPr>
              <w:t>火灾应急返回</w:t>
            </w:r>
          </w:p>
        </w:tc>
      </w:tr>
      <w:tr w14:paraId="0F56F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360EC2E4">
            <w:pPr>
              <w:widowControl/>
              <w:spacing w:line="360" w:lineRule="auto"/>
              <w:jc w:val="center"/>
              <w:rPr>
                <w:rFonts w:ascii="宋体" w:hAnsi="宋体" w:cs="宋体"/>
              </w:rPr>
            </w:pPr>
            <w:r>
              <w:rPr>
                <w:rFonts w:hint="eastAsia" w:ascii="宋体" w:hAnsi="宋体" w:cs="宋体"/>
              </w:rPr>
              <w:t>4</w:t>
            </w:r>
            <w:r>
              <w:rPr>
                <w:rFonts w:ascii="宋体" w:hAnsi="宋体" w:cs="宋体"/>
              </w:rPr>
              <w:t>3</w:t>
            </w:r>
          </w:p>
        </w:tc>
        <w:tc>
          <w:tcPr>
            <w:tcW w:w="7191" w:type="dxa"/>
            <w:vAlign w:val="center"/>
          </w:tcPr>
          <w:p w14:paraId="3371C784">
            <w:pPr>
              <w:widowControl/>
              <w:spacing w:line="360" w:lineRule="auto"/>
              <w:jc w:val="center"/>
              <w:rPr>
                <w:rFonts w:ascii="宋体" w:hAnsi="宋体" w:cs="宋体"/>
              </w:rPr>
            </w:pPr>
            <w:r>
              <w:rPr>
                <w:rFonts w:hint="eastAsia" w:ascii="宋体" w:hAnsi="宋体" w:cs="宋体"/>
              </w:rPr>
              <w:t>手动风扇</w:t>
            </w:r>
          </w:p>
        </w:tc>
      </w:tr>
      <w:tr w14:paraId="3240A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E111EBC">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4</w:t>
            </w:r>
          </w:p>
        </w:tc>
        <w:tc>
          <w:tcPr>
            <w:tcW w:w="7191" w:type="dxa"/>
            <w:vAlign w:val="center"/>
          </w:tcPr>
          <w:p w14:paraId="25FB9458">
            <w:pPr>
              <w:widowControl/>
              <w:spacing w:line="360" w:lineRule="auto"/>
              <w:jc w:val="center"/>
              <w:rPr>
                <w:rFonts w:ascii="宋体" w:hAnsi="宋体" w:cs="宋体"/>
                <w:kern w:val="0"/>
                <w:sz w:val="24"/>
                <w:szCs w:val="24"/>
              </w:rPr>
            </w:pPr>
            <w:r>
              <w:rPr>
                <w:rFonts w:hint="eastAsia" w:ascii="宋体" w:hAnsi="宋体" w:cs="宋体"/>
                <w:kern w:val="0"/>
                <w:sz w:val="24"/>
                <w:szCs w:val="24"/>
              </w:rPr>
              <w:t>计数器</w:t>
            </w:r>
          </w:p>
        </w:tc>
      </w:tr>
      <w:tr w14:paraId="22D4B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AC63710">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5</w:t>
            </w:r>
          </w:p>
        </w:tc>
        <w:tc>
          <w:tcPr>
            <w:tcW w:w="7191" w:type="dxa"/>
            <w:vAlign w:val="center"/>
          </w:tcPr>
          <w:p w14:paraId="65AF2A8D">
            <w:pPr>
              <w:widowControl/>
              <w:spacing w:line="360" w:lineRule="auto"/>
              <w:jc w:val="center"/>
              <w:rPr>
                <w:rFonts w:ascii="宋体" w:hAnsi="宋体" w:cs="宋体"/>
                <w:kern w:val="0"/>
                <w:sz w:val="24"/>
                <w:szCs w:val="24"/>
              </w:rPr>
            </w:pPr>
            <w:r>
              <w:rPr>
                <w:rFonts w:hint="eastAsia" w:ascii="宋体" w:hAnsi="宋体" w:cs="宋体"/>
                <w:kern w:val="0"/>
                <w:sz w:val="24"/>
                <w:szCs w:val="24"/>
              </w:rPr>
              <w:t>满载不停梯</w:t>
            </w:r>
          </w:p>
        </w:tc>
      </w:tr>
      <w:tr w14:paraId="47972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432F6372">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6</w:t>
            </w:r>
          </w:p>
        </w:tc>
        <w:tc>
          <w:tcPr>
            <w:tcW w:w="7191" w:type="dxa"/>
            <w:vAlign w:val="center"/>
          </w:tcPr>
          <w:p w14:paraId="660250DB">
            <w:pPr>
              <w:widowControl/>
              <w:spacing w:line="360" w:lineRule="auto"/>
              <w:jc w:val="center"/>
              <w:rPr>
                <w:rFonts w:ascii="宋体" w:hAnsi="宋体" w:cs="宋体"/>
                <w:kern w:val="0"/>
                <w:sz w:val="24"/>
                <w:szCs w:val="24"/>
              </w:rPr>
            </w:pPr>
            <w:r>
              <w:rPr>
                <w:rFonts w:hint="eastAsia" w:ascii="宋体" w:hAnsi="宋体" w:cs="宋体"/>
                <w:kern w:val="0"/>
                <w:sz w:val="24"/>
                <w:szCs w:val="24"/>
              </w:rPr>
              <w:t>轿厢紧急照明装置</w:t>
            </w:r>
          </w:p>
        </w:tc>
      </w:tr>
      <w:tr w14:paraId="71D14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EDBE16F">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7</w:t>
            </w:r>
          </w:p>
        </w:tc>
        <w:tc>
          <w:tcPr>
            <w:tcW w:w="7191" w:type="dxa"/>
            <w:vAlign w:val="center"/>
          </w:tcPr>
          <w:p w14:paraId="4F29C575">
            <w:pPr>
              <w:widowControl/>
              <w:spacing w:line="360" w:lineRule="auto"/>
              <w:jc w:val="center"/>
              <w:rPr>
                <w:rFonts w:ascii="宋体" w:hAnsi="宋体" w:cs="宋体"/>
                <w:kern w:val="0"/>
                <w:sz w:val="24"/>
                <w:szCs w:val="24"/>
              </w:rPr>
            </w:pPr>
            <w:r>
              <w:rPr>
                <w:rFonts w:hint="eastAsia" w:ascii="宋体" w:hAnsi="宋体" w:cs="宋体"/>
                <w:kern w:val="0"/>
                <w:sz w:val="24"/>
                <w:szCs w:val="24"/>
              </w:rPr>
              <w:t>轿顶灯、轿顶插座</w:t>
            </w:r>
          </w:p>
        </w:tc>
      </w:tr>
      <w:tr w14:paraId="004AC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090DC6AA">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8</w:t>
            </w:r>
          </w:p>
        </w:tc>
        <w:tc>
          <w:tcPr>
            <w:tcW w:w="7191" w:type="dxa"/>
            <w:vAlign w:val="center"/>
          </w:tcPr>
          <w:p w14:paraId="123E3AA8">
            <w:pPr>
              <w:jc w:val="center"/>
              <w:rPr>
                <w:rFonts w:ascii="宋体" w:hAnsi="宋体" w:cs="宋体"/>
                <w:kern w:val="0"/>
                <w:sz w:val="24"/>
                <w:szCs w:val="24"/>
              </w:rPr>
            </w:pPr>
            <w:r>
              <w:rPr>
                <w:rFonts w:hint="eastAsia" w:ascii="宋体" w:hAnsi="宋体" w:cs="宋体"/>
                <w:kern w:val="0"/>
                <w:sz w:val="24"/>
                <w:szCs w:val="24"/>
              </w:rPr>
              <w:t>驻停钥匙开关</w:t>
            </w:r>
          </w:p>
        </w:tc>
      </w:tr>
      <w:tr w14:paraId="72464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18266094">
            <w:pPr>
              <w:spacing w:line="360" w:lineRule="auto"/>
              <w:jc w:val="center"/>
              <w:rPr>
                <w:rFonts w:ascii="宋体" w:hAnsi="宋体"/>
                <w:kern w:val="0"/>
                <w:sz w:val="24"/>
                <w:szCs w:val="24"/>
              </w:rPr>
            </w:pPr>
            <w:r>
              <w:rPr>
                <w:rFonts w:hint="eastAsia" w:ascii="宋体" w:hAnsi="宋体"/>
                <w:kern w:val="0"/>
                <w:sz w:val="24"/>
                <w:szCs w:val="24"/>
              </w:rPr>
              <w:t>4</w:t>
            </w:r>
            <w:r>
              <w:rPr>
                <w:rFonts w:ascii="宋体" w:hAnsi="宋体"/>
                <w:kern w:val="0"/>
                <w:sz w:val="24"/>
                <w:szCs w:val="24"/>
              </w:rPr>
              <w:t>9</w:t>
            </w:r>
          </w:p>
        </w:tc>
        <w:tc>
          <w:tcPr>
            <w:tcW w:w="7191" w:type="dxa"/>
            <w:vAlign w:val="center"/>
          </w:tcPr>
          <w:p w14:paraId="2C1D22DD">
            <w:pPr>
              <w:jc w:val="center"/>
              <w:rPr>
                <w:rFonts w:ascii="宋体" w:hAnsi="宋体" w:cs="宋体"/>
                <w:b/>
                <w:kern w:val="0"/>
                <w:sz w:val="24"/>
                <w:szCs w:val="24"/>
              </w:rPr>
            </w:pPr>
            <w:r>
              <w:rPr>
                <w:rFonts w:hint="eastAsia" w:ascii="宋体" w:hAnsi="宋体" w:cs="宋体"/>
                <w:kern w:val="0"/>
                <w:sz w:val="24"/>
                <w:szCs w:val="24"/>
              </w:rPr>
              <w:t>轿顶检修开关</w:t>
            </w:r>
          </w:p>
        </w:tc>
      </w:tr>
      <w:tr w14:paraId="550D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7B555B83">
            <w:pPr>
              <w:spacing w:line="360" w:lineRule="auto"/>
              <w:jc w:val="center"/>
              <w:rPr>
                <w:rFonts w:ascii="宋体" w:hAnsi="宋体"/>
                <w:kern w:val="0"/>
                <w:sz w:val="24"/>
                <w:szCs w:val="24"/>
              </w:rPr>
            </w:pPr>
            <w:r>
              <w:rPr>
                <w:rFonts w:hint="eastAsia" w:ascii="宋体" w:hAnsi="宋体"/>
                <w:kern w:val="0"/>
                <w:sz w:val="24"/>
                <w:szCs w:val="24"/>
              </w:rPr>
              <w:t>5</w:t>
            </w:r>
            <w:r>
              <w:rPr>
                <w:rFonts w:ascii="宋体" w:hAnsi="宋体"/>
                <w:kern w:val="0"/>
                <w:sz w:val="24"/>
                <w:szCs w:val="24"/>
              </w:rPr>
              <w:t>0</w:t>
            </w:r>
          </w:p>
        </w:tc>
        <w:tc>
          <w:tcPr>
            <w:tcW w:w="7191" w:type="dxa"/>
            <w:vAlign w:val="center"/>
          </w:tcPr>
          <w:p w14:paraId="1DE41638">
            <w:pPr>
              <w:pStyle w:val="230"/>
              <w:jc w:val="center"/>
              <w:rPr>
                <w:rFonts w:hint="eastAsia" w:ascii="Calibri" w:hAnsi="Calibri"/>
                <w:kern w:val="0"/>
                <w:sz w:val="24"/>
                <w:szCs w:val="24"/>
              </w:rPr>
            </w:pPr>
            <w:r>
              <w:rPr>
                <w:rFonts w:hint="eastAsia" w:ascii="Calibri" w:hAnsi="Calibri"/>
                <w:kern w:val="0"/>
                <w:sz w:val="24"/>
                <w:szCs w:val="24"/>
              </w:rPr>
              <w:t>无障碍电梯配置：残疾人操纵盘，后壁中央镜面不锈钢，盲文按钮，轿厢三侧壁扶手、中文语音报站</w:t>
            </w:r>
          </w:p>
        </w:tc>
      </w:tr>
      <w:tr w14:paraId="64D21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7" w:type="dxa"/>
            <w:vAlign w:val="center"/>
          </w:tcPr>
          <w:p w14:paraId="5F2FF75C">
            <w:pPr>
              <w:spacing w:line="360" w:lineRule="auto"/>
              <w:jc w:val="center"/>
              <w:rPr>
                <w:rFonts w:ascii="宋体" w:hAnsi="宋体"/>
                <w:kern w:val="0"/>
                <w:sz w:val="24"/>
                <w:szCs w:val="24"/>
              </w:rPr>
            </w:pPr>
            <w:r>
              <w:rPr>
                <w:rFonts w:hint="eastAsia" w:ascii="宋体" w:hAnsi="宋体"/>
                <w:kern w:val="0"/>
                <w:sz w:val="24"/>
                <w:szCs w:val="24"/>
              </w:rPr>
              <w:t>5</w:t>
            </w:r>
            <w:r>
              <w:rPr>
                <w:rFonts w:ascii="宋体" w:hAnsi="宋体"/>
                <w:kern w:val="0"/>
                <w:sz w:val="24"/>
                <w:szCs w:val="24"/>
              </w:rPr>
              <w:t>1</w:t>
            </w:r>
          </w:p>
        </w:tc>
        <w:tc>
          <w:tcPr>
            <w:tcW w:w="7191" w:type="dxa"/>
            <w:vAlign w:val="center"/>
          </w:tcPr>
          <w:p w14:paraId="7DB091CB">
            <w:pPr>
              <w:jc w:val="center"/>
              <w:rPr>
                <w:rFonts w:ascii="宋体" w:hAnsi="宋体" w:cs="宋体"/>
                <w:kern w:val="0"/>
                <w:sz w:val="24"/>
                <w:szCs w:val="24"/>
              </w:rPr>
            </w:pPr>
            <w:r>
              <w:rPr>
                <w:rFonts w:hint="eastAsia" w:ascii="宋体" w:hAnsi="宋体" w:cs="宋体"/>
                <w:kern w:val="0"/>
                <w:sz w:val="24"/>
                <w:szCs w:val="24"/>
              </w:rPr>
              <w:t>关门按钮、底坑急停开关、第二底坑急停开关</w:t>
            </w:r>
          </w:p>
        </w:tc>
      </w:tr>
    </w:tbl>
    <w:p w14:paraId="5C359747">
      <w:pPr>
        <w:pStyle w:val="2"/>
      </w:pPr>
    </w:p>
    <w:p w14:paraId="061FC9F9">
      <w:pPr>
        <w:pStyle w:val="2"/>
      </w:pPr>
      <w:r>
        <w:rPr>
          <w:rFonts w:hint="eastAsia"/>
        </w:rPr>
        <w:t>注：★项不可偏离</w:t>
      </w:r>
    </w:p>
    <w:p w14:paraId="363FA5D0">
      <w:pPr>
        <w:pStyle w:val="2"/>
      </w:pPr>
    </w:p>
    <w:p w14:paraId="2AE928B0">
      <w:pPr>
        <w:pStyle w:val="2"/>
      </w:pPr>
    </w:p>
    <w:p w14:paraId="59FBA98A">
      <w:pPr>
        <w:pStyle w:val="2"/>
      </w:pPr>
    </w:p>
    <w:p w14:paraId="61545AA6">
      <w:pPr>
        <w:pStyle w:val="2"/>
      </w:pPr>
    </w:p>
    <w:p w14:paraId="4BCEB1D2">
      <w:pPr>
        <w:pStyle w:val="2"/>
      </w:pPr>
    </w:p>
    <w:p w14:paraId="707220CB">
      <w:pPr>
        <w:pStyle w:val="2"/>
      </w:pPr>
    </w:p>
    <w:p w14:paraId="1B85EFBA">
      <w:pPr>
        <w:pStyle w:val="2"/>
      </w:pPr>
    </w:p>
    <w:p w14:paraId="1691CA11">
      <w:pPr>
        <w:pStyle w:val="2"/>
      </w:pPr>
    </w:p>
    <w:p w14:paraId="01275DF5">
      <w:pPr>
        <w:pStyle w:val="2"/>
      </w:pPr>
    </w:p>
    <w:p w14:paraId="5D5EFE18">
      <w:pPr>
        <w:pStyle w:val="2"/>
      </w:pPr>
    </w:p>
    <w:p w14:paraId="3485759A">
      <w:pPr>
        <w:pStyle w:val="2"/>
      </w:pPr>
    </w:p>
    <w:p w14:paraId="5DE70937">
      <w:pPr>
        <w:pStyle w:val="2"/>
      </w:pPr>
    </w:p>
    <w:p w14:paraId="438D4EA7">
      <w:pPr>
        <w:pStyle w:val="2"/>
      </w:pPr>
    </w:p>
    <w:p w14:paraId="58557E47">
      <w:pPr>
        <w:pStyle w:val="2"/>
      </w:pPr>
    </w:p>
    <w:p w14:paraId="2D93D865">
      <w:pPr>
        <w:pStyle w:val="2"/>
      </w:pPr>
    </w:p>
    <w:p w14:paraId="5DE0C826">
      <w:pPr>
        <w:pStyle w:val="2"/>
      </w:pPr>
    </w:p>
    <w:p w14:paraId="73FBFDC6">
      <w:pPr>
        <w:pStyle w:val="2"/>
      </w:pPr>
    </w:p>
    <w:p w14:paraId="5EF3B88B">
      <w:pPr>
        <w:pStyle w:val="2"/>
        <w:sectPr>
          <w:pgSz w:w="11906" w:h="16838"/>
          <w:pgMar w:top="1440" w:right="1440" w:bottom="1440" w:left="1440" w:header="851" w:footer="992" w:gutter="0"/>
          <w:cols w:space="425" w:num="1"/>
          <w:docGrid w:type="lines" w:linePitch="312" w:charSpace="0"/>
        </w:sectPr>
      </w:pPr>
    </w:p>
    <w:p w14:paraId="67462DFC">
      <w:pPr>
        <w:spacing w:line="360" w:lineRule="auto"/>
        <w:jc w:val="center"/>
        <w:rPr>
          <w:b/>
          <w:bCs/>
        </w:rPr>
      </w:pPr>
      <w:r>
        <w:rPr>
          <w:b/>
          <w:bCs/>
        </w:rPr>
        <w:t>表1-2天津市</w:t>
      </w:r>
      <w:r>
        <w:rPr>
          <w:rFonts w:hint="eastAsia"/>
          <w:b/>
          <w:bCs/>
        </w:rPr>
        <w:t>滨海新区大港</w:t>
      </w:r>
      <w:r>
        <w:rPr>
          <w:b/>
          <w:bCs/>
        </w:rPr>
        <w:t>医院电梯更换工程项目规格参数表</w:t>
      </w:r>
    </w:p>
    <w:tbl>
      <w:tblPr>
        <w:tblStyle w:val="44"/>
        <w:tblW w:w="1374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77"/>
        <w:gridCol w:w="1202"/>
        <w:gridCol w:w="1283"/>
        <w:gridCol w:w="2500"/>
        <w:gridCol w:w="1100"/>
        <w:gridCol w:w="984"/>
        <w:gridCol w:w="983"/>
        <w:gridCol w:w="1367"/>
        <w:gridCol w:w="1500"/>
        <w:gridCol w:w="2245"/>
      </w:tblGrid>
      <w:tr w14:paraId="4F4AD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205" w:hRule="atLeast"/>
          <w:jc w:val="center"/>
        </w:trPr>
        <w:tc>
          <w:tcPr>
            <w:tcW w:w="577" w:type="dxa"/>
            <w:tcBorders>
              <w:top w:val="single" w:color="auto" w:sz="6" w:space="0"/>
              <w:left w:val="single" w:color="auto" w:sz="6" w:space="0"/>
              <w:bottom w:val="single" w:color="auto" w:sz="6" w:space="0"/>
              <w:right w:val="single" w:color="auto" w:sz="6" w:space="0"/>
            </w:tcBorders>
            <w:vAlign w:val="center"/>
          </w:tcPr>
          <w:p w14:paraId="7A35CC7B">
            <w:pPr>
              <w:spacing w:line="360" w:lineRule="auto"/>
              <w:jc w:val="center"/>
            </w:pPr>
            <w:r>
              <w:t>梯号</w:t>
            </w:r>
          </w:p>
        </w:tc>
        <w:tc>
          <w:tcPr>
            <w:tcW w:w="1202" w:type="dxa"/>
            <w:tcBorders>
              <w:top w:val="single" w:color="auto" w:sz="6" w:space="0"/>
              <w:left w:val="single" w:color="auto" w:sz="6" w:space="0"/>
              <w:bottom w:val="single" w:color="auto" w:sz="6" w:space="0"/>
              <w:right w:val="single" w:color="auto" w:sz="6" w:space="0"/>
            </w:tcBorders>
            <w:vAlign w:val="center"/>
          </w:tcPr>
          <w:p w14:paraId="2A35F6CD">
            <w:pPr>
              <w:spacing w:line="360" w:lineRule="auto"/>
              <w:jc w:val="center"/>
            </w:pPr>
            <w:r>
              <w:t>型号</w:t>
            </w:r>
          </w:p>
        </w:tc>
        <w:tc>
          <w:tcPr>
            <w:tcW w:w="1283" w:type="dxa"/>
            <w:tcBorders>
              <w:top w:val="single" w:color="auto" w:sz="6" w:space="0"/>
              <w:left w:val="single" w:color="auto" w:sz="6" w:space="0"/>
              <w:bottom w:val="single" w:color="auto" w:sz="6" w:space="0"/>
              <w:right w:val="single" w:color="auto" w:sz="6" w:space="0"/>
            </w:tcBorders>
            <w:vAlign w:val="center"/>
          </w:tcPr>
          <w:p w14:paraId="674E12ED">
            <w:pPr>
              <w:spacing w:line="360" w:lineRule="auto"/>
              <w:jc w:val="center"/>
            </w:pPr>
            <w:r>
              <w:t>门保护装置类型</w:t>
            </w:r>
          </w:p>
        </w:tc>
        <w:tc>
          <w:tcPr>
            <w:tcW w:w="2500" w:type="dxa"/>
            <w:tcBorders>
              <w:top w:val="single" w:color="auto" w:sz="6" w:space="0"/>
              <w:left w:val="single" w:color="auto" w:sz="6" w:space="0"/>
              <w:bottom w:val="single" w:color="auto" w:sz="6" w:space="0"/>
              <w:right w:val="single" w:color="auto" w:sz="6" w:space="0"/>
            </w:tcBorders>
            <w:vAlign w:val="center"/>
          </w:tcPr>
          <w:p w14:paraId="7B20EF91">
            <w:pPr>
              <w:spacing w:line="360" w:lineRule="auto"/>
              <w:jc w:val="center"/>
            </w:pPr>
            <w:r>
              <w:t>轿厢整体装潢</w:t>
            </w:r>
          </w:p>
        </w:tc>
        <w:tc>
          <w:tcPr>
            <w:tcW w:w="1100" w:type="dxa"/>
            <w:tcBorders>
              <w:top w:val="single" w:color="auto" w:sz="6" w:space="0"/>
              <w:left w:val="single" w:color="auto" w:sz="6" w:space="0"/>
              <w:bottom w:val="single" w:color="auto" w:sz="6" w:space="0"/>
              <w:right w:val="single" w:color="auto" w:sz="6" w:space="0"/>
            </w:tcBorders>
            <w:vAlign w:val="center"/>
          </w:tcPr>
          <w:p w14:paraId="5199CC8D">
            <w:pPr>
              <w:spacing w:line="360" w:lineRule="auto"/>
              <w:jc w:val="center"/>
            </w:pPr>
            <w:r>
              <w:t>轿门材质</w:t>
            </w:r>
          </w:p>
        </w:tc>
        <w:tc>
          <w:tcPr>
            <w:tcW w:w="984" w:type="dxa"/>
            <w:tcBorders>
              <w:top w:val="single" w:color="auto" w:sz="6" w:space="0"/>
              <w:left w:val="single" w:color="auto" w:sz="6" w:space="0"/>
              <w:bottom w:val="single" w:color="auto" w:sz="6" w:space="0"/>
              <w:right w:val="single" w:color="auto" w:sz="6" w:space="0"/>
            </w:tcBorders>
            <w:vAlign w:val="center"/>
          </w:tcPr>
          <w:p w14:paraId="65C3FA13">
            <w:pPr>
              <w:spacing w:line="360" w:lineRule="auto"/>
              <w:jc w:val="center"/>
            </w:pPr>
            <w:r>
              <w:t>前围壁</w:t>
            </w:r>
          </w:p>
        </w:tc>
        <w:tc>
          <w:tcPr>
            <w:tcW w:w="983" w:type="dxa"/>
            <w:tcBorders>
              <w:top w:val="single" w:color="auto" w:sz="6" w:space="0"/>
              <w:left w:val="single" w:color="auto" w:sz="6" w:space="0"/>
              <w:bottom w:val="single" w:color="auto" w:sz="6" w:space="0"/>
              <w:right w:val="single" w:color="auto" w:sz="6" w:space="0"/>
            </w:tcBorders>
            <w:vAlign w:val="center"/>
          </w:tcPr>
          <w:p w14:paraId="0C7EB031">
            <w:pPr>
              <w:spacing w:line="360" w:lineRule="auto"/>
              <w:jc w:val="center"/>
            </w:pPr>
            <w:r>
              <w:t>侧后围壁</w:t>
            </w:r>
          </w:p>
        </w:tc>
        <w:tc>
          <w:tcPr>
            <w:tcW w:w="1367" w:type="dxa"/>
            <w:tcBorders>
              <w:top w:val="single" w:color="auto" w:sz="6" w:space="0"/>
              <w:left w:val="single" w:color="auto" w:sz="6" w:space="0"/>
              <w:bottom w:val="single" w:color="auto" w:sz="6" w:space="0"/>
              <w:right w:val="single" w:color="auto" w:sz="6" w:space="0"/>
            </w:tcBorders>
            <w:vAlign w:val="center"/>
          </w:tcPr>
          <w:p w14:paraId="12DF857A">
            <w:pPr>
              <w:spacing w:line="360" w:lineRule="auto"/>
              <w:jc w:val="center"/>
            </w:pPr>
            <w:r>
              <w:t>地板类型／预留厚度</w:t>
            </w:r>
          </w:p>
        </w:tc>
        <w:tc>
          <w:tcPr>
            <w:tcW w:w="1500" w:type="dxa"/>
            <w:tcBorders>
              <w:top w:val="single" w:color="auto" w:sz="6" w:space="0"/>
              <w:left w:val="single" w:color="auto" w:sz="6" w:space="0"/>
              <w:bottom w:val="single" w:color="auto" w:sz="6" w:space="0"/>
              <w:right w:val="single" w:color="auto" w:sz="6" w:space="0"/>
            </w:tcBorders>
            <w:vAlign w:val="center"/>
          </w:tcPr>
          <w:p w14:paraId="52534BDB">
            <w:pPr>
              <w:spacing w:line="360" w:lineRule="auto"/>
              <w:jc w:val="center"/>
            </w:pPr>
            <w:r>
              <w:t>厅门材质</w:t>
            </w:r>
          </w:p>
        </w:tc>
        <w:tc>
          <w:tcPr>
            <w:tcW w:w="2245" w:type="dxa"/>
            <w:tcBorders>
              <w:top w:val="single" w:color="auto" w:sz="6" w:space="0"/>
              <w:left w:val="single" w:color="auto" w:sz="6" w:space="0"/>
              <w:bottom w:val="single" w:color="auto" w:sz="6" w:space="0"/>
              <w:right w:val="single" w:color="auto" w:sz="6" w:space="0"/>
            </w:tcBorders>
            <w:vAlign w:val="center"/>
          </w:tcPr>
          <w:p w14:paraId="66581417">
            <w:pPr>
              <w:spacing w:line="360" w:lineRule="auto"/>
              <w:jc w:val="center"/>
            </w:pPr>
            <w:r>
              <w:t>厅门显示/材质</w:t>
            </w:r>
          </w:p>
        </w:tc>
      </w:tr>
      <w:tr w14:paraId="03507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93" w:hRule="atLeast"/>
          <w:jc w:val="center"/>
        </w:trPr>
        <w:tc>
          <w:tcPr>
            <w:tcW w:w="577" w:type="dxa"/>
            <w:tcBorders>
              <w:top w:val="single" w:color="auto" w:sz="6" w:space="0"/>
              <w:left w:val="single" w:color="auto" w:sz="6" w:space="0"/>
              <w:bottom w:val="single" w:color="auto" w:sz="6" w:space="0"/>
              <w:right w:val="single" w:color="auto" w:sz="6" w:space="0"/>
            </w:tcBorders>
            <w:vAlign w:val="center"/>
          </w:tcPr>
          <w:p w14:paraId="5258B0D8">
            <w:pPr>
              <w:spacing w:line="360" w:lineRule="auto"/>
              <w:jc w:val="center"/>
            </w:pPr>
            <w:r>
              <w:t>1</w:t>
            </w:r>
          </w:p>
        </w:tc>
        <w:tc>
          <w:tcPr>
            <w:tcW w:w="1202" w:type="dxa"/>
            <w:tcBorders>
              <w:top w:val="nil"/>
              <w:left w:val="single" w:color="auto" w:sz="4" w:space="0"/>
              <w:bottom w:val="single" w:color="auto" w:sz="4" w:space="0"/>
              <w:right w:val="single" w:color="auto" w:sz="4" w:space="0"/>
            </w:tcBorders>
            <w:vAlign w:val="center"/>
          </w:tcPr>
          <w:p w14:paraId="7D253778">
            <w:pPr>
              <w:spacing w:line="360" w:lineRule="auto"/>
              <w:jc w:val="center"/>
            </w:pPr>
            <w:r>
              <w:t>3#无障碍</w:t>
            </w:r>
            <w:r>
              <w:rPr>
                <w:rFonts w:hint="eastAsia"/>
              </w:rPr>
              <w:t xml:space="preserve"> </w:t>
            </w:r>
            <w:r>
              <w:t xml:space="preserve"> </w:t>
            </w:r>
            <w:r>
              <w:rPr>
                <w:rFonts w:hint="eastAsia"/>
              </w:rPr>
              <w:t>病床梯</w:t>
            </w:r>
          </w:p>
        </w:tc>
        <w:tc>
          <w:tcPr>
            <w:tcW w:w="1283" w:type="dxa"/>
            <w:tcBorders>
              <w:top w:val="single" w:color="auto" w:sz="6" w:space="0"/>
              <w:left w:val="single" w:color="auto" w:sz="6" w:space="0"/>
              <w:bottom w:val="single" w:color="auto" w:sz="6" w:space="0"/>
              <w:right w:val="single" w:color="auto" w:sz="6" w:space="0"/>
            </w:tcBorders>
            <w:vAlign w:val="center"/>
          </w:tcPr>
          <w:p w14:paraId="334CF4ED">
            <w:pPr>
              <w:spacing w:line="360" w:lineRule="auto"/>
              <w:jc w:val="center"/>
            </w:pPr>
            <w:r>
              <w:t>2D光幕</w:t>
            </w:r>
          </w:p>
        </w:tc>
        <w:tc>
          <w:tcPr>
            <w:tcW w:w="2500" w:type="dxa"/>
            <w:tcBorders>
              <w:top w:val="single" w:color="auto" w:sz="6" w:space="0"/>
              <w:left w:val="single" w:color="auto" w:sz="6" w:space="0"/>
              <w:bottom w:val="single" w:color="auto" w:sz="6" w:space="0"/>
              <w:right w:val="single" w:color="auto" w:sz="6" w:space="0"/>
            </w:tcBorders>
            <w:vAlign w:val="center"/>
          </w:tcPr>
          <w:p w14:paraId="4B701E69">
            <w:pPr>
              <w:spacing w:line="360" w:lineRule="auto"/>
              <w:jc w:val="center"/>
            </w:pPr>
            <w:r>
              <w:t>美观、大方、中央直接照明、两侧辅助照明</w:t>
            </w:r>
          </w:p>
        </w:tc>
        <w:tc>
          <w:tcPr>
            <w:tcW w:w="1100" w:type="dxa"/>
            <w:tcBorders>
              <w:top w:val="single" w:color="auto" w:sz="6" w:space="0"/>
              <w:left w:val="single" w:color="auto" w:sz="6" w:space="0"/>
              <w:bottom w:val="single" w:color="auto" w:sz="6" w:space="0"/>
              <w:right w:val="single" w:color="auto" w:sz="6" w:space="0"/>
            </w:tcBorders>
            <w:vAlign w:val="center"/>
          </w:tcPr>
          <w:p w14:paraId="76907F2D">
            <w:pPr>
              <w:jc w:val="center"/>
              <w:textAlignment w:val="center"/>
            </w:pPr>
            <w:r>
              <w:t>发纹不锈钢</w:t>
            </w:r>
          </w:p>
        </w:tc>
        <w:tc>
          <w:tcPr>
            <w:tcW w:w="984" w:type="dxa"/>
            <w:tcBorders>
              <w:top w:val="single" w:color="auto" w:sz="6" w:space="0"/>
              <w:left w:val="single" w:color="auto" w:sz="6" w:space="0"/>
              <w:bottom w:val="single" w:color="auto" w:sz="6" w:space="0"/>
              <w:right w:val="single" w:color="auto" w:sz="6" w:space="0"/>
            </w:tcBorders>
            <w:vAlign w:val="center"/>
          </w:tcPr>
          <w:p w14:paraId="3F4D0F28">
            <w:pPr>
              <w:spacing w:line="360" w:lineRule="auto"/>
              <w:jc w:val="center"/>
            </w:pPr>
            <w:r>
              <w:t>发纹不锈钢</w:t>
            </w:r>
          </w:p>
        </w:tc>
        <w:tc>
          <w:tcPr>
            <w:tcW w:w="983" w:type="dxa"/>
            <w:tcBorders>
              <w:top w:val="single" w:color="auto" w:sz="6" w:space="0"/>
              <w:left w:val="single" w:color="auto" w:sz="6" w:space="0"/>
              <w:bottom w:val="single" w:color="auto" w:sz="6" w:space="0"/>
              <w:right w:val="single" w:color="auto" w:sz="6" w:space="0"/>
            </w:tcBorders>
            <w:vAlign w:val="center"/>
          </w:tcPr>
          <w:p w14:paraId="031E5426">
            <w:pPr>
              <w:spacing w:line="360" w:lineRule="auto"/>
              <w:jc w:val="center"/>
            </w:pPr>
            <w:r>
              <w:t>发纹不锈钢</w:t>
            </w:r>
          </w:p>
        </w:tc>
        <w:tc>
          <w:tcPr>
            <w:tcW w:w="1367" w:type="dxa"/>
            <w:tcBorders>
              <w:top w:val="single" w:color="auto" w:sz="6" w:space="0"/>
              <w:left w:val="single" w:color="auto" w:sz="6" w:space="0"/>
              <w:bottom w:val="single" w:color="auto" w:sz="6" w:space="0"/>
              <w:right w:val="single" w:color="auto" w:sz="6" w:space="0"/>
            </w:tcBorders>
            <w:vAlign w:val="center"/>
          </w:tcPr>
          <w:p w14:paraId="31B79680">
            <w:pPr>
              <w:jc w:val="center"/>
              <w:textAlignment w:val="center"/>
            </w:pPr>
            <w:r>
              <w:t>PVC地板</w:t>
            </w:r>
          </w:p>
        </w:tc>
        <w:tc>
          <w:tcPr>
            <w:tcW w:w="1500" w:type="dxa"/>
            <w:tcBorders>
              <w:top w:val="single" w:color="auto" w:sz="6" w:space="0"/>
              <w:left w:val="single" w:color="auto" w:sz="6" w:space="0"/>
              <w:bottom w:val="single" w:color="auto" w:sz="6" w:space="0"/>
              <w:right w:val="single" w:color="auto" w:sz="6" w:space="0"/>
            </w:tcBorders>
            <w:vAlign w:val="center"/>
          </w:tcPr>
          <w:p w14:paraId="5ADBC83D">
            <w:pPr>
              <w:jc w:val="center"/>
              <w:textAlignment w:val="center"/>
            </w:pPr>
            <w:r>
              <w:t>发纹不锈钢厅门</w:t>
            </w:r>
          </w:p>
        </w:tc>
        <w:tc>
          <w:tcPr>
            <w:tcW w:w="2245" w:type="dxa"/>
            <w:tcBorders>
              <w:top w:val="single" w:color="auto" w:sz="6" w:space="0"/>
              <w:left w:val="single" w:color="auto" w:sz="6" w:space="0"/>
              <w:bottom w:val="single" w:color="auto" w:sz="6" w:space="0"/>
              <w:right w:val="single" w:color="auto" w:sz="6" w:space="0"/>
            </w:tcBorders>
            <w:vAlign w:val="center"/>
          </w:tcPr>
          <w:p w14:paraId="6D28D30E">
            <w:pPr>
              <w:jc w:val="center"/>
            </w:pPr>
            <w:r>
              <w:t>发纹不锈钢面板；段码显示</w:t>
            </w:r>
          </w:p>
        </w:tc>
      </w:tr>
      <w:tr w14:paraId="440F5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93" w:hRule="atLeast"/>
          <w:jc w:val="center"/>
        </w:trPr>
        <w:tc>
          <w:tcPr>
            <w:tcW w:w="577" w:type="dxa"/>
            <w:tcBorders>
              <w:top w:val="single" w:color="auto" w:sz="6" w:space="0"/>
              <w:left w:val="single" w:color="auto" w:sz="6" w:space="0"/>
              <w:bottom w:val="single" w:color="auto" w:sz="6" w:space="0"/>
              <w:right w:val="single" w:color="auto" w:sz="6" w:space="0"/>
            </w:tcBorders>
            <w:vAlign w:val="center"/>
          </w:tcPr>
          <w:p w14:paraId="76CBF591">
            <w:pPr>
              <w:spacing w:line="360" w:lineRule="auto"/>
              <w:jc w:val="center"/>
            </w:pPr>
            <w:r>
              <w:t>2</w:t>
            </w:r>
          </w:p>
        </w:tc>
        <w:tc>
          <w:tcPr>
            <w:tcW w:w="1202" w:type="dxa"/>
            <w:tcBorders>
              <w:top w:val="nil"/>
              <w:left w:val="single" w:color="auto" w:sz="4" w:space="0"/>
              <w:bottom w:val="single" w:color="auto" w:sz="4" w:space="0"/>
              <w:right w:val="single" w:color="auto" w:sz="4" w:space="0"/>
            </w:tcBorders>
            <w:vAlign w:val="center"/>
          </w:tcPr>
          <w:p w14:paraId="257E9DE6">
            <w:pPr>
              <w:spacing w:line="360" w:lineRule="auto"/>
              <w:jc w:val="center"/>
            </w:pPr>
            <w:r>
              <w:rPr>
                <w:rFonts w:hint="eastAsia"/>
              </w:rPr>
              <w:t>4</w:t>
            </w:r>
            <w:r>
              <w:t>#无障碍</w:t>
            </w:r>
            <w:r>
              <w:rPr>
                <w:rFonts w:hint="eastAsia"/>
              </w:rPr>
              <w:t>病床梯</w:t>
            </w:r>
          </w:p>
        </w:tc>
        <w:tc>
          <w:tcPr>
            <w:tcW w:w="1283" w:type="dxa"/>
            <w:tcBorders>
              <w:top w:val="single" w:color="auto" w:sz="6" w:space="0"/>
              <w:left w:val="single" w:color="auto" w:sz="6" w:space="0"/>
              <w:bottom w:val="single" w:color="auto" w:sz="6" w:space="0"/>
              <w:right w:val="single" w:color="auto" w:sz="6" w:space="0"/>
            </w:tcBorders>
            <w:vAlign w:val="center"/>
          </w:tcPr>
          <w:p w14:paraId="3FE35688">
            <w:pPr>
              <w:spacing w:line="360" w:lineRule="auto"/>
              <w:jc w:val="center"/>
            </w:pPr>
            <w:r>
              <w:t>2D光幕</w:t>
            </w:r>
          </w:p>
        </w:tc>
        <w:tc>
          <w:tcPr>
            <w:tcW w:w="2500" w:type="dxa"/>
            <w:tcBorders>
              <w:top w:val="single" w:color="auto" w:sz="6" w:space="0"/>
              <w:left w:val="single" w:color="auto" w:sz="6" w:space="0"/>
              <w:bottom w:val="single" w:color="auto" w:sz="6" w:space="0"/>
              <w:right w:val="single" w:color="auto" w:sz="6" w:space="0"/>
            </w:tcBorders>
            <w:vAlign w:val="center"/>
          </w:tcPr>
          <w:p w14:paraId="7D47D2EA">
            <w:pPr>
              <w:spacing w:line="360" w:lineRule="auto"/>
              <w:jc w:val="center"/>
            </w:pPr>
            <w:r>
              <w:t>美观、大方、中央直接照明、两侧辅助照明</w:t>
            </w:r>
          </w:p>
        </w:tc>
        <w:tc>
          <w:tcPr>
            <w:tcW w:w="1100" w:type="dxa"/>
            <w:tcBorders>
              <w:top w:val="single" w:color="auto" w:sz="6" w:space="0"/>
              <w:left w:val="single" w:color="auto" w:sz="6" w:space="0"/>
              <w:bottom w:val="single" w:color="auto" w:sz="6" w:space="0"/>
              <w:right w:val="single" w:color="auto" w:sz="6" w:space="0"/>
            </w:tcBorders>
            <w:vAlign w:val="center"/>
          </w:tcPr>
          <w:p w14:paraId="75A9333E">
            <w:pPr>
              <w:jc w:val="center"/>
              <w:textAlignment w:val="center"/>
            </w:pPr>
            <w:r>
              <w:t>发纹不锈钢</w:t>
            </w:r>
          </w:p>
        </w:tc>
        <w:tc>
          <w:tcPr>
            <w:tcW w:w="984" w:type="dxa"/>
            <w:tcBorders>
              <w:top w:val="single" w:color="auto" w:sz="6" w:space="0"/>
              <w:left w:val="single" w:color="auto" w:sz="6" w:space="0"/>
              <w:bottom w:val="single" w:color="auto" w:sz="6" w:space="0"/>
              <w:right w:val="single" w:color="auto" w:sz="6" w:space="0"/>
            </w:tcBorders>
            <w:vAlign w:val="center"/>
          </w:tcPr>
          <w:p w14:paraId="43A4858F">
            <w:pPr>
              <w:spacing w:line="360" w:lineRule="auto"/>
              <w:jc w:val="center"/>
            </w:pPr>
            <w:r>
              <w:t>发纹不锈钢</w:t>
            </w:r>
          </w:p>
        </w:tc>
        <w:tc>
          <w:tcPr>
            <w:tcW w:w="983" w:type="dxa"/>
            <w:tcBorders>
              <w:top w:val="single" w:color="auto" w:sz="6" w:space="0"/>
              <w:left w:val="single" w:color="auto" w:sz="6" w:space="0"/>
              <w:bottom w:val="single" w:color="auto" w:sz="6" w:space="0"/>
              <w:right w:val="single" w:color="auto" w:sz="6" w:space="0"/>
            </w:tcBorders>
            <w:vAlign w:val="center"/>
          </w:tcPr>
          <w:p w14:paraId="657179C1">
            <w:pPr>
              <w:spacing w:line="360" w:lineRule="auto"/>
              <w:jc w:val="center"/>
            </w:pPr>
            <w:r>
              <w:t>发纹不锈钢</w:t>
            </w:r>
          </w:p>
        </w:tc>
        <w:tc>
          <w:tcPr>
            <w:tcW w:w="1367" w:type="dxa"/>
            <w:tcBorders>
              <w:top w:val="single" w:color="auto" w:sz="6" w:space="0"/>
              <w:left w:val="single" w:color="auto" w:sz="6" w:space="0"/>
              <w:bottom w:val="single" w:color="auto" w:sz="6" w:space="0"/>
              <w:right w:val="single" w:color="auto" w:sz="6" w:space="0"/>
            </w:tcBorders>
            <w:vAlign w:val="center"/>
          </w:tcPr>
          <w:p w14:paraId="6A1009D9">
            <w:pPr>
              <w:jc w:val="center"/>
              <w:textAlignment w:val="center"/>
            </w:pPr>
            <w:r>
              <w:t>PVC地板</w:t>
            </w:r>
          </w:p>
        </w:tc>
        <w:tc>
          <w:tcPr>
            <w:tcW w:w="1500" w:type="dxa"/>
            <w:tcBorders>
              <w:top w:val="single" w:color="auto" w:sz="6" w:space="0"/>
              <w:left w:val="single" w:color="auto" w:sz="6" w:space="0"/>
              <w:bottom w:val="single" w:color="auto" w:sz="6" w:space="0"/>
              <w:right w:val="single" w:color="auto" w:sz="6" w:space="0"/>
            </w:tcBorders>
            <w:vAlign w:val="center"/>
          </w:tcPr>
          <w:p w14:paraId="6DE3B11E">
            <w:pPr>
              <w:jc w:val="center"/>
              <w:textAlignment w:val="center"/>
            </w:pPr>
            <w:r>
              <w:t>发纹不锈钢厅门</w:t>
            </w:r>
          </w:p>
        </w:tc>
        <w:tc>
          <w:tcPr>
            <w:tcW w:w="2245" w:type="dxa"/>
            <w:tcBorders>
              <w:top w:val="single" w:color="auto" w:sz="6" w:space="0"/>
              <w:left w:val="single" w:color="auto" w:sz="6" w:space="0"/>
              <w:bottom w:val="single" w:color="auto" w:sz="6" w:space="0"/>
              <w:right w:val="single" w:color="auto" w:sz="6" w:space="0"/>
            </w:tcBorders>
            <w:vAlign w:val="center"/>
          </w:tcPr>
          <w:p w14:paraId="5077A441">
            <w:pPr>
              <w:spacing w:line="360" w:lineRule="auto"/>
              <w:jc w:val="center"/>
            </w:pPr>
            <w:r>
              <w:t>发纹不锈钢面板；段码显示</w:t>
            </w:r>
          </w:p>
        </w:tc>
      </w:tr>
    </w:tbl>
    <w:p w14:paraId="185B5D8D">
      <w:pPr>
        <w:rPr>
          <w:sz w:val="10"/>
          <w:szCs w:val="10"/>
        </w:rPr>
      </w:pPr>
    </w:p>
    <w:p w14:paraId="51F47FFA">
      <w:pPr>
        <w:pStyle w:val="2"/>
        <w:sectPr>
          <w:pgSz w:w="16838" w:h="11906" w:orient="landscape"/>
          <w:pgMar w:top="1440" w:right="1440" w:bottom="1440" w:left="1440" w:header="851" w:footer="992" w:gutter="0"/>
          <w:cols w:space="425" w:num="1"/>
          <w:docGrid w:type="linesAndChars" w:linePitch="326" w:charSpace="0"/>
        </w:sectPr>
      </w:pPr>
    </w:p>
    <w:p w14:paraId="225F20C0">
      <w:pPr>
        <w:spacing w:line="360" w:lineRule="auto"/>
        <w:ind w:firstLine="420" w:firstLineChars="200"/>
        <w:rPr>
          <w:rFonts w:ascii="宋体" w:hAnsi="宋体" w:cs="宋体"/>
        </w:rPr>
      </w:pPr>
      <w:r>
        <w:rPr>
          <w:rFonts w:hint="eastAsia" w:ascii="宋体" w:hAnsi="宋体" w:cs="宋体"/>
        </w:rPr>
        <w:t>无障碍电梯操纵箱上的按钮均应带有盲文，操纵箱上都应有警铃按钮和对讲机，段码显示屏。</w:t>
      </w:r>
    </w:p>
    <w:p w14:paraId="304CFF42">
      <w:pPr>
        <w:spacing w:line="360" w:lineRule="auto"/>
        <w:ind w:firstLine="420" w:firstLineChars="200"/>
        <w:rPr>
          <w:rFonts w:ascii="宋体" w:hAnsi="宋体" w:cs="宋体"/>
        </w:rPr>
      </w:pPr>
      <w:r>
        <w:rPr>
          <w:rFonts w:hint="eastAsia" w:ascii="宋体" w:hAnsi="宋体" w:cs="宋体"/>
        </w:rPr>
        <w:t>轿厢内应设必要的乘梯使用须知，具体形式在设计联络阶段确定。</w:t>
      </w:r>
    </w:p>
    <w:p w14:paraId="2B6F2B79">
      <w:pPr>
        <w:spacing w:line="360" w:lineRule="auto"/>
        <w:ind w:firstLine="420" w:firstLineChars="200"/>
        <w:rPr>
          <w:rFonts w:ascii="宋体" w:hAnsi="宋体" w:cs="宋体"/>
        </w:rPr>
      </w:pPr>
      <w:r>
        <w:rPr>
          <w:rFonts w:hint="eastAsia" w:ascii="宋体" w:hAnsi="宋体" w:cs="宋体"/>
        </w:rPr>
        <w:t>轿厢内装修和通风：轿顶及地面样式具体样式由招标人按照投标人的样本进行选择，设计联络确定。</w:t>
      </w:r>
    </w:p>
    <w:p w14:paraId="0FBAC5D1">
      <w:pPr>
        <w:spacing w:line="360" w:lineRule="auto"/>
        <w:ind w:firstLine="420" w:firstLineChars="200"/>
        <w:rPr>
          <w:rFonts w:ascii="宋体" w:hAnsi="宋体" w:cs="宋体"/>
        </w:rPr>
      </w:pPr>
      <w:r>
        <w:rPr>
          <w:rFonts w:hint="eastAsia" w:ascii="宋体" w:hAnsi="宋体" w:cs="宋体"/>
        </w:rPr>
        <w:t>设备在没有内外呼叫的情况下，停靠15分钟后（此时间可调），应能够自动关闭轿厢内的照明。</w:t>
      </w:r>
    </w:p>
    <w:p w14:paraId="17F621EC">
      <w:pPr>
        <w:spacing w:line="360" w:lineRule="auto"/>
        <w:ind w:firstLine="420" w:firstLineChars="200"/>
        <w:rPr>
          <w:rFonts w:ascii="宋体" w:hAnsi="宋体" w:cs="宋体"/>
        </w:rPr>
      </w:pPr>
      <w:r>
        <w:rPr>
          <w:rFonts w:hint="eastAsia" w:ascii="宋体" w:hAnsi="宋体" w:cs="宋体"/>
        </w:rPr>
        <w:t>轿厢内设应急照明，当设备断电时能自动切换至应急照明，持续照明时间及照度应满足国家有关标准和规范的要求。</w:t>
      </w:r>
    </w:p>
    <w:p w14:paraId="57C7EB87">
      <w:pPr>
        <w:spacing w:line="360" w:lineRule="auto"/>
        <w:ind w:firstLine="420" w:firstLineChars="200"/>
        <w:rPr>
          <w:rFonts w:ascii="宋体" w:hAnsi="宋体" w:cs="宋体"/>
        </w:rPr>
      </w:pPr>
      <w:r>
        <w:rPr>
          <w:rFonts w:hint="eastAsia" w:ascii="宋体" w:hAnsi="宋体" w:cs="宋体"/>
        </w:rPr>
        <w:t>轿顶: 应有安全护栏和检修箱。整体脚架保留较顶保留，混凝土井道电梯按国标执行。检修箱均采用钢板，并有如下设置：</w:t>
      </w:r>
    </w:p>
    <w:p w14:paraId="10177551">
      <w:pPr>
        <w:spacing w:line="360" w:lineRule="auto"/>
        <w:ind w:firstLine="420" w:firstLineChars="200"/>
        <w:rPr>
          <w:rFonts w:ascii="宋体" w:hAnsi="宋体" w:cs="宋体"/>
        </w:rPr>
      </w:pPr>
      <w:r>
        <w:rPr>
          <w:rFonts w:hint="eastAsia" w:ascii="宋体" w:hAnsi="宋体" w:cs="宋体"/>
        </w:rPr>
        <w:t>手旋复位的红色停止按钮；</w:t>
      </w:r>
    </w:p>
    <w:p w14:paraId="3611AA32">
      <w:pPr>
        <w:spacing w:line="360" w:lineRule="auto"/>
        <w:ind w:firstLine="420" w:firstLineChars="200"/>
        <w:rPr>
          <w:rFonts w:ascii="宋体" w:hAnsi="宋体" w:cs="宋体"/>
        </w:rPr>
      </w:pPr>
      <w:r>
        <w:rPr>
          <w:rFonts w:hint="eastAsia" w:ascii="宋体" w:hAnsi="宋体" w:cs="宋体"/>
        </w:rPr>
        <w:t>检修开关；</w:t>
      </w:r>
    </w:p>
    <w:p w14:paraId="0B91D4FF">
      <w:pPr>
        <w:spacing w:line="360" w:lineRule="auto"/>
        <w:ind w:firstLine="420" w:firstLineChars="200"/>
        <w:rPr>
          <w:rFonts w:ascii="宋体" w:hAnsi="宋体" w:cs="宋体"/>
        </w:rPr>
      </w:pPr>
      <w:r>
        <w:rPr>
          <w:rFonts w:hint="eastAsia" w:ascii="宋体" w:hAnsi="宋体" w:cs="宋体"/>
        </w:rPr>
        <w:t>带护罩36V检修照明灯；</w:t>
      </w:r>
    </w:p>
    <w:p w14:paraId="30CDFEB5">
      <w:pPr>
        <w:spacing w:line="360" w:lineRule="auto"/>
        <w:ind w:firstLine="420" w:firstLineChars="200"/>
        <w:rPr>
          <w:rFonts w:ascii="宋体" w:hAnsi="宋体" w:cs="宋体"/>
        </w:rPr>
      </w:pPr>
      <w:r>
        <w:rPr>
          <w:rFonts w:hint="eastAsia" w:ascii="宋体" w:hAnsi="宋体" w:cs="宋体"/>
        </w:rPr>
        <w:t>维修用插座(220V，三脚)；</w:t>
      </w:r>
    </w:p>
    <w:p w14:paraId="42ECC9AA">
      <w:pPr>
        <w:spacing w:line="360" w:lineRule="auto"/>
        <w:ind w:firstLine="420" w:firstLineChars="200"/>
        <w:rPr>
          <w:rFonts w:ascii="宋体" w:hAnsi="宋体" w:cs="宋体"/>
        </w:rPr>
      </w:pPr>
      <w:r>
        <w:rPr>
          <w:rFonts w:hint="eastAsia" w:ascii="宋体" w:hAnsi="宋体" w:cs="宋体"/>
        </w:rPr>
        <w:t>检修运行按钮。</w:t>
      </w:r>
    </w:p>
    <w:p w14:paraId="7A2D5425">
      <w:pPr>
        <w:spacing w:line="360" w:lineRule="auto"/>
        <w:ind w:firstLine="420" w:firstLineChars="200"/>
        <w:rPr>
          <w:rFonts w:ascii="宋体" w:hAnsi="宋体" w:cs="宋体"/>
        </w:rPr>
      </w:pPr>
      <w:r>
        <w:rPr>
          <w:rFonts w:hint="eastAsia" w:ascii="宋体" w:hAnsi="宋体" w:cs="宋体"/>
        </w:rPr>
        <w:t>电梯轿厢内设到语音报站装置，并可对盲人进行操作指示。</w:t>
      </w:r>
    </w:p>
    <w:p w14:paraId="0DAFABF9">
      <w:pPr>
        <w:spacing w:line="360" w:lineRule="auto"/>
        <w:ind w:firstLine="420" w:firstLineChars="200"/>
        <w:rPr>
          <w:rFonts w:ascii="宋体" w:hAnsi="宋体" w:cs="宋体"/>
        </w:rPr>
      </w:pPr>
      <w:r>
        <w:rPr>
          <w:rFonts w:hint="eastAsia" w:ascii="宋体" w:hAnsi="宋体" w:cs="宋体"/>
        </w:rPr>
        <w:t>变频器采用本品牌产品，响应国家节能环保政策要求。</w:t>
      </w:r>
    </w:p>
    <w:p w14:paraId="6743E7DF">
      <w:pPr>
        <w:spacing w:line="360" w:lineRule="auto"/>
        <w:ind w:firstLine="420" w:firstLineChars="200"/>
        <w:rPr>
          <w:rFonts w:ascii="宋体" w:hAnsi="宋体" w:cs="宋体"/>
        </w:rPr>
      </w:pPr>
      <w:r>
        <w:rPr>
          <w:rFonts w:hint="eastAsia" w:ascii="宋体" w:hAnsi="宋体" w:cs="宋体"/>
        </w:rPr>
        <w:t>轿厢内照明均采用LED光源。</w:t>
      </w:r>
    </w:p>
    <w:p w14:paraId="26182648">
      <w:pPr>
        <w:spacing w:line="360" w:lineRule="auto"/>
        <w:ind w:firstLine="420" w:firstLineChars="200"/>
        <w:rPr>
          <w:rFonts w:ascii="宋体" w:hAnsi="宋体" w:cs="宋体"/>
        </w:rPr>
      </w:pPr>
      <w:r>
        <w:rPr>
          <w:rFonts w:hint="eastAsia" w:ascii="宋体" w:hAnsi="宋体" w:cs="宋体"/>
        </w:rPr>
        <w:t>2.6.2层门召唤箱</w:t>
      </w:r>
    </w:p>
    <w:p w14:paraId="7D196FDC">
      <w:pPr>
        <w:spacing w:line="360" w:lineRule="auto"/>
        <w:ind w:firstLine="420" w:firstLineChars="200"/>
        <w:rPr>
          <w:rFonts w:ascii="宋体" w:hAnsi="宋体" w:cs="宋体"/>
        </w:rPr>
      </w:pPr>
      <w:r>
        <w:rPr>
          <w:rFonts w:hint="eastAsia" w:ascii="宋体" w:hAnsi="宋体" w:cs="宋体"/>
        </w:rPr>
        <w:t>应有电梯运行方向和层楼显示。层门召唤箱操作板设于原电梯安装位置，材质采用发纹不锈钢，投标人提供一体式召唤箱，楼层显示为段码。</w:t>
      </w:r>
    </w:p>
    <w:p w14:paraId="796A2C5B">
      <w:pPr>
        <w:spacing w:line="360" w:lineRule="auto"/>
        <w:ind w:firstLine="420" w:firstLineChars="200"/>
        <w:rPr>
          <w:rFonts w:ascii="宋体" w:hAnsi="宋体" w:cs="宋体"/>
        </w:rPr>
      </w:pPr>
      <w:r>
        <w:rPr>
          <w:rFonts w:hint="eastAsia" w:ascii="宋体" w:hAnsi="宋体" w:cs="宋体"/>
        </w:rPr>
        <w:t>按钮为带光环的不锈钢按钮，带有盲文，具体方案在设计联络中确定。</w:t>
      </w:r>
    </w:p>
    <w:p w14:paraId="6CCE0225">
      <w:pPr>
        <w:spacing w:line="360" w:lineRule="auto"/>
        <w:ind w:firstLine="420" w:firstLineChars="200"/>
        <w:rPr>
          <w:rFonts w:ascii="宋体" w:hAnsi="宋体" w:cs="宋体"/>
        </w:rPr>
      </w:pPr>
      <w:r>
        <w:rPr>
          <w:rFonts w:hint="eastAsia" w:ascii="宋体" w:hAnsi="宋体" w:cs="宋体"/>
        </w:rPr>
        <w:t>2.6.3电线和电缆</w:t>
      </w:r>
    </w:p>
    <w:p w14:paraId="07A2B361">
      <w:pPr>
        <w:spacing w:line="360" w:lineRule="auto"/>
        <w:ind w:firstLine="420" w:firstLineChars="200"/>
        <w:rPr>
          <w:rFonts w:ascii="宋体" w:hAnsi="宋体" w:cs="宋体"/>
        </w:rPr>
      </w:pPr>
      <w:r>
        <w:rPr>
          <w:rFonts w:hint="eastAsia" w:ascii="宋体" w:hAnsi="宋体" w:cs="宋体"/>
        </w:rPr>
        <w:t>所有电线与电缆均为阻燃型。阻燃特性试验应符合IEC332-2标准要求。也可采用其他更高要求的相应标准，但应将标准提供给招标人确认。</w:t>
      </w:r>
    </w:p>
    <w:p w14:paraId="4DD470AA">
      <w:pPr>
        <w:spacing w:line="360" w:lineRule="auto"/>
        <w:ind w:firstLine="420" w:firstLineChars="200"/>
        <w:rPr>
          <w:rFonts w:ascii="宋体" w:hAnsi="宋体" w:cs="宋体"/>
        </w:rPr>
      </w:pPr>
      <w:r>
        <w:rPr>
          <w:rFonts w:hint="eastAsia" w:ascii="宋体" w:hAnsi="宋体" w:cs="宋体"/>
        </w:rPr>
        <w:t>2.6.4曳引机</w:t>
      </w:r>
    </w:p>
    <w:p w14:paraId="3EC12712">
      <w:pPr>
        <w:spacing w:line="360" w:lineRule="auto"/>
        <w:ind w:firstLine="420" w:firstLineChars="200"/>
        <w:rPr>
          <w:rFonts w:ascii="宋体" w:hAnsi="宋体" w:cs="宋体"/>
        </w:rPr>
      </w:pPr>
      <w:r>
        <w:rPr>
          <w:rFonts w:hint="eastAsia" w:ascii="宋体" w:hAnsi="宋体" w:cs="宋体"/>
        </w:rPr>
        <w:t>应是以交流永磁同步电动机为动力的曳引机，采用变频调速。电梯曳引机应符合GB7588-2003中有关规定，且应有减震减声装置，在运行时不得有杂音、冲击和异常的振动。</w:t>
      </w:r>
    </w:p>
    <w:p w14:paraId="10B4B365">
      <w:pPr>
        <w:spacing w:line="360" w:lineRule="auto"/>
        <w:ind w:firstLine="420" w:firstLineChars="200"/>
        <w:rPr>
          <w:rFonts w:ascii="宋体" w:hAnsi="宋体" w:cs="宋体"/>
        </w:rPr>
      </w:pPr>
      <w:r>
        <w:rPr>
          <w:rFonts w:hint="eastAsia" w:ascii="宋体" w:hAnsi="宋体" w:cs="宋体"/>
        </w:rPr>
        <w:t>功率配置应按GB</w:t>
      </w:r>
      <w:r>
        <w:rPr>
          <w:rFonts w:ascii="宋体" w:hAnsi="宋体" w:cs="宋体"/>
        </w:rPr>
        <w:t xml:space="preserve">/T </w:t>
      </w:r>
      <w:r>
        <w:rPr>
          <w:rFonts w:hint="eastAsia" w:ascii="宋体" w:hAnsi="宋体" w:cs="宋体"/>
        </w:rPr>
        <w:t>10060—2011《电梯安装验收规范》的规定进行运行试验和超载试验，曳引电机的工作应正常。投标人应说明投标产品的电机功率。</w:t>
      </w:r>
    </w:p>
    <w:p w14:paraId="778FCE86">
      <w:pPr>
        <w:spacing w:line="360" w:lineRule="auto"/>
        <w:ind w:firstLine="420" w:firstLineChars="200"/>
        <w:rPr>
          <w:rFonts w:ascii="宋体" w:hAnsi="宋体" w:cs="宋体"/>
        </w:rPr>
      </w:pPr>
      <w:r>
        <w:rPr>
          <w:rFonts w:hint="eastAsia" w:ascii="宋体" w:hAnsi="宋体" w:cs="宋体"/>
        </w:rPr>
        <w:t>曳引机在检测平台上空载高速时，A计权声压级的噪声测量表面平均值应不超过66dBA（有风机）、62dBA（无风机）。低速时噪声应低于高速时噪声。</w:t>
      </w:r>
    </w:p>
    <w:p w14:paraId="5DEDAE00">
      <w:pPr>
        <w:spacing w:line="360" w:lineRule="auto"/>
        <w:ind w:firstLine="420" w:firstLineChars="200"/>
        <w:rPr>
          <w:rFonts w:ascii="宋体" w:hAnsi="宋体" w:cs="宋体"/>
        </w:rPr>
      </w:pPr>
      <w:r>
        <w:rPr>
          <w:rFonts w:hint="eastAsia" w:ascii="宋体" w:hAnsi="宋体" w:cs="宋体"/>
        </w:rPr>
        <w:t>曳引机在平台上轻载(相当于20％-40％曳引机额定载重量）时，在输出端处测定折算到曳引轮节处的扭转振动速度有效值的最大值不应大于1.25mm/s。</w:t>
      </w:r>
    </w:p>
    <w:p w14:paraId="14AAE7AD">
      <w:pPr>
        <w:spacing w:line="360" w:lineRule="auto"/>
        <w:ind w:firstLine="420" w:firstLineChars="200"/>
        <w:rPr>
          <w:rFonts w:ascii="宋体" w:hAnsi="宋体" w:cs="宋体"/>
        </w:rPr>
      </w:pPr>
      <w:r>
        <w:rPr>
          <w:rFonts w:hint="eastAsia" w:ascii="宋体" w:hAnsi="宋体" w:cs="宋体"/>
        </w:rPr>
        <w:t>应采用本品牌产品，且是本型号电梯原设计配置。</w:t>
      </w:r>
    </w:p>
    <w:p w14:paraId="7042F597">
      <w:pPr>
        <w:spacing w:line="360" w:lineRule="auto"/>
        <w:ind w:firstLine="420" w:firstLineChars="200"/>
        <w:rPr>
          <w:rFonts w:ascii="宋体" w:hAnsi="宋体" w:cs="宋体"/>
        </w:rPr>
      </w:pPr>
      <w:r>
        <w:rPr>
          <w:rFonts w:hint="eastAsia" w:ascii="宋体" w:hAnsi="宋体" w:cs="宋体"/>
        </w:rPr>
        <w:t>投标人在投标文件中应对曳引机的主要技术参数进行说明。</w:t>
      </w:r>
    </w:p>
    <w:p w14:paraId="559531D6">
      <w:pPr>
        <w:spacing w:line="360" w:lineRule="auto"/>
        <w:ind w:firstLine="420" w:firstLineChars="200"/>
        <w:rPr>
          <w:rFonts w:ascii="宋体" w:hAnsi="宋体" w:cs="宋体"/>
        </w:rPr>
      </w:pPr>
      <w:r>
        <w:rPr>
          <w:rFonts w:hint="eastAsia" w:ascii="宋体" w:hAnsi="宋体" w:cs="宋体"/>
        </w:rPr>
        <w:t>2.6.5曳引钢带或钢丝绳</w:t>
      </w:r>
    </w:p>
    <w:p w14:paraId="3C2277C9">
      <w:pPr>
        <w:spacing w:line="360" w:lineRule="auto"/>
        <w:ind w:firstLine="420" w:firstLineChars="200"/>
        <w:rPr>
          <w:rFonts w:ascii="宋体" w:hAnsi="宋体" w:cs="宋体"/>
        </w:rPr>
      </w:pPr>
      <w:r>
        <w:rPr>
          <w:rFonts w:hint="eastAsia" w:ascii="宋体" w:hAnsi="宋体" w:cs="宋体"/>
        </w:rPr>
        <w:t>（1）采用钢带曳引技术，通过复合钢带取代传统钢丝绳作为传动媒介，配有专业的钢带检测装置；</w:t>
      </w:r>
    </w:p>
    <w:p w14:paraId="276BD930">
      <w:pPr>
        <w:spacing w:line="360" w:lineRule="auto"/>
        <w:ind w:firstLine="420" w:firstLineChars="200"/>
        <w:rPr>
          <w:rFonts w:ascii="宋体" w:hAnsi="宋体" w:cs="宋体"/>
        </w:rPr>
      </w:pPr>
      <w:r>
        <w:rPr>
          <w:rFonts w:hint="eastAsia" w:ascii="宋体" w:hAnsi="宋体" w:cs="宋体"/>
        </w:rPr>
        <w:t>（2）钢丝绳规格应根据招标人电梯曳引机的参数规格提供对应的钢丝绳，钢丝绳规格需满足国标要求。</w:t>
      </w:r>
    </w:p>
    <w:p w14:paraId="5666EC71">
      <w:pPr>
        <w:spacing w:line="360" w:lineRule="auto"/>
        <w:ind w:firstLine="420" w:firstLineChars="200"/>
        <w:rPr>
          <w:rFonts w:ascii="宋体" w:hAnsi="宋体" w:cs="宋体"/>
        </w:rPr>
      </w:pPr>
      <w:r>
        <w:rPr>
          <w:rFonts w:hint="eastAsia" w:ascii="宋体" w:hAnsi="宋体" w:cs="宋体"/>
        </w:rPr>
        <w:t>2.6.6电控柜</w:t>
      </w:r>
    </w:p>
    <w:p w14:paraId="7FA29E8A">
      <w:pPr>
        <w:spacing w:line="360" w:lineRule="auto"/>
        <w:ind w:firstLine="420" w:firstLineChars="200"/>
        <w:rPr>
          <w:rFonts w:ascii="宋体" w:hAnsi="宋体" w:cs="宋体"/>
        </w:rPr>
      </w:pPr>
      <w:r>
        <w:rPr>
          <w:rFonts w:hint="eastAsia" w:ascii="宋体" w:hAnsi="宋体" w:cs="宋体"/>
        </w:rPr>
        <w:t>采用微机控制系统，有1对1故障显示装置，故障信息可保存查询15天，能显示故障发生的即时时间等，并且失电情况下能够保留故障信息。</w:t>
      </w:r>
    </w:p>
    <w:p w14:paraId="1CA2F9C5">
      <w:pPr>
        <w:spacing w:line="360" w:lineRule="auto"/>
        <w:ind w:firstLine="420" w:firstLineChars="200"/>
        <w:rPr>
          <w:rFonts w:ascii="宋体" w:hAnsi="宋体" w:cs="宋体"/>
        </w:rPr>
      </w:pPr>
      <w:r>
        <w:rPr>
          <w:rFonts w:hint="eastAsia" w:ascii="宋体" w:hAnsi="宋体" w:cs="宋体"/>
        </w:rPr>
        <w:t>电梯优化运行模式可根据用户要求现场进行设定调整</w:t>
      </w:r>
    </w:p>
    <w:p w14:paraId="475509BD">
      <w:pPr>
        <w:spacing w:line="360" w:lineRule="auto"/>
        <w:ind w:firstLine="420" w:firstLineChars="200"/>
        <w:rPr>
          <w:rFonts w:ascii="宋体" w:hAnsi="宋体" w:cs="宋体"/>
        </w:rPr>
      </w:pPr>
      <w:r>
        <w:rPr>
          <w:rFonts w:hint="eastAsia" w:ascii="宋体" w:hAnsi="宋体" w:cs="宋体"/>
        </w:rPr>
        <w:t>应是本品牌产品，且是本型号电梯原设计配置，其中主控微机也应是本品牌产品。投标人应提供控制柜和主控微机的品牌、型号和生产厂。</w:t>
      </w:r>
    </w:p>
    <w:p w14:paraId="246AB0A8">
      <w:pPr>
        <w:spacing w:line="360" w:lineRule="auto"/>
        <w:ind w:firstLine="420" w:firstLineChars="200"/>
        <w:rPr>
          <w:rFonts w:ascii="宋体" w:hAnsi="宋体" w:cs="宋体"/>
        </w:rPr>
      </w:pPr>
      <w:r>
        <w:rPr>
          <w:rFonts w:hint="eastAsia" w:ascii="宋体" w:hAnsi="宋体" w:cs="宋体"/>
        </w:rPr>
        <w:t>柜内继电器、接触器等应有永久性的明确标识。控制线应整齐的布置在线槽内，线路两端应有永久性线号标志，动力线终端和控制线终端要有效的分开。设计控制柜时，要考虑维修人员安装和替换控制柜零部件的方便性。</w:t>
      </w:r>
    </w:p>
    <w:p w14:paraId="051B019D">
      <w:pPr>
        <w:spacing w:line="360" w:lineRule="auto"/>
        <w:ind w:firstLine="420" w:firstLineChars="200"/>
        <w:rPr>
          <w:rFonts w:ascii="宋体" w:hAnsi="宋体" w:cs="宋体"/>
        </w:rPr>
      </w:pPr>
      <w:r>
        <w:rPr>
          <w:rFonts w:hint="eastAsia" w:ascii="宋体" w:hAnsi="宋体" w:cs="宋体"/>
        </w:rPr>
        <w:t>应设有电机过载、断相、错相的保护装置；控制柜外壳、电缆屏蔽层、电器设备外壳要可靠的接地；短路保护器及其它保护装置在发生短路故障时能有效保护设备。</w:t>
      </w:r>
    </w:p>
    <w:p w14:paraId="3A6B8273">
      <w:pPr>
        <w:spacing w:line="360" w:lineRule="auto"/>
        <w:ind w:firstLine="420" w:firstLineChars="200"/>
        <w:rPr>
          <w:rFonts w:ascii="宋体" w:hAnsi="宋体" w:cs="宋体"/>
        </w:rPr>
      </w:pPr>
      <w:r>
        <w:rPr>
          <w:rFonts w:hint="eastAsia" w:ascii="宋体" w:hAnsi="宋体" w:cs="宋体"/>
        </w:rPr>
        <w:t>控制柜的设计还应考虑通风，以保证微机系统的正常工作。</w:t>
      </w:r>
    </w:p>
    <w:p w14:paraId="26FF8E36">
      <w:pPr>
        <w:spacing w:line="360" w:lineRule="auto"/>
        <w:ind w:firstLine="420" w:firstLineChars="200"/>
        <w:rPr>
          <w:rFonts w:ascii="宋体" w:hAnsi="宋体" w:cs="宋体"/>
        </w:rPr>
      </w:pPr>
      <w:r>
        <w:rPr>
          <w:rFonts w:hint="eastAsia" w:ascii="宋体" w:hAnsi="宋体" w:cs="宋体"/>
        </w:rPr>
        <w:t>控制柜保护等级：符合相关国家标准</w:t>
      </w:r>
    </w:p>
    <w:p w14:paraId="22D2AF13">
      <w:pPr>
        <w:spacing w:line="360" w:lineRule="auto"/>
        <w:ind w:firstLine="420" w:firstLineChars="200"/>
        <w:rPr>
          <w:rFonts w:ascii="宋体" w:hAnsi="宋体" w:cs="宋体"/>
        </w:rPr>
      </w:pPr>
      <w:r>
        <w:rPr>
          <w:rFonts w:hint="eastAsia" w:ascii="宋体" w:hAnsi="宋体" w:cs="宋体"/>
        </w:rPr>
        <w:t>2.6.7悬挂装置</w:t>
      </w:r>
    </w:p>
    <w:p w14:paraId="2F909C8D">
      <w:pPr>
        <w:spacing w:line="360" w:lineRule="auto"/>
        <w:ind w:firstLine="420" w:firstLineChars="200"/>
        <w:rPr>
          <w:rFonts w:ascii="宋体" w:hAnsi="宋体" w:cs="宋体"/>
        </w:rPr>
      </w:pPr>
      <w:r>
        <w:rPr>
          <w:rFonts w:hint="eastAsia" w:ascii="宋体" w:hAnsi="宋体" w:cs="宋体"/>
        </w:rPr>
        <w:t>悬挂装置的有关要求见GB7588-2003、GB/T10058-2009中有关规定。</w:t>
      </w:r>
    </w:p>
    <w:p w14:paraId="19B601C4">
      <w:pPr>
        <w:spacing w:line="360" w:lineRule="auto"/>
        <w:ind w:firstLine="420" w:firstLineChars="200"/>
        <w:rPr>
          <w:rFonts w:ascii="宋体" w:hAnsi="宋体" w:cs="宋体"/>
        </w:rPr>
      </w:pPr>
      <w:r>
        <w:rPr>
          <w:rFonts w:hint="eastAsia" w:ascii="宋体" w:hAnsi="宋体" w:cs="宋体"/>
        </w:rPr>
        <w:t>投标人应提供有关悬挂装置的主要技术参数（名称、规格、抗拉强度、根数、安全系数等）。</w:t>
      </w:r>
    </w:p>
    <w:p w14:paraId="052BCABE">
      <w:pPr>
        <w:spacing w:line="360" w:lineRule="auto"/>
        <w:ind w:firstLine="420" w:firstLineChars="200"/>
        <w:rPr>
          <w:rFonts w:ascii="宋体" w:hAnsi="宋体" w:cs="宋体"/>
        </w:rPr>
      </w:pPr>
      <w:r>
        <w:rPr>
          <w:rFonts w:hint="eastAsia" w:ascii="宋体" w:hAnsi="宋体" w:cs="宋体"/>
        </w:rPr>
        <w:t>2.6.8自动开门机、门锁和轿厢门锁紧装置</w:t>
      </w:r>
    </w:p>
    <w:p w14:paraId="375F4957">
      <w:pPr>
        <w:spacing w:line="360" w:lineRule="auto"/>
        <w:ind w:firstLine="420" w:firstLineChars="200"/>
        <w:rPr>
          <w:rFonts w:ascii="宋体" w:hAnsi="宋体" w:cs="宋体"/>
        </w:rPr>
      </w:pPr>
      <w:r>
        <w:rPr>
          <w:rFonts w:hint="eastAsia" w:ascii="宋体" w:hAnsi="宋体" w:cs="宋体"/>
        </w:rPr>
        <w:t>自动开门机应是微机控制，交流变频调速结构。其主要部件如门机线路板、限位开关等应采用本品牌产品，且是本型号电梯原设计配置。投标人应说明开门机的型号、品牌和基本结构。</w:t>
      </w:r>
    </w:p>
    <w:p w14:paraId="4F4BE9CC">
      <w:pPr>
        <w:spacing w:line="360" w:lineRule="auto"/>
        <w:ind w:firstLine="420" w:firstLineChars="200"/>
        <w:rPr>
          <w:rFonts w:ascii="宋体" w:hAnsi="宋体" w:cs="宋体"/>
        </w:rPr>
      </w:pPr>
      <w:r>
        <w:rPr>
          <w:rFonts w:hint="eastAsia" w:ascii="宋体" w:hAnsi="宋体" w:cs="宋体"/>
        </w:rPr>
        <w:t>轿厢门锁紧装置应符合GB7588-2003第11.2.1条对轿厢门锁紧的要求。</w:t>
      </w:r>
    </w:p>
    <w:p w14:paraId="2B592E55">
      <w:pPr>
        <w:spacing w:line="360" w:lineRule="auto"/>
        <w:ind w:firstLine="420" w:firstLineChars="200"/>
        <w:rPr>
          <w:rFonts w:ascii="宋体" w:hAnsi="宋体" w:cs="宋体"/>
        </w:rPr>
      </w:pPr>
      <w:r>
        <w:rPr>
          <w:rFonts w:hint="eastAsia" w:ascii="宋体" w:hAnsi="宋体" w:cs="宋体"/>
        </w:rPr>
        <w:t>每台电梯均设有电梯锁闭装置，供工作人员或检修人员用专用钥匙开启或关闭电梯。</w:t>
      </w:r>
    </w:p>
    <w:p w14:paraId="42C3A816">
      <w:pPr>
        <w:spacing w:line="360" w:lineRule="auto"/>
        <w:ind w:firstLine="420" w:firstLineChars="200"/>
        <w:rPr>
          <w:rFonts w:ascii="宋体" w:hAnsi="宋体" w:cs="宋体"/>
        </w:rPr>
      </w:pPr>
      <w:r>
        <w:rPr>
          <w:rFonts w:hint="eastAsia" w:ascii="宋体" w:hAnsi="宋体" w:cs="宋体"/>
        </w:rPr>
        <w:t>2.6.9重要部件铭牌、标记</w:t>
      </w:r>
    </w:p>
    <w:p w14:paraId="60CEABA1">
      <w:pPr>
        <w:spacing w:line="360" w:lineRule="auto"/>
        <w:ind w:firstLine="420" w:firstLineChars="200"/>
        <w:rPr>
          <w:rFonts w:ascii="宋体" w:hAnsi="宋体" w:cs="宋体"/>
        </w:rPr>
      </w:pPr>
      <w:r>
        <w:rPr>
          <w:rFonts w:hint="eastAsia" w:ascii="宋体" w:hAnsi="宋体" w:cs="宋体"/>
        </w:rPr>
        <w:t>在限速器上应标明：制造厂名称、型式试验标志及其试验单位、已整定的动作速度。</w:t>
      </w:r>
    </w:p>
    <w:p w14:paraId="5EB41C1A">
      <w:pPr>
        <w:spacing w:line="360" w:lineRule="auto"/>
        <w:ind w:firstLine="420" w:firstLineChars="200"/>
        <w:rPr>
          <w:rFonts w:ascii="宋体" w:hAnsi="宋体" w:cs="宋体"/>
        </w:rPr>
      </w:pPr>
      <w:r>
        <w:rPr>
          <w:rFonts w:hint="eastAsia" w:ascii="宋体" w:hAnsi="宋体" w:cs="宋体"/>
        </w:rPr>
        <w:t>在安全钳、缓冲器、门锁装置上应标明：制造厂名称、型式试验标志及其试验单位。</w:t>
      </w:r>
    </w:p>
    <w:p w14:paraId="65DBE87A">
      <w:pPr>
        <w:spacing w:line="360" w:lineRule="auto"/>
        <w:ind w:firstLine="420" w:firstLineChars="200"/>
        <w:rPr>
          <w:rFonts w:ascii="宋体" w:hAnsi="宋体" w:cs="宋体"/>
        </w:rPr>
      </w:pPr>
      <w:r>
        <w:rPr>
          <w:rFonts w:hint="eastAsia" w:ascii="宋体" w:hAnsi="宋体" w:cs="宋体"/>
        </w:rPr>
        <w:t>应在轿顶上、井道内、底坑内应按GB7588--2003第15条要求标明各种提示性字符和使用须知。</w:t>
      </w:r>
    </w:p>
    <w:p w14:paraId="1151A85D">
      <w:pPr>
        <w:spacing w:line="360" w:lineRule="auto"/>
        <w:ind w:firstLine="420" w:firstLineChars="200"/>
        <w:rPr>
          <w:rFonts w:ascii="宋体" w:hAnsi="宋体" w:cs="宋体"/>
        </w:rPr>
      </w:pPr>
      <w:r>
        <w:rPr>
          <w:rFonts w:hint="eastAsia" w:ascii="宋体" w:hAnsi="宋体" w:cs="宋体"/>
        </w:rPr>
        <w:t>轿厢内应标明年检日期，合格有效期限等。</w:t>
      </w:r>
    </w:p>
    <w:p w14:paraId="50BA6A05">
      <w:pPr>
        <w:spacing w:line="360" w:lineRule="auto"/>
        <w:ind w:firstLine="420" w:firstLineChars="200"/>
        <w:rPr>
          <w:rFonts w:ascii="宋体" w:hAnsi="宋体" w:cs="宋体"/>
        </w:rPr>
      </w:pPr>
      <w:r>
        <w:rPr>
          <w:rFonts w:hint="eastAsia" w:ascii="宋体" w:hAnsi="宋体" w:cs="宋体"/>
        </w:rPr>
        <w:t>2.6.10电源</w:t>
      </w:r>
    </w:p>
    <w:p w14:paraId="5DB1D711">
      <w:pPr>
        <w:spacing w:line="360" w:lineRule="auto"/>
        <w:ind w:firstLine="420" w:firstLineChars="200"/>
        <w:rPr>
          <w:rFonts w:ascii="宋体" w:hAnsi="宋体" w:cs="宋体"/>
        </w:rPr>
      </w:pPr>
      <w:r>
        <w:rPr>
          <w:rFonts w:hint="eastAsia" w:ascii="宋体" w:hAnsi="宋体" w:cs="宋体"/>
        </w:rPr>
        <w:t>每台电梯应单设一个可切断该电梯电源的主开关，但该开关不应切断下列供电电路：</w:t>
      </w:r>
    </w:p>
    <w:p w14:paraId="4D15C9FF">
      <w:pPr>
        <w:spacing w:line="360" w:lineRule="auto"/>
        <w:ind w:firstLine="420" w:firstLineChars="200"/>
        <w:rPr>
          <w:rFonts w:ascii="宋体" w:hAnsi="宋体" w:cs="宋体"/>
        </w:rPr>
      </w:pPr>
      <w:r>
        <w:rPr>
          <w:rFonts w:hint="eastAsia" w:ascii="宋体" w:hAnsi="宋体" w:cs="宋体"/>
        </w:rPr>
        <w:t>轿厢照明和通风；</w:t>
      </w:r>
    </w:p>
    <w:p w14:paraId="67784892">
      <w:pPr>
        <w:spacing w:line="360" w:lineRule="auto"/>
        <w:ind w:firstLine="420" w:firstLineChars="200"/>
        <w:rPr>
          <w:rFonts w:ascii="宋体" w:hAnsi="宋体" w:cs="宋体"/>
        </w:rPr>
      </w:pPr>
      <w:r>
        <w:rPr>
          <w:rFonts w:hint="eastAsia" w:ascii="宋体" w:hAnsi="宋体" w:cs="宋体"/>
        </w:rPr>
        <w:t>轿顶电源插座；</w:t>
      </w:r>
    </w:p>
    <w:p w14:paraId="2F0FC158">
      <w:pPr>
        <w:spacing w:line="360" w:lineRule="auto"/>
        <w:ind w:firstLine="420" w:firstLineChars="200"/>
        <w:rPr>
          <w:rFonts w:ascii="宋体" w:hAnsi="宋体" w:cs="宋体"/>
        </w:rPr>
      </w:pPr>
      <w:r>
        <w:rPr>
          <w:rFonts w:hint="eastAsia" w:ascii="宋体" w:hAnsi="宋体" w:cs="宋体"/>
        </w:rPr>
        <w:t>电梯井道照明；</w:t>
      </w:r>
    </w:p>
    <w:p w14:paraId="355DE2CE">
      <w:pPr>
        <w:spacing w:line="360" w:lineRule="auto"/>
        <w:ind w:firstLine="420" w:firstLineChars="200"/>
        <w:rPr>
          <w:rFonts w:ascii="宋体" w:hAnsi="宋体" w:cs="宋体"/>
        </w:rPr>
      </w:pPr>
      <w:r>
        <w:rPr>
          <w:rFonts w:hint="eastAsia" w:ascii="宋体" w:hAnsi="宋体" w:cs="宋体"/>
        </w:rPr>
        <w:t>报警装置。</w:t>
      </w:r>
    </w:p>
    <w:p w14:paraId="115B3F5B">
      <w:pPr>
        <w:spacing w:line="360" w:lineRule="auto"/>
        <w:ind w:firstLine="420" w:firstLineChars="200"/>
        <w:rPr>
          <w:rFonts w:ascii="宋体" w:hAnsi="宋体" w:cs="宋体"/>
        </w:rPr>
      </w:pPr>
      <w:r>
        <w:rPr>
          <w:rFonts w:hint="eastAsia" w:ascii="宋体" w:hAnsi="宋体" w:cs="宋体"/>
        </w:rPr>
        <w:t>2.6.11装饰与防腐处理</w:t>
      </w:r>
    </w:p>
    <w:p w14:paraId="2F7D59FD">
      <w:pPr>
        <w:spacing w:line="360" w:lineRule="auto"/>
        <w:ind w:firstLine="420" w:firstLineChars="200"/>
        <w:rPr>
          <w:rFonts w:ascii="宋体" w:hAnsi="宋体" w:cs="宋体"/>
        </w:rPr>
      </w:pPr>
      <w:r>
        <w:rPr>
          <w:rFonts w:hint="eastAsia" w:ascii="宋体" w:hAnsi="宋体" w:cs="宋体"/>
        </w:rPr>
        <w:t>全部钢制件应作可靠的防腐蚀处理，应有抗锈能力。</w:t>
      </w:r>
    </w:p>
    <w:p w14:paraId="081342F3">
      <w:pPr>
        <w:spacing w:line="360" w:lineRule="auto"/>
        <w:ind w:firstLine="420" w:firstLineChars="200"/>
        <w:rPr>
          <w:rFonts w:ascii="宋体" w:hAnsi="宋体" w:cs="宋体"/>
        </w:rPr>
      </w:pPr>
      <w:r>
        <w:rPr>
          <w:rFonts w:hint="eastAsia" w:ascii="宋体" w:hAnsi="宋体" w:cs="宋体"/>
        </w:rPr>
        <w:t>2.6.12井道内照明和检修插座</w:t>
      </w:r>
    </w:p>
    <w:p w14:paraId="330973BE">
      <w:pPr>
        <w:spacing w:line="360" w:lineRule="auto"/>
        <w:ind w:firstLine="420" w:firstLineChars="200"/>
        <w:rPr>
          <w:rFonts w:ascii="宋体" w:hAnsi="宋体" w:cs="宋体"/>
        </w:rPr>
      </w:pPr>
      <w:r>
        <w:rPr>
          <w:rFonts w:hint="eastAsia" w:ascii="宋体" w:hAnsi="宋体" w:cs="宋体"/>
        </w:rPr>
        <w:t>电梯井道内的照明和检修插座由投标人负责完成设计、布线、供货、安装和调试，其照度满足电梯规范要求，插座满足低压配电相关规范要求。投标人需提交详细设计方案。</w:t>
      </w:r>
    </w:p>
    <w:p w14:paraId="4DED72EE">
      <w:pPr>
        <w:spacing w:line="360" w:lineRule="auto"/>
        <w:ind w:firstLine="420" w:firstLineChars="200"/>
        <w:rPr>
          <w:rFonts w:ascii="宋体" w:hAnsi="宋体" w:cs="宋体"/>
        </w:rPr>
      </w:pPr>
      <w:r>
        <w:rPr>
          <w:rFonts w:hint="eastAsia" w:ascii="宋体" w:hAnsi="宋体" w:cs="宋体"/>
        </w:rPr>
        <w:t>除井道内照明和检修插座外，投标人还应负责电梯底坑内的铁爬梯的供货和安装，满足电梯设备安全运行和设备检修要求。</w:t>
      </w:r>
    </w:p>
    <w:p w14:paraId="66E528DD">
      <w:pPr>
        <w:spacing w:line="360" w:lineRule="auto"/>
        <w:ind w:firstLine="420" w:firstLineChars="200"/>
        <w:rPr>
          <w:rFonts w:ascii="宋体" w:hAnsi="宋体" w:cs="宋体"/>
        </w:rPr>
      </w:pPr>
      <w:r>
        <w:rPr>
          <w:rFonts w:hint="eastAsia" w:ascii="宋体" w:hAnsi="宋体" w:cs="宋体"/>
        </w:rPr>
        <w:t xml:space="preserve"> 2.6.13紧急操作装置和停止保护装置：</w:t>
      </w:r>
    </w:p>
    <w:p w14:paraId="03C2AE00">
      <w:pPr>
        <w:spacing w:line="360" w:lineRule="auto"/>
        <w:ind w:firstLine="420" w:firstLineChars="200"/>
        <w:rPr>
          <w:rFonts w:ascii="宋体" w:hAnsi="宋体" w:cs="宋体"/>
        </w:rPr>
      </w:pPr>
      <w:r>
        <w:rPr>
          <w:rFonts w:hint="eastAsia" w:ascii="宋体" w:hAnsi="宋体" w:cs="宋体"/>
        </w:rPr>
        <w:t>停电或电气系统发生故障时，应有一定光亮度的轿厢照明，并能使轿厢慢速移动至下端站。轿顶、底坑应装有非自动复位的红色停止保护开关。</w:t>
      </w:r>
    </w:p>
    <w:p w14:paraId="4B82664A">
      <w:pPr>
        <w:spacing w:line="360" w:lineRule="auto"/>
        <w:ind w:firstLine="420" w:firstLineChars="200"/>
        <w:rPr>
          <w:rFonts w:ascii="宋体" w:hAnsi="宋体" w:cs="宋体"/>
        </w:rPr>
      </w:pPr>
      <w:r>
        <w:rPr>
          <w:rFonts w:hint="eastAsia" w:ascii="宋体" w:hAnsi="宋体" w:cs="宋体"/>
        </w:rPr>
        <w:t>2.6.14投标人提供的电梯设备应保证为原厂配件。</w:t>
      </w:r>
    </w:p>
    <w:p w14:paraId="766C15AC">
      <w:pPr>
        <w:spacing w:line="360" w:lineRule="auto"/>
        <w:ind w:firstLine="422" w:firstLineChars="200"/>
        <w:rPr>
          <w:rFonts w:ascii="宋体" w:hAnsi="宋体" w:cs="宋体"/>
          <w:b/>
          <w:bCs/>
        </w:rPr>
      </w:pPr>
      <w:bookmarkStart w:id="30" w:name="_Toc520444680"/>
      <w:r>
        <w:rPr>
          <w:rFonts w:hint="eastAsia" w:ascii="宋体" w:hAnsi="宋体" w:cs="宋体"/>
          <w:b/>
          <w:bCs/>
        </w:rPr>
        <w:t>2.7主要安全装置</w:t>
      </w:r>
      <w:bookmarkEnd w:id="30"/>
    </w:p>
    <w:p w14:paraId="1545C8EC">
      <w:pPr>
        <w:spacing w:line="360" w:lineRule="auto"/>
        <w:ind w:firstLine="420" w:firstLineChars="200"/>
        <w:rPr>
          <w:rFonts w:ascii="宋体" w:hAnsi="宋体" w:cs="宋体"/>
        </w:rPr>
      </w:pPr>
      <w:r>
        <w:rPr>
          <w:rFonts w:hint="eastAsia" w:ascii="宋体" w:hAnsi="宋体" w:cs="宋体"/>
        </w:rPr>
        <w:t>缓冲器：应是耗能式或储能型缓冲器。缓冲器的安全系数应满足相关规范的规定。投标人应说明缓冲器的结构，并说明生产厂和产地。</w:t>
      </w:r>
    </w:p>
    <w:p w14:paraId="0B36BDFD">
      <w:pPr>
        <w:spacing w:line="360" w:lineRule="auto"/>
        <w:ind w:firstLine="420" w:firstLineChars="200"/>
        <w:rPr>
          <w:rFonts w:ascii="宋体" w:hAnsi="宋体" w:cs="宋体"/>
        </w:rPr>
      </w:pPr>
      <w:r>
        <w:rPr>
          <w:rFonts w:hint="eastAsia" w:ascii="宋体" w:hAnsi="宋体" w:cs="宋体"/>
        </w:rPr>
        <w:t xml:space="preserve">安全钳：应是渐进式安全钳。应说明安全钳的结构，并说明生产厂和产地。 </w:t>
      </w:r>
    </w:p>
    <w:p w14:paraId="23C1B37D">
      <w:pPr>
        <w:spacing w:line="360" w:lineRule="auto"/>
        <w:ind w:firstLine="420" w:firstLineChars="200"/>
        <w:rPr>
          <w:rFonts w:ascii="宋体" w:hAnsi="宋体" w:cs="宋体"/>
        </w:rPr>
      </w:pPr>
      <w:r>
        <w:rPr>
          <w:rFonts w:hint="eastAsia" w:ascii="宋体" w:hAnsi="宋体" w:cs="宋体"/>
        </w:rPr>
        <w:t xml:space="preserve">限速器：应说明限速器的结构，并说明生产厂和产地。 </w:t>
      </w:r>
    </w:p>
    <w:p w14:paraId="4FA8713E">
      <w:pPr>
        <w:spacing w:line="360" w:lineRule="auto"/>
        <w:ind w:firstLine="420" w:firstLineChars="200"/>
        <w:rPr>
          <w:rFonts w:ascii="宋体" w:hAnsi="宋体" w:cs="宋体"/>
        </w:rPr>
      </w:pPr>
      <w:r>
        <w:rPr>
          <w:rFonts w:hint="eastAsia" w:ascii="宋体" w:hAnsi="宋体" w:cs="宋体"/>
        </w:rPr>
        <w:t>轿厢上行超速保护装置：应说明基本结构和工作原理， 已用产品的生产厂和产地。</w:t>
      </w:r>
    </w:p>
    <w:p w14:paraId="5D0092DF">
      <w:pPr>
        <w:spacing w:line="360" w:lineRule="auto"/>
        <w:ind w:firstLine="420" w:firstLineChars="200"/>
        <w:rPr>
          <w:rFonts w:ascii="宋体" w:hAnsi="宋体" w:cs="宋体"/>
        </w:rPr>
      </w:pPr>
      <w:r>
        <w:rPr>
          <w:rFonts w:hint="eastAsia" w:ascii="宋体" w:hAnsi="宋体" w:cs="宋体"/>
        </w:rPr>
        <w:t>含有电子元件的安全电路：应说明功能和结构，并说明生产厂和产地。</w:t>
      </w:r>
    </w:p>
    <w:p w14:paraId="5B7C1B4D">
      <w:pPr>
        <w:spacing w:line="360" w:lineRule="auto"/>
        <w:ind w:firstLine="420" w:firstLineChars="200"/>
        <w:rPr>
          <w:rFonts w:ascii="宋体" w:hAnsi="宋体" w:cs="宋体"/>
        </w:rPr>
      </w:pPr>
      <w:r>
        <w:rPr>
          <w:rFonts w:hint="eastAsia" w:ascii="宋体" w:hAnsi="宋体" w:cs="宋体"/>
        </w:rPr>
        <w:t>以上安全装置，不仅限于上述的安全装置，投标人应提供结构和功能说明，并提供国家认定资质的专业检测机构有效型式试验报告或证书的复印件。</w:t>
      </w:r>
    </w:p>
    <w:p w14:paraId="621E75F5">
      <w:pPr>
        <w:spacing w:line="360" w:lineRule="auto"/>
        <w:ind w:firstLine="422" w:firstLineChars="200"/>
        <w:rPr>
          <w:rFonts w:ascii="宋体" w:hAnsi="宋体" w:cs="宋体"/>
          <w:b/>
          <w:bCs/>
        </w:rPr>
      </w:pPr>
      <w:bookmarkStart w:id="31" w:name="_Toc520444681"/>
      <w:r>
        <w:rPr>
          <w:rFonts w:hint="eastAsia" w:ascii="宋体" w:hAnsi="宋体" w:cs="宋体"/>
          <w:b/>
          <w:bCs/>
        </w:rPr>
        <w:t>3、施工界面及接口要求</w:t>
      </w:r>
      <w:bookmarkEnd w:id="31"/>
    </w:p>
    <w:p w14:paraId="32F03994">
      <w:pPr>
        <w:spacing w:line="360" w:lineRule="auto"/>
        <w:ind w:firstLine="420" w:firstLineChars="200"/>
        <w:rPr>
          <w:rFonts w:ascii="宋体" w:hAnsi="宋体" w:cs="宋体"/>
        </w:rPr>
      </w:pPr>
      <w:bookmarkStart w:id="32" w:name="_Toc281145651"/>
      <w:bookmarkStart w:id="33" w:name="_Toc212905025"/>
      <w:bookmarkStart w:id="34" w:name="_Toc208445413"/>
      <w:bookmarkStart w:id="35" w:name="_Toc212905024"/>
      <w:r>
        <w:rPr>
          <w:rFonts w:hint="eastAsia" w:ascii="宋体" w:hAnsi="宋体" w:cs="宋体"/>
        </w:rPr>
        <w:t>投标人必须负责本项目工程招标文件范围内的所有相关接口工作，同时有责任配合招标人做好与其它系统及有关主管部门的接口协调工作。按照天津市宁河区医院安全生产管理相关规定进行施工。在执行合同过程中，若发生争议，由招标人协调。投标人不得借此要求增加费用或延长工期。最终接口要求以设计联络阶段确定的内容为准。</w:t>
      </w:r>
    </w:p>
    <w:p w14:paraId="5C18E2E5">
      <w:pPr>
        <w:spacing w:line="360" w:lineRule="auto"/>
        <w:ind w:firstLine="420" w:firstLineChars="200"/>
        <w:rPr>
          <w:rFonts w:ascii="宋体" w:hAnsi="宋体" w:cs="宋体"/>
        </w:rPr>
      </w:pPr>
      <w:bookmarkStart w:id="36" w:name="_Toc520444682"/>
      <w:r>
        <w:rPr>
          <w:rFonts w:hint="eastAsia" w:ascii="宋体" w:hAnsi="宋体" w:cs="宋体"/>
        </w:rPr>
        <w:t>3.1与动力照明的接口</w:t>
      </w:r>
      <w:bookmarkEnd w:id="36"/>
    </w:p>
    <w:p w14:paraId="4B7AF73E">
      <w:pPr>
        <w:spacing w:line="360" w:lineRule="auto"/>
        <w:ind w:firstLine="420" w:firstLineChars="200"/>
        <w:rPr>
          <w:rFonts w:ascii="宋体" w:hAnsi="宋体" w:cs="宋体"/>
        </w:rPr>
      </w:pPr>
      <w:r>
        <w:rPr>
          <w:rFonts w:hint="eastAsia" w:ascii="宋体" w:hAnsi="宋体" w:cs="宋体"/>
        </w:rPr>
        <w:t>下列与电梯工程有关的工程由招标人负责提供。</w:t>
      </w:r>
    </w:p>
    <w:p w14:paraId="6A95095D">
      <w:pPr>
        <w:spacing w:line="360" w:lineRule="auto"/>
        <w:ind w:firstLine="420" w:firstLineChars="200"/>
        <w:rPr>
          <w:rFonts w:ascii="宋体" w:hAnsi="宋体" w:cs="宋体"/>
        </w:rPr>
      </w:pPr>
      <w:r>
        <w:rPr>
          <w:rFonts w:hint="eastAsia" w:ascii="宋体" w:hAnsi="宋体" w:cs="宋体"/>
        </w:rPr>
        <w:t>3.1.1 为每个电梯机房提供并安装正式使用的三相五线、380/220伏、50赫兹交流电源，端接于机房内配电箱上，配电箱为每台电梯提供一路电源。</w:t>
      </w:r>
    </w:p>
    <w:p w14:paraId="2E537C1E">
      <w:pPr>
        <w:spacing w:line="360" w:lineRule="auto"/>
        <w:ind w:firstLine="420" w:firstLineChars="200"/>
        <w:rPr>
          <w:rFonts w:ascii="宋体" w:hAnsi="宋体" w:cs="宋体"/>
        </w:rPr>
      </w:pPr>
      <w:r>
        <w:rPr>
          <w:rFonts w:hint="eastAsia" w:ascii="宋体" w:hAnsi="宋体" w:cs="宋体"/>
        </w:rPr>
        <w:t>3.1.2为电梯机房提供照明设施和电力插座。</w:t>
      </w:r>
    </w:p>
    <w:p w14:paraId="1217258F">
      <w:pPr>
        <w:spacing w:line="360" w:lineRule="auto"/>
        <w:ind w:firstLine="420" w:firstLineChars="200"/>
        <w:rPr>
          <w:rFonts w:ascii="宋体" w:hAnsi="宋体" w:cs="宋体"/>
        </w:rPr>
      </w:pPr>
      <w:r>
        <w:rPr>
          <w:rFonts w:hint="eastAsia" w:ascii="宋体" w:hAnsi="宋体" w:cs="宋体"/>
        </w:rPr>
        <w:t>3.1.3为电梯机房在机械装置平台范围内提供照明设施和电力插座。</w:t>
      </w:r>
    </w:p>
    <w:p w14:paraId="6A4AAB97">
      <w:pPr>
        <w:spacing w:line="360" w:lineRule="auto"/>
        <w:ind w:firstLine="420" w:firstLineChars="200"/>
        <w:rPr>
          <w:rFonts w:ascii="宋体" w:hAnsi="宋体" w:cs="宋体"/>
        </w:rPr>
      </w:pPr>
      <w:r>
        <w:rPr>
          <w:rFonts w:hint="eastAsia" w:ascii="宋体" w:hAnsi="宋体" w:cs="宋体"/>
        </w:rPr>
        <w:t>3.1.4本项目中标投标人应与招标人协调自身有关机电系统的调试及试运行工作。</w:t>
      </w:r>
    </w:p>
    <w:p w14:paraId="6555B9C0">
      <w:pPr>
        <w:spacing w:line="360" w:lineRule="auto"/>
        <w:ind w:firstLine="420" w:firstLineChars="200"/>
        <w:rPr>
          <w:rFonts w:ascii="宋体" w:hAnsi="宋体" w:cs="宋体"/>
        </w:rPr>
      </w:pPr>
      <w:bookmarkStart w:id="37" w:name="_Toc520444683"/>
      <w:r>
        <w:rPr>
          <w:rFonts w:hint="eastAsia" w:ascii="宋体" w:hAnsi="宋体" w:cs="宋体"/>
        </w:rPr>
        <w:t>3.2与通信系统的接口</w:t>
      </w:r>
      <w:bookmarkEnd w:id="37"/>
    </w:p>
    <w:p w14:paraId="129BB179">
      <w:pPr>
        <w:spacing w:line="360" w:lineRule="auto"/>
        <w:ind w:firstLine="420" w:firstLineChars="200"/>
        <w:rPr>
          <w:rFonts w:ascii="宋体" w:hAnsi="宋体" w:cs="宋体"/>
        </w:rPr>
      </w:pPr>
      <w:r>
        <w:rPr>
          <w:rFonts w:hint="eastAsia" w:ascii="宋体" w:hAnsi="宋体" w:cs="宋体"/>
        </w:rPr>
        <w:t>提供电梯五方对讲系统，详细须与招标人协调。</w:t>
      </w:r>
    </w:p>
    <w:p w14:paraId="48C3FC6C">
      <w:pPr>
        <w:spacing w:line="360" w:lineRule="auto"/>
        <w:ind w:firstLine="420" w:firstLineChars="200"/>
        <w:rPr>
          <w:rFonts w:ascii="宋体" w:hAnsi="宋体" w:cs="宋体"/>
        </w:rPr>
      </w:pPr>
      <w:bookmarkStart w:id="38" w:name="_Toc520444685"/>
      <w:r>
        <w:rPr>
          <w:rFonts w:hint="eastAsia" w:ascii="宋体" w:hAnsi="宋体" w:cs="宋体"/>
        </w:rPr>
        <w:t>3.3与消防系统的接口</w:t>
      </w:r>
      <w:bookmarkEnd w:id="38"/>
    </w:p>
    <w:p w14:paraId="0067600E">
      <w:pPr>
        <w:spacing w:line="360" w:lineRule="auto"/>
        <w:ind w:firstLine="420" w:firstLineChars="200"/>
        <w:rPr>
          <w:rFonts w:ascii="宋体" w:hAnsi="宋体" w:cs="宋体"/>
        </w:rPr>
      </w:pPr>
      <w:r>
        <w:rPr>
          <w:rFonts w:hint="eastAsia" w:ascii="宋体" w:hAnsi="宋体" w:cs="宋体"/>
        </w:rPr>
        <w:t>下列与电梯工程有关的工程由招标人协调消防维保单位负责提供。中标投标人必须提供一切有关的数据及图纸交招标人协调消防维保单位作专业施工配合用，在现场须负责核对并保证下列工程已满足要求，如尚需要招标人及消防维保单位负责的额外工程应在投标时提出。</w:t>
      </w:r>
    </w:p>
    <w:p w14:paraId="6D490D37">
      <w:pPr>
        <w:spacing w:line="360" w:lineRule="auto"/>
        <w:ind w:firstLine="420" w:firstLineChars="200"/>
        <w:rPr>
          <w:rFonts w:ascii="宋体" w:hAnsi="宋体" w:cs="宋体"/>
        </w:rPr>
      </w:pPr>
      <w:r>
        <w:rPr>
          <w:rFonts w:hint="eastAsia" w:ascii="宋体" w:hAnsi="宋体" w:cs="宋体"/>
        </w:rPr>
        <w:t>3.3.1 提供在电梯机房内消防报警系统之交接点。</w:t>
      </w:r>
    </w:p>
    <w:p w14:paraId="468399B6">
      <w:pPr>
        <w:spacing w:line="360" w:lineRule="auto"/>
        <w:ind w:firstLine="420" w:firstLineChars="200"/>
        <w:rPr>
          <w:rFonts w:ascii="宋体" w:hAnsi="宋体" w:cs="宋体"/>
        </w:rPr>
      </w:pPr>
      <w:r>
        <w:rPr>
          <w:rFonts w:hint="eastAsia" w:ascii="宋体" w:hAnsi="宋体" w:cs="宋体"/>
        </w:rPr>
        <w:t>3.3.2 提供消防自动报警系统及联动系统的线缆到电梯机房控制柜，中标人配合消防维保单位完成消防自动报警装置与电梯主控板控制讯号的连接，并按照消防维保单位的要求返回相应的信号</w:t>
      </w:r>
    </w:p>
    <w:p w14:paraId="65B31657">
      <w:pPr>
        <w:spacing w:line="360" w:lineRule="auto"/>
        <w:ind w:firstLine="420" w:firstLineChars="200"/>
        <w:rPr>
          <w:rFonts w:ascii="宋体" w:hAnsi="宋体" w:cs="宋体"/>
        </w:rPr>
      </w:pPr>
      <w:bookmarkStart w:id="39" w:name="_Toc520444686"/>
      <w:r>
        <w:rPr>
          <w:rFonts w:hint="eastAsia" w:ascii="宋体" w:hAnsi="宋体" w:cs="宋体"/>
        </w:rPr>
        <w:t>3.3.3 与视频监控系统的接口</w:t>
      </w:r>
      <w:bookmarkEnd w:id="39"/>
    </w:p>
    <w:p w14:paraId="219164C6">
      <w:pPr>
        <w:spacing w:line="360" w:lineRule="auto"/>
        <w:ind w:firstLine="420" w:firstLineChars="200"/>
        <w:rPr>
          <w:rFonts w:ascii="宋体" w:hAnsi="宋体" w:cs="宋体"/>
        </w:rPr>
      </w:pPr>
      <w:r>
        <w:rPr>
          <w:rFonts w:hint="eastAsia" w:ascii="宋体" w:hAnsi="宋体" w:cs="宋体"/>
        </w:rPr>
        <w:t>提供电梯轿厢内的视频安防监控系统的设备及线路，中标人需提供随行电缆连接（同轴电缆）有关线路至电梯轿厢及提供接线点，并提供开孔以完成摄像等之安装</w:t>
      </w:r>
    </w:p>
    <w:bookmarkEnd w:id="32"/>
    <w:p w14:paraId="5AA38BA4">
      <w:pPr>
        <w:spacing w:line="360" w:lineRule="auto"/>
        <w:ind w:firstLine="422" w:firstLineChars="200"/>
        <w:rPr>
          <w:rFonts w:ascii="宋体" w:hAnsi="宋体" w:cs="宋体"/>
          <w:b/>
          <w:bCs/>
        </w:rPr>
      </w:pPr>
      <w:bookmarkStart w:id="40" w:name="_Toc520444687"/>
      <w:bookmarkStart w:id="41" w:name="_Toc281145676"/>
      <w:r>
        <w:rPr>
          <w:rFonts w:hint="eastAsia" w:ascii="宋体" w:hAnsi="宋体" w:cs="宋体"/>
          <w:b/>
          <w:bCs/>
        </w:rPr>
        <w:t>4、施工通用技术要求</w:t>
      </w:r>
      <w:bookmarkEnd w:id="40"/>
    </w:p>
    <w:p w14:paraId="2DB99774">
      <w:pPr>
        <w:spacing w:line="360" w:lineRule="auto"/>
        <w:ind w:firstLine="420" w:firstLineChars="200"/>
        <w:rPr>
          <w:rFonts w:ascii="宋体" w:hAnsi="宋体" w:cs="宋体"/>
        </w:rPr>
      </w:pPr>
      <w:r>
        <w:rPr>
          <w:rFonts w:hint="eastAsia" w:ascii="宋体" w:hAnsi="宋体" w:cs="宋体"/>
        </w:rPr>
        <w:t>投标人的安装、自检等过程满足国家相关规范。</w:t>
      </w:r>
    </w:p>
    <w:p w14:paraId="496C9223">
      <w:pPr>
        <w:spacing w:line="360" w:lineRule="auto"/>
        <w:ind w:firstLine="420" w:firstLineChars="200"/>
        <w:rPr>
          <w:rFonts w:ascii="宋体" w:hAnsi="宋体" w:cs="宋体"/>
        </w:rPr>
      </w:pPr>
      <w:r>
        <w:rPr>
          <w:rFonts w:hint="eastAsia" w:ascii="宋体" w:hAnsi="宋体" w:cs="宋体"/>
        </w:rPr>
        <w:t>应积极、主动、有效的与相关单位协调现场安装中存在的问题。并定期向招标人报告工程进度等情况。</w:t>
      </w:r>
    </w:p>
    <w:p w14:paraId="3665C900">
      <w:pPr>
        <w:spacing w:line="360" w:lineRule="auto"/>
        <w:ind w:firstLine="420" w:firstLineChars="200"/>
        <w:rPr>
          <w:rFonts w:ascii="宋体" w:hAnsi="宋体" w:cs="宋体"/>
        </w:rPr>
      </w:pPr>
      <w:r>
        <w:rPr>
          <w:rFonts w:hint="eastAsia" w:ascii="宋体" w:hAnsi="宋体" w:cs="宋体"/>
        </w:rPr>
        <w:t>投标人应考虑土建施工时吊钩漏埋或预埋吊钩不可用的情况，在这种情况下，投标人应采取措施（如吊车吊装、搭建吊架等）进行电梯的安装，相关费用含在投标报价内。投标人应提出可行的安装方案报招标人，通过审核后方可实施。</w:t>
      </w:r>
    </w:p>
    <w:p w14:paraId="22AC369A">
      <w:pPr>
        <w:spacing w:line="360" w:lineRule="auto"/>
        <w:ind w:firstLine="420" w:firstLineChars="200"/>
        <w:rPr>
          <w:rFonts w:ascii="宋体" w:hAnsi="宋体" w:cs="宋体"/>
        </w:rPr>
      </w:pPr>
      <w:r>
        <w:rPr>
          <w:rFonts w:hint="eastAsia" w:ascii="宋体" w:hAnsi="宋体" w:cs="宋体"/>
        </w:rPr>
        <w:t>设备进场、吊装、安装调试应服从招标人等相关单位的管理。</w:t>
      </w:r>
    </w:p>
    <w:p w14:paraId="49D62A39">
      <w:pPr>
        <w:spacing w:line="360" w:lineRule="auto"/>
        <w:ind w:firstLine="420" w:firstLineChars="200"/>
        <w:rPr>
          <w:rFonts w:ascii="宋体" w:hAnsi="宋体" w:cs="宋体"/>
        </w:rPr>
      </w:pPr>
      <w:r>
        <w:rPr>
          <w:rFonts w:hint="eastAsia" w:ascii="宋体" w:hAnsi="宋体" w:cs="宋体"/>
        </w:rPr>
        <w:t>施工人员应取得相应的施工资格证书。特种设备施工人员应持有特征设备操作证，并处在有效期内。</w:t>
      </w:r>
    </w:p>
    <w:p w14:paraId="342D5DC5">
      <w:pPr>
        <w:spacing w:line="360" w:lineRule="auto"/>
        <w:ind w:firstLine="420" w:firstLineChars="200"/>
        <w:rPr>
          <w:rFonts w:ascii="宋体" w:hAnsi="宋体" w:cs="宋体"/>
        </w:rPr>
      </w:pPr>
      <w:r>
        <w:rPr>
          <w:rFonts w:hint="eastAsia" w:ascii="宋体" w:hAnsi="宋体" w:cs="宋体"/>
        </w:rPr>
        <w:t xml:space="preserve">设备安装时，临水、临电、现场设施等的使用应符合相关规范要求；投标人应在投标文件中提供施工组织方案。 </w:t>
      </w:r>
    </w:p>
    <w:p w14:paraId="2D3774FB">
      <w:pPr>
        <w:spacing w:line="360" w:lineRule="auto"/>
        <w:ind w:firstLine="420" w:firstLineChars="200"/>
        <w:rPr>
          <w:rFonts w:ascii="宋体" w:hAnsi="宋体" w:cs="宋体"/>
        </w:rPr>
      </w:pPr>
      <w:r>
        <w:rPr>
          <w:rFonts w:hint="eastAsia" w:ascii="宋体" w:hAnsi="宋体" w:cs="宋体"/>
        </w:rPr>
        <w:t>施工现场需配备项目负责人、技术员、安装人员等，要求性别不限，年龄50周岁以下，专科及以上学历，具有3年（或以上）电梯安装项目工作经验。</w:t>
      </w:r>
    </w:p>
    <w:bookmarkEnd w:id="41"/>
    <w:p w14:paraId="5756BBB4">
      <w:pPr>
        <w:spacing w:line="360" w:lineRule="auto"/>
        <w:ind w:firstLine="422" w:firstLineChars="200"/>
        <w:rPr>
          <w:rFonts w:ascii="宋体" w:hAnsi="宋体" w:cs="宋体"/>
          <w:b/>
          <w:bCs/>
        </w:rPr>
      </w:pPr>
      <w:bookmarkStart w:id="42" w:name="_Toc520444688"/>
      <w:r>
        <w:rPr>
          <w:rFonts w:hint="eastAsia" w:ascii="宋体" w:hAnsi="宋体" w:cs="宋体"/>
          <w:b/>
          <w:bCs/>
        </w:rPr>
        <w:t>5、施工专项技术要求</w:t>
      </w:r>
      <w:bookmarkEnd w:id="42"/>
    </w:p>
    <w:p w14:paraId="395F03CD">
      <w:pPr>
        <w:spacing w:line="360" w:lineRule="auto"/>
        <w:ind w:firstLine="422" w:firstLineChars="200"/>
        <w:rPr>
          <w:rFonts w:ascii="宋体" w:hAnsi="宋体" w:cs="宋体"/>
          <w:b/>
          <w:bCs/>
        </w:rPr>
      </w:pPr>
      <w:bookmarkStart w:id="43" w:name="_Toc520444689"/>
      <w:bookmarkStart w:id="44" w:name="_Toc281145685"/>
      <w:bookmarkStart w:id="45" w:name="_Toc281145677"/>
      <w:bookmarkStart w:id="46" w:name="_Toc239391700"/>
      <w:r>
        <w:rPr>
          <w:rFonts w:hint="eastAsia" w:ascii="宋体" w:hAnsi="宋体" w:cs="宋体"/>
          <w:b/>
          <w:bCs/>
        </w:rPr>
        <w:t>5.1基本要求</w:t>
      </w:r>
      <w:bookmarkEnd w:id="43"/>
    </w:p>
    <w:p w14:paraId="6ECCBF2D">
      <w:pPr>
        <w:spacing w:line="360" w:lineRule="auto"/>
        <w:ind w:firstLine="420" w:firstLineChars="200"/>
        <w:rPr>
          <w:rFonts w:ascii="宋体" w:hAnsi="宋体" w:cs="宋体"/>
        </w:rPr>
      </w:pPr>
      <w:r>
        <w:rPr>
          <w:rFonts w:hint="eastAsia" w:ascii="宋体" w:hAnsi="宋体" w:cs="宋体"/>
        </w:rPr>
        <w:t>电梯的属地管理由投标人负责。投标人对电梯井道验收合格并接收后直至交付使用前，包括卫生清理、排水、除潮等场地维护工作全部由投标人负责，若由于投标人自身管理不善造成电梯设备的损坏，全部由投标人负责免费修理或更换并不得因此延长工期。</w:t>
      </w:r>
    </w:p>
    <w:p w14:paraId="1400406E">
      <w:pPr>
        <w:spacing w:line="360" w:lineRule="auto"/>
        <w:ind w:firstLine="420" w:firstLineChars="200"/>
        <w:rPr>
          <w:rFonts w:ascii="宋体" w:hAnsi="宋体" w:cs="宋体"/>
        </w:rPr>
      </w:pPr>
      <w:bookmarkStart w:id="47" w:name="_Toc520444690"/>
      <w:r>
        <w:rPr>
          <w:rFonts w:hint="eastAsia" w:ascii="宋体" w:hAnsi="宋体" w:cs="宋体"/>
        </w:rPr>
        <w:t>5.2施工场地与条件</w:t>
      </w:r>
      <w:bookmarkEnd w:id="47"/>
    </w:p>
    <w:p w14:paraId="06A13E4E">
      <w:pPr>
        <w:spacing w:line="360" w:lineRule="auto"/>
        <w:ind w:firstLine="420" w:firstLineChars="200"/>
        <w:rPr>
          <w:rFonts w:ascii="宋体" w:hAnsi="宋体" w:cs="宋体"/>
        </w:rPr>
      </w:pPr>
      <w:r>
        <w:rPr>
          <w:rFonts w:hint="eastAsia" w:ascii="宋体" w:hAnsi="宋体" w:cs="宋体"/>
        </w:rPr>
        <w:t>5.2.1投标人应全面负责施工范围内的现场施工管理，对工程施工场地内的用水、用电、消防、施工现场的安全与卫生、属地内的施工协调负有全面的管理责任。电梯施工过程中出现任何安全事故均由投标方负责。</w:t>
      </w:r>
    </w:p>
    <w:p w14:paraId="2B975D25">
      <w:pPr>
        <w:spacing w:line="360" w:lineRule="auto"/>
        <w:ind w:firstLine="420" w:firstLineChars="200"/>
        <w:rPr>
          <w:rFonts w:ascii="宋体" w:hAnsi="宋体" w:cs="宋体"/>
        </w:rPr>
      </w:pPr>
      <w:r>
        <w:rPr>
          <w:rFonts w:hint="eastAsia" w:ascii="宋体" w:hAnsi="宋体" w:cs="宋体"/>
        </w:rPr>
        <w:t>5.2.2临时用地</w:t>
      </w:r>
    </w:p>
    <w:p w14:paraId="172958C5">
      <w:pPr>
        <w:spacing w:line="360" w:lineRule="auto"/>
        <w:ind w:firstLine="420" w:firstLineChars="200"/>
        <w:rPr>
          <w:rFonts w:ascii="宋体" w:hAnsi="宋体" w:cs="宋体"/>
        </w:rPr>
      </w:pPr>
      <w:r>
        <w:rPr>
          <w:rFonts w:hint="eastAsia" w:ascii="宋体" w:hAnsi="宋体" w:cs="宋体"/>
        </w:rPr>
        <w:t>招标人提供现场施工所需材料存放的场地，占用场地堆放材料要服从招标人管理安排，投标人负责看守。工程所需的其它临时设施(如办公、住宿、储藏等)由投标人自行解决。</w:t>
      </w:r>
    </w:p>
    <w:p w14:paraId="114E5951">
      <w:pPr>
        <w:spacing w:line="360" w:lineRule="auto"/>
        <w:ind w:firstLine="420" w:firstLineChars="200"/>
        <w:rPr>
          <w:rFonts w:ascii="宋体" w:hAnsi="宋体" w:cs="宋体"/>
        </w:rPr>
      </w:pPr>
      <w:r>
        <w:rPr>
          <w:rFonts w:hint="eastAsia" w:ascii="宋体" w:hAnsi="宋体" w:cs="宋体"/>
        </w:rPr>
        <w:t>5.2.3施工通道</w:t>
      </w:r>
    </w:p>
    <w:p w14:paraId="3783EA42">
      <w:pPr>
        <w:spacing w:line="360" w:lineRule="auto"/>
        <w:ind w:firstLine="420" w:firstLineChars="200"/>
        <w:rPr>
          <w:rFonts w:ascii="宋体" w:hAnsi="宋体" w:cs="宋体"/>
        </w:rPr>
      </w:pPr>
      <w:r>
        <w:rPr>
          <w:rFonts w:hint="eastAsia" w:ascii="宋体" w:hAnsi="宋体" w:cs="宋体"/>
        </w:rPr>
        <w:t>投标人与招标人共同协商适合的通道作为安装人员、材料，小型设备出入口。投标人的施工设施应作出详细的运输计划。</w:t>
      </w:r>
    </w:p>
    <w:p w14:paraId="25F1237E">
      <w:pPr>
        <w:spacing w:line="360" w:lineRule="auto"/>
        <w:ind w:firstLine="420" w:firstLineChars="200"/>
        <w:rPr>
          <w:rFonts w:ascii="宋体" w:hAnsi="宋体" w:cs="宋体"/>
        </w:rPr>
      </w:pPr>
      <w:r>
        <w:rPr>
          <w:rFonts w:hint="eastAsia" w:ascii="宋体" w:hAnsi="宋体" w:cs="宋体"/>
        </w:rPr>
        <w:t>5.2.4场地管理</w:t>
      </w:r>
    </w:p>
    <w:p w14:paraId="63E16F96">
      <w:pPr>
        <w:spacing w:line="360" w:lineRule="auto"/>
        <w:ind w:firstLine="420" w:firstLineChars="200"/>
        <w:rPr>
          <w:rFonts w:ascii="宋体" w:hAnsi="宋体" w:cs="宋体"/>
        </w:rPr>
      </w:pPr>
      <w:r>
        <w:rPr>
          <w:rFonts w:hint="eastAsia" w:ascii="宋体" w:hAnsi="宋体" w:cs="宋体"/>
        </w:rPr>
        <w:t>场地一经移交给投标人，投标人应在本合同工程实施全过程中对场地安全保卫、文明施工、环境卫生等负全责，并不得干扰大楼内的正常医疗秩序，投标人应对工程垃圾做到每日清理。因场地管理不善引发得一切纠纷由投标人自行解决，招标人不承担任何责任。</w:t>
      </w:r>
    </w:p>
    <w:p w14:paraId="4B12D72A">
      <w:pPr>
        <w:spacing w:line="360" w:lineRule="auto"/>
        <w:ind w:firstLine="420" w:firstLineChars="200"/>
        <w:rPr>
          <w:rFonts w:ascii="宋体" w:hAnsi="宋体" w:cs="宋体"/>
        </w:rPr>
      </w:pPr>
      <w:r>
        <w:rPr>
          <w:rFonts w:hint="eastAsia" w:ascii="宋体" w:hAnsi="宋体" w:cs="宋体"/>
        </w:rPr>
        <w:t>在施工过程中，应按文明施工要求，对施工垃圾随时进行清运。本工程完成时，投标人应将其所使用的所有临时设施及剩余材料和垃圾清运干净，使整个现场保持清洁。</w:t>
      </w:r>
      <w:bookmarkStart w:id="48" w:name="_Toc520444691"/>
    </w:p>
    <w:p w14:paraId="7E42111C">
      <w:pPr>
        <w:spacing w:line="360" w:lineRule="auto"/>
        <w:ind w:firstLine="422" w:firstLineChars="200"/>
        <w:rPr>
          <w:rFonts w:ascii="宋体" w:hAnsi="宋体" w:cs="宋体"/>
          <w:b/>
          <w:bCs/>
        </w:rPr>
      </w:pPr>
      <w:r>
        <w:rPr>
          <w:rFonts w:hint="eastAsia" w:ascii="宋体" w:hAnsi="宋体" w:cs="宋体"/>
          <w:b/>
          <w:bCs/>
        </w:rPr>
        <w:t>5.3安装</w:t>
      </w:r>
      <w:bookmarkEnd w:id="48"/>
    </w:p>
    <w:p w14:paraId="2439FB7D">
      <w:pPr>
        <w:spacing w:line="360" w:lineRule="auto"/>
        <w:ind w:firstLine="420" w:firstLineChars="200"/>
        <w:rPr>
          <w:rFonts w:ascii="宋体" w:hAnsi="宋体" w:cs="宋体"/>
        </w:rPr>
      </w:pPr>
      <w:r>
        <w:rPr>
          <w:rFonts w:hint="eastAsia" w:ascii="宋体" w:hAnsi="宋体" w:cs="宋体"/>
        </w:rPr>
        <w:t>5.3.1一般要求</w:t>
      </w:r>
    </w:p>
    <w:p w14:paraId="7C011F5D">
      <w:pPr>
        <w:spacing w:line="360" w:lineRule="auto"/>
        <w:ind w:firstLine="420" w:firstLineChars="200"/>
        <w:rPr>
          <w:rFonts w:ascii="宋体" w:hAnsi="宋体" w:cs="宋体"/>
        </w:rPr>
      </w:pPr>
      <w:r>
        <w:rPr>
          <w:rFonts w:hint="eastAsia" w:ascii="宋体" w:hAnsi="宋体" w:cs="宋体"/>
        </w:rPr>
        <w:t>安装工程应由投标人直接安装，不允许转包分包。如投标人非电梯制造商，需提供制造商的安装授权书。投标人应在项目实施过程中，协助配合解决实际施工与图纸中出现不符的问题。根据工程变更情况及时更改技术文件。</w:t>
      </w:r>
    </w:p>
    <w:p w14:paraId="34738534">
      <w:pPr>
        <w:spacing w:line="360" w:lineRule="auto"/>
        <w:ind w:firstLine="420" w:firstLineChars="200"/>
        <w:rPr>
          <w:rFonts w:ascii="宋体" w:hAnsi="宋体" w:cs="宋体"/>
        </w:rPr>
      </w:pPr>
      <w:r>
        <w:rPr>
          <w:rFonts w:hint="eastAsia" w:ascii="宋体" w:hAnsi="宋体" w:cs="宋体"/>
        </w:rPr>
        <w:t>5.3.2安装要求</w:t>
      </w:r>
    </w:p>
    <w:p w14:paraId="74B14DCE">
      <w:pPr>
        <w:spacing w:line="360" w:lineRule="auto"/>
        <w:ind w:firstLine="420" w:firstLineChars="200"/>
        <w:rPr>
          <w:rFonts w:ascii="宋体" w:hAnsi="宋体" w:cs="宋体"/>
        </w:rPr>
      </w:pPr>
      <w:r>
        <w:rPr>
          <w:rFonts w:hint="eastAsia" w:ascii="宋体" w:hAnsi="宋体" w:cs="宋体"/>
        </w:rPr>
        <w:t>由投标人自行采购、加工的施工材料及安装附件均须满足相关规范和设计要求，须从正规渠道采购，进行必要的检测、认证，并且保存相关资料备查。投标人应将主要材料的相关资料上报招标人审查，在得到招标人批准后方可进行采购。</w:t>
      </w:r>
    </w:p>
    <w:p w14:paraId="460FF486">
      <w:pPr>
        <w:spacing w:line="360" w:lineRule="auto"/>
        <w:ind w:firstLine="420" w:firstLineChars="200"/>
        <w:rPr>
          <w:rFonts w:ascii="宋体" w:hAnsi="宋体" w:cs="宋体"/>
        </w:rPr>
      </w:pPr>
      <w:r>
        <w:rPr>
          <w:rFonts w:hint="eastAsia" w:ascii="宋体" w:hAnsi="宋体" w:cs="宋体"/>
        </w:rPr>
        <w:t>投标人进行设备安装的施工工艺须满足相关规范及设计要求。施工人员需着装统一，或佩戴胸牌，可辨别所属单位，施工现场投标人应设置专职人员进行监督，随时接受招标人的检查。</w:t>
      </w:r>
    </w:p>
    <w:p w14:paraId="4E50F290">
      <w:pPr>
        <w:spacing w:line="360" w:lineRule="auto"/>
        <w:ind w:firstLine="420" w:firstLineChars="200"/>
        <w:rPr>
          <w:rFonts w:ascii="宋体" w:hAnsi="宋体" w:cs="宋体"/>
        </w:rPr>
      </w:pPr>
      <w:r>
        <w:rPr>
          <w:rFonts w:hint="eastAsia" w:ascii="宋体" w:hAnsi="宋体" w:cs="宋体"/>
        </w:rPr>
        <w:t>在施工过程中投标人应在满足国家相关标准的前提下严格按照设备安装的工序、工艺要求进行安装，若投标人安装不满足设备安装要求，投标人须无条件重新安装，直至满足设备安装要求为止。</w:t>
      </w:r>
    </w:p>
    <w:p w14:paraId="209ECD3D">
      <w:pPr>
        <w:spacing w:line="360" w:lineRule="auto"/>
        <w:ind w:firstLine="420" w:firstLineChars="200"/>
        <w:rPr>
          <w:rFonts w:ascii="宋体" w:hAnsi="宋体" w:cs="宋体"/>
        </w:rPr>
      </w:pPr>
      <w:r>
        <w:rPr>
          <w:rFonts w:hint="eastAsia" w:ascii="宋体" w:hAnsi="宋体" w:cs="宋体"/>
        </w:rPr>
        <w:t>投标人在施工过程中发现设计图纸或设备存在问题应及时向招标人提出疑问和建议，若由于投标人未及时提出疑问造成损失的投标人将承担相应的负责。</w:t>
      </w:r>
    </w:p>
    <w:p w14:paraId="5900FE00">
      <w:pPr>
        <w:spacing w:line="360" w:lineRule="auto"/>
        <w:ind w:firstLine="420" w:firstLineChars="200"/>
        <w:rPr>
          <w:rFonts w:ascii="宋体" w:hAnsi="宋体" w:cs="宋体"/>
        </w:rPr>
      </w:pPr>
      <w:r>
        <w:rPr>
          <w:rFonts w:hint="eastAsia" w:ascii="宋体" w:hAnsi="宋体" w:cs="宋体"/>
        </w:rPr>
        <w:t>5.3.3施工计划及方案：</w:t>
      </w:r>
    </w:p>
    <w:p w14:paraId="58D1FEE1">
      <w:pPr>
        <w:spacing w:line="360" w:lineRule="auto"/>
        <w:ind w:firstLine="420" w:firstLineChars="200"/>
        <w:rPr>
          <w:rFonts w:ascii="宋体" w:hAnsi="宋体" w:cs="宋体"/>
        </w:rPr>
      </w:pPr>
      <w:r>
        <w:rPr>
          <w:rFonts w:hint="eastAsia" w:ascii="宋体" w:hAnsi="宋体" w:cs="宋体"/>
        </w:rPr>
        <w:t>投标人应在投标文件中按工期安排，详细描述施工组织方案施工接口。</w:t>
      </w:r>
    </w:p>
    <w:p w14:paraId="030053C4">
      <w:pPr>
        <w:spacing w:line="360" w:lineRule="auto"/>
        <w:ind w:firstLine="420" w:firstLineChars="200"/>
        <w:rPr>
          <w:rFonts w:ascii="宋体" w:hAnsi="宋体" w:cs="宋体"/>
        </w:rPr>
      </w:pPr>
      <w:r>
        <w:rPr>
          <w:rFonts w:hint="eastAsia" w:ascii="宋体" w:hAnsi="宋体" w:cs="宋体"/>
        </w:rPr>
        <w:t>投标人需在施工二周前，将施工计划书面通知招标人，并向招标人提供安装施工方案，在招标人同意后方可实施。投标人协助招标人办理施工前，有关电梯设备的一些相关手续。</w:t>
      </w:r>
    </w:p>
    <w:p w14:paraId="10D48E84">
      <w:pPr>
        <w:spacing w:line="360" w:lineRule="auto"/>
        <w:ind w:firstLine="420" w:firstLineChars="200"/>
        <w:rPr>
          <w:rFonts w:ascii="宋体" w:hAnsi="宋体" w:cs="宋体"/>
        </w:rPr>
      </w:pPr>
      <w:r>
        <w:rPr>
          <w:rFonts w:hint="eastAsia" w:ascii="宋体" w:hAnsi="宋体" w:cs="宋体"/>
        </w:rPr>
        <w:t>5.3.4现场施工的协调、管理：</w:t>
      </w:r>
    </w:p>
    <w:p w14:paraId="0ED0B541">
      <w:pPr>
        <w:spacing w:line="360" w:lineRule="auto"/>
        <w:ind w:firstLine="420" w:firstLineChars="200"/>
        <w:rPr>
          <w:rFonts w:ascii="宋体" w:hAnsi="宋体" w:cs="宋体"/>
        </w:rPr>
      </w:pPr>
      <w:r>
        <w:rPr>
          <w:rFonts w:hint="eastAsia" w:ascii="宋体" w:hAnsi="宋体" w:cs="宋体"/>
        </w:rPr>
        <w:t>投标人需负责本工程设备的所有安装工作，并满足进度计划要求。投标人必须组织专业人员监督、指导现场设备的安装。安装中至少应满足以下要求：</w:t>
      </w:r>
    </w:p>
    <w:p w14:paraId="12A7CDA0">
      <w:pPr>
        <w:spacing w:line="360" w:lineRule="auto"/>
        <w:ind w:firstLine="420" w:firstLineChars="200"/>
        <w:rPr>
          <w:rFonts w:ascii="宋体" w:hAnsi="宋体" w:cs="宋体"/>
        </w:rPr>
      </w:pPr>
      <w:r>
        <w:rPr>
          <w:rFonts w:hint="eastAsia" w:ascii="宋体" w:hAnsi="宋体" w:cs="宋体"/>
        </w:rPr>
        <w:t>投标人应全面负责施工范围内的现场施工管理，对施工场地的用水、用电、安全与卫生、场地内的施工协调付有全部的管理责任。投标人派遣到工地现场的全部人员必须遵循招标人的工地现场制定的工地现场管理办法。</w:t>
      </w:r>
    </w:p>
    <w:p w14:paraId="59E0A8A8">
      <w:pPr>
        <w:spacing w:line="360" w:lineRule="auto"/>
        <w:ind w:firstLine="420" w:firstLineChars="200"/>
        <w:rPr>
          <w:rFonts w:ascii="宋体" w:hAnsi="宋体" w:cs="宋体"/>
        </w:rPr>
      </w:pPr>
      <w:r>
        <w:rPr>
          <w:rFonts w:hint="eastAsia" w:ascii="宋体" w:hAnsi="宋体" w:cs="宋体"/>
        </w:rPr>
        <w:t>投标人应当协调施工现场的各类问题，清楚的估计到施工期间外界可能对工程施工产生的各种干扰，并保证主动协调这些干扰，尽量避免和减少这些干扰对本合同工程施工造成的影响。如需招标人进行协调，投标人应积极配合，但招标人的协调并不解除投标人的各项责任与义务。</w:t>
      </w:r>
    </w:p>
    <w:p w14:paraId="3DACCDDF">
      <w:pPr>
        <w:spacing w:line="360" w:lineRule="auto"/>
        <w:ind w:firstLine="420" w:firstLineChars="200"/>
        <w:rPr>
          <w:rFonts w:ascii="宋体" w:hAnsi="宋体" w:cs="宋体"/>
        </w:rPr>
      </w:pPr>
      <w:r>
        <w:rPr>
          <w:rFonts w:hint="eastAsia" w:ascii="宋体" w:hAnsi="宋体" w:cs="宋体"/>
        </w:rPr>
        <w:t>投标人负责完成本项目招标人指定的前期工作。</w:t>
      </w:r>
    </w:p>
    <w:p w14:paraId="0465BAEE">
      <w:pPr>
        <w:spacing w:line="360" w:lineRule="auto"/>
        <w:ind w:firstLine="420" w:firstLineChars="200"/>
        <w:rPr>
          <w:rFonts w:ascii="宋体" w:hAnsi="宋体" w:cs="宋体"/>
        </w:rPr>
      </w:pPr>
      <w:r>
        <w:rPr>
          <w:rFonts w:hint="eastAsia" w:ascii="宋体" w:hAnsi="宋体" w:cs="宋体"/>
        </w:rPr>
        <w:t>施工期间，投标人应服从用水、用电、照明、施工场地的安排。</w:t>
      </w:r>
    </w:p>
    <w:p w14:paraId="2B793936">
      <w:pPr>
        <w:spacing w:line="360" w:lineRule="auto"/>
        <w:ind w:firstLine="422" w:firstLineChars="200"/>
        <w:rPr>
          <w:rFonts w:ascii="宋体" w:hAnsi="宋体" w:cs="宋体"/>
        </w:rPr>
      </w:pPr>
      <w:r>
        <w:rPr>
          <w:rFonts w:hint="eastAsia" w:ascii="宋体" w:hAnsi="宋体" w:cs="宋体"/>
          <w:b/>
          <w:bCs/>
        </w:rPr>
        <w:t>现场的运输安装</w:t>
      </w:r>
      <w:r>
        <w:rPr>
          <w:rFonts w:hint="eastAsia" w:ascii="宋体" w:hAnsi="宋体" w:cs="宋体"/>
        </w:rPr>
        <w:t>：</w:t>
      </w:r>
    </w:p>
    <w:p w14:paraId="33A5E0D0">
      <w:pPr>
        <w:spacing w:line="360" w:lineRule="auto"/>
        <w:ind w:firstLine="420" w:firstLineChars="200"/>
        <w:rPr>
          <w:rFonts w:ascii="宋体" w:hAnsi="宋体" w:cs="宋体"/>
        </w:rPr>
      </w:pPr>
      <w:r>
        <w:rPr>
          <w:rFonts w:hint="eastAsia" w:ascii="宋体" w:hAnsi="宋体" w:cs="宋体"/>
        </w:rPr>
        <w:t>考虑大型设备进场安装应考虑现场最恶劣的条件下进行运输安装的情况，投标人需主动联系相关单位协调运输路径。</w:t>
      </w:r>
    </w:p>
    <w:p w14:paraId="111A5C1D">
      <w:pPr>
        <w:spacing w:line="360" w:lineRule="auto"/>
        <w:ind w:firstLine="420" w:firstLineChars="200"/>
        <w:rPr>
          <w:rFonts w:ascii="宋体" w:hAnsi="宋体" w:cs="宋体"/>
        </w:rPr>
      </w:pPr>
      <w:r>
        <w:rPr>
          <w:rFonts w:hint="eastAsia" w:ascii="宋体" w:hAnsi="宋体" w:cs="宋体"/>
        </w:rPr>
        <w:t>招标人发现严重安全问题时可要求投标人立即停止施工并修正。投标人必须遵守天津市政府安全文明施工的有关规定，并保证合同范围内环境卫生良好，垃圾当天清理。安装场地移交至投标人后的施工用地卫生由投标人负责。</w:t>
      </w:r>
    </w:p>
    <w:p w14:paraId="088BDE3D">
      <w:pPr>
        <w:spacing w:line="360" w:lineRule="auto"/>
        <w:ind w:firstLine="420" w:firstLineChars="200"/>
        <w:rPr>
          <w:rFonts w:ascii="宋体" w:hAnsi="宋体" w:cs="宋体"/>
        </w:rPr>
      </w:pPr>
      <w:r>
        <w:rPr>
          <w:rFonts w:hint="eastAsia" w:ascii="宋体" w:hAnsi="宋体" w:cs="宋体"/>
        </w:rPr>
        <w:t>成品保护：从开箱验收至运营单位交接完成均视为成品保护阶段，成品保护、仓储及二次运输均由投标人负责，因成品保护不当造成的部件丢失、污染、水浸由投标人自行承担。其中对施工过程中的成品保护的要求包括但不限于以下：</w:t>
      </w:r>
    </w:p>
    <w:p w14:paraId="7DCD3D69">
      <w:pPr>
        <w:spacing w:line="360" w:lineRule="auto"/>
        <w:ind w:firstLine="420" w:firstLineChars="200"/>
        <w:rPr>
          <w:rFonts w:ascii="宋体" w:hAnsi="宋体" w:cs="宋体"/>
        </w:rPr>
      </w:pPr>
      <w:r>
        <w:rPr>
          <w:rFonts w:hint="eastAsia" w:ascii="宋体" w:hAnsi="宋体" w:cs="宋体"/>
        </w:rPr>
        <w:t>施工过程中，投标人对现场其他系统设备均具有成品保护的责任，若发生本投标人的过失损坏其他系统设备时，应承担相应赔偿责任。</w:t>
      </w:r>
    </w:p>
    <w:p w14:paraId="5A33AEF7">
      <w:pPr>
        <w:spacing w:line="360" w:lineRule="auto"/>
        <w:ind w:firstLine="420" w:firstLineChars="200"/>
        <w:rPr>
          <w:rFonts w:ascii="宋体" w:hAnsi="宋体" w:cs="宋体"/>
        </w:rPr>
      </w:pPr>
      <w:r>
        <w:rPr>
          <w:rFonts w:hint="eastAsia" w:ascii="宋体" w:hAnsi="宋体" w:cs="宋体"/>
        </w:rPr>
        <w:t>为保障设备投入使用时是完整可靠的，现场安装设备需做坚固的成品保护方案，其方案应能遮盖设备以防其遭到破坏、偷窃、划伤等，还应能达到防水、防火、防腐等的作用。节日期间及重大活动时应安排人员进行看护。</w:t>
      </w:r>
    </w:p>
    <w:p w14:paraId="3F7283C7">
      <w:pPr>
        <w:spacing w:line="360" w:lineRule="auto"/>
        <w:ind w:firstLine="420" w:firstLineChars="200"/>
        <w:rPr>
          <w:rFonts w:ascii="宋体" w:hAnsi="宋体" w:cs="宋体"/>
        </w:rPr>
      </w:pPr>
      <w:r>
        <w:rPr>
          <w:rFonts w:hint="eastAsia" w:ascii="宋体" w:hAnsi="宋体" w:cs="宋体"/>
        </w:rPr>
        <w:t>投标人承包的工程必须按期完成，全部达到设计的功能和标准，并通过建立健全的工程质量保证体系和进度管理体系来于以保证。</w:t>
      </w:r>
    </w:p>
    <w:p w14:paraId="060E518E">
      <w:pPr>
        <w:spacing w:line="360" w:lineRule="auto"/>
        <w:ind w:firstLine="420" w:firstLineChars="200"/>
        <w:rPr>
          <w:rFonts w:ascii="宋体" w:hAnsi="宋体" w:cs="宋体"/>
        </w:rPr>
      </w:pPr>
      <w:r>
        <w:rPr>
          <w:rFonts w:hint="eastAsia" w:ascii="宋体" w:hAnsi="宋体" w:cs="宋体"/>
        </w:rPr>
        <w:t>5.3.5安装验收</w:t>
      </w:r>
    </w:p>
    <w:p w14:paraId="36156BC9">
      <w:pPr>
        <w:spacing w:line="360" w:lineRule="auto"/>
        <w:ind w:firstLine="420" w:firstLineChars="200"/>
        <w:rPr>
          <w:rFonts w:ascii="宋体" w:hAnsi="宋体" w:cs="宋体"/>
        </w:rPr>
      </w:pPr>
      <w:r>
        <w:rPr>
          <w:rFonts w:hint="eastAsia" w:ascii="宋体" w:hAnsi="宋体" w:cs="宋体"/>
        </w:rPr>
        <w:t>所有安装好的设备由投标人进行自检，以检查安装是否符合要求。检查验收项目有电缆敷设、电缆连接、配电安全、绝缘和接地、通风散热、设备内外部清洁及各类符合有关标准和规范规定的设备铭牌和标示标志等，招标人有权确认安装质量。</w:t>
      </w:r>
    </w:p>
    <w:p w14:paraId="55C078E6">
      <w:pPr>
        <w:spacing w:line="360" w:lineRule="auto"/>
        <w:ind w:firstLine="420" w:firstLineChars="200"/>
        <w:rPr>
          <w:rFonts w:ascii="宋体" w:hAnsi="宋体" w:cs="宋体"/>
        </w:rPr>
      </w:pPr>
      <w:r>
        <w:rPr>
          <w:rFonts w:hint="eastAsia" w:ascii="宋体" w:hAnsi="宋体" w:cs="宋体"/>
        </w:rPr>
        <w:t>投标人应对每台安装完毕的设备进行试验。试验将按照试验程序进行。试验中涉及相关设备的动作时，由专业人员负责复位操作，有特殊要求时，与对方协商共同联调。</w:t>
      </w:r>
    </w:p>
    <w:p w14:paraId="306035B2">
      <w:pPr>
        <w:spacing w:line="360" w:lineRule="auto"/>
        <w:ind w:firstLine="420" w:firstLineChars="200"/>
        <w:rPr>
          <w:rFonts w:ascii="宋体" w:hAnsi="宋体" w:cs="宋体"/>
        </w:rPr>
      </w:pPr>
      <w:r>
        <w:rPr>
          <w:rFonts w:hint="eastAsia" w:ascii="宋体" w:hAnsi="宋体" w:cs="宋体"/>
        </w:rPr>
        <w:t>电梯应通过国家质量监督部门检验并取得合格验收报告。</w:t>
      </w:r>
    </w:p>
    <w:bookmarkEnd w:id="44"/>
    <w:p w14:paraId="5511E2E3">
      <w:pPr>
        <w:spacing w:line="360" w:lineRule="auto"/>
        <w:ind w:firstLine="422" w:firstLineChars="200"/>
        <w:rPr>
          <w:rFonts w:ascii="宋体" w:hAnsi="宋体" w:cs="宋体"/>
          <w:b/>
          <w:bCs/>
        </w:rPr>
      </w:pPr>
      <w:bookmarkStart w:id="49" w:name="_Toc520444693"/>
      <w:r>
        <w:rPr>
          <w:rFonts w:hint="eastAsia" w:ascii="宋体" w:hAnsi="宋体" w:cs="宋体"/>
          <w:b/>
          <w:bCs/>
        </w:rPr>
        <w:t>6、供货要求</w:t>
      </w:r>
      <w:bookmarkEnd w:id="49"/>
    </w:p>
    <w:p w14:paraId="4E0280CA">
      <w:pPr>
        <w:spacing w:line="360" w:lineRule="auto"/>
        <w:ind w:firstLine="420" w:firstLineChars="200"/>
        <w:rPr>
          <w:rFonts w:ascii="宋体" w:hAnsi="宋体" w:cs="宋体"/>
        </w:rPr>
      </w:pPr>
      <w:bookmarkStart w:id="50" w:name="_Toc520444695"/>
      <w:r>
        <w:rPr>
          <w:rFonts w:hint="eastAsia" w:ascii="宋体" w:hAnsi="宋体" w:cs="宋体"/>
        </w:rPr>
        <w:t>6.1整机及重要零部件产地</w:t>
      </w:r>
      <w:bookmarkEnd w:id="50"/>
    </w:p>
    <w:p w14:paraId="3C67AB35">
      <w:pPr>
        <w:spacing w:line="360" w:lineRule="auto"/>
        <w:ind w:firstLine="420" w:firstLineChars="200"/>
        <w:rPr>
          <w:rFonts w:ascii="宋体" w:hAnsi="宋体" w:cs="宋体"/>
        </w:rPr>
      </w:pPr>
      <w:r>
        <w:rPr>
          <w:rFonts w:hint="eastAsia" w:ascii="宋体" w:hAnsi="宋体" w:cs="宋体"/>
        </w:rPr>
        <w:t>6.1.1整机应经批量生产和使用考验，技术成熟且使用可靠。</w:t>
      </w:r>
    </w:p>
    <w:p w14:paraId="676EB16B">
      <w:pPr>
        <w:spacing w:line="360" w:lineRule="auto"/>
        <w:ind w:firstLine="420" w:firstLineChars="200"/>
        <w:rPr>
          <w:rFonts w:ascii="宋体" w:hAnsi="宋体" w:cs="宋体"/>
        </w:rPr>
      </w:pPr>
      <w:r>
        <w:rPr>
          <w:rFonts w:hint="eastAsia" w:ascii="宋体" w:hAnsi="宋体" w:cs="宋体"/>
        </w:rPr>
        <w:t>6.1.2重要零部件除必须符合用户需求书的要求外，还应当是经批量生产、使用并证明质量是可靠的，部件协作厂和产地必须在市场上享有好的信誉。</w:t>
      </w:r>
    </w:p>
    <w:p w14:paraId="1EF6E4F2">
      <w:pPr>
        <w:spacing w:line="360" w:lineRule="auto"/>
        <w:ind w:firstLine="420" w:firstLineChars="200"/>
        <w:rPr>
          <w:rFonts w:ascii="宋体" w:hAnsi="宋体" w:cs="宋体"/>
        </w:rPr>
      </w:pPr>
      <w:bookmarkStart w:id="51" w:name="_Toc520444696"/>
      <w:r>
        <w:rPr>
          <w:rFonts w:hint="eastAsia" w:ascii="宋体" w:hAnsi="宋体" w:cs="宋体"/>
        </w:rPr>
        <w:t>6.2包装及运输</w:t>
      </w:r>
      <w:bookmarkEnd w:id="51"/>
    </w:p>
    <w:p w14:paraId="135965AF">
      <w:pPr>
        <w:spacing w:line="360" w:lineRule="auto"/>
        <w:ind w:firstLine="420" w:firstLineChars="200"/>
        <w:rPr>
          <w:rFonts w:ascii="宋体" w:hAnsi="宋体" w:cs="宋体"/>
        </w:rPr>
      </w:pPr>
      <w:r>
        <w:rPr>
          <w:rFonts w:hint="eastAsia" w:ascii="宋体" w:hAnsi="宋体" w:cs="宋体"/>
        </w:rPr>
        <w:t>6.2.1概述</w:t>
      </w:r>
    </w:p>
    <w:p w14:paraId="713BD16A">
      <w:pPr>
        <w:spacing w:line="360" w:lineRule="auto"/>
        <w:ind w:firstLine="420" w:firstLineChars="200"/>
        <w:rPr>
          <w:rFonts w:ascii="宋体" w:hAnsi="宋体" w:cs="宋体"/>
        </w:rPr>
      </w:pPr>
      <w:r>
        <w:rPr>
          <w:rFonts w:hint="eastAsia" w:ascii="宋体" w:hAnsi="宋体" w:cs="宋体"/>
        </w:rPr>
        <w:t>投标人应按招标人的要求及国家有关的规定对产品的包装、发运、装卸、储存建立一定的程序，形成文件并加以实施。</w:t>
      </w:r>
    </w:p>
    <w:p w14:paraId="780632D6">
      <w:pPr>
        <w:spacing w:line="360" w:lineRule="auto"/>
        <w:ind w:firstLine="420" w:firstLineChars="200"/>
        <w:rPr>
          <w:rFonts w:ascii="宋体" w:hAnsi="宋体" w:cs="宋体"/>
        </w:rPr>
      </w:pPr>
      <w:r>
        <w:rPr>
          <w:rFonts w:hint="eastAsia" w:ascii="宋体" w:hAnsi="宋体" w:cs="宋体"/>
        </w:rPr>
        <w:t>6.2.2到货期</w:t>
      </w:r>
    </w:p>
    <w:p w14:paraId="255B7469">
      <w:pPr>
        <w:spacing w:line="360" w:lineRule="auto"/>
        <w:ind w:firstLine="420" w:firstLineChars="200"/>
        <w:rPr>
          <w:rFonts w:ascii="宋体" w:hAnsi="宋体" w:cs="宋体"/>
        </w:rPr>
      </w:pPr>
      <w:r>
        <w:rPr>
          <w:rFonts w:hint="eastAsia" w:ascii="宋体" w:hAnsi="宋体" w:cs="宋体"/>
        </w:rPr>
        <w:t>投标人应将工程计划及安排的具体内容提交招标人批准。若由于投标人的原因未能按期到货，招标人有权进行惩罚。</w:t>
      </w:r>
    </w:p>
    <w:p w14:paraId="5E316924">
      <w:pPr>
        <w:spacing w:line="360" w:lineRule="auto"/>
        <w:ind w:firstLine="420" w:firstLineChars="200"/>
        <w:rPr>
          <w:rFonts w:ascii="宋体" w:hAnsi="宋体" w:cs="宋体"/>
        </w:rPr>
      </w:pPr>
      <w:r>
        <w:rPr>
          <w:rFonts w:hint="eastAsia" w:ascii="宋体" w:hAnsi="宋体" w:cs="宋体"/>
        </w:rPr>
        <w:t>投标人到货前应提前10天通知招标人并得到确认后方可安排相关工作。</w:t>
      </w:r>
    </w:p>
    <w:p w14:paraId="2033D284">
      <w:pPr>
        <w:spacing w:line="360" w:lineRule="auto"/>
        <w:ind w:firstLine="420" w:firstLineChars="200"/>
        <w:rPr>
          <w:rFonts w:ascii="宋体" w:hAnsi="宋体" w:cs="宋体"/>
        </w:rPr>
      </w:pPr>
      <w:r>
        <w:rPr>
          <w:rFonts w:hint="eastAsia" w:ascii="宋体" w:hAnsi="宋体" w:cs="宋体"/>
        </w:rPr>
        <w:t>到货地点：施工现场，或招标人指定地点，投标人负责卸货。</w:t>
      </w:r>
    </w:p>
    <w:p w14:paraId="16AC27F7">
      <w:pPr>
        <w:spacing w:line="360" w:lineRule="auto"/>
        <w:ind w:firstLine="420" w:firstLineChars="200"/>
        <w:rPr>
          <w:rFonts w:ascii="宋体" w:hAnsi="宋体" w:cs="宋体"/>
        </w:rPr>
      </w:pPr>
      <w:r>
        <w:rPr>
          <w:rFonts w:hint="eastAsia" w:ascii="宋体" w:hAnsi="宋体" w:cs="宋体"/>
        </w:rPr>
        <w:t>6.2.3包装</w:t>
      </w:r>
    </w:p>
    <w:p w14:paraId="4D30E9D5">
      <w:pPr>
        <w:spacing w:line="360" w:lineRule="auto"/>
        <w:ind w:firstLine="420" w:firstLineChars="200"/>
        <w:rPr>
          <w:rFonts w:ascii="宋体" w:hAnsi="宋体" w:cs="宋体"/>
        </w:rPr>
      </w:pPr>
      <w:r>
        <w:rPr>
          <w:rFonts w:hint="eastAsia" w:ascii="宋体" w:hAnsi="宋体" w:cs="宋体"/>
        </w:rPr>
        <w:t>投标人应对产品的包装、储存和标志过程进行控制，使之达到给定的要求（包括所使用的材料）。</w:t>
      </w:r>
    </w:p>
    <w:p w14:paraId="21E913E1">
      <w:pPr>
        <w:spacing w:line="360" w:lineRule="auto"/>
        <w:ind w:firstLine="420" w:firstLineChars="200"/>
        <w:rPr>
          <w:rFonts w:ascii="宋体" w:hAnsi="宋体" w:cs="宋体"/>
        </w:rPr>
      </w:pPr>
      <w:r>
        <w:rPr>
          <w:rFonts w:hint="eastAsia" w:ascii="宋体" w:hAnsi="宋体" w:cs="宋体"/>
        </w:rPr>
        <w:t>由投标人提供的所有设备和材料应具备适应多次搬运、装卸的坚固包装，并应根据货物特点及需要，满足露天储存的要求，保证货物安全无损运抵招标人指定地点。</w:t>
      </w:r>
    </w:p>
    <w:p w14:paraId="6F66956C">
      <w:pPr>
        <w:spacing w:line="360" w:lineRule="auto"/>
        <w:ind w:firstLine="420" w:firstLineChars="200"/>
        <w:rPr>
          <w:rFonts w:ascii="宋体" w:hAnsi="宋体" w:cs="宋体"/>
        </w:rPr>
      </w:pPr>
      <w:r>
        <w:rPr>
          <w:rFonts w:hint="eastAsia" w:ascii="宋体" w:hAnsi="宋体" w:cs="宋体"/>
        </w:rPr>
        <w:t>对于大件设备应有固定的底座，外包装上应有吊装挂钩，便于吊装搬运。</w:t>
      </w:r>
    </w:p>
    <w:p w14:paraId="244C7C6F">
      <w:pPr>
        <w:spacing w:line="360" w:lineRule="auto"/>
        <w:ind w:firstLine="420" w:firstLineChars="200"/>
        <w:rPr>
          <w:rFonts w:ascii="宋体" w:hAnsi="宋体" w:cs="宋体"/>
        </w:rPr>
      </w:pPr>
      <w:r>
        <w:rPr>
          <w:rFonts w:hint="eastAsia" w:ascii="宋体" w:hAnsi="宋体" w:cs="宋体"/>
        </w:rPr>
        <w:t>6.2.4装卸</w:t>
      </w:r>
    </w:p>
    <w:p w14:paraId="11F062B4">
      <w:pPr>
        <w:spacing w:line="360" w:lineRule="auto"/>
        <w:ind w:firstLine="420" w:firstLineChars="200"/>
        <w:rPr>
          <w:rFonts w:ascii="宋体" w:hAnsi="宋体" w:cs="宋体"/>
        </w:rPr>
      </w:pPr>
      <w:r>
        <w:rPr>
          <w:rFonts w:hint="eastAsia" w:ascii="宋体" w:hAnsi="宋体" w:cs="宋体"/>
        </w:rPr>
        <w:t>投标人应提供产品装卸的方法与手段，以防止损坏或变质。</w:t>
      </w:r>
    </w:p>
    <w:p w14:paraId="33B2DF6B">
      <w:pPr>
        <w:spacing w:line="360" w:lineRule="auto"/>
        <w:ind w:firstLine="420" w:firstLineChars="200"/>
        <w:rPr>
          <w:rFonts w:ascii="宋体" w:hAnsi="宋体" w:cs="宋体"/>
        </w:rPr>
      </w:pPr>
      <w:r>
        <w:rPr>
          <w:rFonts w:hint="eastAsia" w:ascii="宋体" w:hAnsi="宋体" w:cs="宋体"/>
        </w:rPr>
        <w:t>6.2.5随箱文件</w:t>
      </w:r>
    </w:p>
    <w:p w14:paraId="18A86F02">
      <w:pPr>
        <w:spacing w:line="360" w:lineRule="auto"/>
        <w:ind w:firstLine="420" w:firstLineChars="200"/>
        <w:rPr>
          <w:rFonts w:ascii="宋体" w:hAnsi="宋体" w:cs="宋体"/>
        </w:rPr>
      </w:pPr>
      <w:r>
        <w:rPr>
          <w:rFonts w:hint="eastAsia" w:ascii="宋体" w:hAnsi="宋体" w:cs="宋体"/>
        </w:rPr>
        <w:t>出厂产品应附有产品合格证书、出厂检验报告、主要材质证明和产品使用说明书等。</w:t>
      </w:r>
    </w:p>
    <w:p w14:paraId="0F0709A9">
      <w:pPr>
        <w:spacing w:line="360" w:lineRule="auto"/>
        <w:ind w:firstLine="420" w:firstLineChars="200"/>
        <w:rPr>
          <w:rFonts w:ascii="宋体" w:hAnsi="宋体" w:cs="宋体"/>
        </w:rPr>
      </w:pPr>
      <w:r>
        <w:rPr>
          <w:rFonts w:hint="eastAsia" w:ascii="宋体" w:hAnsi="宋体" w:cs="宋体"/>
        </w:rPr>
        <w:t>每个包装箱的外部应附有一套装箱单，应密封在防水包装袋中，并牢固地固定在包装箱外。每个包装箱的内部同样应附有一套装箱单。</w:t>
      </w:r>
    </w:p>
    <w:p w14:paraId="2DCBBF30">
      <w:pPr>
        <w:spacing w:line="360" w:lineRule="auto"/>
        <w:ind w:firstLine="420" w:firstLineChars="200"/>
        <w:rPr>
          <w:rFonts w:ascii="宋体" w:hAnsi="宋体" w:cs="宋体"/>
        </w:rPr>
      </w:pPr>
      <w:r>
        <w:rPr>
          <w:rFonts w:hint="eastAsia" w:ascii="宋体" w:hAnsi="宋体" w:cs="宋体"/>
        </w:rPr>
        <w:t>设备的其他不随箱装运的资料，应另外成册订装提交招标人。</w:t>
      </w:r>
    </w:p>
    <w:p w14:paraId="3CA0605D">
      <w:pPr>
        <w:spacing w:line="360" w:lineRule="auto"/>
        <w:ind w:firstLine="420" w:firstLineChars="200"/>
        <w:rPr>
          <w:rFonts w:ascii="宋体" w:hAnsi="宋体" w:cs="宋体"/>
        </w:rPr>
      </w:pPr>
      <w:r>
        <w:rPr>
          <w:rFonts w:hint="eastAsia" w:ascii="宋体" w:hAnsi="宋体" w:cs="宋体"/>
        </w:rPr>
        <w:t>6.2.6开箱验收及现场保管</w:t>
      </w:r>
    </w:p>
    <w:p w14:paraId="0D34D8FC">
      <w:pPr>
        <w:spacing w:line="360" w:lineRule="auto"/>
        <w:ind w:firstLine="420" w:firstLineChars="200"/>
        <w:rPr>
          <w:rFonts w:ascii="宋体" w:hAnsi="宋体" w:cs="宋体"/>
        </w:rPr>
      </w:pPr>
      <w:r>
        <w:rPr>
          <w:rFonts w:hint="eastAsia" w:ascii="宋体" w:hAnsi="宋体" w:cs="宋体"/>
        </w:rPr>
        <w:t>设备运抵现场后，应在招标人的监督下，由投标人、招标人共同进行设备开箱验收，验收合格后办理设备移交手续。如设备不能及时进行安装，设备的现场保管应由投标人承担，设备系统各部件宜分类堆放，层间要有适当软垫物隔开，避免重压等。</w:t>
      </w:r>
    </w:p>
    <w:p w14:paraId="25494AAC">
      <w:pPr>
        <w:spacing w:line="360" w:lineRule="auto"/>
        <w:ind w:firstLine="420" w:firstLineChars="200"/>
        <w:rPr>
          <w:rFonts w:ascii="宋体" w:hAnsi="宋体" w:cs="宋体"/>
        </w:rPr>
      </w:pPr>
      <w:r>
        <w:rPr>
          <w:rFonts w:hint="eastAsia" w:ascii="宋体" w:hAnsi="宋体" w:cs="宋体"/>
        </w:rPr>
        <w:t>6.2.7现场运输</w:t>
      </w:r>
    </w:p>
    <w:p w14:paraId="32635E60">
      <w:pPr>
        <w:spacing w:line="360" w:lineRule="auto"/>
        <w:ind w:firstLine="420" w:firstLineChars="200"/>
        <w:rPr>
          <w:rFonts w:ascii="宋体" w:hAnsi="宋体" w:cs="宋体"/>
        </w:rPr>
      </w:pPr>
      <w:r>
        <w:rPr>
          <w:rFonts w:hint="eastAsia" w:ascii="宋体" w:hAnsi="宋体" w:cs="宋体"/>
        </w:rPr>
        <w:t>设备开箱验收后的运输由投标人负责。</w:t>
      </w:r>
    </w:p>
    <w:p w14:paraId="306BEFA4">
      <w:pPr>
        <w:spacing w:line="360" w:lineRule="auto"/>
        <w:ind w:firstLine="422" w:firstLineChars="200"/>
        <w:rPr>
          <w:rFonts w:ascii="宋体" w:hAnsi="宋体" w:cs="宋体"/>
          <w:b/>
          <w:bCs/>
        </w:rPr>
      </w:pPr>
      <w:r>
        <w:rPr>
          <w:rFonts w:hint="eastAsia" w:ascii="宋体" w:hAnsi="宋体" w:cs="宋体"/>
          <w:b/>
          <w:bCs/>
        </w:rPr>
        <w:t>7、项目设计与联络</w:t>
      </w:r>
    </w:p>
    <w:p w14:paraId="1BC41EB3">
      <w:pPr>
        <w:spacing w:line="360" w:lineRule="auto"/>
        <w:ind w:firstLine="420" w:firstLineChars="200"/>
        <w:rPr>
          <w:rFonts w:ascii="宋体" w:hAnsi="宋体" w:cs="宋体"/>
        </w:rPr>
      </w:pPr>
      <w:bookmarkStart w:id="52" w:name="_Toc520444697"/>
      <w:r>
        <w:rPr>
          <w:rFonts w:hint="eastAsia" w:ascii="宋体" w:hAnsi="宋体" w:cs="宋体"/>
        </w:rPr>
        <w:t>7.1</w:t>
      </w:r>
      <w:bookmarkEnd w:id="52"/>
      <w:r>
        <w:rPr>
          <w:rFonts w:hint="eastAsia" w:ascii="宋体" w:hAnsi="宋体" w:cs="宋体"/>
        </w:rPr>
        <w:t>投标人接到中标通知后，必须在15天内将设计联络进度计划、图纸文件提交计划等报招标人予以确定。</w:t>
      </w:r>
    </w:p>
    <w:p w14:paraId="630A8DA4">
      <w:pPr>
        <w:spacing w:line="360" w:lineRule="auto"/>
        <w:ind w:firstLine="420" w:firstLineChars="200"/>
        <w:rPr>
          <w:rFonts w:ascii="宋体" w:hAnsi="宋体" w:cs="宋体"/>
        </w:rPr>
      </w:pPr>
      <w:r>
        <w:rPr>
          <w:rFonts w:hint="eastAsia" w:ascii="宋体" w:hAnsi="宋体" w:cs="宋体"/>
        </w:rPr>
        <w:t>参加设计联络的技术人员必须是在设计方面有多年工作经验的工程师，并且必须为本项目的主要技术人员。所有参加联络会议的技术人员必须精通技术。</w:t>
      </w:r>
    </w:p>
    <w:p w14:paraId="1F2A100D">
      <w:pPr>
        <w:spacing w:line="360" w:lineRule="auto"/>
        <w:ind w:firstLine="420" w:firstLineChars="200"/>
        <w:rPr>
          <w:rFonts w:ascii="宋体" w:hAnsi="宋体" w:cs="宋体"/>
        </w:rPr>
      </w:pPr>
      <w:r>
        <w:rPr>
          <w:rFonts w:hint="eastAsia" w:ascii="宋体" w:hAnsi="宋体" w:cs="宋体"/>
        </w:rPr>
        <w:t>召开联络会期间，投标人应做好会议记录，并形成会议纪要。</w:t>
      </w:r>
    </w:p>
    <w:p w14:paraId="241006EF">
      <w:pPr>
        <w:spacing w:line="360" w:lineRule="auto"/>
        <w:ind w:firstLine="420" w:firstLineChars="200"/>
        <w:rPr>
          <w:rFonts w:ascii="宋体" w:hAnsi="宋体" w:cs="宋体"/>
        </w:rPr>
      </w:pPr>
      <w:r>
        <w:rPr>
          <w:rFonts w:hint="eastAsia" w:ascii="宋体" w:hAnsi="宋体" w:cs="宋体"/>
        </w:rPr>
        <w:t>联络会之后，投标人应按照会议纪要的要求完成其所规定的工作。投标人应结合自身产品的特点，协助本设备的设计单位完成设备的施工安装图设计，及时提供必要的产品原理图、产品安装大样图等。如设备有特殊的安装要求，投标人应及时提出，以利于施工安装图设计。</w:t>
      </w:r>
    </w:p>
    <w:p w14:paraId="6079F557">
      <w:pPr>
        <w:spacing w:line="360" w:lineRule="auto"/>
        <w:ind w:firstLine="420" w:firstLineChars="200"/>
        <w:rPr>
          <w:rFonts w:ascii="宋体" w:hAnsi="宋体" w:cs="宋体"/>
        </w:rPr>
      </w:pPr>
      <w:r>
        <w:rPr>
          <w:rFonts w:hint="eastAsia" w:ascii="宋体" w:hAnsi="宋体" w:cs="宋体"/>
        </w:rPr>
        <w:t>设计联络的相关费用包含在投标报价中，投标人应在投标文件中单独列项说明。设计联络费包括投标人所在地设计联络的招标人人员的食宿、办公用品、往返及当地交通费用等。如设计联络安排在招标人所在地，招标人提供会议场地，参加设计联络的投标人人员的一切费用均由投标人自理。在实际运作过程中，2次设计联络会议后仍不能达到预期的目的，招标人有权临时增加次数。所有设计联络会议的相关费用被认为包含在投标价内。</w:t>
      </w:r>
    </w:p>
    <w:bookmarkEnd w:id="33"/>
    <w:bookmarkEnd w:id="34"/>
    <w:bookmarkEnd w:id="35"/>
    <w:bookmarkEnd w:id="45"/>
    <w:bookmarkEnd w:id="46"/>
    <w:p w14:paraId="5BBECA04">
      <w:pPr>
        <w:spacing w:line="360" w:lineRule="auto"/>
        <w:ind w:firstLine="422" w:firstLineChars="200"/>
        <w:rPr>
          <w:rFonts w:ascii="宋体" w:hAnsi="宋体" w:cs="宋体"/>
        </w:rPr>
      </w:pPr>
      <w:bookmarkStart w:id="53" w:name="_Toc520444701"/>
      <w:r>
        <w:rPr>
          <w:rFonts w:hint="eastAsia" w:ascii="宋体" w:hAnsi="宋体" w:cs="宋体"/>
          <w:b/>
          <w:bCs/>
        </w:rPr>
        <w:t>8、现场服务及项目管理</w:t>
      </w:r>
      <w:bookmarkEnd w:id="53"/>
    </w:p>
    <w:p w14:paraId="72D9443D">
      <w:pPr>
        <w:spacing w:line="360" w:lineRule="auto"/>
        <w:ind w:firstLine="420" w:firstLineChars="200"/>
        <w:rPr>
          <w:rFonts w:ascii="宋体" w:hAnsi="宋体" w:cs="宋体"/>
        </w:rPr>
      </w:pPr>
      <w:bookmarkStart w:id="54" w:name="_Toc520444702"/>
      <w:r>
        <w:rPr>
          <w:rFonts w:hint="eastAsia" w:ascii="宋体" w:hAnsi="宋体" w:cs="宋体"/>
        </w:rPr>
        <w:t>8.1一般要求</w:t>
      </w:r>
      <w:bookmarkEnd w:id="54"/>
    </w:p>
    <w:p w14:paraId="1AB2BC6A">
      <w:pPr>
        <w:spacing w:line="360" w:lineRule="auto"/>
        <w:ind w:firstLine="420" w:firstLineChars="200"/>
        <w:rPr>
          <w:rFonts w:ascii="宋体" w:hAnsi="宋体" w:cs="宋体"/>
        </w:rPr>
      </w:pPr>
      <w:r>
        <w:rPr>
          <w:rFonts w:hint="eastAsia" w:ascii="宋体" w:hAnsi="宋体" w:cs="宋体"/>
        </w:rPr>
        <w:t>8.1.1投标人的主要工作包括但不限于下列内容：</w:t>
      </w:r>
    </w:p>
    <w:p w14:paraId="0CFF90E8">
      <w:pPr>
        <w:spacing w:line="360" w:lineRule="auto"/>
        <w:ind w:firstLine="420" w:firstLineChars="200"/>
        <w:rPr>
          <w:rFonts w:ascii="宋体" w:hAnsi="宋体" w:cs="宋体"/>
        </w:rPr>
      </w:pPr>
      <w:r>
        <w:rPr>
          <w:rFonts w:hint="eastAsia" w:ascii="宋体" w:hAnsi="宋体" w:cs="宋体"/>
        </w:rPr>
        <w:t>投标人应根据招标人需求及工程需要提供电梯系统的硬件、软件、资料、备品备件、专用工具和测试设备。</w:t>
      </w:r>
    </w:p>
    <w:p w14:paraId="63E42D31">
      <w:pPr>
        <w:spacing w:line="360" w:lineRule="auto"/>
        <w:ind w:firstLine="420" w:firstLineChars="200"/>
        <w:rPr>
          <w:rFonts w:ascii="宋体" w:hAnsi="宋体" w:cs="宋体"/>
        </w:rPr>
      </w:pPr>
      <w:r>
        <w:rPr>
          <w:rFonts w:hint="eastAsia" w:ascii="宋体" w:hAnsi="宋体" w:cs="宋体"/>
        </w:rPr>
        <w:t>投标人应完成拆除、改造、修复、硬软件的设计、设计联络、制造、检验、包装、运输、仓储、安装/安装指导、单体调试、联合调试、系统投运、人员培训、提交相关文件资料和图纸、验收、移交、关键时段的技术保障以及质保期服务等一系列服务。</w:t>
      </w:r>
    </w:p>
    <w:p w14:paraId="3462DC83">
      <w:pPr>
        <w:spacing w:line="360" w:lineRule="auto"/>
        <w:ind w:firstLine="420" w:firstLineChars="200"/>
        <w:rPr>
          <w:rFonts w:ascii="宋体" w:hAnsi="宋体" w:cs="宋体"/>
        </w:rPr>
      </w:pPr>
      <w:r>
        <w:rPr>
          <w:rFonts w:hint="eastAsia" w:ascii="宋体" w:hAnsi="宋体" w:cs="宋体"/>
        </w:rPr>
        <w:t>投标人应与其它承包商磋商合作，完成与其它系统的软硬件接口设计、制造及调试，保证电梯能满足招标人的要求，安全可靠运行。</w:t>
      </w:r>
    </w:p>
    <w:p w14:paraId="3A4DC773">
      <w:pPr>
        <w:spacing w:line="360" w:lineRule="auto"/>
        <w:ind w:firstLine="420" w:firstLineChars="200"/>
        <w:rPr>
          <w:rFonts w:ascii="宋体" w:hAnsi="宋体" w:cs="宋体"/>
        </w:rPr>
      </w:pPr>
      <w:r>
        <w:rPr>
          <w:rFonts w:hint="eastAsia" w:ascii="宋体" w:hAnsi="宋体" w:cs="宋体"/>
        </w:rPr>
        <w:t>中标后，投标人应结合本工程的特点进行产品的深化设计工作，并向设计单位提交相关技术文件。</w:t>
      </w:r>
    </w:p>
    <w:p w14:paraId="1AAAA638">
      <w:pPr>
        <w:spacing w:line="360" w:lineRule="auto"/>
        <w:ind w:firstLine="420" w:firstLineChars="200"/>
        <w:rPr>
          <w:rFonts w:ascii="宋体" w:hAnsi="宋体" w:cs="宋体"/>
        </w:rPr>
      </w:pPr>
      <w:r>
        <w:rPr>
          <w:rFonts w:hint="eastAsia" w:ascii="宋体" w:hAnsi="宋体" w:cs="宋体"/>
        </w:rPr>
        <w:t>在工程实施期间，为保障工程质量和运营安全，招标人对投标人提供的产品进行联合检查，投标人应在投标文件中承诺：</w:t>
      </w:r>
    </w:p>
    <w:p w14:paraId="21AED6EA">
      <w:pPr>
        <w:spacing w:line="360" w:lineRule="auto"/>
        <w:ind w:firstLine="420" w:firstLineChars="200"/>
        <w:rPr>
          <w:rFonts w:ascii="宋体" w:hAnsi="宋体" w:cs="宋体"/>
        </w:rPr>
      </w:pPr>
      <w:r>
        <w:rPr>
          <w:rFonts w:hint="eastAsia" w:ascii="宋体" w:hAnsi="宋体" w:cs="宋体"/>
        </w:rPr>
        <w:t>无条件配合检查、验签工作。</w:t>
      </w:r>
    </w:p>
    <w:p w14:paraId="40041D65">
      <w:pPr>
        <w:spacing w:line="360" w:lineRule="auto"/>
        <w:ind w:firstLine="420" w:firstLineChars="200"/>
        <w:rPr>
          <w:rFonts w:ascii="宋体" w:hAnsi="宋体" w:cs="宋体"/>
        </w:rPr>
      </w:pPr>
      <w:r>
        <w:rPr>
          <w:rFonts w:hint="eastAsia" w:ascii="宋体" w:hAnsi="宋体" w:cs="宋体"/>
        </w:rPr>
        <w:t>若发现由投标人原因产生的影响工程质量、运营安全的问题，投标须无条件按要求整改（包括产品更换等措施），并承担相应责任。</w:t>
      </w:r>
    </w:p>
    <w:p w14:paraId="10219B06">
      <w:pPr>
        <w:spacing w:line="360" w:lineRule="auto"/>
        <w:ind w:firstLine="420" w:firstLineChars="200"/>
        <w:rPr>
          <w:rFonts w:ascii="宋体" w:hAnsi="宋体" w:cs="宋体"/>
        </w:rPr>
      </w:pPr>
      <w:r>
        <w:rPr>
          <w:rFonts w:hint="eastAsia" w:ascii="宋体" w:hAnsi="宋体" w:cs="宋体"/>
        </w:rPr>
        <w:t>需投标人配合整改的工作，投标人应全力配合相关单位进行整改，并承担相应责任。</w:t>
      </w:r>
    </w:p>
    <w:p w14:paraId="1C310FDF">
      <w:pPr>
        <w:spacing w:line="360" w:lineRule="auto"/>
        <w:ind w:firstLine="420" w:firstLineChars="200"/>
        <w:rPr>
          <w:rFonts w:ascii="宋体" w:hAnsi="宋体" w:cs="宋体"/>
        </w:rPr>
      </w:pPr>
      <w:r>
        <w:rPr>
          <w:rFonts w:hint="eastAsia" w:ascii="宋体" w:hAnsi="宋体" w:cs="宋体"/>
        </w:rPr>
        <w:t>8.1.2投标人应遵循招标人制定的相关项目管理规定。</w:t>
      </w:r>
    </w:p>
    <w:p w14:paraId="53968A15">
      <w:pPr>
        <w:spacing w:line="360" w:lineRule="auto"/>
        <w:ind w:firstLine="420" w:firstLineChars="200"/>
        <w:rPr>
          <w:rFonts w:ascii="宋体" w:hAnsi="宋体" w:cs="宋体"/>
        </w:rPr>
      </w:pPr>
      <w:r>
        <w:rPr>
          <w:rFonts w:hint="eastAsia" w:ascii="宋体" w:hAnsi="宋体" w:cs="宋体"/>
        </w:rPr>
        <w:t>按照用户项目需求书和招标人提供的技术资料，完成此项目。对于招标人提出的关系到项目拆除、改造、修复、安装、设备质量、工期、验收等问题，投标人应及时给予答复。</w:t>
      </w:r>
    </w:p>
    <w:p w14:paraId="51EAB69B">
      <w:pPr>
        <w:spacing w:line="360" w:lineRule="auto"/>
        <w:ind w:firstLine="420" w:firstLineChars="200"/>
        <w:rPr>
          <w:rFonts w:ascii="宋体" w:hAnsi="宋体" w:cs="宋体"/>
        </w:rPr>
      </w:pPr>
      <w:r>
        <w:rPr>
          <w:rFonts w:hint="eastAsia" w:ascii="宋体" w:hAnsi="宋体" w:cs="宋体"/>
        </w:rPr>
        <w:t>投标人接到中标通知后，投标人必须接受招标人对招标范围内工作的相关管理。</w:t>
      </w:r>
    </w:p>
    <w:p w14:paraId="61D6875B">
      <w:pPr>
        <w:spacing w:line="360" w:lineRule="auto"/>
        <w:ind w:firstLine="420" w:firstLineChars="200"/>
        <w:rPr>
          <w:rFonts w:ascii="宋体" w:hAnsi="宋体" w:cs="宋体"/>
        </w:rPr>
      </w:pPr>
      <w:r>
        <w:rPr>
          <w:rFonts w:hint="eastAsia" w:ascii="宋体" w:hAnsi="宋体" w:cs="宋体"/>
        </w:rPr>
        <w:t>8.1.3招标人在此过程中将对投标人的工作（包括提交的设计文件等）进行审查及确认，但并不解除投标人对项目拆除、改造、修复、电梯设备设计、制造、安装及调试等的责任，投标人对电梯设备的设计、制造、安装及调试等完全负责。</w:t>
      </w:r>
    </w:p>
    <w:p w14:paraId="77EA86D3">
      <w:pPr>
        <w:spacing w:line="360" w:lineRule="auto"/>
        <w:ind w:firstLine="420" w:firstLineChars="200"/>
        <w:rPr>
          <w:rFonts w:ascii="宋体" w:hAnsi="宋体" w:cs="宋体"/>
        </w:rPr>
      </w:pPr>
      <w:r>
        <w:rPr>
          <w:rFonts w:hint="eastAsia" w:ascii="宋体" w:hAnsi="宋体" w:cs="宋体"/>
        </w:rPr>
        <w:t>8.1.4合同执行协调</w:t>
      </w:r>
    </w:p>
    <w:p w14:paraId="2BD5D397">
      <w:pPr>
        <w:spacing w:line="360" w:lineRule="auto"/>
        <w:ind w:firstLine="420" w:firstLineChars="200"/>
        <w:rPr>
          <w:rFonts w:ascii="宋体" w:hAnsi="宋体" w:cs="宋体"/>
        </w:rPr>
      </w:pPr>
      <w:r>
        <w:rPr>
          <w:rFonts w:hint="eastAsia" w:ascii="宋体" w:hAnsi="宋体" w:cs="宋体"/>
        </w:rPr>
        <w:t>投标人必须在合同签订1个星期之内，明确专人负责本项目设备拆除、井道门厅机房改造、设备安装、验收等相关工作的管理，其人员资历报招标人审查和批准。</w:t>
      </w:r>
    </w:p>
    <w:p w14:paraId="05EE4B26">
      <w:pPr>
        <w:spacing w:line="360" w:lineRule="auto"/>
        <w:ind w:firstLine="420" w:firstLineChars="200"/>
        <w:rPr>
          <w:rFonts w:ascii="宋体" w:hAnsi="宋体" w:cs="宋体"/>
        </w:rPr>
      </w:pPr>
      <w:bookmarkStart w:id="55" w:name="_Toc520444703"/>
      <w:r>
        <w:rPr>
          <w:rFonts w:hint="eastAsia" w:ascii="宋体" w:hAnsi="宋体" w:cs="宋体"/>
        </w:rPr>
        <w:t>8.2项目计划</w:t>
      </w:r>
      <w:bookmarkEnd w:id="55"/>
    </w:p>
    <w:p w14:paraId="1AD0D924">
      <w:pPr>
        <w:spacing w:line="360" w:lineRule="auto"/>
        <w:ind w:firstLine="420" w:firstLineChars="200"/>
        <w:rPr>
          <w:rFonts w:ascii="宋体" w:hAnsi="宋体" w:cs="宋体"/>
        </w:rPr>
      </w:pPr>
      <w:r>
        <w:rPr>
          <w:rFonts w:hint="eastAsia" w:ascii="宋体" w:hAnsi="宋体" w:cs="宋体"/>
        </w:rPr>
        <w:t>8.2.1投标人必须在合同签订后的7天之内，按期（日、月、季）提出项目的总体进度计划，报招标人审批。并根据最终确定的项目进度计划严格执行。</w:t>
      </w:r>
    </w:p>
    <w:p w14:paraId="1BBD81E9">
      <w:pPr>
        <w:spacing w:line="360" w:lineRule="auto"/>
        <w:ind w:firstLine="420" w:firstLineChars="200"/>
        <w:rPr>
          <w:rFonts w:ascii="宋体" w:hAnsi="宋体" w:cs="宋体"/>
        </w:rPr>
      </w:pPr>
      <w:r>
        <w:rPr>
          <w:rFonts w:hint="eastAsia" w:ascii="宋体" w:hAnsi="宋体" w:cs="宋体"/>
        </w:rPr>
        <w:t>8.2.2工程实施中各阶段的进度计划一旦经过双方确认，投标人必须按时完成所规定的相应工作。如因投标人自身原因导致计划未能按时完成，投标人应负有相应的责任。</w:t>
      </w:r>
    </w:p>
    <w:p w14:paraId="597EF082">
      <w:pPr>
        <w:spacing w:line="360" w:lineRule="auto"/>
        <w:ind w:firstLine="420" w:firstLineChars="200"/>
        <w:rPr>
          <w:rFonts w:ascii="宋体" w:hAnsi="宋体" w:cs="宋体"/>
        </w:rPr>
      </w:pPr>
      <w:r>
        <w:rPr>
          <w:rFonts w:hint="eastAsia" w:ascii="宋体" w:hAnsi="宋体" w:cs="宋体"/>
        </w:rPr>
        <w:t>8.2.3在合同执行期间，投标人应严格执行总体项目计划，这些计划包括，但不限于：</w:t>
      </w:r>
    </w:p>
    <w:p w14:paraId="1890FBC1">
      <w:pPr>
        <w:spacing w:line="360" w:lineRule="auto"/>
        <w:ind w:firstLine="420" w:firstLineChars="200"/>
        <w:rPr>
          <w:rFonts w:ascii="宋体" w:hAnsi="宋体" w:cs="宋体"/>
        </w:rPr>
      </w:pPr>
      <w:r>
        <w:rPr>
          <w:rFonts w:hint="eastAsia" w:ascii="宋体" w:hAnsi="宋体" w:cs="宋体"/>
        </w:rPr>
        <w:t>设备拆除计划;</w:t>
      </w:r>
    </w:p>
    <w:p w14:paraId="5EE674D5">
      <w:pPr>
        <w:spacing w:line="360" w:lineRule="auto"/>
        <w:ind w:firstLine="420" w:firstLineChars="200"/>
        <w:rPr>
          <w:rFonts w:ascii="宋体" w:hAnsi="宋体" w:cs="宋体"/>
        </w:rPr>
      </w:pPr>
      <w:r>
        <w:rPr>
          <w:rFonts w:hint="eastAsia" w:ascii="宋体" w:hAnsi="宋体" w:cs="宋体"/>
        </w:rPr>
        <w:t>机房、井道、门厅改造计划;</w:t>
      </w:r>
    </w:p>
    <w:p w14:paraId="7B85CB44">
      <w:pPr>
        <w:spacing w:line="360" w:lineRule="auto"/>
        <w:ind w:firstLine="420" w:firstLineChars="200"/>
        <w:rPr>
          <w:rFonts w:ascii="宋体" w:hAnsi="宋体" w:cs="宋体"/>
        </w:rPr>
      </w:pPr>
      <w:r>
        <w:rPr>
          <w:rFonts w:hint="eastAsia" w:ascii="宋体" w:hAnsi="宋体" w:cs="宋体"/>
        </w:rPr>
        <w:t>设计（含设计联络）计划；</w:t>
      </w:r>
    </w:p>
    <w:p w14:paraId="39D3D0F8">
      <w:pPr>
        <w:spacing w:line="360" w:lineRule="auto"/>
        <w:ind w:firstLine="420" w:firstLineChars="200"/>
        <w:rPr>
          <w:rFonts w:ascii="宋体" w:hAnsi="宋体" w:cs="宋体"/>
        </w:rPr>
      </w:pPr>
      <w:r>
        <w:rPr>
          <w:rFonts w:hint="eastAsia" w:ascii="宋体" w:hAnsi="宋体" w:cs="宋体"/>
        </w:rPr>
        <w:t>到货计划；</w:t>
      </w:r>
    </w:p>
    <w:p w14:paraId="31422D66">
      <w:pPr>
        <w:spacing w:line="360" w:lineRule="auto"/>
        <w:ind w:firstLine="420" w:firstLineChars="200"/>
        <w:rPr>
          <w:rFonts w:ascii="宋体" w:hAnsi="宋体" w:cs="宋体"/>
        </w:rPr>
      </w:pPr>
      <w:r>
        <w:rPr>
          <w:rFonts w:hint="eastAsia" w:ascii="宋体" w:hAnsi="宋体" w:cs="宋体"/>
        </w:rPr>
        <w:t>安装计划（包括但不限于现场条件确认计划、大型设备进场路由及各站设备进场安装计划等）；</w:t>
      </w:r>
    </w:p>
    <w:p w14:paraId="38A05F5B">
      <w:pPr>
        <w:spacing w:line="360" w:lineRule="auto"/>
        <w:ind w:firstLine="420" w:firstLineChars="200"/>
        <w:rPr>
          <w:rFonts w:ascii="宋体" w:hAnsi="宋体" w:cs="宋体"/>
        </w:rPr>
      </w:pPr>
      <w:r>
        <w:rPr>
          <w:rFonts w:hint="eastAsia" w:ascii="宋体" w:hAnsi="宋体" w:cs="宋体"/>
        </w:rPr>
        <w:t>门厅修复计划等;</w:t>
      </w:r>
    </w:p>
    <w:p w14:paraId="0F72D781">
      <w:pPr>
        <w:spacing w:line="360" w:lineRule="auto"/>
        <w:ind w:firstLine="420" w:firstLineChars="200"/>
        <w:rPr>
          <w:rFonts w:ascii="宋体" w:hAnsi="宋体" w:cs="宋体"/>
        </w:rPr>
      </w:pPr>
      <w:r>
        <w:rPr>
          <w:rFonts w:hint="eastAsia" w:ascii="宋体" w:hAnsi="宋体" w:cs="宋体"/>
        </w:rPr>
        <w:t>现场测试、调试计划（含与其它专业的联调）；</w:t>
      </w:r>
    </w:p>
    <w:p w14:paraId="58C88FAF">
      <w:pPr>
        <w:spacing w:line="360" w:lineRule="auto"/>
        <w:ind w:firstLine="420" w:firstLineChars="200"/>
        <w:rPr>
          <w:rFonts w:ascii="宋体" w:hAnsi="宋体" w:cs="宋体"/>
        </w:rPr>
      </w:pPr>
      <w:r>
        <w:rPr>
          <w:rFonts w:hint="eastAsia" w:ascii="宋体" w:hAnsi="宋体" w:cs="宋体"/>
        </w:rPr>
        <w:t>验收计划；</w:t>
      </w:r>
    </w:p>
    <w:p w14:paraId="600A341F">
      <w:pPr>
        <w:spacing w:line="360" w:lineRule="auto"/>
        <w:ind w:firstLine="420" w:firstLineChars="200"/>
        <w:rPr>
          <w:rFonts w:ascii="宋体" w:hAnsi="宋体" w:cs="宋体"/>
        </w:rPr>
      </w:pPr>
      <w:r>
        <w:rPr>
          <w:rFonts w:hint="eastAsia" w:ascii="宋体" w:hAnsi="宋体" w:cs="宋体"/>
        </w:rPr>
        <w:t>配合最终用户对系统的考核计划；</w:t>
      </w:r>
    </w:p>
    <w:p w14:paraId="0D122757">
      <w:pPr>
        <w:spacing w:line="360" w:lineRule="auto"/>
        <w:ind w:firstLine="420" w:firstLineChars="200"/>
        <w:rPr>
          <w:rFonts w:ascii="宋体" w:hAnsi="宋体" w:cs="宋体"/>
        </w:rPr>
      </w:pPr>
      <w:r>
        <w:rPr>
          <w:rFonts w:hint="eastAsia" w:ascii="宋体" w:hAnsi="宋体" w:cs="宋体"/>
        </w:rPr>
        <w:t>维护培训计划；</w:t>
      </w:r>
    </w:p>
    <w:p w14:paraId="43AD9FF6">
      <w:pPr>
        <w:spacing w:line="360" w:lineRule="auto"/>
        <w:ind w:firstLine="420" w:firstLineChars="200"/>
        <w:rPr>
          <w:rFonts w:ascii="宋体" w:hAnsi="宋体" w:cs="宋体"/>
        </w:rPr>
      </w:pPr>
      <w:r>
        <w:rPr>
          <w:rFonts w:hint="eastAsia" w:ascii="宋体" w:hAnsi="宋体" w:cs="宋体"/>
        </w:rPr>
        <w:t>与最终用户交接计划。</w:t>
      </w:r>
    </w:p>
    <w:p w14:paraId="316002D1">
      <w:pPr>
        <w:spacing w:line="360" w:lineRule="auto"/>
        <w:ind w:firstLine="420" w:firstLineChars="200"/>
        <w:rPr>
          <w:rFonts w:ascii="宋体" w:hAnsi="宋体" w:cs="宋体"/>
        </w:rPr>
      </w:pPr>
      <w:r>
        <w:rPr>
          <w:rFonts w:hint="eastAsia" w:ascii="宋体" w:hAnsi="宋体" w:cs="宋体"/>
        </w:rPr>
        <w:t>8.2.4每阶段开始之前，投标人应向招标人提交本阶段计划供招标人审批，这个计划应符合控制进度的规定。在招标人未批准该计划之前，投标人不应开始该阶段实质性工作。由于投标人计划不周而导致招标人不批准计划引起的一切后果均由投标人承担。</w:t>
      </w:r>
    </w:p>
    <w:p w14:paraId="1DDD1743">
      <w:pPr>
        <w:spacing w:line="360" w:lineRule="auto"/>
        <w:ind w:firstLine="420" w:firstLineChars="200"/>
        <w:rPr>
          <w:rFonts w:ascii="宋体" w:hAnsi="宋体" w:cs="宋体"/>
        </w:rPr>
      </w:pPr>
      <w:bookmarkStart w:id="56" w:name="_Toc520444704"/>
      <w:r>
        <w:rPr>
          <w:rFonts w:hint="eastAsia" w:ascii="宋体" w:hAnsi="宋体" w:cs="宋体"/>
        </w:rPr>
        <w:t>8.3项目组织及人员要求</w:t>
      </w:r>
      <w:bookmarkEnd w:id="56"/>
    </w:p>
    <w:p w14:paraId="698F5958">
      <w:pPr>
        <w:spacing w:line="360" w:lineRule="auto"/>
        <w:ind w:firstLine="420" w:firstLineChars="200"/>
        <w:rPr>
          <w:rFonts w:ascii="宋体" w:hAnsi="宋体" w:cs="宋体"/>
        </w:rPr>
      </w:pPr>
      <w:r>
        <w:rPr>
          <w:rFonts w:hint="eastAsia" w:ascii="宋体" w:hAnsi="宋体" w:cs="宋体"/>
        </w:rPr>
        <w:t xml:space="preserve">8.3.1为了能全面达到工程需要。投标人要作好以下工作： </w:t>
      </w:r>
    </w:p>
    <w:p w14:paraId="4FD03444">
      <w:pPr>
        <w:spacing w:line="360" w:lineRule="auto"/>
        <w:ind w:firstLine="420" w:firstLineChars="200"/>
        <w:rPr>
          <w:rFonts w:ascii="宋体" w:hAnsi="宋体" w:cs="宋体"/>
        </w:rPr>
      </w:pPr>
      <w:r>
        <w:rPr>
          <w:rFonts w:hint="eastAsia" w:ascii="宋体" w:hAnsi="宋体" w:cs="宋体"/>
        </w:rPr>
        <w:t>8.3.1.1投标人一旦中标，应在天津设置为本项目服务的专门机构，负责处理本项目有关事宜。</w:t>
      </w:r>
    </w:p>
    <w:p w14:paraId="11C58F7D">
      <w:pPr>
        <w:spacing w:line="360" w:lineRule="auto"/>
        <w:ind w:firstLine="420" w:firstLineChars="200"/>
        <w:rPr>
          <w:rFonts w:ascii="宋体" w:hAnsi="宋体" w:cs="宋体"/>
        </w:rPr>
      </w:pPr>
      <w:r>
        <w:rPr>
          <w:rFonts w:hint="eastAsia" w:ascii="宋体" w:hAnsi="宋体" w:cs="宋体"/>
        </w:rPr>
        <w:t>8.3.1.2投标人制定关于本项目管理的详细组织构架图，包括职员姓名、职务及职员关系等。构架图中要包括与合作方的关系，要清楚反应不同部门之间的有机关系。投标人所列出构架图的人员必须全职受服务本项目。</w:t>
      </w:r>
    </w:p>
    <w:p w14:paraId="7701E580">
      <w:pPr>
        <w:spacing w:line="360" w:lineRule="auto"/>
        <w:ind w:firstLine="420" w:firstLineChars="200"/>
        <w:rPr>
          <w:rFonts w:ascii="宋体" w:hAnsi="宋体" w:cs="宋体"/>
        </w:rPr>
      </w:pPr>
      <w:r>
        <w:rPr>
          <w:rFonts w:hint="eastAsia" w:ascii="宋体" w:hAnsi="宋体" w:cs="宋体"/>
        </w:rPr>
        <w:t>8.3.1.3投标人应描述合同各方的责任范围及相互关系（主导方与合作方是主从关系）。</w:t>
      </w:r>
    </w:p>
    <w:p w14:paraId="4F3F816C">
      <w:pPr>
        <w:spacing w:line="360" w:lineRule="auto"/>
        <w:ind w:firstLine="420" w:firstLineChars="200"/>
        <w:rPr>
          <w:rFonts w:ascii="宋体" w:hAnsi="宋体" w:cs="宋体"/>
        </w:rPr>
      </w:pPr>
      <w:r>
        <w:rPr>
          <w:rFonts w:hint="eastAsia" w:ascii="宋体" w:hAnsi="宋体" w:cs="宋体"/>
        </w:rPr>
        <w:t>8.3.1.4投标人的项目负责人和技术负责人要专职服务于该项目，由任职开始，至合同执行完止，履行合同内应尽的责任和义务。如在合同执行过程中出现项目负责人或技术负责人明显不称职的情况，招标人有权要求撤换项目负责人或技术负责人，投标人应无条件给予更换。对项目负责人的具体要求：</w:t>
      </w:r>
    </w:p>
    <w:p w14:paraId="37B2A130">
      <w:pPr>
        <w:spacing w:line="360" w:lineRule="auto"/>
        <w:ind w:firstLine="420" w:firstLineChars="200"/>
        <w:rPr>
          <w:rFonts w:ascii="宋体" w:hAnsi="宋体" w:cs="宋体"/>
        </w:rPr>
      </w:pPr>
      <w:r>
        <w:rPr>
          <w:rFonts w:hint="eastAsia" w:ascii="宋体" w:hAnsi="宋体" w:cs="宋体"/>
        </w:rPr>
        <w:t>合同签订后,招标人对本项目的管理仅通过投标人确定的项目负责人实施。投标人的项目负责人和技术负责人应与投标文件相符。若需更换项目负责人或技术负责人，必须书面上报招标人并经招标人同意后方可更换。未经招标人同意不得更换负责人。</w:t>
      </w:r>
    </w:p>
    <w:p w14:paraId="7AB37CD8">
      <w:pPr>
        <w:spacing w:line="360" w:lineRule="auto"/>
        <w:ind w:firstLine="420" w:firstLineChars="200"/>
        <w:rPr>
          <w:rFonts w:ascii="宋体" w:hAnsi="宋体" w:cs="宋体"/>
        </w:rPr>
      </w:pPr>
      <w:r>
        <w:rPr>
          <w:rFonts w:hint="eastAsia" w:ascii="宋体" w:hAnsi="宋体" w:cs="宋体"/>
        </w:rPr>
        <w:t>项目负责人应对电梯的拆除，机房井道门厅改造及修复、电梯安装具有丰富经验，并具有工程师(或相当于工程师)以上职称。</w:t>
      </w:r>
    </w:p>
    <w:p w14:paraId="2A6BB7EF">
      <w:pPr>
        <w:spacing w:line="360" w:lineRule="auto"/>
        <w:ind w:firstLine="420" w:firstLineChars="200"/>
        <w:rPr>
          <w:rFonts w:ascii="宋体" w:hAnsi="宋体" w:cs="宋体"/>
        </w:rPr>
      </w:pPr>
      <w:r>
        <w:rPr>
          <w:rFonts w:hint="eastAsia" w:ascii="宋体" w:hAnsi="宋体" w:cs="宋体"/>
        </w:rPr>
        <w:t>项目负责人在本企业具有一定的行政职位，在项目执行中，能够自行决定与本合同相关的所有事宜，能直接与本企业最高领导沟通。为本项目配备的项目负责人在设计和生产阶段，在津时间不少于15天／月，在安装施工阶段在津时间不少于25天／月。</w:t>
      </w:r>
    </w:p>
    <w:p w14:paraId="4DDEC950">
      <w:pPr>
        <w:spacing w:line="360" w:lineRule="auto"/>
        <w:ind w:firstLine="420" w:firstLineChars="200"/>
        <w:rPr>
          <w:rFonts w:ascii="宋体" w:hAnsi="宋体" w:cs="宋体"/>
        </w:rPr>
      </w:pPr>
      <w:r>
        <w:rPr>
          <w:rFonts w:hint="eastAsia" w:ascii="宋体" w:hAnsi="宋体" w:cs="宋体"/>
        </w:rPr>
        <w:t>项目负责人接受招标人的总体工程项目管理。</w:t>
      </w:r>
    </w:p>
    <w:p w14:paraId="26124A9C">
      <w:pPr>
        <w:spacing w:line="360" w:lineRule="auto"/>
        <w:ind w:firstLine="420" w:firstLineChars="200"/>
        <w:rPr>
          <w:rFonts w:ascii="宋体" w:hAnsi="宋体" w:cs="宋体"/>
        </w:rPr>
      </w:pPr>
      <w:r>
        <w:rPr>
          <w:rFonts w:hint="eastAsia" w:ascii="宋体" w:hAnsi="宋体" w:cs="宋体"/>
        </w:rPr>
        <w:t>8.3.2项目部人员配备要求</w:t>
      </w:r>
    </w:p>
    <w:p w14:paraId="66514B4E">
      <w:pPr>
        <w:spacing w:line="360" w:lineRule="auto"/>
        <w:ind w:firstLine="420" w:firstLineChars="200"/>
        <w:rPr>
          <w:rFonts w:ascii="宋体" w:hAnsi="宋体" w:cs="宋体"/>
        </w:rPr>
      </w:pPr>
      <w:r>
        <w:rPr>
          <w:rFonts w:hint="eastAsia" w:ascii="宋体" w:hAnsi="宋体" w:cs="宋体"/>
        </w:rPr>
        <w:t>8.3.2.1投标人对项目应设置项目组，项目组的工作人员负责项目执行过程中的技术质量、进度、电梯拆除，机房、井道、门厅改造、电梯安装、现场服务等工作。</w:t>
      </w:r>
    </w:p>
    <w:p w14:paraId="16D0686A">
      <w:pPr>
        <w:spacing w:line="360" w:lineRule="auto"/>
        <w:ind w:firstLine="420" w:firstLineChars="200"/>
        <w:rPr>
          <w:rFonts w:ascii="宋体" w:hAnsi="宋体" w:cs="宋体"/>
        </w:rPr>
      </w:pPr>
      <w:r>
        <w:rPr>
          <w:rFonts w:hint="eastAsia" w:ascii="宋体" w:hAnsi="宋体" w:cs="宋体"/>
        </w:rPr>
        <w:t>8.3.2.2项目部应配备下列人员（包括但不限于以下）：</w:t>
      </w:r>
    </w:p>
    <w:p w14:paraId="6E38B093">
      <w:pPr>
        <w:spacing w:line="360" w:lineRule="auto"/>
        <w:ind w:firstLine="420" w:firstLineChars="200"/>
        <w:rPr>
          <w:rFonts w:ascii="宋体" w:hAnsi="宋体" w:cs="宋体"/>
        </w:rPr>
      </w:pPr>
      <w:r>
        <w:rPr>
          <w:rFonts w:hint="eastAsia" w:ascii="宋体" w:hAnsi="宋体" w:cs="宋体"/>
        </w:rPr>
        <w:t>项目负责人、技术负责人、商务人员、技术人员、质量管理人员等。</w:t>
      </w:r>
    </w:p>
    <w:p w14:paraId="21663918">
      <w:pPr>
        <w:spacing w:line="360" w:lineRule="auto"/>
        <w:ind w:firstLine="420" w:firstLineChars="200"/>
        <w:rPr>
          <w:rFonts w:ascii="宋体" w:hAnsi="宋体" w:cs="宋体"/>
        </w:rPr>
      </w:pPr>
      <w:r>
        <w:rPr>
          <w:rFonts w:hint="eastAsia" w:ascii="宋体" w:hAnsi="宋体" w:cs="宋体"/>
        </w:rPr>
        <w:t>8.3.2.3各阶段技术人员要求：</w:t>
      </w:r>
    </w:p>
    <w:p w14:paraId="57C1F263">
      <w:pPr>
        <w:spacing w:line="360" w:lineRule="auto"/>
        <w:ind w:firstLine="420" w:firstLineChars="200"/>
        <w:rPr>
          <w:rFonts w:ascii="宋体" w:hAnsi="宋体" w:cs="宋体"/>
        </w:rPr>
      </w:pPr>
      <w:r>
        <w:rPr>
          <w:rFonts w:hint="eastAsia" w:ascii="宋体" w:hAnsi="宋体" w:cs="宋体"/>
        </w:rPr>
        <w:t>下列人员在各阶段时间内应全职服务于本工程。</w:t>
      </w:r>
    </w:p>
    <w:p w14:paraId="7AF3254F">
      <w:pPr>
        <w:spacing w:line="360" w:lineRule="auto"/>
        <w:ind w:firstLine="420" w:firstLineChars="200"/>
        <w:rPr>
          <w:rFonts w:ascii="宋体" w:hAnsi="宋体" w:cs="宋体"/>
        </w:rPr>
      </w:pPr>
      <w:r>
        <w:rPr>
          <w:rFonts w:hint="eastAsia" w:ascii="宋体" w:hAnsi="宋体" w:cs="宋体"/>
        </w:rPr>
        <w:t>施工阶段：包括电梯拆除，机房、井道、门厅改造及修复，电梯安装等工程，应根据土建施工及现场进度情况，服从总体工期计划的要求，配备足够的施工安装队伍及吊装等相关设备，且施工人员应能独立解决现场问题。</w:t>
      </w:r>
    </w:p>
    <w:p w14:paraId="522E8A7A">
      <w:pPr>
        <w:spacing w:line="360" w:lineRule="auto"/>
        <w:ind w:firstLine="420" w:firstLineChars="200"/>
        <w:rPr>
          <w:rFonts w:ascii="宋体" w:hAnsi="宋体" w:cs="宋体"/>
        </w:rPr>
      </w:pPr>
      <w:r>
        <w:rPr>
          <w:rFonts w:hint="eastAsia" w:ascii="宋体" w:hAnsi="宋体" w:cs="宋体"/>
        </w:rPr>
        <w:t>调试阶段：至少配备3名人员，每名人员均能独立解决现场问题。</w:t>
      </w:r>
    </w:p>
    <w:p w14:paraId="50D5C00D">
      <w:pPr>
        <w:spacing w:line="360" w:lineRule="auto"/>
        <w:ind w:firstLine="420" w:firstLineChars="200"/>
        <w:rPr>
          <w:rFonts w:ascii="宋体" w:hAnsi="宋体" w:cs="宋体"/>
        </w:rPr>
      </w:pPr>
      <w:r>
        <w:rPr>
          <w:rFonts w:hint="eastAsia" w:ascii="宋体" w:hAnsi="宋体" w:cs="宋体"/>
        </w:rPr>
        <w:t>验收阶段：至少配备3名人员，每名人员均能独立解决现场问题。</w:t>
      </w:r>
    </w:p>
    <w:p w14:paraId="463309F2">
      <w:pPr>
        <w:spacing w:line="360" w:lineRule="auto"/>
        <w:ind w:firstLine="420" w:firstLineChars="200"/>
        <w:rPr>
          <w:rFonts w:ascii="宋体" w:hAnsi="宋体" w:cs="宋体"/>
        </w:rPr>
      </w:pPr>
      <w:r>
        <w:rPr>
          <w:rFonts w:hint="eastAsia" w:ascii="宋体" w:hAnsi="宋体" w:cs="宋体"/>
        </w:rPr>
        <w:t>交接阶段：</w:t>
      </w:r>
    </w:p>
    <w:p w14:paraId="639BF697">
      <w:pPr>
        <w:spacing w:line="360" w:lineRule="auto"/>
        <w:ind w:firstLine="420" w:firstLineChars="200"/>
        <w:rPr>
          <w:rFonts w:ascii="宋体" w:hAnsi="宋体" w:cs="宋体"/>
        </w:rPr>
      </w:pPr>
      <w:r>
        <w:rPr>
          <w:rFonts w:hint="eastAsia" w:ascii="宋体" w:hAnsi="宋体" w:cs="宋体"/>
        </w:rPr>
        <w:t>1)使用交接阶段：至少配备2名人员，每名人员均能独立解决现场问题。</w:t>
      </w:r>
    </w:p>
    <w:p w14:paraId="436240F7">
      <w:pPr>
        <w:spacing w:line="360" w:lineRule="auto"/>
        <w:ind w:firstLine="420" w:firstLineChars="200"/>
        <w:rPr>
          <w:rFonts w:ascii="宋体" w:hAnsi="宋体" w:cs="宋体"/>
        </w:rPr>
      </w:pPr>
      <w:r>
        <w:rPr>
          <w:rFonts w:hint="eastAsia" w:ascii="宋体" w:hAnsi="宋体" w:cs="宋体"/>
        </w:rPr>
        <w:t>2)资料交接阶段：至少配备1名人员，能独立解决相关问题。</w:t>
      </w:r>
    </w:p>
    <w:p w14:paraId="4FCE1DB0">
      <w:pPr>
        <w:spacing w:line="360" w:lineRule="auto"/>
        <w:ind w:firstLine="420" w:firstLineChars="200"/>
        <w:rPr>
          <w:rFonts w:ascii="宋体" w:hAnsi="宋体" w:cs="宋体"/>
        </w:rPr>
      </w:pPr>
      <w:r>
        <w:rPr>
          <w:rFonts w:hint="eastAsia" w:ascii="宋体" w:hAnsi="宋体" w:cs="宋体"/>
        </w:rPr>
        <w:t>质保期阶段：至少配备2名专业维保人员，每名人员均能独立解决现场问题。</w:t>
      </w:r>
    </w:p>
    <w:p w14:paraId="7B88E8B6">
      <w:pPr>
        <w:spacing w:line="360" w:lineRule="auto"/>
        <w:ind w:firstLine="420" w:firstLineChars="200"/>
        <w:rPr>
          <w:rFonts w:ascii="宋体" w:hAnsi="宋体" w:cs="宋体"/>
        </w:rPr>
      </w:pPr>
      <w:r>
        <w:rPr>
          <w:rFonts w:hint="eastAsia" w:ascii="宋体" w:hAnsi="宋体" w:cs="宋体"/>
        </w:rPr>
        <w:t>投标人应具有一套完善的工程项目管理机制和项目人员职责划分，以确保工程实施的各个阶段和各个环节能够及时地、顺畅地进行。投标人应在投标文件中，阐述项目管理的主要机制和主要人员的职责划分，以及投标人针对本工程特点所采取的必要的、有效的保障措施。</w:t>
      </w:r>
    </w:p>
    <w:p w14:paraId="187FD663">
      <w:pPr>
        <w:spacing w:line="360" w:lineRule="auto"/>
        <w:ind w:firstLine="420" w:firstLineChars="200"/>
        <w:rPr>
          <w:rFonts w:ascii="宋体" w:hAnsi="宋体" w:cs="宋体"/>
        </w:rPr>
      </w:pPr>
      <w:r>
        <w:rPr>
          <w:rFonts w:hint="eastAsia" w:ascii="宋体" w:hAnsi="宋体" w:cs="宋体"/>
        </w:rPr>
        <w:t>8.3.3文件接受程序</w:t>
      </w:r>
    </w:p>
    <w:p w14:paraId="506196DD">
      <w:pPr>
        <w:spacing w:line="360" w:lineRule="auto"/>
        <w:ind w:firstLine="420" w:firstLineChars="200"/>
        <w:rPr>
          <w:rFonts w:ascii="宋体" w:hAnsi="宋体" w:cs="宋体"/>
        </w:rPr>
      </w:pPr>
      <w:r>
        <w:rPr>
          <w:rFonts w:hint="eastAsia" w:ascii="宋体" w:hAnsi="宋体" w:cs="宋体"/>
        </w:rPr>
        <w:t>招标人对投标人文件的接受在任何情况下都不能解除投标人在本合同项下的任何责任和义务。</w:t>
      </w:r>
    </w:p>
    <w:p w14:paraId="5002EB85">
      <w:pPr>
        <w:spacing w:line="360" w:lineRule="auto"/>
        <w:ind w:firstLine="420" w:firstLineChars="200"/>
        <w:rPr>
          <w:rFonts w:ascii="宋体" w:hAnsi="宋体" w:cs="宋体"/>
        </w:rPr>
      </w:pPr>
      <w:r>
        <w:rPr>
          <w:rFonts w:hint="eastAsia" w:ascii="宋体" w:hAnsi="宋体" w:cs="宋体"/>
        </w:rPr>
        <w:t>投标人提交给招标人的文件要在发送单上列出目录。文件形式可以为书面文件和电子文件（正式文件至少一式二份，具体数量由招标人确定，具体格式今后定义）。双方签字确认。</w:t>
      </w:r>
    </w:p>
    <w:p w14:paraId="70E1FE20">
      <w:pPr>
        <w:spacing w:line="360" w:lineRule="auto"/>
        <w:ind w:firstLine="420" w:firstLineChars="200"/>
        <w:rPr>
          <w:rFonts w:ascii="宋体" w:hAnsi="宋体" w:cs="宋体"/>
        </w:rPr>
      </w:pPr>
      <w:bookmarkStart w:id="57" w:name="_Toc520444705"/>
      <w:r>
        <w:rPr>
          <w:rFonts w:hint="eastAsia" w:ascii="宋体" w:hAnsi="宋体" w:cs="宋体"/>
        </w:rPr>
        <w:t>8.4合同设备的制造</w:t>
      </w:r>
      <w:bookmarkEnd w:id="57"/>
    </w:p>
    <w:p w14:paraId="39721555">
      <w:pPr>
        <w:spacing w:line="360" w:lineRule="auto"/>
        <w:ind w:firstLine="420" w:firstLineChars="200"/>
        <w:rPr>
          <w:rFonts w:ascii="宋体" w:hAnsi="宋体" w:cs="宋体"/>
        </w:rPr>
      </w:pPr>
      <w:r>
        <w:rPr>
          <w:rFonts w:hint="eastAsia" w:ascii="宋体" w:hAnsi="宋体" w:cs="宋体"/>
        </w:rPr>
        <w:t xml:space="preserve"> 8.4.1设备生产周期应满足现场施工进度及总体工期要求，各投标人在投标文件中应提出最短供货周期，该周期应不大于1个月。</w:t>
      </w:r>
    </w:p>
    <w:p w14:paraId="728B3F8D">
      <w:pPr>
        <w:spacing w:line="360" w:lineRule="auto"/>
        <w:ind w:firstLine="420" w:firstLineChars="200"/>
        <w:rPr>
          <w:rFonts w:ascii="宋体" w:hAnsi="宋体" w:cs="宋体"/>
        </w:rPr>
      </w:pPr>
      <w:r>
        <w:rPr>
          <w:rFonts w:hint="eastAsia" w:ascii="宋体" w:hAnsi="宋体" w:cs="宋体"/>
        </w:rPr>
        <w:t>8.4.2投标人应保证所提交的设备应在国内外有成熟应用先例的，到场设备应为全新的、未经使用过的，以优质材料制造、以成熟生产工艺生产的合格设备。</w:t>
      </w:r>
    </w:p>
    <w:p w14:paraId="6D5CAD8F">
      <w:pPr>
        <w:spacing w:line="360" w:lineRule="auto"/>
        <w:ind w:firstLine="420" w:firstLineChars="200"/>
        <w:rPr>
          <w:rFonts w:ascii="宋体" w:hAnsi="宋体" w:cs="宋体"/>
        </w:rPr>
      </w:pPr>
      <w:r>
        <w:rPr>
          <w:rFonts w:hint="eastAsia" w:ascii="宋体" w:hAnsi="宋体" w:cs="宋体"/>
        </w:rPr>
        <w:t>8.4.3投标人应保证所提供的设备完全满足本用户需求书的要求，并在各个方面符合合同规定的质量、规格和性能要求。</w:t>
      </w:r>
    </w:p>
    <w:p w14:paraId="7B7F0FD6">
      <w:pPr>
        <w:spacing w:line="360" w:lineRule="auto"/>
        <w:ind w:firstLine="420" w:firstLineChars="200"/>
        <w:rPr>
          <w:rFonts w:ascii="宋体" w:hAnsi="宋体" w:cs="宋体"/>
        </w:rPr>
      </w:pPr>
      <w:r>
        <w:rPr>
          <w:rFonts w:hint="eastAsia" w:ascii="宋体" w:hAnsi="宋体" w:cs="宋体"/>
        </w:rPr>
        <w:t>8.4.4投标人应对提供的设备及其备件的质量负责，无论这些设备和备件是投标人生产的，还是由投标人的外协厂家生产的，外购件出现的质量问题由投标人全权负责解决。</w:t>
      </w:r>
    </w:p>
    <w:p w14:paraId="3CD9A13D">
      <w:pPr>
        <w:spacing w:line="360" w:lineRule="auto"/>
        <w:ind w:firstLine="420" w:firstLineChars="200"/>
        <w:rPr>
          <w:rFonts w:ascii="宋体" w:hAnsi="宋体" w:cs="宋体"/>
        </w:rPr>
      </w:pPr>
      <w:r>
        <w:rPr>
          <w:rFonts w:hint="eastAsia" w:ascii="宋体" w:hAnsi="宋体" w:cs="宋体"/>
        </w:rPr>
        <w:t>8.4.5投标人在投标文件中，应提出所投产品的井道布置图，主要零部件规格，型号及生产厂家。</w:t>
      </w:r>
    </w:p>
    <w:p w14:paraId="323768AB">
      <w:pPr>
        <w:spacing w:line="360" w:lineRule="auto"/>
        <w:ind w:firstLine="420" w:firstLineChars="200"/>
        <w:rPr>
          <w:rFonts w:ascii="宋体" w:hAnsi="宋体" w:cs="宋体"/>
        </w:rPr>
      </w:pPr>
      <w:r>
        <w:rPr>
          <w:rFonts w:hint="eastAsia" w:ascii="宋体" w:hAnsi="宋体" w:cs="宋体"/>
        </w:rPr>
        <w:t>8.4.6投标人应在投标文件中提供质量保证证明文件。</w:t>
      </w:r>
    </w:p>
    <w:p w14:paraId="49E2E2E9">
      <w:pPr>
        <w:spacing w:line="360" w:lineRule="auto"/>
        <w:ind w:firstLine="420" w:firstLineChars="200"/>
        <w:rPr>
          <w:rFonts w:ascii="宋体" w:hAnsi="宋体" w:cs="宋体"/>
        </w:rPr>
      </w:pPr>
      <w:bookmarkStart w:id="58" w:name="_Toc520444707"/>
      <w:r>
        <w:rPr>
          <w:rFonts w:hint="eastAsia" w:ascii="宋体" w:hAnsi="宋体" w:cs="宋体"/>
        </w:rPr>
        <w:t>8.5质量保证</w:t>
      </w:r>
      <w:bookmarkEnd w:id="58"/>
    </w:p>
    <w:p w14:paraId="2F95C42B">
      <w:pPr>
        <w:spacing w:line="360" w:lineRule="auto"/>
        <w:ind w:firstLine="420" w:firstLineChars="200"/>
        <w:rPr>
          <w:rFonts w:ascii="宋体" w:hAnsi="宋体" w:cs="宋体"/>
        </w:rPr>
      </w:pPr>
      <w:r>
        <w:rPr>
          <w:rFonts w:hint="eastAsia" w:ascii="宋体" w:hAnsi="宋体" w:cs="宋体"/>
        </w:rPr>
        <w:t>8.5.1设备系统在免保期内的日常维护、保养：</w:t>
      </w:r>
    </w:p>
    <w:p w14:paraId="1864F4EA">
      <w:pPr>
        <w:spacing w:line="360" w:lineRule="auto"/>
        <w:ind w:firstLine="420" w:firstLineChars="200"/>
        <w:rPr>
          <w:rFonts w:ascii="宋体" w:hAnsi="宋体" w:cs="宋体"/>
        </w:rPr>
      </w:pPr>
      <w:r>
        <w:rPr>
          <w:rFonts w:hint="eastAsia" w:ascii="宋体" w:hAnsi="宋体" w:cs="宋体"/>
        </w:rPr>
        <w:t>8.5.1.1投标人为招标人提供自电梯通过政府验收合格之日起2年的免费保养服务。在免保期内由投标人负责设备系统的维护保养，日常维护保养每两周进行一次，并做好维保记录，双方签字确认。</w:t>
      </w:r>
    </w:p>
    <w:p w14:paraId="3BC2208F">
      <w:pPr>
        <w:spacing w:line="360" w:lineRule="auto"/>
        <w:ind w:firstLine="420" w:firstLineChars="200"/>
        <w:rPr>
          <w:rFonts w:ascii="宋体" w:hAnsi="宋体" w:cs="宋体"/>
        </w:rPr>
      </w:pPr>
      <w:r>
        <w:rPr>
          <w:rFonts w:hint="eastAsia" w:ascii="宋体" w:hAnsi="宋体" w:cs="宋体"/>
        </w:rPr>
        <w:t>8.5.1.2免保期内设备系统日常维护保养工作主要包括：对设备系统进行的清洁、润滑、调整和检查等日常维护或保养性工作。其中清洁、润滑不包括部件的解体，调整只限于不会改变任何安全性能参数的调整。</w:t>
      </w:r>
    </w:p>
    <w:p w14:paraId="41152881">
      <w:pPr>
        <w:spacing w:line="360" w:lineRule="auto"/>
        <w:ind w:firstLine="420" w:firstLineChars="200"/>
        <w:rPr>
          <w:rFonts w:ascii="宋体" w:hAnsi="宋体" w:cs="宋体"/>
        </w:rPr>
      </w:pPr>
      <w:r>
        <w:rPr>
          <w:rFonts w:hint="eastAsia" w:ascii="宋体" w:hAnsi="宋体" w:cs="宋体"/>
        </w:rPr>
        <w:t>8.5.1.3投标人应完成半月、月、季度、半年、年保养项目，并做好维护保养记录。</w:t>
      </w:r>
    </w:p>
    <w:p w14:paraId="7B996052">
      <w:pPr>
        <w:spacing w:line="360" w:lineRule="auto"/>
        <w:ind w:firstLine="420" w:firstLineChars="200"/>
        <w:rPr>
          <w:rFonts w:ascii="宋体" w:hAnsi="宋体" w:cs="宋体"/>
        </w:rPr>
      </w:pPr>
      <w:r>
        <w:rPr>
          <w:rFonts w:hint="eastAsia" w:ascii="宋体" w:hAnsi="宋体" w:cs="宋体"/>
        </w:rPr>
        <w:t>8.5.1.4实施日常维护保养后的电梯应当符合《电梯制造与安装安全规范》（GB7588-2003）的相关规定。</w:t>
      </w:r>
    </w:p>
    <w:p w14:paraId="7BF7E79A">
      <w:pPr>
        <w:spacing w:line="360" w:lineRule="auto"/>
        <w:ind w:firstLine="420" w:firstLineChars="200"/>
        <w:rPr>
          <w:rFonts w:ascii="宋体" w:hAnsi="宋体" w:cs="宋体"/>
        </w:rPr>
      </w:pPr>
      <w:r>
        <w:rPr>
          <w:rFonts w:hint="eastAsia" w:ascii="宋体" w:hAnsi="宋体" w:cs="宋体"/>
        </w:rPr>
        <w:t>8.5.1.5应在本工程现场派驻不少于2人的维护保养队伍。</w:t>
      </w:r>
    </w:p>
    <w:p w14:paraId="42EB6D22">
      <w:pPr>
        <w:spacing w:line="360" w:lineRule="auto"/>
        <w:ind w:firstLine="420" w:firstLineChars="200"/>
        <w:rPr>
          <w:rFonts w:ascii="宋体" w:hAnsi="宋体" w:cs="宋体"/>
        </w:rPr>
      </w:pPr>
      <w:r>
        <w:rPr>
          <w:rFonts w:hint="eastAsia" w:ascii="宋体" w:hAnsi="宋体" w:cs="宋体"/>
        </w:rPr>
        <w:t>8.5.1.6免保期内投标人应提供原厂的可更换配件。</w:t>
      </w:r>
    </w:p>
    <w:p w14:paraId="196488E7">
      <w:pPr>
        <w:spacing w:line="360" w:lineRule="auto"/>
        <w:ind w:firstLine="420" w:firstLineChars="200"/>
        <w:rPr>
          <w:rFonts w:ascii="宋体" w:hAnsi="宋体" w:cs="宋体"/>
        </w:rPr>
      </w:pPr>
      <w:r>
        <w:rPr>
          <w:rFonts w:hint="eastAsia" w:ascii="宋体" w:hAnsi="宋体" w:cs="宋体"/>
        </w:rPr>
        <w:t xml:space="preserve">除上述要求外，投标人应在1年免保期内免费提供如下服务： </w:t>
      </w:r>
    </w:p>
    <w:p w14:paraId="2512609C">
      <w:pPr>
        <w:spacing w:line="360" w:lineRule="auto"/>
        <w:ind w:firstLine="420" w:firstLineChars="200"/>
        <w:rPr>
          <w:rFonts w:ascii="宋体" w:hAnsi="宋体" w:cs="宋体"/>
        </w:rPr>
      </w:pPr>
      <w:r>
        <w:rPr>
          <w:rFonts w:hint="eastAsia" w:ascii="宋体" w:hAnsi="宋体" w:cs="宋体"/>
        </w:rPr>
        <w:t>维保计划。投标人应在中标后2个月内或首台电梯完成验收移交招标人员之前，提交一份维保计划书供招标人审核，其内容应包括，但不限于以下：</w:t>
      </w:r>
    </w:p>
    <w:p w14:paraId="4DCD2238">
      <w:pPr>
        <w:spacing w:line="360" w:lineRule="auto"/>
        <w:ind w:firstLine="420" w:firstLineChars="200"/>
        <w:rPr>
          <w:rFonts w:ascii="宋体" w:hAnsi="宋体" w:cs="宋体"/>
        </w:rPr>
      </w:pPr>
      <w:r>
        <w:rPr>
          <w:rFonts w:hint="eastAsia" w:ascii="宋体" w:hAnsi="宋体" w:cs="宋体"/>
        </w:rPr>
        <w:t>1)维修队伍的组成及运作、人员、派班安排、地点、通讯设施、应急预案、紧急服务报告中心、备件及特别工具的预备及安排等，</w:t>
      </w:r>
    </w:p>
    <w:p w14:paraId="62F37033">
      <w:pPr>
        <w:spacing w:line="360" w:lineRule="auto"/>
        <w:ind w:firstLine="420" w:firstLineChars="200"/>
        <w:rPr>
          <w:rFonts w:ascii="宋体" w:hAnsi="宋体" w:cs="宋体"/>
        </w:rPr>
      </w:pPr>
      <w:r>
        <w:rPr>
          <w:rFonts w:hint="eastAsia" w:ascii="宋体" w:hAnsi="宋体" w:cs="宋体"/>
        </w:rPr>
        <w:t>2)定修及临修计划；</w:t>
      </w:r>
    </w:p>
    <w:p w14:paraId="02294507">
      <w:pPr>
        <w:spacing w:line="360" w:lineRule="auto"/>
        <w:ind w:firstLine="420" w:firstLineChars="200"/>
        <w:rPr>
          <w:rFonts w:ascii="宋体" w:hAnsi="宋体" w:cs="宋体"/>
        </w:rPr>
      </w:pPr>
      <w:r>
        <w:rPr>
          <w:rFonts w:hint="eastAsia" w:ascii="宋体" w:hAnsi="宋体" w:cs="宋体"/>
        </w:rPr>
        <w:t>3)维护方案；</w:t>
      </w:r>
    </w:p>
    <w:p w14:paraId="262D5504">
      <w:pPr>
        <w:spacing w:line="360" w:lineRule="auto"/>
        <w:ind w:firstLine="420" w:firstLineChars="200"/>
        <w:rPr>
          <w:rFonts w:ascii="宋体" w:hAnsi="宋体" w:cs="宋体"/>
        </w:rPr>
      </w:pPr>
      <w:r>
        <w:rPr>
          <w:rFonts w:hint="eastAsia" w:ascii="宋体" w:hAnsi="宋体" w:cs="宋体"/>
        </w:rPr>
        <w:t>4)可换部件描述；</w:t>
      </w:r>
    </w:p>
    <w:p w14:paraId="0F831B90">
      <w:pPr>
        <w:spacing w:line="360" w:lineRule="auto"/>
        <w:ind w:firstLine="420" w:firstLineChars="200"/>
        <w:rPr>
          <w:rFonts w:ascii="宋体" w:hAnsi="宋体" w:cs="宋体"/>
        </w:rPr>
      </w:pPr>
      <w:r>
        <w:rPr>
          <w:rFonts w:hint="eastAsia" w:ascii="宋体" w:hAnsi="宋体" w:cs="宋体"/>
        </w:rPr>
        <w:t>5)故障分析、测试设备及程序。</w:t>
      </w:r>
    </w:p>
    <w:p w14:paraId="03F44DC8">
      <w:pPr>
        <w:spacing w:line="360" w:lineRule="auto"/>
        <w:ind w:firstLine="420" w:firstLineChars="200"/>
        <w:rPr>
          <w:rFonts w:ascii="宋体" w:hAnsi="宋体" w:cs="宋体"/>
        </w:rPr>
      </w:pPr>
      <w:r>
        <w:rPr>
          <w:rFonts w:hint="eastAsia" w:ascii="宋体" w:hAnsi="宋体" w:cs="宋体"/>
        </w:rPr>
        <w:t>维保计划应符合天津市相关规范标准要求。</w:t>
      </w:r>
    </w:p>
    <w:p w14:paraId="40C381F9">
      <w:pPr>
        <w:spacing w:line="360" w:lineRule="auto"/>
        <w:ind w:firstLine="420" w:firstLineChars="200"/>
        <w:rPr>
          <w:rFonts w:ascii="宋体" w:hAnsi="宋体" w:cs="宋体"/>
        </w:rPr>
      </w:pPr>
      <w:r>
        <w:rPr>
          <w:rFonts w:hint="eastAsia" w:ascii="宋体" w:hAnsi="宋体" w:cs="宋体"/>
        </w:rPr>
        <w:t>维保计划的批准不能豁免投标人在合约上有关维护需负的责任。</w:t>
      </w:r>
    </w:p>
    <w:p w14:paraId="0F5EFDFF">
      <w:pPr>
        <w:spacing w:line="360" w:lineRule="auto"/>
        <w:ind w:firstLine="420" w:firstLineChars="200"/>
        <w:rPr>
          <w:rFonts w:ascii="宋体" w:hAnsi="宋体" w:cs="宋体"/>
        </w:rPr>
      </w:pPr>
      <w:r>
        <w:rPr>
          <w:rFonts w:hint="eastAsia" w:ascii="宋体" w:hAnsi="宋体" w:cs="宋体"/>
        </w:rPr>
        <w:t>维保计划内容应参考招标人和最终使用单位的维护策略，务求计划符合招标人和最终使用单位的维护需要。</w:t>
      </w:r>
    </w:p>
    <w:p w14:paraId="2460963C">
      <w:pPr>
        <w:spacing w:line="360" w:lineRule="auto"/>
        <w:ind w:firstLine="420" w:firstLineChars="200"/>
        <w:rPr>
          <w:rFonts w:ascii="宋体" w:hAnsi="宋体" w:cs="宋体"/>
        </w:rPr>
      </w:pPr>
      <w:r>
        <w:rPr>
          <w:rFonts w:hint="eastAsia" w:ascii="宋体" w:hAnsi="宋体" w:cs="宋体"/>
        </w:rPr>
        <w:t>投标人应提供足够的合格技术人员处理任何故障。修复任何故障必须是连续地进行，直至电梯恢复正常为止。投标人应确保维保人员具备专业资质，需事先将维保人员资料提交招标人审核，现场作业人员不得少于两人，且应当取得相应的《特种设备作业人员证》。现场作业中投标人应当负责落实现场安全防护措施，保证作业安全。</w:t>
      </w:r>
    </w:p>
    <w:p w14:paraId="653F65FB">
      <w:pPr>
        <w:spacing w:line="360" w:lineRule="auto"/>
        <w:ind w:firstLine="420" w:firstLineChars="200"/>
        <w:rPr>
          <w:rFonts w:ascii="宋体" w:hAnsi="宋体" w:cs="宋体"/>
        </w:rPr>
      </w:pPr>
      <w:r>
        <w:rPr>
          <w:rFonts w:hint="eastAsia" w:ascii="宋体" w:hAnsi="宋体" w:cs="宋体"/>
        </w:rPr>
        <w:t>投标人应出席由招标人或最终的运营单位主持的维护服务会议，此会议根据招标人实际需求进行。</w:t>
      </w:r>
    </w:p>
    <w:p w14:paraId="2CF87B62">
      <w:pPr>
        <w:spacing w:line="360" w:lineRule="auto"/>
        <w:ind w:firstLine="420" w:firstLineChars="200"/>
        <w:rPr>
          <w:rFonts w:ascii="宋体" w:hAnsi="宋体" w:cs="宋体"/>
        </w:rPr>
      </w:pPr>
      <w:r>
        <w:rPr>
          <w:rFonts w:hint="eastAsia" w:ascii="宋体" w:hAnsi="宋体" w:cs="宋体"/>
        </w:rPr>
        <w:t>投标人应在每次维保工作后负责清理现场的物料、垃圾及剩余物资等，保持工作地点整洁。</w:t>
      </w:r>
    </w:p>
    <w:p w14:paraId="35F6F4AA">
      <w:pPr>
        <w:spacing w:line="360" w:lineRule="auto"/>
        <w:ind w:firstLine="420" w:firstLineChars="200"/>
        <w:rPr>
          <w:rFonts w:ascii="宋体" w:hAnsi="宋体" w:cs="宋体"/>
        </w:rPr>
      </w:pPr>
      <w:r>
        <w:rPr>
          <w:rFonts w:hint="eastAsia" w:ascii="宋体" w:hAnsi="宋体" w:cs="宋体"/>
        </w:rPr>
        <w:t>投标人应对所维护保养电梯的安全运行负责，保障设备整机及零部件完整无损。</w:t>
      </w:r>
    </w:p>
    <w:p w14:paraId="474276FA">
      <w:pPr>
        <w:spacing w:line="360" w:lineRule="auto"/>
        <w:ind w:firstLine="420" w:firstLineChars="200"/>
        <w:rPr>
          <w:rFonts w:ascii="宋体" w:hAnsi="宋体" w:cs="宋体"/>
        </w:rPr>
      </w:pPr>
      <w:r>
        <w:rPr>
          <w:rFonts w:hint="eastAsia" w:ascii="宋体" w:hAnsi="宋体" w:cs="宋体"/>
        </w:rPr>
        <w:t>投标人应建立回访制度（包括工作人员服务态度、维修质量、是否按照规定实施维护保养等）。</w:t>
      </w:r>
    </w:p>
    <w:p w14:paraId="0774EA32">
      <w:pPr>
        <w:spacing w:line="360" w:lineRule="auto"/>
        <w:ind w:firstLine="420" w:firstLineChars="200"/>
        <w:rPr>
          <w:rFonts w:ascii="宋体" w:hAnsi="宋体" w:cs="宋体"/>
        </w:rPr>
      </w:pPr>
      <w:r>
        <w:rPr>
          <w:rFonts w:hint="eastAsia" w:ascii="宋体" w:hAnsi="宋体" w:cs="宋体"/>
        </w:rPr>
        <w:t>投标人的维保人员应遵守招标人所制定的运营安全作业程序并自备所需的作业工具、辅料及安全设备。</w:t>
      </w:r>
    </w:p>
    <w:p w14:paraId="55B17957">
      <w:pPr>
        <w:spacing w:line="360" w:lineRule="auto"/>
        <w:ind w:firstLine="420" w:firstLineChars="200"/>
        <w:rPr>
          <w:rFonts w:ascii="宋体" w:hAnsi="宋体" w:cs="宋体"/>
        </w:rPr>
      </w:pPr>
      <w:r>
        <w:rPr>
          <w:rFonts w:hint="eastAsia" w:ascii="宋体" w:hAnsi="宋体" w:cs="宋体"/>
        </w:rPr>
        <w:t>投标人应保证设备在正常使用条件（正确安装、合理操作和维护保养）下，在设备寿命期内运转良好和达到招标文件所规定的使用年限。</w:t>
      </w:r>
    </w:p>
    <w:p w14:paraId="5ADBE163">
      <w:pPr>
        <w:spacing w:line="360" w:lineRule="auto"/>
        <w:ind w:firstLine="420" w:firstLineChars="200"/>
        <w:rPr>
          <w:rFonts w:ascii="宋体" w:hAnsi="宋体" w:cs="宋体"/>
        </w:rPr>
      </w:pPr>
      <w:r>
        <w:rPr>
          <w:rFonts w:hint="eastAsia" w:ascii="宋体" w:hAnsi="宋体" w:cs="宋体"/>
        </w:rPr>
        <w:t>投标人负责设备运行后免保期内的年检工作，并取得技监局颁发的合格证。年检费用由招标人负责。</w:t>
      </w:r>
    </w:p>
    <w:p w14:paraId="48A1D3E3">
      <w:pPr>
        <w:spacing w:line="360" w:lineRule="auto"/>
        <w:ind w:firstLine="420" w:firstLineChars="200"/>
        <w:rPr>
          <w:rFonts w:ascii="宋体" w:hAnsi="宋体" w:cs="宋体"/>
        </w:rPr>
      </w:pPr>
      <w:r>
        <w:rPr>
          <w:rFonts w:hint="eastAsia" w:ascii="宋体" w:hAnsi="宋体" w:cs="宋体"/>
        </w:rPr>
        <w:t>8.5.2其他</w:t>
      </w:r>
    </w:p>
    <w:p w14:paraId="0906649E">
      <w:pPr>
        <w:spacing w:line="360" w:lineRule="auto"/>
        <w:ind w:firstLine="420" w:firstLineChars="200"/>
        <w:rPr>
          <w:rFonts w:ascii="宋体" w:hAnsi="宋体" w:cs="宋体"/>
        </w:rPr>
      </w:pPr>
      <w:r>
        <w:rPr>
          <w:rFonts w:hint="eastAsia" w:ascii="宋体" w:hAnsi="宋体" w:cs="宋体"/>
        </w:rPr>
        <w:t>投标人应对质量保证、售后服务做出承诺。</w:t>
      </w:r>
    </w:p>
    <w:p w14:paraId="6490246B">
      <w:pPr>
        <w:spacing w:line="360" w:lineRule="auto"/>
        <w:ind w:firstLine="420" w:firstLineChars="200"/>
        <w:rPr>
          <w:rFonts w:ascii="宋体" w:hAnsi="宋体" w:cs="宋体"/>
        </w:rPr>
      </w:pPr>
      <w:r>
        <w:rPr>
          <w:rFonts w:hint="eastAsia" w:ascii="宋体" w:hAnsi="宋体" w:cs="宋体"/>
        </w:rPr>
        <w:t>免保期内的维修、保养的易损件及辅料费由投标人负责（正常损坏的配件）。</w:t>
      </w:r>
    </w:p>
    <w:p w14:paraId="1589637A">
      <w:pPr>
        <w:spacing w:line="360" w:lineRule="auto"/>
        <w:ind w:firstLine="422" w:firstLineChars="200"/>
        <w:rPr>
          <w:rFonts w:ascii="宋体" w:hAnsi="宋体" w:cs="宋体"/>
        </w:rPr>
      </w:pPr>
      <w:bookmarkStart w:id="59" w:name="_Toc520444708"/>
      <w:r>
        <w:rPr>
          <w:rFonts w:hint="eastAsia" w:ascii="宋体" w:hAnsi="宋体" w:cs="宋体"/>
          <w:b/>
          <w:bCs/>
        </w:rPr>
        <w:t>9、调试与验收</w:t>
      </w:r>
      <w:bookmarkEnd w:id="59"/>
    </w:p>
    <w:p w14:paraId="3EAEB8EE">
      <w:pPr>
        <w:spacing w:line="360" w:lineRule="auto"/>
        <w:ind w:firstLine="420" w:firstLineChars="200"/>
        <w:rPr>
          <w:rFonts w:ascii="宋体" w:hAnsi="宋体" w:cs="宋体"/>
        </w:rPr>
      </w:pPr>
      <w:bookmarkStart w:id="60" w:name="_Toc520444709"/>
      <w:r>
        <w:rPr>
          <w:rFonts w:hint="eastAsia" w:ascii="宋体" w:hAnsi="宋体" w:cs="宋体"/>
        </w:rPr>
        <w:t>9.1调试</w:t>
      </w:r>
      <w:bookmarkEnd w:id="60"/>
    </w:p>
    <w:p w14:paraId="122C354D">
      <w:pPr>
        <w:spacing w:line="360" w:lineRule="auto"/>
        <w:ind w:firstLine="420" w:firstLineChars="200"/>
        <w:rPr>
          <w:rFonts w:ascii="宋体" w:hAnsi="宋体" w:cs="宋体"/>
        </w:rPr>
      </w:pPr>
      <w:r>
        <w:rPr>
          <w:rFonts w:hint="eastAsia" w:ascii="宋体" w:hAnsi="宋体" w:cs="宋体"/>
        </w:rPr>
        <w:t>投标人有责任完成所有合同设备的安装、调试，并对安装质量进行检验，以确保合同设备的安装符合有关的规范及投标人提供的安装手册和安装图的要求。投标人负责解决调试、检验过程中的技术问题。</w:t>
      </w:r>
    </w:p>
    <w:p w14:paraId="6DB8E725">
      <w:pPr>
        <w:spacing w:line="360" w:lineRule="auto"/>
        <w:ind w:firstLine="420" w:firstLineChars="200"/>
        <w:rPr>
          <w:rFonts w:ascii="宋体" w:hAnsi="宋体" w:cs="宋体"/>
        </w:rPr>
      </w:pPr>
      <w:r>
        <w:rPr>
          <w:rFonts w:hint="eastAsia" w:ascii="宋体" w:hAnsi="宋体" w:cs="宋体"/>
        </w:rPr>
        <w:t>投标人应在设备初次上电调试前对设备的安装质量进行检查，确保上电后的设备安全。</w:t>
      </w:r>
    </w:p>
    <w:p w14:paraId="4F7A5092">
      <w:pPr>
        <w:spacing w:line="360" w:lineRule="auto"/>
        <w:ind w:firstLine="420" w:firstLineChars="200"/>
        <w:rPr>
          <w:rFonts w:ascii="宋体" w:hAnsi="宋体" w:cs="宋体"/>
        </w:rPr>
      </w:pPr>
      <w:r>
        <w:rPr>
          <w:rFonts w:hint="eastAsia" w:ascii="宋体" w:hAnsi="宋体" w:cs="宋体"/>
        </w:rPr>
        <w:t>9.1.1单体调试</w:t>
      </w:r>
    </w:p>
    <w:p w14:paraId="75E709B2">
      <w:pPr>
        <w:spacing w:line="360" w:lineRule="auto"/>
        <w:ind w:firstLine="420" w:firstLineChars="200"/>
        <w:rPr>
          <w:rFonts w:ascii="宋体" w:hAnsi="宋体" w:cs="宋体"/>
        </w:rPr>
      </w:pPr>
      <w:r>
        <w:rPr>
          <w:rFonts w:hint="eastAsia" w:ascii="宋体" w:hAnsi="宋体" w:cs="宋体"/>
        </w:rPr>
        <w:t>调试由投标人按照程序进行，用以验证设备运输、安装之后是否有损坏、运行是否正常，调试应包含系统所有设备及招标要求的所有功能。</w:t>
      </w:r>
    </w:p>
    <w:p w14:paraId="559B9113">
      <w:pPr>
        <w:spacing w:line="360" w:lineRule="auto"/>
        <w:ind w:firstLine="420" w:firstLineChars="200"/>
        <w:rPr>
          <w:rFonts w:ascii="宋体" w:hAnsi="宋体" w:cs="宋体"/>
        </w:rPr>
      </w:pPr>
      <w:r>
        <w:rPr>
          <w:rFonts w:hint="eastAsia" w:ascii="宋体" w:hAnsi="宋体" w:cs="宋体"/>
        </w:rPr>
        <w:t>投标人负责现场调试的实施，并应按照招标人的总工期要求，提出调试内容、调试计划。现场调试包括但不限于以下试验内容：</w:t>
      </w:r>
    </w:p>
    <w:p w14:paraId="2CBAAF8E">
      <w:pPr>
        <w:spacing w:line="360" w:lineRule="auto"/>
        <w:ind w:firstLine="420" w:firstLineChars="200"/>
        <w:rPr>
          <w:rFonts w:ascii="宋体" w:hAnsi="宋体" w:cs="宋体"/>
        </w:rPr>
      </w:pPr>
      <w:r>
        <w:rPr>
          <w:rFonts w:hint="eastAsia" w:ascii="宋体" w:hAnsi="宋体" w:cs="宋体"/>
        </w:rPr>
        <w:t>1)通电试验，检验设备是否在工作状态；</w:t>
      </w:r>
    </w:p>
    <w:p w14:paraId="215D71E8">
      <w:pPr>
        <w:spacing w:line="360" w:lineRule="auto"/>
        <w:ind w:firstLine="420" w:firstLineChars="200"/>
        <w:rPr>
          <w:rFonts w:ascii="宋体" w:hAnsi="宋体" w:cs="宋体"/>
        </w:rPr>
      </w:pPr>
      <w:r>
        <w:rPr>
          <w:rFonts w:hint="eastAsia" w:ascii="宋体" w:hAnsi="宋体" w:cs="宋体"/>
        </w:rPr>
        <w:t>2)国家相关规范标准对本设备系统的检测要求；</w:t>
      </w:r>
    </w:p>
    <w:p w14:paraId="114C3DC9">
      <w:pPr>
        <w:spacing w:line="360" w:lineRule="auto"/>
        <w:ind w:firstLine="420" w:firstLineChars="200"/>
        <w:rPr>
          <w:rFonts w:ascii="宋体" w:hAnsi="宋体" w:cs="宋体"/>
        </w:rPr>
      </w:pPr>
      <w:r>
        <w:rPr>
          <w:rFonts w:hint="eastAsia" w:ascii="宋体" w:hAnsi="宋体" w:cs="宋体"/>
        </w:rPr>
        <w:t>3)设备的功能调试；</w:t>
      </w:r>
    </w:p>
    <w:p w14:paraId="2B075494">
      <w:pPr>
        <w:spacing w:line="360" w:lineRule="auto"/>
        <w:ind w:firstLine="420" w:firstLineChars="200"/>
        <w:rPr>
          <w:rFonts w:ascii="宋体" w:hAnsi="宋体" w:cs="宋体"/>
        </w:rPr>
      </w:pPr>
      <w:r>
        <w:rPr>
          <w:rFonts w:hint="eastAsia" w:ascii="宋体" w:hAnsi="宋体" w:cs="宋体"/>
        </w:rPr>
        <w:t>4)现场运行试验。</w:t>
      </w:r>
    </w:p>
    <w:p w14:paraId="2DB1E1F2">
      <w:pPr>
        <w:spacing w:line="360" w:lineRule="auto"/>
        <w:ind w:firstLine="420" w:firstLineChars="200"/>
        <w:rPr>
          <w:rFonts w:ascii="宋体" w:hAnsi="宋体" w:cs="宋体"/>
        </w:rPr>
      </w:pPr>
      <w:r>
        <w:rPr>
          <w:rFonts w:hint="eastAsia" w:ascii="宋体" w:hAnsi="宋体" w:cs="宋体"/>
        </w:rPr>
        <w:t>任何没有通过试验的设备，将进行整改或更换，并重新进行试验，直到所有设备全部调试合格为止。</w:t>
      </w:r>
    </w:p>
    <w:p w14:paraId="31AC481D">
      <w:pPr>
        <w:spacing w:line="360" w:lineRule="auto"/>
        <w:ind w:firstLine="420" w:firstLineChars="200"/>
        <w:rPr>
          <w:rFonts w:ascii="宋体" w:hAnsi="宋体" w:cs="宋体"/>
        </w:rPr>
      </w:pPr>
      <w:r>
        <w:rPr>
          <w:rFonts w:hint="eastAsia" w:ascii="宋体" w:hAnsi="宋体" w:cs="宋体"/>
        </w:rPr>
        <w:t>所有损坏的设备均由投标人负责更换。</w:t>
      </w:r>
    </w:p>
    <w:p w14:paraId="103C775B">
      <w:pPr>
        <w:spacing w:line="360" w:lineRule="auto"/>
        <w:ind w:firstLine="420" w:firstLineChars="200"/>
        <w:rPr>
          <w:rFonts w:ascii="宋体" w:hAnsi="宋体" w:cs="宋体"/>
        </w:rPr>
      </w:pPr>
      <w:r>
        <w:rPr>
          <w:rFonts w:hint="eastAsia" w:ascii="宋体" w:hAnsi="宋体" w:cs="宋体"/>
        </w:rPr>
        <w:t>9.1.2与其它系统联合调试</w:t>
      </w:r>
    </w:p>
    <w:p w14:paraId="6CD93C44">
      <w:pPr>
        <w:spacing w:line="360" w:lineRule="auto"/>
        <w:ind w:firstLine="420" w:firstLineChars="200"/>
        <w:rPr>
          <w:rFonts w:ascii="宋体" w:hAnsi="宋体" w:cs="宋体"/>
        </w:rPr>
      </w:pPr>
      <w:r>
        <w:rPr>
          <w:rFonts w:hint="eastAsia" w:ascii="宋体" w:hAnsi="宋体" w:cs="宋体"/>
        </w:rPr>
        <w:t>本项目与其它系统的接口功能调试，应包含所有电梯设备及招标要求中接口部分的所有功能。</w:t>
      </w:r>
    </w:p>
    <w:p w14:paraId="6F7D7EC2">
      <w:pPr>
        <w:spacing w:line="360" w:lineRule="auto"/>
        <w:ind w:firstLine="420" w:firstLineChars="200"/>
        <w:rPr>
          <w:rFonts w:ascii="宋体" w:hAnsi="宋体" w:cs="宋体"/>
        </w:rPr>
      </w:pPr>
      <w:r>
        <w:rPr>
          <w:rFonts w:hint="eastAsia" w:ascii="宋体" w:hAnsi="宋体" w:cs="宋体"/>
        </w:rPr>
        <w:t>调试方法是从现场设备上进行功能试验，由此验证系统通信和视频功能。</w:t>
      </w:r>
    </w:p>
    <w:p w14:paraId="6AAC25FC">
      <w:pPr>
        <w:spacing w:line="360" w:lineRule="auto"/>
        <w:ind w:firstLine="420" w:firstLineChars="200"/>
        <w:rPr>
          <w:rFonts w:ascii="宋体" w:hAnsi="宋体" w:cs="宋体"/>
        </w:rPr>
      </w:pPr>
      <w:r>
        <w:rPr>
          <w:rFonts w:hint="eastAsia" w:ascii="宋体" w:hAnsi="宋体" w:cs="宋体"/>
        </w:rPr>
        <w:t>如果出现问题，则解决问题重新进行调试。直到调试成功为止。假如设备出现严重问题，或者出现严重的软件问题，使系统不能正确工作，则投标人负责更换系统主要设备。</w:t>
      </w:r>
    </w:p>
    <w:p w14:paraId="76E09F51">
      <w:pPr>
        <w:spacing w:line="360" w:lineRule="auto"/>
        <w:ind w:firstLine="420" w:firstLineChars="200"/>
        <w:rPr>
          <w:rFonts w:ascii="宋体" w:hAnsi="宋体" w:cs="宋体"/>
        </w:rPr>
      </w:pPr>
      <w:r>
        <w:rPr>
          <w:rFonts w:hint="eastAsia" w:ascii="宋体" w:hAnsi="宋体" w:cs="宋体"/>
        </w:rPr>
        <w:t>9.1.3与其他专业接口测试</w:t>
      </w:r>
    </w:p>
    <w:p w14:paraId="5904030B">
      <w:pPr>
        <w:spacing w:line="360" w:lineRule="auto"/>
        <w:ind w:firstLine="420" w:firstLineChars="200"/>
        <w:rPr>
          <w:rFonts w:ascii="宋体" w:hAnsi="宋体" w:cs="宋体"/>
        </w:rPr>
      </w:pPr>
      <w:r>
        <w:rPr>
          <w:rFonts w:hint="eastAsia" w:ascii="宋体" w:hAnsi="宋体" w:cs="宋体"/>
        </w:rPr>
        <w:t>投标人应根据合同要求完成本系统的所有功能测试。同时需无条件赴招标人指定的地点参加招标人组织的接口模拟测试并按模拟测试的需求提供相关设备、技术文件以及配备足够的技术人员等。投标人搭建平台及参与测试由投标人负责。</w:t>
      </w:r>
    </w:p>
    <w:p w14:paraId="428F388B">
      <w:pPr>
        <w:spacing w:line="360" w:lineRule="auto"/>
        <w:ind w:firstLine="420" w:firstLineChars="200"/>
        <w:rPr>
          <w:rFonts w:ascii="宋体" w:hAnsi="宋体" w:cs="宋体"/>
        </w:rPr>
      </w:pPr>
      <w:r>
        <w:rPr>
          <w:rFonts w:hint="eastAsia" w:ascii="宋体" w:hAnsi="宋体" w:cs="宋体"/>
        </w:rPr>
        <w:t xml:space="preserve">主要内容包括但不限于： </w:t>
      </w:r>
    </w:p>
    <w:p w14:paraId="585A792C">
      <w:pPr>
        <w:spacing w:line="360" w:lineRule="auto"/>
        <w:ind w:firstLine="420" w:firstLineChars="200"/>
        <w:rPr>
          <w:rFonts w:ascii="宋体" w:hAnsi="宋体" w:cs="宋体"/>
        </w:rPr>
      </w:pPr>
      <w:r>
        <w:rPr>
          <w:rFonts w:hint="eastAsia" w:ascii="宋体" w:hAnsi="宋体" w:cs="宋体"/>
        </w:rPr>
        <w:t>系统功能测试；</w:t>
      </w:r>
    </w:p>
    <w:p w14:paraId="743AD5A3">
      <w:pPr>
        <w:spacing w:line="360" w:lineRule="auto"/>
        <w:ind w:firstLine="420" w:firstLineChars="200"/>
        <w:rPr>
          <w:rFonts w:ascii="宋体" w:hAnsi="宋体" w:cs="宋体"/>
        </w:rPr>
      </w:pPr>
      <w:r>
        <w:rPr>
          <w:rFonts w:hint="eastAsia" w:ascii="宋体" w:hAnsi="宋体" w:cs="宋体"/>
        </w:rPr>
        <w:t>接口协议测试；</w:t>
      </w:r>
    </w:p>
    <w:p w14:paraId="513867C9">
      <w:pPr>
        <w:spacing w:line="360" w:lineRule="auto"/>
        <w:ind w:firstLine="420" w:firstLineChars="200"/>
        <w:rPr>
          <w:rFonts w:ascii="宋体" w:hAnsi="宋体" w:cs="宋体"/>
        </w:rPr>
      </w:pPr>
      <w:r>
        <w:rPr>
          <w:rFonts w:hint="eastAsia" w:ascii="宋体" w:hAnsi="宋体" w:cs="宋体"/>
        </w:rPr>
        <w:t>端对端测试；</w:t>
      </w:r>
    </w:p>
    <w:p w14:paraId="6BCE879F">
      <w:pPr>
        <w:spacing w:line="360" w:lineRule="auto"/>
        <w:ind w:firstLine="420" w:firstLineChars="200"/>
        <w:rPr>
          <w:rFonts w:ascii="宋体" w:hAnsi="宋体" w:cs="宋体"/>
        </w:rPr>
      </w:pPr>
      <w:r>
        <w:rPr>
          <w:rFonts w:hint="eastAsia" w:ascii="宋体" w:hAnsi="宋体" w:cs="宋体"/>
        </w:rPr>
        <w:t>100%点对点测试；</w:t>
      </w:r>
    </w:p>
    <w:p w14:paraId="7171DFB3">
      <w:pPr>
        <w:spacing w:line="360" w:lineRule="auto"/>
        <w:ind w:firstLine="420" w:firstLineChars="200"/>
        <w:rPr>
          <w:rFonts w:ascii="宋体" w:hAnsi="宋体" w:cs="宋体"/>
        </w:rPr>
      </w:pPr>
      <w:r>
        <w:rPr>
          <w:rFonts w:hint="eastAsia" w:ascii="宋体" w:hAnsi="宋体" w:cs="宋体"/>
        </w:rPr>
        <w:t>其它接口项目。</w:t>
      </w:r>
    </w:p>
    <w:p w14:paraId="28E4425D">
      <w:pPr>
        <w:spacing w:line="360" w:lineRule="auto"/>
        <w:ind w:firstLine="420" w:firstLineChars="200"/>
        <w:rPr>
          <w:rFonts w:ascii="宋体" w:hAnsi="宋体" w:cs="宋体"/>
        </w:rPr>
      </w:pPr>
      <w:r>
        <w:rPr>
          <w:rFonts w:hint="eastAsia" w:ascii="宋体" w:hAnsi="宋体" w:cs="宋体"/>
        </w:rPr>
        <w:t>具体测试内容及测试方式将在设计联络时确定。</w:t>
      </w:r>
    </w:p>
    <w:p w14:paraId="12110056">
      <w:pPr>
        <w:spacing w:line="360" w:lineRule="auto"/>
        <w:ind w:firstLine="420" w:firstLineChars="200"/>
        <w:rPr>
          <w:rFonts w:ascii="宋体" w:hAnsi="宋体" w:cs="宋体"/>
        </w:rPr>
      </w:pPr>
      <w:bookmarkStart w:id="61" w:name="_Toc520444710"/>
      <w:r>
        <w:rPr>
          <w:rFonts w:hint="eastAsia" w:ascii="宋体" w:hAnsi="宋体" w:cs="宋体"/>
        </w:rPr>
        <w:t>9.2验收</w:t>
      </w:r>
      <w:bookmarkEnd w:id="61"/>
    </w:p>
    <w:p w14:paraId="2ED973E4">
      <w:pPr>
        <w:spacing w:line="360" w:lineRule="auto"/>
        <w:ind w:firstLine="420" w:firstLineChars="200"/>
        <w:rPr>
          <w:rFonts w:ascii="宋体" w:hAnsi="宋体" w:cs="宋体"/>
        </w:rPr>
      </w:pPr>
      <w:r>
        <w:rPr>
          <w:rFonts w:hint="eastAsia" w:ascii="宋体" w:hAnsi="宋体" w:cs="宋体"/>
        </w:rPr>
        <w:t>9.2.1自检</w:t>
      </w:r>
    </w:p>
    <w:p w14:paraId="0AE068D5">
      <w:pPr>
        <w:spacing w:line="360" w:lineRule="auto"/>
        <w:ind w:firstLine="420" w:firstLineChars="200"/>
        <w:rPr>
          <w:rFonts w:ascii="宋体" w:hAnsi="宋体" w:cs="宋体"/>
        </w:rPr>
      </w:pPr>
      <w:r>
        <w:rPr>
          <w:rFonts w:hint="eastAsia" w:ascii="宋体" w:hAnsi="宋体" w:cs="宋体"/>
        </w:rPr>
        <w:t>在安装、调试、检验工作完成后，提交安装自检报告给招标人，此报告一式二份签字确认。</w:t>
      </w:r>
    </w:p>
    <w:p w14:paraId="288D1A65">
      <w:pPr>
        <w:spacing w:line="360" w:lineRule="auto"/>
        <w:ind w:firstLine="420" w:firstLineChars="200"/>
        <w:rPr>
          <w:rFonts w:ascii="宋体" w:hAnsi="宋体" w:cs="宋体"/>
        </w:rPr>
      </w:pPr>
      <w:r>
        <w:rPr>
          <w:rFonts w:hint="eastAsia" w:ascii="宋体" w:hAnsi="宋体" w:cs="宋体"/>
        </w:rPr>
        <w:t>9.2.2厂检</w:t>
      </w:r>
    </w:p>
    <w:p w14:paraId="33DFFA57">
      <w:pPr>
        <w:spacing w:line="360" w:lineRule="auto"/>
        <w:ind w:firstLine="420" w:firstLineChars="200"/>
        <w:rPr>
          <w:rFonts w:ascii="宋体" w:hAnsi="宋体" w:cs="宋体"/>
        </w:rPr>
      </w:pPr>
      <w:r>
        <w:rPr>
          <w:rFonts w:hint="eastAsia" w:ascii="宋体" w:hAnsi="宋体" w:cs="宋体"/>
        </w:rPr>
        <w:t>在设备安装、调试完成后，投标人应提前一周通知设备制造商到现场进行设备检验，使其满足并高于政府验收标准。</w:t>
      </w:r>
    </w:p>
    <w:p w14:paraId="26FF36CC">
      <w:pPr>
        <w:spacing w:line="360" w:lineRule="auto"/>
        <w:ind w:firstLine="420" w:firstLineChars="200"/>
        <w:rPr>
          <w:rFonts w:ascii="宋体" w:hAnsi="宋体" w:cs="宋体"/>
        </w:rPr>
      </w:pPr>
      <w:r>
        <w:rPr>
          <w:rFonts w:hint="eastAsia" w:ascii="宋体" w:hAnsi="宋体" w:cs="宋体"/>
        </w:rPr>
        <w:t>经厂检合格后（若有项目不合格时，投标人应在限期内进行整改并达到合格标准），各方代表签字。</w:t>
      </w:r>
    </w:p>
    <w:p w14:paraId="25AD8C32">
      <w:pPr>
        <w:spacing w:line="360" w:lineRule="auto"/>
        <w:ind w:firstLine="420" w:firstLineChars="200"/>
        <w:rPr>
          <w:rFonts w:ascii="宋体" w:hAnsi="宋体" w:cs="宋体"/>
        </w:rPr>
      </w:pPr>
      <w:r>
        <w:rPr>
          <w:rFonts w:hint="eastAsia" w:ascii="宋体" w:hAnsi="宋体" w:cs="宋体"/>
        </w:rPr>
        <w:t>9.2.3政府验收</w:t>
      </w:r>
    </w:p>
    <w:p w14:paraId="566F863D">
      <w:pPr>
        <w:spacing w:line="360" w:lineRule="auto"/>
        <w:ind w:firstLine="420" w:firstLineChars="200"/>
        <w:rPr>
          <w:rFonts w:ascii="宋体" w:hAnsi="宋体" w:cs="宋体"/>
        </w:rPr>
      </w:pPr>
      <w:r>
        <w:rPr>
          <w:rFonts w:hint="eastAsia" w:ascii="宋体" w:hAnsi="宋体" w:cs="宋体"/>
        </w:rPr>
        <w:t>政府验收指电梯通过了设备厂检，政府质检机构对电梯在投入使用前的检验。由政府质检机构主持，投标人组织并协助，招标人代表参加，根据合同中规定的条款、技术数据、施工图及相关规范标准验收电梯。只有通过检验，并取得政府质检机构签发的检验报告和使用合格证的电梯，招标人才能接受。由投标人负责向政府质检机构报验电梯，并由投标人负责相关费用（包括报验费及取得当地政府质检机构颁发的安全检验合格证所需的费用）。</w:t>
      </w:r>
    </w:p>
    <w:p w14:paraId="2CF9D3C0">
      <w:pPr>
        <w:spacing w:line="360" w:lineRule="auto"/>
        <w:ind w:firstLine="422" w:firstLineChars="200"/>
        <w:rPr>
          <w:rFonts w:ascii="宋体" w:hAnsi="宋体" w:cs="宋体"/>
        </w:rPr>
      </w:pPr>
      <w:bookmarkStart w:id="62" w:name="_Toc520444711"/>
      <w:r>
        <w:rPr>
          <w:rFonts w:hint="eastAsia" w:ascii="宋体" w:hAnsi="宋体" w:cs="宋体"/>
          <w:b/>
          <w:bCs/>
        </w:rPr>
        <w:t>10、项目交接</w:t>
      </w:r>
      <w:bookmarkEnd w:id="62"/>
    </w:p>
    <w:p w14:paraId="2216006E">
      <w:pPr>
        <w:spacing w:line="360" w:lineRule="auto"/>
        <w:ind w:firstLine="420" w:firstLineChars="200"/>
        <w:rPr>
          <w:rFonts w:ascii="宋体" w:hAnsi="宋体" w:cs="宋体"/>
        </w:rPr>
      </w:pPr>
      <w:r>
        <w:rPr>
          <w:rFonts w:hint="eastAsia" w:ascii="宋体" w:hAnsi="宋体" w:cs="宋体"/>
        </w:rPr>
        <w:t>交付使用前投标人应参与并积极配合由使用单位进行的交付验收，完成现场缺陷整改直到验收并交接资料。</w:t>
      </w:r>
    </w:p>
    <w:p w14:paraId="295FBCDC">
      <w:pPr>
        <w:spacing w:line="360" w:lineRule="auto"/>
        <w:ind w:firstLine="422" w:firstLineChars="200"/>
        <w:rPr>
          <w:rFonts w:ascii="宋体" w:hAnsi="宋体" w:cs="宋体"/>
        </w:rPr>
      </w:pPr>
      <w:bookmarkStart w:id="63" w:name="_Toc520444713"/>
      <w:r>
        <w:rPr>
          <w:rFonts w:hint="eastAsia" w:ascii="宋体" w:hAnsi="宋体" w:cs="宋体"/>
          <w:b/>
          <w:bCs/>
        </w:rPr>
        <w:t>11、技术文件</w:t>
      </w:r>
      <w:bookmarkEnd w:id="63"/>
    </w:p>
    <w:p w14:paraId="649CDDAA">
      <w:pPr>
        <w:spacing w:line="360" w:lineRule="auto"/>
        <w:ind w:firstLine="420" w:firstLineChars="200"/>
        <w:rPr>
          <w:rFonts w:ascii="宋体" w:hAnsi="宋体" w:cs="宋体"/>
        </w:rPr>
      </w:pPr>
      <w:bookmarkStart w:id="64" w:name="_Toc520444714"/>
      <w:r>
        <w:rPr>
          <w:rFonts w:hint="eastAsia" w:ascii="宋体" w:hAnsi="宋体" w:cs="宋体"/>
        </w:rPr>
        <w:t>11.1概述</w:t>
      </w:r>
      <w:bookmarkEnd w:id="64"/>
    </w:p>
    <w:p w14:paraId="48EBE1E6">
      <w:pPr>
        <w:spacing w:line="360" w:lineRule="auto"/>
        <w:ind w:firstLine="420" w:firstLineChars="200"/>
        <w:rPr>
          <w:rFonts w:ascii="宋体" w:hAnsi="宋体" w:cs="宋体"/>
        </w:rPr>
      </w:pPr>
      <w:r>
        <w:rPr>
          <w:rFonts w:hint="eastAsia" w:ascii="宋体" w:hAnsi="宋体" w:cs="宋体"/>
        </w:rPr>
        <w:t>投标人对所提供的全部文件资料的正确性、完整性和及时性负完全责任，不因招标人对文件的审查而改变。</w:t>
      </w:r>
    </w:p>
    <w:p w14:paraId="0A613304">
      <w:pPr>
        <w:spacing w:line="360" w:lineRule="auto"/>
        <w:ind w:firstLine="420" w:firstLineChars="200"/>
        <w:rPr>
          <w:rFonts w:ascii="宋体" w:hAnsi="宋体" w:cs="宋体"/>
        </w:rPr>
      </w:pPr>
      <w:r>
        <w:rPr>
          <w:rFonts w:hint="eastAsia" w:ascii="宋体" w:hAnsi="宋体" w:cs="宋体"/>
        </w:rPr>
        <w:t>投标人向招标人提供的图纸、手册、技术文件应充分、广泛和详细地说明设备及其部件的性能、原理、结构和尺寸以及部件的型号、规格和技术参数，使招标人能够实现对设备的操作、检查、修理、试验、调整和维护。</w:t>
      </w:r>
    </w:p>
    <w:p w14:paraId="4BA6FAED">
      <w:pPr>
        <w:spacing w:line="360" w:lineRule="auto"/>
        <w:ind w:firstLine="420" w:firstLineChars="200"/>
        <w:rPr>
          <w:rFonts w:ascii="宋体" w:hAnsi="宋体" w:cs="宋体"/>
        </w:rPr>
      </w:pPr>
      <w:r>
        <w:rPr>
          <w:rFonts w:hint="eastAsia" w:ascii="宋体" w:hAnsi="宋体" w:cs="宋体"/>
        </w:rPr>
        <w:t>投标人提供的图纸、手册和技术文件，产品在国内生产的，必须使用中文；产品由国外分包商生产的，除提供英文版外，还应对主要的图纸、文件提供中英文对照版本，以中文版本为主。</w:t>
      </w:r>
    </w:p>
    <w:p w14:paraId="600BACAF">
      <w:pPr>
        <w:spacing w:line="360" w:lineRule="auto"/>
        <w:ind w:firstLine="420" w:firstLineChars="200"/>
        <w:rPr>
          <w:rFonts w:ascii="宋体" w:hAnsi="宋体" w:cs="宋体"/>
        </w:rPr>
      </w:pPr>
      <w:r>
        <w:rPr>
          <w:rFonts w:hint="eastAsia" w:ascii="宋体" w:hAnsi="宋体" w:cs="宋体"/>
        </w:rPr>
        <w:t>当招标人需要有关设备的技术资料时，投标人必须及时提供。</w:t>
      </w:r>
    </w:p>
    <w:p w14:paraId="0165B222">
      <w:pPr>
        <w:spacing w:line="360" w:lineRule="auto"/>
        <w:ind w:firstLine="420" w:firstLineChars="200"/>
        <w:rPr>
          <w:rFonts w:ascii="宋体" w:hAnsi="宋体" w:cs="宋体"/>
        </w:rPr>
      </w:pPr>
      <w:r>
        <w:rPr>
          <w:rFonts w:hint="eastAsia" w:ascii="宋体" w:hAnsi="宋体" w:cs="宋体"/>
        </w:rPr>
        <w:t>图纸、手册和技术文件在设备设计和制造过程中有更新时，投标人应及时向招标人提供最新的版本。</w:t>
      </w:r>
    </w:p>
    <w:p w14:paraId="5E4F8A41">
      <w:pPr>
        <w:spacing w:line="360" w:lineRule="auto"/>
        <w:ind w:firstLine="420" w:firstLineChars="200"/>
        <w:rPr>
          <w:rFonts w:ascii="宋体" w:hAnsi="宋体" w:cs="宋体"/>
        </w:rPr>
      </w:pPr>
      <w:r>
        <w:rPr>
          <w:rFonts w:hint="eastAsia" w:ascii="宋体" w:hAnsi="宋体" w:cs="宋体"/>
        </w:rPr>
        <w:t>以上仅为基本要求，投标人须无条件满足最终用户的使用需求。</w:t>
      </w:r>
    </w:p>
    <w:p w14:paraId="47FD664C">
      <w:pPr>
        <w:spacing w:line="360" w:lineRule="auto"/>
        <w:ind w:firstLine="420" w:firstLineChars="200"/>
        <w:rPr>
          <w:rFonts w:ascii="宋体" w:hAnsi="宋体" w:cs="宋体"/>
        </w:rPr>
      </w:pPr>
      <w:bookmarkStart w:id="65" w:name="_Toc520444715"/>
      <w:r>
        <w:rPr>
          <w:rFonts w:hint="eastAsia" w:ascii="宋体" w:hAnsi="宋体" w:cs="宋体"/>
        </w:rPr>
        <w:t>11.2图纸</w:t>
      </w:r>
      <w:bookmarkEnd w:id="65"/>
    </w:p>
    <w:p w14:paraId="625C4630">
      <w:pPr>
        <w:spacing w:line="360" w:lineRule="auto"/>
        <w:ind w:firstLine="420" w:firstLineChars="200"/>
        <w:rPr>
          <w:rFonts w:ascii="宋体" w:hAnsi="宋体" w:cs="宋体"/>
        </w:rPr>
      </w:pPr>
      <w:r>
        <w:rPr>
          <w:rFonts w:hint="eastAsia" w:ascii="宋体" w:hAnsi="宋体" w:cs="宋体"/>
        </w:rPr>
        <w:t>投标人必须按规定的格式进行图纸、文件的绘制和编写。</w:t>
      </w:r>
    </w:p>
    <w:p w14:paraId="15476AFF">
      <w:pPr>
        <w:spacing w:line="360" w:lineRule="auto"/>
        <w:ind w:firstLine="420" w:firstLineChars="200"/>
        <w:rPr>
          <w:rFonts w:ascii="宋体" w:hAnsi="宋体" w:cs="宋体"/>
        </w:rPr>
      </w:pPr>
      <w:r>
        <w:rPr>
          <w:rFonts w:hint="eastAsia" w:ascii="宋体" w:hAnsi="宋体" w:cs="宋体"/>
        </w:rPr>
        <w:t>投标人须在电梯验收合格后1周内向招标人提供所需的全套技术文件。文件应包含但不少于以下内容：</w:t>
      </w:r>
    </w:p>
    <w:p w14:paraId="12A8D860">
      <w:pPr>
        <w:spacing w:line="360" w:lineRule="auto"/>
        <w:ind w:firstLine="420" w:firstLineChars="200"/>
        <w:rPr>
          <w:rFonts w:ascii="宋体" w:hAnsi="宋体" w:cs="宋体"/>
        </w:rPr>
      </w:pPr>
      <w:r>
        <w:rPr>
          <w:rFonts w:hint="eastAsia" w:ascii="宋体" w:hAnsi="宋体" w:cs="宋体"/>
        </w:rPr>
        <w:t>1)整机合格证及型式实验报告等</w:t>
      </w:r>
    </w:p>
    <w:p w14:paraId="7416369E">
      <w:pPr>
        <w:spacing w:line="360" w:lineRule="auto"/>
        <w:ind w:firstLine="420" w:firstLineChars="200"/>
        <w:rPr>
          <w:rFonts w:ascii="宋体" w:hAnsi="宋体" w:cs="宋体"/>
        </w:rPr>
      </w:pPr>
      <w:r>
        <w:rPr>
          <w:rFonts w:hint="eastAsia" w:ascii="宋体" w:hAnsi="宋体" w:cs="宋体"/>
        </w:rPr>
        <w:t>2)电气原理图、接线图等</w:t>
      </w:r>
    </w:p>
    <w:p w14:paraId="34573460">
      <w:pPr>
        <w:spacing w:line="360" w:lineRule="auto"/>
        <w:ind w:firstLine="420" w:firstLineChars="200"/>
        <w:rPr>
          <w:rFonts w:ascii="宋体" w:hAnsi="宋体" w:cs="宋体"/>
        </w:rPr>
      </w:pPr>
      <w:bookmarkStart w:id="66" w:name="_Toc520444716"/>
      <w:r>
        <w:rPr>
          <w:rFonts w:hint="eastAsia" w:ascii="宋体" w:hAnsi="宋体" w:cs="宋体"/>
        </w:rPr>
        <w:t>11.3手册</w:t>
      </w:r>
      <w:bookmarkEnd w:id="66"/>
    </w:p>
    <w:p w14:paraId="2B9CE790">
      <w:pPr>
        <w:spacing w:line="360" w:lineRule="auto"/>
        <w:ind w:firstLine="420" w:firstLineChars="200"/>
        <w:rPr>
          <w:rFonts w:ascii="宋体" w:hAnsi="宋体" w:cs="宋体"/>
        </w:rPr>
      </w:pPr>
      <w:r>
        <w:rPr>
          <w:rFonts w:hint="eastAsia" w:ascii="宋体" w:hAnsi="宋体" w:cs="宋体"/>
        </w:rPr>
        <w:t>投标人提供的手册包括如下，但不限于此：</w:t>
      </w:r>
    </w:p>
    <w:p w14:paraId="512AA7AC">
      <w:pPr>
        <w:spacing w:line="360" w:lineRule="auto"/>
        <w:ind w:firstLine="420" w:firstLineChars="200"/>
        <w:rPr>
          <w:rFonts w:ascii="宋体" w:hAnsi="宋体" w:cs="宋体"/>
        </w:rPr>
      </w:pPr>
      <w:r>
        <w:rPr>
          <w:rFonts w:hint="eastAsia" w:ascii="宋体" w:hAnsi="宋体" w:cs="宋体"/>
        </w:rPr>
        <w:t>安装手册；</w:t>
      </w:r>
    </w:p>
    <w:p w14:paraId="4CEB7662">
      <w:pPr>
        <w:spacing w:line="360" w:lineRule="auto"/>
        <w:ind w:firstLine="420" w:firstLineChars="200"/>
        <w:rPr>
          <w:rFonts w:ascii="宋体" w:hAnsi="宋体" w:cs="宋体"/>
        </w:rPr>
      </w:pPr>
      <w:r>
        <w:rPr>
          <w:rFonts w:hint="eastAsia" w:ascii="宋体" w:hAnsi="宋体" w:cs="宋体"/>
        </w:rPr>
        <w:t>操作与维修手册；</w:t>
      </w:r>
    </w:p>
    <w:p w14:paraId="77CAB490">
      <w:pPr>
        <w:spacing w:line="360" w:lineRule="auto"/>
        <w:ind w:firstLine="420" w:firstLineChars="200"/>
        <w:rPr>
          <w:rFonts w:ascii="宋体" w:hAnsi="宋体" w:cs="宋体"/>
        </w:rPr>
      </w:pPr>
      <w:r>
        <w:rPr>
          <w:rFonts w:hint="eastAsia" w:ascii="宋体" w:hAnsi="宋体" w:cs="宋体"/>
        </w:rPr>
        <w:t>手册对设备各级检修的内容、要求、方法、程序、设备、工具、材料等，以及对主要部件的更换、调整和测试，均应做出详细的说明。为了清楚地描述检修的内容和要求，手册应使用插图说明。</w:t>
      </w:r>
    </w:p>
    <w:p w14:paraId="6AD32778">
      <w:pPr>
        <w:spacing w:line="360" w:lineRule="auto"/>
        <w:ind w:firstLine="420" w:firstLineChars="200"/>
        <w:rPr>
          <w:rFonts w:ascii="宋体" w:hAnsi="宋体" w:cs="宋体"/>
        </w:rPr>
      </w:pPr>
      <w:bookmarkStart w:id="67" w:name="_Toc520444720"/>
      <w:r>
        <w:rPr>
          <w:rFonts w:hint="eastAsia" w:ascii="宋体" w:hAnsi="宋体" w:cs="宋体"/>
        </w:rPr>
        <w:t>11.4文件确认</w:t>
      </w:r>
      <w:bookmarkEnd w:id="67"/>
    </w:p>
    <w:p w14:paraId="6DBFB569">
      <w:pPr>
        <w:spacing w:line="360" w:lineRule="auto"/>
        <w:ind w:firstLine="420" w:firstLineChars="200"/>
        <w:rPr>
          <w:rFonts w:ascii="宋体" w:hAnsi="宋体" w:cs="宋体"/>
        </w:rPr>
      </w:pPr>
      <w:r>
        <w:rPr>
          <w:rFonts w:hint="eastAsia" w:ascii="宋体" w:hAnsi="宋体" w:cs="宋体"/>
        </w:rPr>
        <w:t>在合同执行的各阶段中，合同双方递交的技术文件应通过正规渠道递送，并互相签字确认。</w:t>
      </w:r>
    </w:p>
    <w:p w14:paraId="5045243F">
      <w:pPr>
        <w:spacing w:line="360" w:lineRule="auto"/>
        <w:ind w:firstLine="420" w:firstLineChars="200"/>
        <w:rPr>
          <w:rFonts w:ascii="宋体" w:hAnsi="宋体" w:cs="宋体"/>
        </w:rPr>
      </w:pPr>
      <w:r>
        <w:rPr>
          <w:rFonts w:hint="eastAsia" w:ascii="宋体" w:hAnsi="宋体" w:cs="宋体"/>
        </w:rPr>
        <w:t>投标人用于生产的手册和技术文件，应是经过招标人的审核、确认的图纸。招标人确认后，在图纸加盖确认章，该章仅表明招标人已同意投标人按图生产，但设备的技术性能和质量仍由投标人负责。</w:t>
      </w:r>
    </w:p>
    <w:p w14:paraId="76FCE6EB">
      <w:pPr>
        <w:spacing w:line="360" w:lineRule="auto"/>
        <w:ind w:firstLine="420" w:firstLineChars="200"/>
        <w:rPr>
          <w:rFonts w:ascii="宋体" w:hAnsi="宋体" w:cs="宋体"/>
        </w:rPr>
      </w:pPr>
      <w:r>
        <w:rPr>
          <w:rFonts w:hint="eastAsia" w:ascii="宋体" w:hAnsi="宋体" w:cs="宋体"/>
        </w:rPr>
        <w:t>如果图纸经过确认，投标人未经招标人认可，不按图生产，招标人有权拒绝接收产品。</w:t>
      </w:r>
    </w:p>
    <w:p w14:paraId="55865153">
      <w:pPr>
        <w:spacing w:line="360" w:lineRule="auto"/>
        <w:ind w:firstLine="420" w:firstLineChars="200"/>
        <w:rPr>
          <w:rFonts w:ascii="宋体" w:hAnsi="宋体" w:cs="宋体"/>
        </w:rPr>
      </w:pPr>
      <w:r>
        <w:rPr>
          <w:rFonts w:hint="eastAsia" w:ascii="宋体" w:hAnsi="宋体" w:cs="宋体"/>
        </w:rPr>
        <w:t>图纸审查和确认的具体范围、时间和程序，由双方讨论决定。</w:t>
      </w:r>
    </w:p>
    <w:p w14:paraId="1B69BC81">
      <w:pPr>
        <w:spacing w:line="360" w:lineRule="auto"/>
        <w:ind w:firstLine="420" w:firstLineChars="200"/>
        <w:rPr>
          <w:rFonts w:ascii="宋体" w:hAnsi="宋体" w:cs="宋体"/>
        </w:rPr>
      </w:pPr>
      <w:bookmarkStart w:id="68" w:name="_Toc520444721"/>
      <w:r>
        <w:rPr>
          <w:rFonts w:hint="eastAsia" w:ascii="宋体" w:hAnsi="宋体" w:cs="宋体"/>
        </w:rPr>
        <w:t>11.5图纸、手册和技术文件的数量</w:t>
      </w:r>
      <w:bookmarkEnd w:id="68"/>
    </w:p>
    <w:p w14:paraId="583A7FD6">
      <w:pPr>
        <w:spacing w:line="360" w:lineRule="auto"/>
        <w:ind w:firstLine="420" w:firstLineChars="200"/>
        <w:rPr>
          <w:rFonts w:ascii="宋体" w:hAnsi="宋体" w:cs="宋体"/>
        </w:rPr>
      </w:pPr>
      <w:r>
        <w:rPr>
          <w:rFonts w:hint="eastAsia" w:ascii="宋体" w:hAnsi="宋体" w:cs="宋体"/>
        </w:rPr>
        <w:t>投标人向招标人提供合同设备的图纸、手册和技术文件的份数应满足本合同要求，以便招标人相关人员使用。</w:t>
      </w:r>
    </w:p>
    <w:p w14:paraId="32E9A9DA">
      <w:pPr>
        <w:spacing w:line="360" w:lineRule="auto"/>
        <w:ind w:firstLine="420" w:firstLineChars="200"/>
        <w:rPr>
          <w:rFonts w:ascii="宋体" w:hAnsi="宋体" w:cs="宋体"/>
        </w:rPr>
      </w:pPr>
      <w:bookmarkStart w:id="69" w:name="_Toc520444722"/>
      <w:r>
        <w:rPr>
          <w:rFonts w:hint="eastAsia" w:ascii="宋体" w:hAnsi="宋体" w:cs="宋体"/>
        </w:rPr>
        <w:t>11.6工程档案资料管理</w:t>
      </w:r>
      <w:bookmarkEnd w:id="69"/>
    </w:p>
    <w:p w14:paraId="16D32781">
      <w:pPr>
        <w:spacing w:line="360" w:lineRule="auto"/>
        <w:ind w:firstLine="420" w:firstLineChars="200"/>
        <w:rPr>
          <w:rFonts w:ascii="宋体" w:hAnsi="宋体" w:cs="宋体"/>
        </w:rPr>
      </w:pPr>
      <w:r>
        <w:rPr>
          <w:rFonts w:hint="eastAsia" w:ascii="宋体" w:hAnsi="宋体" w:cs="宋体"/>
        </w:rPr>
        <w:t>所有正式文件一式1套纸质版及相关电子版扫描件，统一进行文件分类和编号，在工程通过验收后移交给招标人。</w:t>
      </w:r>
    </w:p>
    <w:p w14:paraId="34EDC956">
      <w:pPr>
        <w:pStyle w:val="59"/>
        <w:spacing w:line="360" w:lineRule="auto"/>
        <w:ind w:firstLine="422" w:firstLineChars="200"/>
        <w:rPr>
          <w:rFonts w:ascii="宋体" w:hAnsi="宋体" w:cs="宋体"/>
          <w:b/>
          <w:bCs/>
          <w:sz w:val="24"/>
          <w:szCs w:val="24"/>
        </w:rPr>
        <w:sectPr>
          <w:headerReference r:id="rId4" w:type="default"/>
          <w:footerReference r:id="rId5" w:type="default"/>
          <w:pgSz w:w="11906" w:h="16838"/>
          <w:pgMar w:top="1440" w:right="1701" w:bottom="1440" w:left="1701" w:header="720" w:footer="720" w:gutter="0"/>
          <w:cols w:space="720" w:num="1"/>
          <w:docGrid w:linePitch="332" w:charSpace="0"/>
        </w:sectPr>
      </w:pPr>
      <w:r>
        <w:rPr>
          <w:rFonts w:hint="eastAsia" w:ascii="宋体" w:hAnsi="宋体" w:cs="宋体"/>
          <w:b/>
          <w:bCs/>
          <w:szCs w:val="21"/>
        </w:rPr>
        <w:t>注：加注“★”号条款为实质性条款，不得出现负偏离，发生负偏离即做无效投标处理。负偏离是指投标人所提交投标文件的内容低于或经评标委员会认定不满足招标文件的情</w:t>
      </w:r>
    </w:p>
    <w:p w14:paraId="3E728CA4">
      <w:pPr>
        <w:pStyle w:val="83"/>
        <w:spacing w:line="360" w:lineRule="auto"/>
        <w:jc w:val="both"/>
        <w:rPr>
          <w:rFonts w:ascii="Times New Roman" w:hAnsi="Times New Roman" w:eastAsia="宋体" w:cs="Times New Roman"/>
          <w:color w:val="auto"/>
          <w:sz w:val="21"/>
          <w:szCs w:val="21"/>
        </w:rPr>
      </w:pPr>
    </w:p>
    <w:sectPr>
      <w:headerReference r:id="rId6" w:type="default"/>
      <w:footerReference r:id="rId7" w:type="default"/>
      <w:pgSz w:w="11906" w:h="16838"/>
      <w:pgMar w:top="1440" w:right="1797" w:bottom="1440" w:left="1797" w:header="851" w:footer="992" w:gutter="0"/>
      <w:cols w:space="720"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00006FF" w:usb1="4000205B" w:usb2="0000001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细黑">
    <w:panose1 w:val="02010600040101010101"/>
    <w:charset w:val="86"/>
    <w:family w:val="auto"/>
    <w:pitch w:val="default"/>
    <w:sig w:usb0="00000287" w:usb1="080F0000" w:usb2="00000000" w:usb3="00000000" w:csb0="0004009F" w:csb1="DFD70000"/>
  </w:font>
  <w:font w:name="方正小标宋简体">
    <w:altName w:val="黑体"/>
    <w:panose1 w:val="00000000000000000000"/>
    <w:charset w:val="86"/>
    <w:family w:val="script"/>
    <w:pitch w:val="default"/>
    <w:sig w:usb0="00000000" w:usb1="00000000" w:usb2="00000012" w:usb3="00000000" w:csb0="00040001" w:csb1="00000000"/>
  </w:font>
  <w:font w:name="Times">
    <w:altName w:val="Times New Roman"/>
    <w:panose1 w:val="02020603050405020304"/>
    <w:charset w:val="00"/>
    <w:family w:val="roman"/>
    <w:pitch w:val="default"/>
    <w:sig w:usb0="00000000" w:usb1="00000000" w:usb2="00000000" w:usb3="00000000" w:csb0="2000019F" w:csb1="4F010000"/>
  </w:font>
  <w:font w:name="幼圆">
    <w:panose1 w:val="0201050906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49536985"/>
    </w:sdtPr>
    <w:sdtContent>
      <w:p w14:paraId="6DAD23FF">
        <w:pPr>
          <w:pStyle w:val="28"/>
          <w:jc w:val="center"/>
        </w:pPr>
        <w:r>
          <w:fldChar w:fldCharType="begin"/>
        </w:r>
        <w:r>
          <w:instrText xml:space="preserve">PAGE   \* MERGEFORMAT</w:instrText>
        </w:r>
        <w:r>
          <w:fldChar w:fldCharType="separate"/>
        </w:r>
        <w:r>
          <w:rPr>
            <w:lang w:val="zh-CN"/>
          </w:rPr>
          <w:t>4</w:t>
        </w:r>
        <w:r>
          <w:rPr>
            <w:lang w:val="zh-CN"/>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89176124"/>
    </w:sdtPr>
    <w:sdtContent>
      <w:p w14:paraId="1CF5A4A7">
        <w:pPr>
          <w:pStyle w:val="28"/>
          <w:jc w:val="center"/>
        </w:pPr>
        <w:r>
          <w:fldChar w:fldCharType="begin"/>
        </w:r>
        <w:r>
          <w:instrText xml:space="preserve">PAGE   \* MERGEFORMAT</w:instrText>
        </w:r>
        <w:r>
          <w:fldChar w:fldCharType="separate"/>
        </w:r>
        <w:r>
          <w:rPr>
            <w:lang w:val="zh-CN"/>
          </w:rPr>
          <w:t>14</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99654647"/>
    </w:sdtPr>
    <w:sdtContent>
      <w:p w14:paraId="73DE75AF">
        <w:pPr>
          <w:pStyle w:val="28"/>
          <w:jc w:val="center"/>
        </w:pPr>
        <w:r>
          <w:fldChar w:fldCharType="begin"/>
        </w:r>
        <w:r>
          <w:instrText xml:space="preserve">PAGE   \* MERGEFORMAT</w:instrText>
        </w:r>
        <w:r>
          <w:fldChar w:fldCharType="separate"/>
        </w:r>
        <w:r>
          <w:rPr>
            <w:lang w:val="zh-CN"/>
          </w:rPr>
          <w:t>28</w:t>
        </w:r>
        <w:r>
          <w:rPr>
            <w:lang w:val="zh-CN"/>
          </w:rPr>
          <w:fldChar w:fldCharType="end"/>
        </w:r>
      </w:p>
    </w:sdtContent>
  </w:sdt>
  <w:p w14:paraId="2B9DFDE7">
    <w:pPr>
      <w:pStyle w:val="28"/>
      <w:rPr>
        <w:sz w:val="20"/>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DEDD0">
    <w:pPr>
      <w:pStyle w:val="29"/>
      <w:ind w:firstLine="180" w:firstLineChars="100"/>
      <w:jc w:val="both"/>
    </w:pPr>
    <w:r>
      <w:rPr>
        <w:rFonts w:hint="eastAsia"/>
      </w:rPr>
      <w:t xml:space="preserve">招标文件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5592FB">
    <w:pPr>
      <w:pStyle w:val="29"/>
      <w:ind w:firstLine="180" w:firstLineChars="100"/>
      <w:jc w:val="both"/>
    </w:pPr>
    <w:r>
      <w:rPr>
        <w:rFonts w:hint="eastAsia"/>
      </w:rPr>
      <w:t xml:space="preserve">招标文件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0CBB0A"/>
    <w:multiLevelType w:val="singleLevel"/>
    <w:tmpl w:val="8A0CBB0A"/>
    <w:lvl w:ilvl="0" w:tentative="0">
      <w:start w:val="5"/>
      <w:numFmt w:val="chineseCounting"/>
      <w:suff w:val="nothing"/>
      <w:lvlText w:val="%1、"/>
      <w:lvlJc w:val="left"/>
      <w:rPr>
        <w:rFonts w:hint="eastAsia"/>
      </w:rPr>
    </w:lvl>
  </w:abstractNum>
  <w:abstractNum w:abstractNumId="1">
    <w:nsid w:val="EB6B3683"/>
    <w:multiLevelType w:val="singleLevel"/>
    <w:tmpl w:val="EB6B3683"/>
    <w:lvl w:ilvl="0" w:tentative="0">
      <w:start w:val="1"/>
      <w:numFmt w:val="decimal"/>
      <w:suff w:val="space"/>
      <w:lvlText w:val="%1."/>
      <w:lvlJc w:val="left"/>
    </w:lvl>
  </w:abstractNum>
  <w:abstractNum w:abstractNumId="2">
    <w:nsid w:val="12935029"/>
    <w:multiLevelType w:val="multilevel"/>
    <w:tmpl w:val="12935029"/>
    <w:lvl w:ilvl="0" w:tentative="0">
      <w:start w:val="1"/>
      <w:numFmt w:val="decimal"/>
      <w:lvlText w:val="%1."/>
      <w:lvlJc w:val="left"/>
      <w:pPr>
        <w:ind w:left="866" w:hanging="420"/>
      </w:pPr>
      <w:rPr>
        <w:rFonts w:hint="default"/>
        <w:b w:val="0"/>
        <w:bCs w:val="0"/>
      </w:rPr>
    </w:lvl>
    <w:lvl w:ilvl="1" w:tentative="0">
      <w:start w:val="1"/>
      <w:numFmt w:val="lowerLetter"/>
      <w:lvlText w:val="%2)"/>
      <w:lvlJc w:val="left"/>
      <w:pPr>
        <w:ind w:left="1286" w:hanging="420"/>
      </w:pPr>
    </w:lvl>
    <w:lvl w:ilvl="2" w:tentative="0">
      <w:start w:val="1"/>
      <w:numFmt w:val="lowerRoman"/>
      <w:pStyle w:val="70"/>
      <w:lvlText w:val="%3."/>
      <w:lvlJc w:val="right"/>
      <w:pPr>
        <w:ind w:left="1706" w:hanging="420"/>
      </w:pPr>
    </w:lvl>
    <w:lvl w:ilvl="3" w:tentative="0">
      <w:start w:val="1"/>
      <w:numFmt w:val="decimal"/>
      <w:lvlText w:val="%4."/>
      <w:lvlJc w:val="left"/>
      <w:pPr>
        <w:ind w:left="2126" w:hanging="420"/>
      </w:pPr>
    </w:lvl>
    <w:lvl w:ilvl="4" w:tentative="0">
      <w:start w:val="1"/>
      <w:numFmt w:val="lowerLetter"/>
      <w:pStyle w:val="7"/>
      <w:lvlText w:val="%5)"/>
      <w:lvlJc w:val="left"/>
      <w:pPr>
        <w:ind w:left="2546" w:hanging="420"/>
      </w:pPr>
    </w:lvl>
    <w:lvl w:ilvl="5" w:tentative="0">
      <w:start w:val="1"/>
      <w:numFmt w:val="lowerRoman"/>
      <w:pStyle w:val="8"/>
      <w:lvlText w:val="%6."/>
      <w:lvlJc w:val="right"/>
      <w:pPr>
        <w:ind w:left="2966" w:hanging="420"/>
      </w:pPr>
    </w:lvl>
    <w:lvl w:ilvl="6" w:tentative="0">
      <w:start w:val="1"/>
      <w:numFmt w:val="decimal"/>
      <w:pStyle w:val="9"/>
      <w:lvlText w:val="%7."/>
      <w:lvlJc w:val="left"/>
      <w:pPr>
        <w:ind w:left="3386" w:hanging="420"/>
      </w:pPr>
    </w:lvl>
    <w:lvl w:ilvl="7" w:tentative="0">
      <w:start w:val="1"/>
      <w:numFmt w:val="lowerLetter"/>
      <w:pStyle w:val="10"/>
      <w:lvlText w:val="%8)"/>
      <w:lvlJc w:val="left"/>
      <w:pPr>
        <w:ind w:left="3806" w:hanging="420"/>
      </w:pPr>
    </w:lvl>
    <w:lvl w:ilvl="8" w:tentative="0">
      <w:start w:val="1"/>
      <w:numFmt w:val="lowerRoman"/>
      <w:pStyle w:val="11"/>
      <w:lvlText w:val="%9."/>
      <w:lvlJc w:val="right"/>
      <w:pPr>
        <w:ind w:left="4226" w:hanging="420"/>
      </w:pPr>
    </w:lvl>
  </w:abstractNum>
  <w:abstractNum w:abstractNumId="3">
    <w:nsid w:val="19906EEC"/>
    <w:multiLevelType w:val="multilevel"/>
    <w:tmpl w:val="19906EEC"/>
    <w:lvl w:ilvl="0" w:tentative="0">
      <w:start w:val="1"/>
      <w:numFmt w:val="decimal"/>
      <w:pStyle w:val="145"/>
      <w:lvlText w:val="%1)"/>
      <w:lvlJc w:val="left"/>
      <w:pPr>
        <w:ind w:left="1200" w:hanging="360"/>
      </w:pPr>
    </w:lvl>
    <w:lvl w:ilvl="1" w:tentative="0">
      <w:start w:val="1"/>
      <w:numFmt w:val="lowerLetter"/>
      <w:lvlText w:val="%2."/>
      <w:lvlJc w:val="left"/>
      <w:pPr>
        <w:ind w:left="1920" w:hanging="360"/>
      </w:pPr>
    </w:lvl>
    <w:lvl w:ilvl="2" w:tentative="0">
      <w:start w:val="1"/>
      <w:numFmt w:val="lowerRoman"/>
      <w:lvlText w:val="%3."/>
      <w:lvlJc w:val="right"/>
      <w:pPr>
        <w:ind w:left="2640" w:hanging="180"/>
      </w:pPr>
    </w:lvl>
    <w:lvl w:ilvl="3" w:tentative="0">
      <w:start w:val="1"/>
      <w:numFmt w:val="decimal"/>
      <w:lvlText w:val="%4."/>
      <w:lvlJc w:val="left"/>
      <w:pPr>
        <w:ind w:left="3360" w:hanging="360"/>
      </w:pPr>
    </w:lvl>
    <w:lvl w:ilvl="4" w:tentative="0">
      <w:start w:val="1"/>
      <w:numFmt w:val="lowerLetter"/>
      <w:lvlText w:val="%5."/>
      <w:lvlJc w:val="left"/>
      <w:pPr>
        <w:ind w:left="4080" w:hanging="360"/>
      </w:pPr>
    </w:lvl>
    <w:lvl w:ilvl="5" w:tentative="0">
      <w:start w:val="1"/>
      <w:numFmt w:val="lowerRoman"/>
      <w:lvlText w:val="%6."/>
      <w:lvlJc w:val="right"/>
      <w:pPr>
        <w:ind w:left="4800" w:hanging="180"/>
      </w:pPr>
    </w:lvl>
    <w:lvl w:ilvl="6" w:tentative="0">
      <w:start w:val="1"/>
      <w:numFmt w:val="decimal"/>
      <w:lvlText w:val="%7."/>
      <w:lvlJc w:val="left"/>
      <w:pPr>
        <w:ind w:left="5520" w:hanging="360"/>
      </w:pPr>
    </w:lvl>
    <w:lvl w:ilvl="7" w:tentative="0">
      <w:start w:val="1"/>
      <w:numFmt w:val="lowerLetter"/>
      <w:lvlText w:val="%8."/>
      <w:lvlJc w:val="left"/>
      <w:pPr>
        <w:ind w:left="6240" w:hanging="360"/>
      </w:pPr>
    </w:lvl>
    <w:lvl w:ilvl="8" w:tentative="0">
      <w:start w:val="1"/>
      <w:numFmt w:val="lowerRoman"/>
      <w:lvlText w:val="%9."/>
      <w:lvlJc w:val="right"/>
      <w:pPr>
        <w:ind w:left="6960" w:hanging="180"/>
      </w:pPr>
    </w:lvl>
  </w:abstractNum>
  <w:abstractNum w:abstractNumId="4">
    <w:nsid w:val="203F5314"/>
    <w:multiLevelType w:val="multilevel"/>
    <w:tmpl w:val="203F5314"/>
    <w:lvl w:ilvl="0" w:tentative="0">
      <w:start w:val="1"/>
      <w:numFmt w:val="decimal"/>
      <w:pStyle w:val="72"/>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31BC3750"/>
    <w:multiLevelType w:val="multilevel"/>
    <w:tmpl w:val="31BC3750"/>
    <w:lvl w:ilvl="0" w:tentative="0">
      <w:start w:val="1"/>
      <w:numFmt w:val="bullet"/>
      <w:pStyle w:val="78"/>
      <w:lvlText w:val=""/>
      <w:lvlJc w:val="left"/>
      <w:pPr>
        <w:ind w:left="928" w:hanging="360"/>
      </w:pPr>
      <w:rPr>
        <w:rFonts w:hint="default" w:ascii="Wingdings" w:hAnsi="Wingdings"/>
      </w:rPr>
    </w:lvl>
    <w:lvl w:ilvl="1" w:tentative="0">
      <w:start w:val="1"/>
      <w:numFmt w:val="bullet"/>
      <w:lvlText w:val="o"/>
      <w:lvlJc w:val="left"/>
      <w:pPr>
        <w:ind w:left="1648" w:hanging="360"/>
      </w:pPr>
      <w:rPr>
        <w:rFonts w:hint="default" w:ascii="Courier New" w:hAnsi="Courier New" w:cs="Courier New"/>
      </w:rPr>
    </w:lvl>
    <w:lvl w:ilvl="2" w:tentative="0">
      <w:start w:val="1"/>
      <w:numFmt w:val="bullet"/>
      <w:lvlText w:val=""/>
      <w:lvlJc w:val="left"/>
      <w:pPr>
        <w:ind w:left="2368" w:hanging="360"/>
      </w:pPr>
      <w:rPr>
        <w:rFonts w:hint="default" w:ascii="Wingdings" w:hAnsi="Wingdings"/>
      </w:rPr>
    </w:lvl>
    <w:lvl w:ilvl="3" w:tentative="0">
      <w:start w:val="1"/>
      <w:numFmt w:val="bullet"/>
      <w:pStyle w:val="69"/>
      <w:lvlText w:val=""/>
      <w:lvlJc w:val="left"/>
      <w:pPr>
        <w:ind w:left="3088" w:hanging="360"/>
      </w:pPr>
      <w:rPr>
        <w:rFonts w:hint="default" w:ascii="Symbol" w:hAnsi="Symbol"/>
      </w:rPr>
    </w:lvl>
    <w:lvl w:ilvl="4" w:tentative="0">
      <w:start w:val="1"/>
      <w:numFmt w:val="bullet"/>
      <w:lvlText w:val="o"/>
      <w:lvlJc w:val="left"/>
      <w:pPr>
        <w:ind w:left="3808" w:hanging="360"/>
      </w:pPr>
      <w:rPr>
        <w:rFonts w:hint="default" w:ascii="Courier New" w:hAnsi="Courier New" w:cs="Courier New"/>
      </w:rPr>
    </w:lvl>
    <w:lvl w:ilvl="5" w:tentative="0">
      <w:start w:val="1"/>
      <w:numFmt w:val="bullet"/>
      <w:lvlText w:val=""/>
      <w:lvlJc w:val="left"/>
      <w:pPr>
        <w:ind w:left="4528" w:hanging="360"/>
      </w:pPr>
      <w:rPr>
        <w:rFonts w:hint="default" w:ascii="Wingdings" w:hAnsi="Wingdings"/>
      </w:rPr>
    </w:lvl>
    <w:lvl w:ilvl="6" w:tentative="0">
      <w:start w:val="1"/>
      <w:numFmt w:val="bullet"/>
      <w:lvlText w:val=""/>
      <w:lvlJc w:val="left"/>
      <w:pPr>
        <w:ind w:left="5248" w:hanging="360"/>
      </w:pPr>
      <w:rPr>
        <w:rFonts w:hint="default" w:ascii="Symbol" w:hAnsi="Symbol"/>
      </w:rPr>
    </w:lvl>
    <w:lvl w:ilvl="7" w:tentative="0">
      <w:start w:val="1"/>
      <w:numFmt w:val="bullet"/>
      <w:lvlText w:val="o"/>
      <w:lvlJc w:val="left"/>
      <w:pPr>
        <w:ind w:left="5968" w:hanging="360"/>
      </w:pPr>
      <w:rPr>
        <w:rFonts w:hint="default" w:ascii="Courier New" w:hAnsi="Courier New" w:cs="Courier New"/>
      </w:rPr>
    </w:lvl>
    <w:lvl w:ilvl="8" w:tentative="0">
      <w:start w:val="1"/>
      <w:numFmt w:val="bullet"/>
      <w:lvlText w:val=""/>
      <w:lvlJc w:val="left"/>
      <w:pPr>
        <w:ind w:left="6688" w:hanging="360"/>
      </w:pPr>
      <w:rPr>
        <w:rFonts w:hint="default" w:ascii="Wingdings" w:hAnsi="Wingdings"/>
      </w:rPr>
    </w:lvl>
  </w:abstractNum>
  <w:abstractNum w:abstractNumId="6">
    <w:nsid w:val="33CF475A"/>
    <w:multiLevelType w:val="multilevel"/>
    <w:tmpl w:val="33CF475A"/>
    <w:lvl w:ilvl="0" w:tentative="0">
      <w:start w:val="1"/>
      <w:numFmt w:val="decimal"/>
      <w:pStyle w:val="79"/>
      <w:lvlText w:val="%1)"/>
      <w:lvlJc w:val="left"/>
      <w:pPr>
        <w:ind w:left="1094" w:hanging="360"/>
      </w:pPr>
    </w:lvl>
    <w:lvl w:ilvl="1" w:tentative="0">
      <w:start w:val="1"/>
      <w:numFmt w:val="lowerLetter"/>
      <w:lvlText w:val="%2."/>
      <w:lvlJc w:val="left"/>
      <w:pPr>
        <w:ind w:left="1814" w:hanging="360"/>
      </w:pPr>
    </w:lvl>
    <w:lvl w:ilvl="2" w:tentative="0">
      <w:start w:val="1"/>
      <w:numFmt w:val="lowerRoman"/>
      <w:lvlText w:val="%3."/>
      <w:lvlJc w:val="right"/>
      <w:pPr>
        <w:ind w:left="2534" w:hanging="180"/>
      </w:pPr>
    </w:lvl>
    <w:lvl w:ilvl="3" w:tentative="0">
      <w:start w:val="1"/>
      <w:numFmt w:val="decimal"/>
      <w:lvlText w:val="%4."/>
      <w:lvlJc w:val="left"/>
      <w:pPr>
        <w:ind w:left="3254" w:hanging="360"/>
      </w:pPr>
    </w:lvl>
    <w:lvl w:ilvl="4" w:tentative="0">
      <w:start w:val="1"/>
      <w:numFmt w:val="lowerLetter"/>
      <w:lvlText w:val="%5."/>
      <w:lvlJc w:val="left"/>
      <w:pPr>
        <w:ind w:left="3974" w:hanging="360"/>
      </w:pPr>
    </w:lvl>
    <w:lvl w:ilvl="5" w:tentative="0">
      <w:start w:val="1"/>
      <w:numFmt w:val="lowerRoman"/>
      <w:lvlText w:val="%6."/>
      <w:lvlJc w:val="right"/>
      <w:pPr>
        <w:ind w:left="4694" w:hanging="180"/>
      </w:pPr>
    </w:lvl>
    <w:lvl w:ilvl="6" w:tentative="0">
      <w:start w:val="1"/>
      <w:numFmt w:val="decimal"/>
      <w:lvlText w:val="%7."/>
      <w:lvlJc w:val="left"/>
      <w:pPr>
        <w:ind w:left="5414" w:hanging="360"/>
      </w:pPr>
    </w:lvl>
    <w:lvl w:ilvl="7" w:tentative="0">
      <w:start w:val="1"/>
      <w:numFmt w:val="lowerLetter"/>
      <w:lvlText w:val="%8."/>
      <w:lvlJc w:val="left"/>
      <w:pPr>
        <w:ind w:left="6134" w:hanging="360"/>
      </w:pPr>
    </w:lvl>
    <w:lvl w:ilvl="8" w:tentative="0">
      <w:start w:val="1"/>
      <w:numFmt w:val="lowerRoman"/>
      <w:lvlText w:val="%9."/>
      <w:lvlJc w:val="right"/>
      <w:pPr>
        <w:ind w:left="6854" w:hanging="180"/>
      </w:pPr>
    </w:lvl>
  </w:abstractNum>
  <w:abstractNum w:abstractNumId="7">
    <w:nsid w:val="3B74040C"/>
    <w:multiLevelType w:val="multilevel"/>
    <w:tmpl w:val="3B74040C"/>
    <w:lvl w:ilvl="0" w:tentative="0">
      <w:start w:val="4"/>
      <w:numFmt w:val="japaneseCounting"/>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4B1116D4"/>
    <w:multiLevelType w:val="multilevel"/>
    <w:tmpl w:val="4B1116D4"/>
    <w:lvl w:ilvl="0" w:tentative="0">
      <w:start w:val="1"/>
      <w:numFmt w:val="decimal"/>
      <w:pStyle w:val="75"/>
      <w:lvlText w:val="%1."/>
      <w:lvlJc w:val="left"/>
      <w:pPr>
        <w:tabs>
          <w:tab w:val="left" w:pos="1524"/>
        </w:tabs>
        <w:ind w:left="1524" w:hanging="420"/>
      </w:pPr>
      <w:rPr>
        <w:rFonts w:hint="eastAsia" w:cs="Times New Roman"/>
      </w:rPr>
    </w:lvl>
    <w:lvl w:ilvl="1" w:tentative="0">
      <w:start w:val="1"/>
      <w:numFmt w:val="decimal"/>
      <w:lvlText w:val="%2."/>
      <w:lvlJc w:val="left"/>
      <w:pPr>
        <w:tabs>
          <w:tab w:val="left" w:pos="1320"/>
        </w:tabs>
        <w:ind w:left="1320" w:hanging="420"/>
      </w:pPr>
      <w:rPr>
        <w:rFonts w:hint="eastAsia" w:cs="Times New Roman"/>
      </w:rPr>
    </w:lvl>
    <w:lvl w:ilvl="2" w:tentative="0">
      <w:start w:val="1"/>
      <w:numFmt w:val="lowerRoman"/>
      <w:lvlText w:val="%3."/>
      <w:lvlJc w:val="right"/>
      <w:pPr>
        <w:tabs>
          <w:tab w:val="left" w:pos="1740"/>
        </w:tabs>
        <w:ind w:left="1740" w:hanging="420"/>
      </w:pPr>
      <w:rPr>
        <w:rFonts w:cs="Times New Roman"/>
      </w:rPr>
    </w:lvl>
    <w:lvl w:ilvl="3" w:tentative="0">
      <w:start w:val="1"/>
      <w:numFmt w:val="decimal"/>
      <w:lvlText w:val="%4."/>
      <w:lvlJc w:val="left"/>
      <w:pPr>
        <w:tabs>
          <w:tab w:val="left" w:pos="2160"/>
        </w:tabs>
        <w:ind w:left="2160" w:hanging="420"/>
      </w:pPr>
      <w:rPr>
        <w:rFonts w:cs="Times New Roman"/>
      </w:rPr>
    </w:lvl>
    <w:lvl w:ilvl="4" w:tentative="0">
      <w:start w:val="1"/>
      <w:numFmt w:val="lowerLetter"/>
      <w:lvlText w:val="%5)"/>
      <w:lvlJc w:val="left"/>
      <w:pPr>
        <w:tabs>
          <w:tab w:val="left" w:pos="2580"/>
        </w:tabs>
        <w:ind w:left="2580" w:hanging="420"/>
      </w:pPr>
      <w:rPr>
        <w:rFonts w:cs="Times New Roman"/>
      </w:rPr>
    </w:lvl>
    <w:lvl w:ilvl="5" w:tentative="0">
      <w:start w:val="1"/>
      <w:numFmt w:val="lowerRoman"/>
      <w:lvlText w:val="%6."/>
      <w:lvlJc w:val="right"/>
      <w:pPr>
        <w:tabs>
          <w:tab w:val="left" w:pos="3000"/>
        </w:tabs>
        <w:ind w:left="3000" w:hanging="420"/>
      </w:pPr>
      <w:rPr>
        <w:rFonts w:cs="Times New Roman"/>
      </w:rPr>
    </w:lvl>
    <w:lvl w:ilvl="6" w:tentative="0">
      <w:start w:val="1"/>
      <w:numFmt w:val="decimal"/>
      <w:lvlText w:val="%7."/>
      <w:lvlJc w:val="left"/>
      <w:pPr>
        <w:tabs>
          <w:tab w:val="left" w:pos="3420"/>
        </w:tabs>
        <w:ind w:left="3420" w:hanging="420"/>
      </w:pPr>
      <w:rPr>
        <w:rFonts w:cs="Times New Roman"/>
      </w:rPr>
    </w:lvl>
    <w:lvl w:ilvl="7" w:tentative="0">
      <w:start w:val="1"/>
      <w:numFmt w:val="lowerLetter"/>
      <w:lvlText w:val="%8)"/>
      <w:lvlJc w:val="left"/>
      <w:pPr>
        <w:tabs>
          <w:tab w:val="left" w:pos="3840"/>
        </w:tabs>
        <w:ind w:left="3840" w:hanging="420"/>
      </w:pPr>
      <w:rPr>
        <w:rFonts w:cs="Times New Roman"/>
      </w:rPr>
    </w:lvl>
    <w:lvl w:ilvl="8" w:tentative="0">
      <w:start w:val="1"/>
      <w:numFmt w:val="lowerRoman"/>
      <w:lvlText w:val="%9."/>
      <w:lvlJc w:val="right"/>
      <w:pPr>
        <w:tabs>
          <w:tab w:val="left" w:pos="4260"/>
        </w:tabs>
        <w:ind w:left="4260" w:hanging="420"/>
      </w:pPr>
      <w:rPr>
        <w:rFonts w:cs="Times New Roman"/>
      </w:rPr>
    </w:lvl>
  </w:abstractNum>
  <w:abstractNum w:abstractNumId="9">
    <w:nsid w:val="67CC4169"/>
    <w:multiLevelType w:val="multilevel"/>
    <w:tmpl w:val="67CC4169"/>
    <w:lvl w:ilvl="0" w:tentative="0">
      <w:start w:val="3"/>
      <w:numFmt w:val="japaneseCounting"/>
      <w:lvlText w:val="%1、"/>
      <w:lvlJc w:val="left"/>
      <w:pPr>
        <w:ind w:left="840" w:hanging="4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772B08AA"/>
    <w:multiLevelType w:val="singleLevel"/>
    <w:tmpl w:val="772B08AA"/>
    <w:lvl w:ilvl="0" w:tentative="0">
      <w:start w:val="1"/>
      <w:numFmt w:val="decimal"/>
      <w:lvlText w:val="(%1)"/>
      <w:lvlJc w:val="left"/>
      <w:pPr>
        <w:ind w:left="425" w:hanging="425"/>
      </w:pPr>
      <w:rPr>
        <w:rFonts w:hint="default"/>
      </w:rPr>
    </w:lvl>
  </w:abstractNum>
  <w:abstractNum w:abstractNumId="11">
    <w:nsid w:val="790E5167"/>
    <w:multiLevelType w:val="multilevel"/>
    <w:tmpl w:val="790E5167"/>
    <w:lvl w:ilvl="0" w:tentative="0">
      <w:start w:val="1"/>
      <w:numFmt w:val="bullet"/>
      <w:pStyle w:val="126"/>
      <w:lvlText w:val=""/>
      <w:lvlJc w:val="left"/>
      <w:pPr>
        <w:ind w:left="1440" w:hanging="360"/>
      </w:pPr>
      <w:rPr>
        <w:rFonts w:hint="default" w:ascii="Wingdings" w:hAnsi="Wingdings"/>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pStyle w:val="113"/>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num w:numId="1">
    <w:abstractNumId w:val="2"/>
  </w:num>
  <w:num w:numId="2">
    <w:abstractNumId w:val="5"/>
  </w:num>
  <w:num w:numId="3">
    <w:abstractNumId w:val="4"/>
  </w:num>
  <w:num w:numId="4">
    <w:abstractNumId w:val="8"/>
  </w:num>
  <w:num w:numId="5">
    <w:abstractNumId w:val="6"/>
  </w:num>
  <w:num w:numId="6">
    <w:abstractNumId w:val="11"/>
  </w:num>
  <w:num w:numId="7">
    <w:abstractNumId w:val="3"/>
  </w:num>
  <w:num w:numId="8">
    <w:abstractNumId w:val="10"/>
  </w:num>
  <w:num w:numId="9">
    <w:abstractNumId w:val="9"/>
  </w:num>
  <w:num w:numId="10">
    <w:abstractNumId w:val="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E19C3"/>
    <w:rsid w:val="00057438"/>
    <w:rsid w:val="000F6A3C"/>
    <w:rsid w:val="00153E0E"/>
    <w:rsid w:val="00177E1A"/>
    <w:rsid w:val="001911CF"/>
    <w:rsid w:val="001961F8"/>
    <w:rsid w:val="001A5F26"/>
    <w:rsid w:val="001B6063"/>
    <w:rsid w:val="001F4C8C"/>
    <w:rsid w:val="00204047"/>
    <w:rsid w:val="00233E9A"/>
    <w:rsid w:val="00256474"/>
    <w:rsid w:val="003148CF"/>
    <w:rsid w:val="00361950"/>
    <w:rsid w:val="003F4C97"/>
    <w:rsid w:val="00413162"/>
    <w:rsid w:val="004354E9"/>
    <w:rsid w:val="004361D2"/>
    <w:rsid w:val="00477F5B"/>
    <w:rsid w:val="004A4A65"/>
    <w:rsid w:val="004E19C3"/>
    <w:rsid w:val="005113AD"/>
    <w:rsid w:val="0053038F"/>
    <w:rsid w:val="00535D22"/>
    <w:rsid w:val="005A525A"/>
    <w:rsid w:val="005F6BCF"/>
    <w:rsid w:val="00600550"/>
    <w:rsid w:val="0066092B"/>
    <w:rsid w:val="006B2878"/>
    <w:rsid w:val="006C6495"/>
    <w:rsid w:val="006F7CAE"/>
    <w:rsid w:val="007444F1"/>
    <w:rsid w:val="00796B82"/>
    <w:rsid w:val="007F7E0E"/>
    <w:rsid w:val="00837943"/>
    <w:rsid w:val="00856B27"/>
    <w:rsid w:val="008C0224"/>
    <w:rsid w:val="008F6059"/>
    <w:rsid w:val="00912BC5"/>
    <w:rsid w:val="00915661"/>
    <w:rsid w:val="00955C6F"/>
    <w:rsid w:val="00991A70"/>
    <w:rsid w:val="009C6E7E"/>
    <w:rsid w:val="00A6545B"/>
    <w:rsid w:val="00A65801"/>
    <w:rsid w:val="00AC7225"/>
    <w:rsid w:val="00B17C52"/>
    <w:rsid w:val="00B731F3"/>
    <w:rsid w:val="00B77C2B"/>
    <w:rsid w:val="00BB0C61"/>
    <w:rsid w:val="00BC4189"/>
    <w:rsid w:val="00C13210"/>
    <w:rsid w:val="00C22474"/>
    <w:rsid w:val="00C44B1D"/>
    <w:rsid w:val="00C62BD5"/>
    <w:rsid w:val="00C7076C"/>
    <w:rsid w:val="00D1205C"/>
    <w:rsid w:val="00D16534"/>
    <w:rsid w:val="00D35AA0"/>
    <w:rsid w:val="00DC09AB"/>
    <w:rsid w:val="00DC7359"/>
    <w:rsid w:val="00DE7796"/>
    <w:rsid w:val="00E31A9C"/>
    <w:rsid w:val="00E443A8"/>
    <w:rsid w:val="00E663B5"/>
    <w:rsid w:val="00ED1552"/>
    <w:rsid w:val="00ED631F"/>
    <w:rsid w:val="00F00A03"/>
    <w:rsid w:val="00FB7487"/>
    <w:rsid w:val="01831F7C"/>
    <w:rsid w:val="01833167"/>
    <w:rsid w:val="04CE402E"/>
    <w:rsid w:val="05946FA8"/>
    <w:rsid w:val="09AC51DD"/>
    <w:rsid w:val="09F31C44"/>
    <w:rsid w:val="0D084899"/>
    <w:rsid w:val="139C03FB"/>
    <w:rsid w:val="14E31122"/>
    <w:rsid w:val="15D949E6"/>
    <w:rsid w:val="16B1529C"/>
    <w:rsid w:val="1C180D3F"/>
    <w:rsid w:val="1EC3656A"/>
    <w:rsid w:val="1F4C2567"/>
    <w:rsid w:val="206B2A42"/>
    <w:rsid w:val="26776289"/>
    <w:rsid w:val="2B3002FB"/>
    <w:rsid w:val="2BDF3A1D"/>
    <w:rsid w:val="369B7CE3"/>
    <w:rsid w:val="3E973E45"/>
    <w:rsid w:val="40D1116D"/>
    <w:rsid w:val="410B5482"/>
    <w:rsid w:val="412C3009"/>
    <w:rsid w:val="492B0A7C"/>
    <w:rsid w:val="4ABB3728"/>
    <w:rsid w:val="4B586275"/>
    <w:rsid w:val="4C70721A"/>
    <w:rsid w:val="4D44414D"/>
    <w:rsid w:val="4EF22D57"/>
    <w:rsid w:val="556D385E"/>
    <w:rsid w:val="57C94114"/>
    <w:rsid w:val="5BDA1267"/>
    <w:rsid w:val="5E9C612F"/>
    <w:rsid w:val="63C31C3A"/>
    <w:rsid w:val="677E5C59"/>
    <w:rsid w:val="6C700398"/>
    <w:rsid w:val="6F765F90"/>
    <w:rsid w:val="74B81B56"/>
    <w:rsid w:val="779255D9"/>
    <w:rsid w:val="791B3704"/>
    <w:rsid w:val="7B064FD7"/>
    <w:rsid w:val="7BE91ADE"/>
    <w:rsid w:val="7BE96D10"/>
    <w:rsid w:val="7D3134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99" w:semiHidden="0" w:name="page number"/>
    <w:lsdException w:uiPriority="99" w:name="endnote reference"/>
    <w:lsdException w:qFormat="1" w:unhideWhenUsed="0"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qFormat="1" w:uiPriority="99" w:semiHidden="0" w:name="Body Text First Indent 2"/>
    <w:lsdException w:uiPriority="99" w:name="Note Heading"/>
    <w:lsdException w:qFormat="1" w:uiPriority="0" w:semiHidden="0" w:name="Body Text 2"/>
    <w:lsdException w:qFormat="1" w:unhideWhenUsed="0" w:uiPriority="0" w:semiHidden="0" w:name="Body Text 3"/>
    <w:lsdException w:qFormat="1" w:uiPriority="0" w:semiHidden="0" w:name="Body Text Indent 2"/>
    <w:lsdException w:qFormat="1" w:uiPriority="99" w:semiHidden="0" w:name="Body Text Indent 3"/>
    <w:lsdException w:uiPriority="99" w:name="Block Text"/>
    <w:lsdException w:qFormat="1" w:uiPriority="99" w:semiHidden="0" w:name="Hyperlink"/>
    <w:lsdException w:qFormat="1" w:unhideWhenUsed="0" w:uiPriority="99" w:semiHidden="0" w:name="FollowedHyperlink"/>
    <w:lsdException w:qFormat="1" w:unhideWhenUsed="0" w:uiPriority="99" w:semiHidden="0" w:name="Strong"/>
    <w:lsdException w:qFormat="1" w:unhideWhenUsed="0" w:uiPriority="20" w:semiHidden="0" w:name="Emphasis"/>
    <w:lsdException w:qFormat="1" w:unhideWhenUsed="0" w:uiPriority="99"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qFormat="1" w:uiPriority="99"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9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174"/>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80"/>
    <w:qFormat/>
    <w:uiPriority w:val="0"/>
    <w:pPr>
      <w:keepNext/>
      <w:keepLines/>
      <w:spacing w:before="260" w:after="260" w:line="416" w:lineRule="auto"/>
      <w:outlineLvl w:val="1"/>
    </w:pPr>
    <w:rPr>
      <w:rFonts w:ascii="Cambria" w:hAnsi="Cambria"/>
      <w:b/>
      <w:bCs/>
      <w:sz w:val="32"/>
      <w:szCs w:val="32"/>
    </w:rPr>
  </w:style>
  <w:style w:type="paragraph" w:styleId="5">
    <w:name w:val="heading 3"/>
    <w:basedOn w:val="1"/>
    <w:next w:val="1"/>
    <w:link w:val="191"/>
    <w:qFormat/>
    <w:uiPriority w:val="0"/>
    <w:pPr>
      <w:keepNext/>
      <w:keepLines/>
      <w:spacing w:before="260" w:after="260" w:line="416" w:lineRule="auto"/>
      <w:outlineLvl w:val="2"/>
    </w:pPr>
    <w:rPr>
      <w:b/>
      <w:bCs/>
      <w:sz w:val="32"/>
      <w:szCs w:val="32"/>
    </w:rPr>
  </w:style>
  <w:style w:type="paragraph" w:styleId="6">
    <w:name w:val="heading 4"/>
    <w:basedOn w:val="1"/>
    <w:next w:val="1"/>
    <w:link w:val="195"/>
    <w:qFormat/>
    <w:uiPriority w:val="0"/>
    <w:pPr>
      <w:keepNext/>
      <w:keepLines/>
      <w:spacing w:before="280" w:after="290" w:line="376" w:lineRule="auto"/>
      <w:outlineLvl w:val="3"/>
    </w:pPr>
    <w:rPr>
      <w:rFonts w:ascii="Cambria" w:hAnsi="Cambria"/>
      <w:b/>
      <w:bCs/>
      <w:sz w:val="28"/>
      <w:szCs w:val="28"/>
    </w:rPr>
  </w:style>
  <w:style w:type="paragraph" w:styleId="7">
    <w:name w:val="heading 5"/>
    <w:basedOn w:val="1"/>
    <w:next w:val="1"/>
    <w:link w:val="198"/>
    <w:qFormat/>
    <w:uiPriority w:val="0"/>
    <w:pPr>
      <w:keepNext/>
      <w:keepLines/>
      <w:numPr>
        <w:ilvl w:val="4"/>
        <w:numId w:val="1"/>
      </w:numPr>
      <w:tabs>
        <w:tab w:val="left" w:pos="1260"/>
        <w:tab w:val="left" w:pos="1800"/>
      </w:tabs>
      <w:spacing w:before="280" w:after="290" w:line="360" w:lineRule="auto"/>
      <w:outlineLvl w:val="4"/>
    </w:pPr>
    <w:rPr>
      <w:rFonts w:ascii="宋体" w:hAnsi="宋体"/>
      <w:b/>
      <w:bCs/>
      <w:sz w:val="24"/>
      <w:szCs w:val="28"/>
      <w:lang w:val="zh-CN"/>
    </w:rPr>
  </w:style>
  <w:style w:type="paragraph" w:styleId="8">
    <w:name w:val="heading 6"/>
    <w:basedOn w:val="1"/>
    <w:next w:val="1"/>
    <w:link w:val="209"/>
    <w:qFormat/>
    <w:uiPriority w:val="0"/>
    <w:pPr>
      <w:keepNext/>
      <w:keepLines/>
      <w:numPr>
        <w:ilvl w:val="5"/>
        <w:numId w:val="1"/>
      </w:numPr>
      <w:tabs>
        <w:tab w:val="left" w:pos="0"/>
        <w:tab w:val="left" w:pos="1152"/>
      </w:tabs>
      <w:spacing w:before="240" w:after="64" w:line="319" w:lineRule="auto"/>
      <w:outlineLvl w:val="5"/>
    </w:pPr>
    <w:rPr>
      <w:rFonts w:ascii="Arial" w:hAnsi="Arial" w:eastAsia="黑体"/>
      <w:sz w:val="24"/>
      <w:szCs w:val="24"/>
      <w:lang w:val="zh-CN"/>
    </w:rPr>
  </w:style>
  <w:style w:type="paragraph" w:styleId="9">
    <w:name w:val="heading 7"/>
    <w:basedOn w:val="1"/>
    <w:next w:val="1"/>
    <w:link w:val="215"/>
    <w:qFormat/>
    <w:uiPriority w:val="0"/>
    <w:pPr>
      <w:keepNext/>
      <w:keepLines/>
      <w:numPr>
        <w:ilvl w:val="6"/>
        <w:numId w:val="1"/>
      </w:numPr>
      <w:tabs>
        <w:tab w:val="left" w:pos="1296"/>
      </w:tabs>
      <w:spacing w:before="240" w:after="64" w:line="320" w:lineRule="auto"/>
      <w:outlineLvl w:val="6"/>
    </w:pPr>
    <w:rPr>
      <w:rFonts w:eastAsia="仿宋_GB2312"/>
      <w:b/>
      <w:bCs/>
      <w:sz w:val="24"/>
      <w:szCs w:val="24"/>
      <w:lang w:val="zh-CN"/>
    </w:rPr>
  </w:style>
  <w:style w:type="paragraph" w:styleId="10">
    <w:name w:val="heading 8"/>
    <w:basedOn w:val="1"/>
    <w:next w:val="1"/>
    <w:link w:val="147"/>
    <w:qFormat/>
    <w:uiPriority w:val="0"/>
    <w:pPr>
      <w:keepNext/>
      <w:keepLines/>
      <w:numPr>
        <w:ilvl w:val="7"/>
        <w:numId w:val="1"/>
      </w:numPr>
      <w:tabs>
        <w:tab w:val="left" w:pos="1440"/>
      </w:tabs>
      <w:spacing w:before="240" w:after="64" w:line="320" w:lineRule="auto"/>
      <w:outlineLvl w:val="7"/>
    </w:pPr>
    <w:rPr>
      <w:rFonts w:ascii="Arial" w:hAnsi="Arial" w:eastAsia="黑体"/>
      <w:sz w:val="24"/>
      <w:szCs w:val="24"/>
      <w:lang w:val="zh-CN"/>
    </w:rPr>
  </w:style>
  <w:style w:type="paragraph" w:styleId="11">
    <w:name w:val="heading 9"/>
    <w:basedOn w:val="1"/>
    <w:next w:val="1"/>
    <w:link w:val="217"/>
    <w:qFormat/>
    <w:uiPriority w:val="0"/>
    <w:pPr>
      <w:keepNext/>
      <w:keepLines/>
      <w:numPr>
        <w:ilvl w:val="8"/>
        <w:numId w:val="1"/>
      </w:numPr>
      <w:tabs>
        <w:tab w:val="left" w:pos="1584"/>
      </w:tabs>
      <w:spacing w:before="240" w:after="64" w:line="320" w:lineRule="auto"/>
      <w:outlineLvl w:val="8"/>
    </w:pPr>
    <w:rPr>
      <w:rFonts w:ascii="Arial" w:hAnsi="Arial" w:eastAsia="黑体"/>
      <w:sz w:val="24"/>
      <w:szCs w:val="21"/>
      <w:lang w:val="zh-CN"/>
    </w:rPr>
  </w:style>
  <w:style w:type="character" w:default="1" w:styleId="46">
    <w:name w:val="Default Paragraph Font"/>
    <w:semiHidden/>
    <w:unhideWhenUsed/>
    <w:qFormat/>
    <w:uiPriority w:val="1"/>
  </w:style>
  <w:style w:type="table" w:default="1" w:styleId="4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73"/>
    <w:qFormat/>
    <w:uiPriority w:val="0"/>
    <w:pPr>
      <w:spacing w:after="120"/>
    </w:pPr>
  </w:style>
  <w:style w:type="paragraph" w:styleId="12">
    <w:name w:val="toc 7"/>
    <w:basedOn w:val="1"/>
    <w:next w:val="1"/>
    <w:qFormat/>
    <w:uiPriority w:val="39"/>
    <w:pPr>
      <w:ind w:left="1440"/>
      <w:jc w:val="left"/>
    </w:pPr>
    <w:rPr>
      <w:rFonts w:ascii="Calibri" w:hAnsi="Calibri" w:eastAsia="仿宋_GB2312"/>
      <w:sz w:val="18"/>
      <w:szCs w:val="18"/>
    </w:rPr>
  </w:style>
  <w:style w:type="paragraph" w:styleId="13">
    <w:name w:val="Normal Indent"/>
    <w:basedOn w:val="1"/>
    <w:link w:val="220"/>
    <w:qFormat/>
    <w:uiPriority w:val="0"/>
    <w:pPr>
      <w:ind w:firstLine="420"/>
    </w:pPr>
    <w:rPr>
      <w:rFonts w:ascii="Calibri" w:hAnsi="Calibri"/>
      <w:szCs w:val="22"/>
    </w:rPr>
  </w:style>
  <w:style w:type="paragraph" w:styleId="14">
    <w:name w:val="caption"/>
    <w:basedOn w:val="1"/>
    <w:next w:val="1"/>
    <w:link w:val="175"/>
    <w:qFormat/>
    <w:uiPriority w:val="0"/>
    <w:pPr>
      <w:spacing w:before="152" w:after="160"/>
      <w:jc w:val="center"/>
    </w:pPr>
    <w:rPr>
      <w:rFonts w:ascii="Arial" w:hAnsi="Arial" w:eastAsia="黑体" w:cs="Arial"/>
      <w:i/>
      <w:sz w:val="24"/>
    </w:rPr>
  </w:style>
  <w:style w:type="paragraph" w:styleId="15">
    <w:name w:val="Document Map"/>
    <w:basedOn w:val="1"/>
    <w:link w:val="213"/>
    <w:qFormat/>
    <w:uiPriority w:val="99"/>
    <w:pPr>
      <w:shd w:val="clear" w:color="auto" w:fill="000080"/>
    </w:pPr>
    <w:rPr>
      <w:rFonts w:eastAsia="仿宋_GB2312"/>
      <w:sz w:val="24"/>
      <w:szCs w:val="24"/>
    </w:rPr>
  </w:style>
  <w:style w:type="paragraph" w:styleId="16">
    <w:name w:val="toa heading"/>
    <w:basedOn w:val="1"/>
    <w:next w:val="1"/>
    <w:qFormat/>
    <w:uiPriority w:val="0"/>
    <w:pPr>
      <w:spacing w:before="120"/>
    </w:pPr>
    <w:rPr>
      <w:rFonts w:ascii="Cambria" w:hAnsi="Cambria"/>
      <w:sz w:val="24"/>
    </w:rPr>
  </w:style>
  <w:style w:type="paragraph" w:styleId="17">
    <w:name w:val="annotation text"/>
    <w:basedOn w:val="1"/>
    <w:link w:val="150"/>
    <w:unhideWhenUsed/>
    <w:qFormat/>
    <w:uiPriority w:val="0"/>
    <w:pPr>
      <w:jc w:val="left"/>
    </w:pPr>
  </w:style>
  <w:style w:type="paragraph" w:styleId="18">
    <w:name w:val="Body Text 3"/>
    <w:basedOn w:val="1"/>
    <w:next w:val="2"/>
    <w:link w:val="212"/>
    <w:qFormat/>
    <w:uiPriority w:val="0"/>
    <w:rPr>
      <w:rFonts w:eastAsia="仿宋_GB2312"/>
      <w:b/>
      <w:bCs/>
      <w:color w:val="FFFFFF"/>
      <w:sz w:val="24"/>
      <w:szCs w:val="24"/>
    </w:rPr>
  </w:style>
  <w:style w:type="paragraph" w:styleId="19">
    <w:name w:val="Body Text Indent"/>
    <w:basedOn w:val="1"/>
    <w:next w:val="2"/>
    <w:link w:val="159"/>
    <w:qFormat/>
    <w:uiPriority w:val="0"/>
    <w:pPr>
      <w:tabs>
        <w:tab w:val="left" w:pos="480"/>
      </w:tabs>
      <w:spacing w:line="560" w:lineRule="exact"/>
      <w:ind w:firstLine="480"/>
      <w:jc w:val="left"/>
    </w:pPr>
    <w:rPr>
      <w:rFonts w:ascii="宋体" w:hAnsi="宋体"/>
      <w:sz w:val="24"/>
    </w:rPr>
  </w:style>
  <w:style w:type="paragraph" w:styleId="20">
    <w:name w:val="toc 5"/>
    <w:basedOn w:val="1"/>
    <w:next w:val="1"/>
    <w:qFormat/>
    <w:uiPriority w:val="39"/>
    <w:pPr>
      <w:ind w:left="960"/>
      <w:jc w:val="left"/>
    </w:pPr>
    <w:rPr>
      <w:rFonts w:ascii="Calibri" w:hAnsi="Calibri" w:eastAsia="仿宋_GB2312"/>
      <w:sz w:val="18"/>
      <w:szCs w:val="18"/>
    </w:rPr>
  </w:style>
  <w:style w:type="paragraph" w:styleId="21">
    <w:name w:val="toc 3"/>
    <w:basedOn w:val="1"/>
    <w:next w:val="1"/>
    <w:qFormat/>
    <w:uiPriority w:val="39"/>
    <w:pPr>
      <w:ind w:left="480"/>
      <w:jc w:val="left"/>
    </w:pPr>
    <w:rPr>
      <w:rFonts w:ascii="Calibri" w:hAnsi="Calibri" w:eastAsia="仿宋_GB2312"/>
      <w:i/>
      <w:iCs/>
      <w:sz w:val="20"/>
    </w:rPr>
  </w:style>
  <w:style w:type="paragraph" w:styleId="22">
    <w:name w:val="Plain Text"/>
    <w:basedOn w:val="1"/>
    <w:link w:val="185"/>
    <w:qFormat/>
    <w:uiPriority w:val="99"/>
    <w:rPr>
      <w:rFonts w:ascii="宋体" w:hAnsi="Courier New"/>
    </w:rPr>
  </w:style>
  <w:style w:type="paragraph" w:styleId="23">
    <w:name w:val="toc 8"/>
    <w:basedOn w:val="1"/>
    <w:next w:val="1"/>
    <w:qFormat/>
    <w:uiPriority w:val="39"/>
    <w:pPr>
      <w:ind w:left="1680"/>
      <w:jc w:val="left"/>
    </w:pPr>
    <w:rPr>
      <w:rFonts w:ascii="Calibri" w:hAnsi="Calibri" w:eastAsia="仿宋_GB2312"/>
      <w:sz w:val="18"/>
      <w:szCs w:val="18"/>
    </w:rPr>
  </w:style>
  <w:style w:type="paragraph" w:styleId="24">
    <w:name w:val="Date"/>
    <w:basedOn w:val="1"/>
    <w:next w:val="1"/>
    <w:link w:val="223"/>
    <w:qFormat/>
    <w:uiPriority w:val="99"/>
    <w:pPr>
      <w:adjustRightInd w:val="0"/>
      <w:spacing w:line="360" w:lineRule="atLeast"/>
      <w:textAlignment w:val="baseline"/>
    </w:pPr>
    <w:rPr>
      <w:sz w:val="32"/>
    </w:rPr>
  </w:style>
  <w:style w:type="paragraph" w:styleId="25">
    <w:name w:val="Body Text Indent 2"/>
    <w:basedOn w:val="1"/>
    <w:link w:val="168"/>
    <w:unhideWhenUsed/>
    <w:qFormat/>
    <w:uiPriority w:val="0"/>
    <w:pPr>
      <w:spacing w:after="120" w:line="480" w:lineRule="auto"/>
      <w:ind w:left="420" w:leftChars="200"/>
    </w:pPr>
  </w:style>
  <w:style w:type="paragraph" w:styleId="26">
    <w:name w:val="endnote text"/>
    <w:basedOn w:val="1"/>
    <w:link w:val="169"/>
    <w:semiHidden/>
    <w:qFormat/>
    <w:uiPriority w:val="0"/>
    <w:pPr>
      <w:snapToGrid w:val="0"/>
      <w:jc w:val="left"/>
    </w:pPr>
    <w:rPr>
      <w:rFonts w:eastAsia="仿宋_GB2312"/>
      <w:sz w:val="24"/>
      <w:szCs w:val="24"/>
    </w:rPr>
  </w:style>
  <w:style w:type="paragraph" w:styleId="27">
    <w:name w:val="Balloon Text"/>
    <w:basedOn w:val="1"/>
    <w:link w:val="204"/>
    <w:unhideWhenUsed/>
    <w:qFormat/>
    <w:uiPriority w:val="99"/>
    <w:rPr>
      <w:sz w:val="18"/>
      <w:szCs w:val="18"/>
    </w:rPr>
  </w:style>
  <w:style w:type="paragraph" w:styleId="28">
    <w:name w:val="footer"/>
    <w:basedOn w:val="1"/>
    <w:link w:val="148"/>
    <w:unhideWhenUsed/>
    <w:qFormat/>
    <w:uiPriority w:val="99"/>
    <w:pPr>
      <w:tabs>
        <w:tab w:val="center" w:pos="4153"/>
        <w:tab w:val="right" w:pos="8306"/>
      </w:tabs>
      <w:snapToGrid w:val="0"/>
      <w:jc w:val="left"/>
    </w:pPr>
    <w:rPr>
      <w:sz w:val="18"/>
      <w:szCs w:val="18"/>
    </w:rPr>
  </w:style>
  <w:style w:type="paragraph" w:styleId="29">
    <w:name w:val="header"/>
    <w:basedOn w:val="1"/>
    <w:link w:val="153"/>
    <w:unhideWhenUsed/>
    <w:qFormat/>
    <w:uiPriority w:val="99"/>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pPr>
      <w:spacing w:before="120" w:after="120"/>
      <w:jc w:val="left"/>
    </w:pPr>
    <w:rPr>
      <w:rFonts w:ascii="Calibri" w:hAnsi="Calibri" w:eastAsia="仿宋_GB2312"/>
      <w:b/>
      <w:bCs/>
      <w:caps/>
      <w:sz w:val="20"/>
    </w:rPr>
  </w:style>
  <w:style w:type="paragraph" w:styleId="31">
    <w:name w:val="toc 4"/>
    <w:basedOn w:val="1"/>
    <w:next w:val="1"/>
    <w:qFormat/>
    <w:uiPriority w:val="39"/>
    <w:pPr>
      <w:ind w:left="720"/>
      <w:jc w:val="left"/>
    </w:pPr>
    <w:rPr>
      <w:rFonts w:ascii="Calibri" w:hAnsi="Calibri" w:eastAsia="仿宋_GB2312"/>
      <w:sz w:val="18"/>
      <w:szCs w:val="18"/>
    </w:rPr>
  </w:style>
  <w:style w:type="paragraph" w:styleId="32">
    <w:name w:val="Subtitle"/>
    <w:basedOn w:val="1"/>
    <w:next w:val="1"/>
    <w:link w:val="177"/>
    <w:qFormat/>
    <w:uiPriority w:val="11"/>
    <w:pPr>
      <w:spacing w:before="240" w:after="60" w:line="312" w:lineRule="auto"/>
      <w:jc w:val="center"/>
      <w:outlineLvl w:val="1"/>
    </w:pPr>
    <w:rPr>
      <w:rFonts w:ascii="Cambria" w:hAnsi="Cambria"/>
      <w:b/>
      <w:bCs/>
      <w:kern w:val="28"/>
      <w:sz w:val="32"/>
      <w:szCs w:val="32"/>
    </w:rPr>
  </w:style>
  <w:style w:type="paragraph" w:styleId="33">
    <w:name w:val="toc 6"/>
    <w:basedOn w:val="1"/>
    <w:next w:val="1"/>
    <w:qFormat/>
    <w:uiPriority w:val="39"/>
    <w:pPr>
      <w:ind w:left="1200"/>
      <w:jc w:val="left"/>
    </w:pPr>
    <w:rPr>
      <w:rFonts w:ascii="Calibri" w:hAnsi="Calibri" w:eastAsia="仿宋_GB2312"/>
      <w:sz w:val="18"/>
      <w:szCs w:val="18"/>
    </w:rPr>
  </w:style>
  <w:style w:type="paragraph" w:styleId="34">
    <w:name w:val="Body Text Indent 3"/>
    <w:basedOn w:val="1"/>
    <w:link w:val="162"/>
    <w:unhideWhenUsed/>
    <w:qFormat/>
    <w:uiPriority w:val="99"/>
    <w:pPr>
      <w:spacing w:after="120"/>
      <w:ind w:left="420" w:leftChars="200"/>
    </w:pPr>
    <w:rPr>
      <w:sz w:val="16"/>
      <w:szCs w:val="16"/>
    </w:rPr>
  </w:style>
  <w:style w:type="paragraph" w:styleId="35">
    <w:name w:val="table of figures"/>
    <w:basedOn w:val="1"/>
    <w:next w:val="1"/>
    <w:qFormat/>
    <w:uiPriority w:val="0"/>
    <w:pPr>
      <w:ind w:left="200" w:leftChars="200" w:hanging="200" w:hangingChars="200"/>
    </w:pPr>
  </w:style>
  <w:style w:type="paragraph" w:styleId="36">
    <w:name w:val="toc 2"/>
    <w:basedOn w:val="1"/>
    <w:next w:val="1"/>
    <w:qFormat/>
    <w:uiPriority w:val="39"/>
    <w:pPr>
      <w:ind w:left="240"/>
      <w:jc w:val="left"/>
    </w:pPr>
    <w:rPr>
      <w:rFonts w:ascii="Calibri" w:hAnsi="Calibri" w:eastAsia="仿宋_GB2312"/>
      <w:smallCaps/>
      <w:sz w:val="20"/>
    </w:rPr>
  </w:style>
  <w:style w:type="paragraph" w:styleId="37">
    <w:name w:val="toc 9"/>
    <w:basedOn w:val="1"/>
    <w:next w:val="1"/>
    <w:qFormat/>
    <w:uiPriority w:val="39"/>
    <w:pPr>
      <w:ind w:left="1920"/>
      <w:jc w:val="left"/>
    </w:pPr>
    <w:rPr>
      <w:rFonts w:ascii="Calibri" w:hAnsi="Calibri" w:eastAsia="仿宋_GB2312"/>
      <w:sz w:val="18"/>
      <w:szCs w:val="18"/>
    </w:rPr>
  </w:style>
  <w:style w:type="paragraph" w:styleId="38">
    <w:name w:val="Body Text 2"/>
    <w:basedOn w:val="1"/>
    <w:link w:val="163"/>
    <w:unhideWhenUsed/>
    <w:qFormat/>
    <w:uiPriority w:val="0"/>
    <w:pPr>
      <w:spacing w:after="120" w:line="480" w:lineRule="auto"/>
    </w:pPr>
  </w:style>
  <w:style w:type="paragraph" w:styleId="39">
    <w:name w:val="Normal (Web)"/>
    <w:basedOn w:val="1"/>
    <w:qFormat/>
    <w:uiPriority w:val="99"/>
    <w:pPr>
      <w:widowControl/>
      <w:spacing w:before="100" w:beforeAutospacing="1" w:after="100" w:afterAutospacing="1"/>
      <w:jc w:val="left"/>
    </w:pPr>
    <w:rPr>
      <w:rFonts w:ascii="Arial Unicode MS" w:hAnsi="Arial Unicode MS" w:eastAsia="Arial Unicode MS" w:cs="Arial Unicode MS"/>
      <w:color w:val="000000"/>
      <w:kern w:val="0"/>
      <w:sz w:val="24"/>
      <w:szCs w:val="24"/>
    </w:rPr>
  </w:style>
  <w:style w:type="paragraph" w:styleId="40">
    <w:name w:val="index 1"/>
    <w:basedOn w:val="1"/>
    <w:next w:val="1"/>
    <w:unhideWhenUsed/>
    <w:qFormat/>
    <w:uiPriority w:val="0"/>
  </w:style>
  <w:style w:type="paragraph" w:styleId="41">
    <w:name w:val="Title"/>
    <w:basedOn w:val="1"/>
    <w:link w:val="182"/>
    <w:qFormat/>
    <w:uiPriority w:val="99"/>
    <w:pPr>
      <w:spacing w:before="240" w:after="60"/>
      <w:jc w:val="center"/>
      <w:outlineLvl w:val="0"/>
    </w:pPr>
    <w:rPr>
      <w:rFonts w:ascii="Arial" w:hAnsi="Arial" w:eastAsia="仿宋_GB2312" w:cs="Arial"/>
      <w:b/>
      <w:bCs/>
      <w:sz w:val="32"/>
      <w:szCs w:val="32"/>
    </w:rPr>
  </w:style>
  <w:style w:type="paragraph" w:styleId="42">
    <w:name w:val="annotation subject"/>
    <w:basedOn w:val="17"/>
    <w:next w:val="17"/>
    <w:link w:val="186"/>
    <w:unhideWhenUsed/>
    <w:qFormat/>
    <w:uiPriority w:val="99"/>
    <w:rPr>
      <w:b/>
      <w:bCs/>
    </w:rPr>
  </w:style>
  <w:style w:type="paragraph" w:styleId="43">
    <w:name w:val="Body Text First Indent 2"/>
    <w:basedOn w:val="19"/>
    <w:next w:val="1"/>
    <w:unhideWhenUsed/>
    <w:qFormat/>
    <w:uiPriority w:val="99"/>
    <w:pPr>
      <w:ind w:firstLine="420" w:firstLineChars="200"/>
    </w:pPr>
    <w:rPr>
      <w:rFonts w:ascii="Calibri" w:hAnsi="Calibri"/>
      <w:sz w:val="21"/>
      <w:szCs w:val="22"/>
    </w:rPr>
  </w:style>
  <w:style w:type="table" w:styleId="45">
    <w:name w:val="Table Grid"/>
    <w:basedOn w:val="44"/>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7">
    <w:name w:val="Strong"/>
    <w:basedOn w:val="46"/>
    <w:qFormat/>
    <w:uiPriority w:val="99"/>
    <w:rPr>
      <w:b/>
      <w:bCs/>
    </w:rPr>
  </w:style>
  <w:style w:type="character" w:styleId="48">
    <w:name w:val="page number"/>
    <w:basedOn w:val="46"/>
    <w:qFormat/>
    <w:uiPriority w:val="99"/>
  </w:style>
  <w:style w:type="character" w:styleId="49">
    <w:name w:val="FollowedHyperlink"/>
    <w:basedOn w:val="46"/>
    <w:qFormat/>
    <w:uiPriority w:val="99"/>
    <w:rPr>
      <w:rFonts w:hint="eastAsia" w:ascii="宋体" w:hAnsi="宋体" w:eastAsia="宋体" w:cs="宋体"/>
      <w:color w:val="0031C1"/>
      <w:sz w:val="18"/>
      <w:szCs w:val="18"/>
      <w:u w:val="none"/>
    </w:rPr>
  </w:style>
  <w:style w:type="character" w:styleId="50">
    <w:name w:val="Emphasis"/>
    <w:basedOn w:val="46"/>
    <w:qFormat/>
    <w:uiPriority w:val="20"/>
  </w:style>
  <w:style w:type="character" w:styleId="51">
    <w:name w:val="HTML Definition"/>
    <w:basedOn w:val="46"/>
    <w:unhideWhenUsed/>
    <w:qFormat/>
    <w:uiPriority w:val="99"/>
    <w:rPr>
      <w:i/>
      <w:iCs/>
    </w:rPr>
  </w:style>
  <w:style w:type="character" w:styleId="52">
    <w:name w:val="HTML Variable"/>
    <w:basedOn w:val="46"/>
    <w:unhideWhenUsed/>
    <w:qFormat/>
    <w:uiPriority w:val="99"/>
  </w:style>
  <w:style w:type="character" w:styleId="53">
    <w:name w:val="Hyperlink"/>
    <w:basedOn w:val="46"/>
    <w:unhideWhenUsed/>
    <w:qFormat/>
    <w:uiPriority w:val="99"/>
    <w:rPr>
      <w:color w:val="0000FF"/>
      <w:u w:val="single"/>
    </w:rPr>
  </w:style>
  <w:style w:type="character" w:styleId="54">
    <w:name w:val="HTML Code"/>
    <w:basedOn w:val="46"/>
    <w:unhideWhenUsed/>
    <w:qFormat/>
    <w:uiPriority w:val="99"/>
    <w:rPr>
      <w:rFonts w:ascii="serif" w:hAnsi="serif" w:eastAsia="serif" w:cs="serif"/>
      <w:sz w:val="21"/>
      <w:szCs w:val="21"/>
    </w:rPr>
  </w:style>
  <w:style w:type="character" w:styleId="55">
    <w:name w:val="annotation reference"/>
    <w:basedOn w:val="46"/>
    <w:unhideWhenUsed/>
    <w:qFormat/>
    <w:uiPriority w:val="99"/>
    <w:rPr>
      <w:sz w:val="21"/>
      <w:szCs w:val="21"/>
    </w:rPr>
  </w:style>
  <w:style w:type="character" w:styleId="56">
    <w:name w:val="HTML Cite"/>
    <w:basedOn w:val="46"/>
    <w:unhideWhenUsed/>
    <w:qFormat/>
    <w:uiPriority w:val="99"/>
  </w:style>
  <w:style w:type="character" w:styleId="57">
    <w:name w:val="HTML Keyboard"/>
    <w:basedOn w:val="46"/>
    <w:unhideWhenUsed/>
    <w:qFormat/>
    <w:uiPriority w:val="99"/>
    <w:rPr>
      <w:rFonts w:hint="default" w:ascii="serif" w:hAnsi="serif" w:eastAsia="serif" w:cs="serif"/>
      <w:sz w:val="21"/>
      <w:szCs w:val="21"/>
    </w:rPr>
  </w:style>
  <w:style w:type="character" w:styleId="58">
    <w:name w:val="HTML Sample"/>
    <w:basedOn w:val="46"/>
    <w:unhideWhenUsed/>
    <w:qFormat/>
    <w:uiPriority w:val="99"/>
    <w:rPr>
      <w:rFonts w:hint="default" w:ascii="serif" w:hAnsi="serif" w:eastAsia="serif" w:cs="serif"/>
      <w:sz w:val="21"/>
      <w:szCs w:val="21"/>
    </w:rPr>
  </w:style>
  <w:style w:type="paragraph" w:customStyle="1" w:styleId="59">
    <w:name w:val="首行缩进"/>
    <w:basedOn w:val="1"/>
    <w:qFormat/>
    <w:uiPriority w:val="0"/>
    <w:pPr>
      <w:ind w:firstLine="480"/>
    </w:pPr>
    <w:rPr>
      <w:rFonts w:ascii="Calibri" w:hAnsi="Calibri"/>
      <w:szCs w:val="22"/>
      <w:lang w:val="zh-CN"/>
    </w:rPr>
  </w:style>
  <w:style w:type="paragraph" w:customStyle="1" w:styleId="60">
    <w:name w:val="样式 首行缩进:  2 字符"/>
    <w:basedOn w:val="1"/>
    <w:qFormat/>
    <w:uiPriority w:val="0"/>
    <w:pPr>
      <w:spacing w:line="360" w:lineRule="auto"/>
      <w:ind w:firstLine="480" w:firstLineChars="200"/>
    </w:pPr>
    <w:rPr>
      <w:rFonts w:eastAsia="仿宋_GB2312"/>
      <w:color w:val="000000"/>
      <w:sz w:val="24"/>
    </w:rPr>
  </w:style>
  <w:style w:type="paragraph" w:customStyle="1" w:styleId="61">
    <w:name w:val="font6"/>
    <w:basedOn w:val="1"/>
    <w:qFormat/>
    <w:uiPriority w:val="0"/>
    <w:pPr>
      <w:widowControl/>
      <w:spacing w:before="100" w:beforeAutospacing="1" w:after="100" w:afterAutospacing="1"/>
      <w:jc w:val="left"/>
    </w:pPr>
    <w:rPr>
      <w:rFonts w:hint="eastAsia" w:ascii="宋体" w:hAnsi="宋体" w:eastAsia="仿宋_GB2312" w:cs="Arial Unicode MS"/>
      <w:kern w:val="0"/>
      <w:sz w:val="24"/>
      <w:szCs w:val="21"/>
    </w:rPr>
  </w:style>
  <w:style w:type="paragraph" w:customStyle="1" w:styleId="62">
    <w:name w:val="需求要点"/>
    <w:basedOn w:val="1"/>
    <w:qFormat/>
    <w:uiPriority w:val="0"/>
    <w:pPr>
      <w:tabs>
        <w:tab w:val="left" w:pos="-2694"/>
      </w:tabs>
      <w:spacing w:line="288" w:lineRule="auto"/>
      <w:ind w:firstLine="480" w:firstLineChars="200"/>
      <w:jc w:val="center"/>
    </w:pPr>
    <w:rPr>
      <w:rFonts w:ascii="宋体" w:hAnsi="宋体"/>
      <w:sz w:val="24"/>
      <w:szCs w:val="24"/>
    </w:rPr>
  </w:style>
  <w:style w:type="paragraph" w:customStyle="1" w:styleId="63">
    <w:name w:val="需求5级"/>
    <w:basedOn w:val="4"/>
    <w:next w:val="64"/>
    <w:qFormat/>
    <w:uiPriority w:val="99"/>
    <w:pPr>
      <w:spacing w:before="0" w:after="0" w:line="360" w:lineRule="auto"/>
      <w:ind w:firstLine="200" w:firstLineChars="200"/>
      <w:outlineLvl w:val="4"/>
    </w:pPr>
    <w:rPr>
      <w:rFonts w:ascii="宋体" w:hAnsi="宋体"/>
      <w:spacing w:val="6"/>
      <w:position w:val="6"/>
      <w:sz w:val="24"/>
      <w:szCs w:val="24"/>
    </w:rPr>
  </w:style>
  <w:style w:type="paragraph" w:customStyle="1" w:styleId="64">
    <w:name w:val="需求正文"/>
    <w:basedOn w:val="1"/>
    <w:qFormat/>
    <w:uiPriority w:val="99"/>
    <w:pPr>
      <w:spacing w:line="360" w:lineRule="auto"/>
      <w:ind w:firstLine="200" w:firstLineChars="200"/>
    </w:pPr>
    <w:rPr>
      <w:rFonts w:ascii="宋体" w:hAnsi="宋体"/>
      <w:sz w:val="24"/>
      <w:szCs w:val="24"/>
    </w:rPr>
  </w:style>
  <w:style w:type="paragraph" w:customStyle="1" w:styleId="65">
    <w:name w:val="xl24"/>
    <w:basedOn w:val="1"/>
    <w:qFormat/>
    <w:uiPriority w:val="0"/>
    <w:pPr>
      <w:widowControl/>
      <w:pBdr>
        <w:left w:val="single" w:color="000000" w:sz="12" w:space="0"/>
        <w:bottom w:val="single" w:color="000000" w:sz="4" w:space="0"/>
        <w:right w:val="single" w:color="000000" w:sz="4" w:space="0"/>
      </w:pBdr>
      <w:spacing w:before="100" w:beforeAutospacing="1" w:after="100" w:afterAutospacing="1"/>
      <w:textAlignment w:val="top"/>
    </w:pPr>
    <w:rPr>
      <w:rFonts w:eastAsia="Arial Unicode MS"/>
      <w:kern w:val="0"/>
      <w:sz w:val="24"/>
      <w:szCs w:val="21"/>
    </w:rPr>
  </w:style>
  <w:style w:type="paragraph" w:customStyle="1" w:styleId="66">
    <w:name w:val="样式 (符号) 宋体 小四 首行缩进:  0.74 厘米 行距: 1.5 倍行距"/>
    <w:basedOn w:val="1"/>
    <w:link w:val="183"/>
    <w:qFormat/>
    <w:uiPriority w:val="0"/>
    <w:pPr>
      <w:spacing w:line="360" w:lineRule="auto"/>
      <w:ind w:left="200" w:leftChars="200" w:firstLine="420"/>
      <w:jc w:val="left"/>
    </w:pPr>
    <w:rPr>
      <w:rFonts w:hAnsi="宋体" w:cs="宋体"/>
      <w:sz w:val="24"/>
    </w:rPr>
  </w:style>
  <w:style w:type="paragraph" w:customStyle="1" w:styleId="67">
    <w:name w:val="标书正文"/>
    <w:basedOn w:val="66"/>
    <w:link w:val="201"/>
    <w:qFormat/>
    <w:uiPriority w:val="0"/>
  </w:style>
  <w:style w:type="paragraph" w:customStyle="1" w:styleId="68">
    <w:name w:val="标准文本"/>
    <w:basedOn w:val="1"/>
    <w:link w:val="222"/>
    <w:qFormat/>
    <w:uiPriority w:val="0"/>
    <w:pPr>
      <w:snapToGrid w:val="0"/>
      <w:spacing w:line="360" w:lineRule="auto"/>
      <w:ind w:firstLine="420"/>
      <w:jc w:val="left"/>
    </w:pPr>
    <w:rPr>
      <w:rFonts w:ascii="宋体" w:hAnsi="宋体"/>
      <w:kern w:val="0"/>
      <w:sz w:val="24"/>
      <w:szCs w:val="24"/>
    </w:rPr>
  </w:style>
  <w:style w:type="paragraph" w:customStyle="1" w:styleId="69">
    <w:name w:val="·编号标题 4"/>
    <w:basedOn w:val="6"/>
    <w:next w:val="13"/>
    <w:qFormat/>
    <w:uiPriority w:val="0"/>
    <w:pPr>
      <w:numPr>
        <w:ilvl w:val="3"/>
        <w:numId w:val="2"/>
      </w:numPr>
      <w:spacing w:line="374" w:lineRule="auto"/>
    </w:pPr>
    <w:rPr>
      <w:kern w:val="0"/>
      <w:lang w:val="zh-CN"/>
    </w:rPr>
  </w:style>
  <w:style w:type="paragraph" w:customStyle="1" w:styleId="70">
    <w:name w:val="样式 标题 3H3标题 3 Char Charh3Level 3 Topic HeadingHeading 3 - o..."/>
    <w:basedOn w:val="5"/>
    <w:qFormat/>
    <w:uiPriority w:val="0"/>
    <w:pPr>
      <w:numPr>
        <w:ilvl w:val="2"/>
        <w:numId w:val="1"/>
      </w:numPr>
      <w:tabs>
        <w:tab w:val="left" w:pos="720"/>
      </w:tabs>
      <w:spacing w:line="360" w:lineRule="auto"/>
      <w:ind w:left="720"/>
    </w:pPr>
    <w:rPr>
      <w:rFonts w:ascii="宋体" w:cs="宋体"/>
      <w:b w:val="0"/>
      <w:bCs w:val="0"/>
      <w:kern w:val="0"/>
      <w:sz w:val="24"/>
      <w:szCs w:val="20"/>
      <w:lang w:val="zh-CN"/>
    </w:rPr>
  </w:style>
  <w:style w:type="paragraph" w:customStyle="1" w:styleId="71">
    <w:name w:val="哈哈正文"/>
    <w:basedOn w:val="1"/>
    <w:qFormat/>
    <w:uiPriority w:val="0"/>
    <w:pPr>
      <w:spacing w:line="360" w:lineRule="auto"/>
      <w:ind w:firstLine="200" w:firstLineChars="200"/>
    </w:pPr>
    <w:rPr>
      <w:rFonts w:ascii="宋体" w:hAnsi="宋体" w:cs="宋体"/>
      <w:sz w:val="24"/>
    </w:rPr>
  </w:style>
  <w:style w:type="paragraph" w:customStyle="1" w:styleId="72">
    <w:name w:val="编号1."/>
    <w:basedOn w:val="1"/>
    <w:qFormat/>
    <w:uiPriority w:val="0"/>
    <w:pPr>
      <w:numPr>
        <w:ilvl w:val="0"/>
        <w:numId w:val="3"/>
      </w:numPr>
      <w:adjustRightInd w:val="0"/>
      <w:ind w:left="200" w:leftChars="200"/>
    </w:pPr>
    <w:rPr>
      <w:rFonts w:ascii="仿宋_GB2312" w:eastAsia="仿宋_GB2312"/>
      <w:sz w:val="32"/>
      <w:szCs w:val="32"/>
    </w:rPr>
  </w:style>
  <w:style w:type="paragraph" w:customStyle="1" w:styleId="73">
    <w:name w:val="level 3 text"/>
    <w:basedOn w:val="1"/>
    <w:qFormat/>
    <w:uiPriority w:val="0"/>
    <w:pPr>
      <w:widowControl/>
      <w:ind w:left="635"/>
      <w:jc w:val="left"/>
    </w:pPr>
    <w:rPr>
      <w:rFonts w:ascii="Arial" w:hAnsi="Arial" w:eastAsia="仿宋_GB2312"/>
      <w:iCs/>
      <w:kern w:val="0"/>
      <w:sz w:val="24"/>
    </w:rPr>
  </w:style>
  <w:style w:type="paragraph" w:customStyle="1" w:styleId="74">
    <w:name w:val="p0"/>
    <w:basedOn w:val="1"/>
    <w:qFormat/>
    <w:uiPriority w:val="0"/>
    <w:pPr>
      <w:widowControl/>
    </w:pPr>
    <w:rPr>
      <w:kern w:val="0"/>
      <w:szCs w:val="21"/>
    </w:rPr>
  </w:style>
  <w:style w:type="paragraph" w:customStyle="1" w:styleId="75">
    <w:name w:val="需求正文编号"/>
    <w:basedOn w:val="64"/>
    <w:qFormat/>
    <w:uiPriority w:val="99"/>
    <w:pPr>
      <w:numPr>
        <w:ilvl w:val="0"/>
        <w:numId w:val="4"/>
      </w:numPr>
      <w:ind w:firstLine="0" w:firstLineChars="0"/>
    </w:pPr>
  </w:style>
  <w:style w:type="paragraph" w:customStyle="1" w:styleId="76">
    <w:name w:val="样式 (符号) 宋体2"/>
    <w:basedOn w:val="1"/>
    <w:qFormat/>
    <w:uiPriority w:val="0"/>
    <w:pPr>
      <w:snapToGrid w:val="0"/>
      <w:spacing w:line="360" w:lineRule="auto"/>
      <w:ind w:firstLine="480" w:firstLineChars="200"/>
      <w:jc w:val="left"/>
    </w:pPr>
    <w:rPr>
      <w:rFonts w:ascii="宋体" w:hAnsi="宋体" w:cs="宋体"/>
      <w:sz w:val="24"/>
    </w:rPr>
  </w:style>
  <w:style w:type="paragraph" w:customStyle="1" w:styleId="77">
    <w:name w:val="Char Char Char Char"/>
    <w:basedOn w:val="1"/>
    <w:qFormat/>
    <w:uiPriority w:val="99"/>
    <w:pPr>
      <w:widowControl/>
      <w:adjustRightInd w:val="0"/>
      <w:spacing w:after="160" w:line="240" w:lineRule="exact"/>
      <w:jc w:val="left"/>
      <w:textAlignment w:val="baseline"/>
    </w:pPr>
    <w:rPr>
      <w:rFonts w:ascii="Arial" w:hAnsi="Arial" w:eastAsia="Times New Roman" w:cs="Verdana"/>
      <w:b/>
      <w:kern w:val="0"/>
      <w:sz w:val="24"/>
      <w:lang w:eastAsia="en-US"/>
    </w:rPr>
  </w:style>
  <w:style w:type="paragraph" w:customStyle="1" w:styleId="78">
    <w:name w:val="·编号标题 3"/>
    <w:basedOn w:val="5"/>
    <w:next w:val="13"/>
    <w:link w:val="196"/>
    <w:qFormat/>
    <w:uiPriority w:val="0"/>
    <w:pPr>
      <w:numPr>
        <w:ilvl w:val="0"/>
        <w:numId w:val="2"/>
      </w:numPr>
      <w:tabs>
        <w:tab w:val="left" w:pos="1479"/>
      </w:tabs>
      <w:spacing w:line="415" w:lineRule="auto"/>
    </w:pPr>
    <w:rPr>
      <w:rFonts w:ascii="Calibri" w:hAnsi="Calibri"/>
    </w:rPr>
  </w:style>
  <w:style w:type="paragraph" w:customStyle="1" w:styleId="79">
    <w:name w:val="加粗"/>
    <w:basedOn w:val="80"/>
    <w:qFormat/>
    <w:uiPriority w:val="0"/>
    <w:pPr>
      <w:numPr>
        <w:ilvl w:val="0"/>
        <w:numId w:val="5"/>
      </w:numPr>
      <w:tabs>
        <w:tab w:val="left" w:pos="456"/>
        <w:tab w:val="right" w:leader="dot" w:pos="9174"/>
      </w:tabs>
      <w:spacing w:afterLines="0"/>
    </w:pPr>
    <w:rPr>
      <w:b/>
      <w:color w:val="FF6600"/>
    </w:rPr>
  </w:style>
  <w:style w:type="paragraph" w:customStyle="1" w:styleId="80">
    <w:name w:val="正文悬挂缩进"/>
    <w:basedOn w:val="1"/>
    <w:qFormat/>
    <w:uiPriority w:val="0"/>
    <w:pPr>
      <w:tabs>
        <w:tab w:val="left" w:pos="456"/>
        <w:tab w:val="right" w:leader="dot" w:pos="9174"/>
      </w:tabs>
      <w:spacing w:afterLines="50" w:line="360" w:lineRule="auto"/>
      <w:ind w:firstLine="480" w:firstLineChars="200"/>
    </w:pPr>
    <w:rPr>
      <w:rFonts w:eastAsia="仿宋_GB2312"/>
      <w:sz w:val="24"/>
      <w:szCs w:val="24"/>
    </w:rPr>
  </w:style>
  <w:style w:type="paragraph" w:customStyle="1" w:styleId="81">
    <w:name w:val="MM Topic 1"/>
    <w:basedOn w:val="3"/>
    <w:qFormat/>
    <w:uiPriority w:val="0"/>
    <w:pPr>
      <w:keepLines w:val="0"/>
      <w:spacing w:line="576" w:lineRule="auto"/>
      <w:ind w:left="1440" w:hanging="360"/>
    </w:pPr>
    <w:rPr>
      <w:lang w:val="zh-CN"/>
    </w:rPr>
  </w:style>
  <w:style w:type="paragraph" w:customStyle="1" w:styleId="82">
    <w:name w:val="列出段落1"/>
    <w:basedOn w:val="1"/>
    <w:link w:val="160"/>
    <w:qFormat/>
    <w:uiPriority w:val="34"/>
    <w:pPr>
      <w:ind w:firstLine="420" w:firstLineChars="200"/>
    </w:pPr>
  </w:style>
  <w:style w:type="paragraph" w:customStyle="1" w:styleId="83">
    <w:name w:val="Default"/>
    <w:link w:val="219"/>
    <w:qFormat/>
    <w:uiPriority w:val="0"/>
    <w:pPr>
      <w:widowControl w:val="0"/>
      <w:autoSpaceDE w:val="0"/>
      <w:autoSpaceDN w:val="0"/>
      <w:adjustRightInd w:val="0"/>
    </w:pPr>
    <w:rPr>
      <w:rFonts w:ascii="......." w:hAnsi="Calibri" w:eastAsia="......." w:cs="......."/>
      <w:color w:val="000000"/>
      <w:sz w:val="24"/>
      <w:szCs w:val="24"/>
      <w:lang w:val="en-US" w:eastAsia="zh-CN" w:bidi="ar-SA"/>
    </w:rPr>
  </w:style>
  <w:style w:type="paragraph" w:customStyle="1" w:styleId="84">
    <w:name w:val="TOC 标题1"/>
    <w:basedOn w:val="3"/>
    <w:next w:val="1"/>
    <w:qFormat/>
    <w:uiPriority w:val="39"/>
    <w:pPr>
      <w:keepLines w:val="0"/>
      <w:widowControl/>
      <w:spacing w:before="480" w:after="0" w:line="276" w:lineRule="auto"/>
      <w:jc w:val="left"/>
      <w:outlineLvl w:val="9"/>
    </w:pPr>
    <w:rPr>
      <w:rFonts w:ascii="Cambria" w:hAnsi="Cambria"/>
      <w:color w:val="365F91"/>
      <w:kern w:val="0"/>
      <w:sz w:val="28"/>
      <w:szCs w:val="28"/>
      <w:lang w:val="zh-CN"/>
    </w:rPr>
  </w:style>
  <w:style w:type="paragraph" w:customStyle="1" w:styleId="85">
    <w:name w:val="列出段落2"/>
    <w:basedOn w:val="1"/>
    <w:qFormat/>
    <w:uiPriority w:val="34"/>
    <w:pPr>
      <w:widowControl/>
      <w:spacing w:before="15" w:after="15"/>
      <w:ind w:firstLine="420" w:firstLineChars="200"/>
      <w:jc w:val="left"/>
    </w:pPr>
    <w:rPr>
      <w:rFonts w:ascii="Calibri" w:hAnsi="Calibri"/>
      <w:szCs w:val="22"/>
    </w:rPr>
  </w:style>
  <w:style w:type="paragraph" w:customStyle="1" w:styleId="86">
    <w:name w:val="列出段落21"/>
    <w:basedOn w:val="1"/>
    <w:unhideWhenUsed/>
    <w:qFormat/>
    <w:uiPriority w:val="99"/>
    <w:pPr>
      <w:ind w:firstLine="420" w:firstLineChars="200"/>
    </w:pPr>
  </w:style>
  <w:style w:type="paragraph" w:customStyle="1" w:styleId="87">
    <w:name w:val="·编号标题 1"/>
    <w:basedOn w:val="3"/>
    <w:next w:val="13"/>
    <w:qFormat/>
    <w:uiPriority w:val="0"/>
    <w:pPr>
      <w:keepLines w:val="0"/>
      <w:spacing w:line="576" w:lineRule="auto"/>
      <w:ind w:left="928" w:hanging="360"/>
    </w:pPr>
    <w:rPr>
      <w:rFonts w:ascii="Calibri" w:hAnsi="Calibri"/>
      <w:lang w:val="zh-CN"/>
    </w:rPr>
  </w:style>
  <w:style w:type="paragraph" w:customStyle="1" w:styleId="88">
    <w:name w:val="InfoBlue"/>
    <w:basedOn w:val="1"/>
    <w:next w:val="2"/>
    <w:qFormat/>
    <w:uiPriority w:val="0"/>
    <w:pPr>
      <w:spacing w:after="120" w:line="240" w:lineRule="atLeast"/>
      <w:ind w:left="720"/>
      <w:jc w:val="left"/>
    </w:pPr>
    <w:rPr>
      <w:rFonts w:ascii="宋体" w:eastAsia="仿宋_GB2312"/>
      <w:i/>
      <w:iCs/>
      <w:snapToGrid w:val="0"/>
      <w:color w:val="0000FF"/>
      <w:kern w:val="0"/>
      <w:sz w:val="20"/>
    </w:rPr>
  </w:style>
  <w:style w:type="paragraph" w:customStyle="1" w:styleId="89">
    <w:name w:val="TOC 标题2"/>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90">
    <w:name w:val="Char"/>
    <w:basedOn w:val="1"/>
    <w:qFormat/>
    <w:uiPriority w:val="0"/>
    <w:pPr>
      <w:tabs>
        <w:tab w:val="left" w:pos="360"/>
      </w:tabs>
    </w:pPr>
    <w:rPr>
      <w:sz w:val="24"/>
      <w:szCs w:val="24"/>
    </w:rPr>
  </w:style>
  <w:style w:type="paragraph" w:customStyle="1" w:styleId="91">
    <w:name w:val="标题2"/>
    <w:basedOn w:val="4"/>
    <w:next w:val="1"/>
    <w:qFormat/>
    <w:uiPriority w:val="0"/>
    <w:rPr>
      <w:rFonts w:ascii="仿宋_GB2312" w:hAnsi="Arial" w:eastAsia="仿宋_GB2312"/>
      <w:szCs w:val="28"/>
    </w:rPr>
  </w:style>
  <w:style w:type="paragraph" w:customStyle="1" w:styleId="92">
    <w:name w:val="首行缩进2小四1"/>
    <w:basedOn w:val="1"/>
    <w:next w:val="1"/>
    <w:qFormat/>
    <w:uiPriority w:val="0"/>
    <w:pPr>
      <w:ind w:firstLine="480" w:firstLineChars="200"/>
    </w:pPr>
    <w:rPr>
      <w:rFonts w:ascii="Verdana" w:hAnsi="Verdana" w:eastAsia="华文细黑" w:cs="宋体"/>
      <w:sz w:val="24"/>
    </w:rPr>
  </w:style>
  <w:style w:type="paragraph" w:customStyle="1" w:styleId="93">
    <w:name w:val="需求3级"/>
    <w:basedOn w:val="5"/>
    <w:next w:val="64"/>
    <w:qFormat/>
    <w:uiPriority w:val="99"/>
    <w:pPr>
      <w:spacing w:before="360" w:line="360" w:lineRule="auto"/>
    </w:pPr>
    <w:rPr>
      <w:rFonts w:ascii="方正小标宋简体" w:hAnsi="宋体" w:eastAsia="方正小标宋简体"/>
      <w:b w:val="0"/>
      <w:sz w:val="24"/>
      <w:szCs w:val="24"/>
    </w:rPr>
  </w:style>
  <w:style w:type="paragraph" w:customStyle="1" w:styleId="94">
    <w:name w:val="Cover-other"/>
    <w:basedOn w:val="1"/>
    <w:qFormat/>
    <w:uiPriority w:val="0"/>
    <w:pPr>
      <w:adjustRightInd w:val="0"/>
      <w:spacing w:after="60" w:line="360" w:lineRule="atLeast"/>
      <w:jc w:val="center"/>
      <w:textAlignment w:val="baseline"/>
    </w:pPr>
    <w:rPr>
      <w:rFonts w:eastAsia="Times New Roman"/>
      <w:b/>
      <w:kern w:val="0"/>
      <w:sz w:val="24"/>
      <w:szCs w:val="24"/>
      <w:lang w:eastAsia="en-US"/>
    </w:rPr>
  </w:style>
  <w:style w:type="paragraph" w:customStyle="1" w:styleId="95">
    <w:name w:val="样式 宋体小四，1.5 倍行距"/>
    <w:basedOn w:val="1"/>
    <w:qFormat/>
    <w:uiPriority w:val="0"/>
    <w:pPr>
      <w:spacing w:line="360" w:lineRule="auto"/>
    </w:pPr>
    <w:rPr>
      <w:rFonts w:cs="宋体"/>
      <w:sz w:val="24"/>
    </w:rPr>
  </w:style>
  <w:style w:type="paragraph" w:customStyle="1" w:styleId="96">
    <w:name w:val="font5"/>
    <w:basedOn w:val="1"/>
    <w:qFormat/>
    <w:uiPriority w:val="0"/>
    <w:pPr>
      <w:widowControl/>
      <w:spacing w:before="100" w:beforeAutospacing="1" w:after="100" w:afterAutospacing="1"/>
      <w:jc w:val="left"/>
    </w:pPr>
    <w:rPr>
      <w:rFonts w:eastAsia="Arial Unicode MS"/>
      <w:kern w:val="0"/>
      <w:sz w:val="24"/>
      <w:szCs w:val="21"/>
    </w:rPr>
  </w:style>
  <w:style w:type="paragraph" w:customStyle="1" w:styleId="97">
    <w:name w:val="TOCEntry"/>
    <w:basedOn w:val="1"/>
    <w:qFormat/>
    <w:uiPriority w:val="0"/>
    <w:pPr>
      <w:keepNext/>
      <w:keepLines/>
      <w:widowControl/>
      <w:spacing w:before="120" w:after="240" w:line="240" w:lineRule="atLeast"/>
      <w:jc w:val="left"/>
    </w:pPr>
    <w:rPr>
      <w:rFonts w:ascii="Times" w:hAnsi="Times" w:eastAsia="仿宋_GB2312"/>
      <w:b/>
      <w:kern w:val="0"/>
      <w:sz w:val="36"/>
    </w:rPr>
  </w:style>
  <w:style w:type="paragraph" w:customStyle="1" w:styleId="98">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9">
    <w:name w:val="Char1"/>
    <w:basedOn w:val="1"/>
    <w:qFormat/>
    <w:uiPriority w:val="0"/>
    <w:pPr>
      <w:tabs>
        <w:tab w:val="left" w:pos="360"/>
      </w:tabs>
    </w:pPr>
    <w:rPr>
      <w:sz w:val="24"/>
      <w:szCs w:val="24"/>
    </w:rPr>
  </w:style>
  <w:style w:type="paragraph" w:customStyle="1" w:styleId="100">
    <w:name w:val="无间隔1"/>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101">
    <w:name w:val="Table Text"/>
    <w:basedOn w:val="1"/>
    <w:qFormat/>
    <w:uiPriority w:val="0"/>
    <w:pPr>
      <w:keepLines/>
      <w:overflowPunct w:val="0"/>
      <w:autoSpaceDE w:val="0"/>
      <w:autoSpaceDN w:val="0"/>
      <w:adjustRightInd w:val="0"/>
      <w:jc w:val="left"/>
      <w:textAlignment w:val="baseline"/>
    </w:pPr>
    <w:rPr>
      <w:rFonts w:ascii="宋体" w:eastAsia="仿宋_GB2312"/>
      <w:kern w:val="0"/>
      <w:sz w:val="16"/>
    </w:rPr>
  </w:style>
  <w:style w:type="paragraph" w:customStyle="1" w:styleId="102">
    <w:name w:val="7"/>
    <w:qFormat/>
    <w:uiPriority w:val="0"/>
    <w:pPr>
      <w:widowControl w:val="0"/>
      <w:jc w:val="both"/>
    </w:pPr>
    <w:rPr>
      <w:rFonts w:ascii="Times New Roman" w:hAnsi="Times New Roman" w:eastAsia="仿宋_GB2312" w:cs="Times New Roman"/>
      <w:kern w:val="2"/>
      <w:sz w:val="24"/>
      <w:szCs w:val="24"/>
      <w:lang w:val="en-US" w:eastAsia="zh-CN" w:bidi="ar-SA"/>
    </w:rPr>
  </w:style>
  <w:style w:type="paragraph" w:customStyle="1" w:styleId="103">
    <w:name w:val="template"/>
    <w:basedOn w:val="1"/>
    <w:qFormat/>
    <w:uiPriority w:val="0"/>
    <w:pPr>
      <w:widowControl/>
      <w:spacing w:line="240" w:lineRule="exact"/>
      <w:jc w:val="left"/>
    </w:pPr>
    <w:rPr>
      <w:rFonts w:ascii="Arial" w:hAnsi="Arial" w:eastAsia="仿宋_GB2312"/>
      <w:i/>
      <w:kern w:val="0"/>
      <w:sz w:val="22"/>
    </w:rPr>
  </w:style>
  <w:style w:type="paragraph" w:customStyle="1" w:styleId="10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05">
    <w:name w:val="列表段落1"/>
    <w:basedOn w:val="1"/>
    <w:qFormat/>
    <w:uiPriority w:val="99"/>
    <w:pPr>
      <w:ind w:firstLine="420" w:firstLineChars="200"/>
    </w:pPr>
    <w:rPr>
      <w:szCs w:val="24"/>
    </w:rPr>
  </w:style>
  <w:style w:type="paragraph" w:customStyle="1" w:styleId="106">
    <w:name w:val="修订1"/>
    <w:semiHidden/>
    <w:qFormat/>
    <w:uiPriority w:val="99"/>
    <w:rPr>
      <w:rFonts w:ascii="Calibri" w:hAnsi="Calibri" w:eastAsia="仿宋_GB2312" w:cs="Times New Roman"/>
      <w:kern w:val="2"/>
      <w:sz w:val="28"/>
      <w:szCs w:val="22"/>
      <w:lang w:val="en-US" w:eastAsia="zh-CN" w:bidi="ar-SA"/>
    </w:rPr>
  </w:style>
  <w:style w:type="paragraph" w:customStyle="1" w:styleId="107">
    <w:name w:val="Paragraph2"/>
    <w:basedOn w:val="1"/>
    <w:qFormat/>
    <w:uiPriority w:val="0"/>
    <w:pPr>
      <w:spacing w:before="80" w:line="240" w:lineRule="atLeast"/>
      <w:ind w:left="720"/>
    </w:pPr>
    <w:rPr>
      <w:rFonts w:ascii="宋体" w:eastAsia="仿宋_GB2312"/>
      <w:snapToGrid w:val="0"/>
      <w:color w:val="000000"/>
      <w:kern w:val="0"/>
      <w:sz w:val="20"/>
      <w:lang w:val="en-AU"/>
    </w:rPr>
  </w:style>
  <w:style w:type="paragraph" w:customStyle="1" w:styleId="108">
    <w:name w:val="标准正文格式"/>
    <w:basedOn w:val="1"/>
    <w:qFormat/>
    <w:uiPriority w:val="0"/>
    <w:pPr>
      <w:widowControl/>
      <w:adjustRightInd w:val="0"/>
      <w:spacing w:before="60" w:after="120" w:line="360" w:lineRule="auto"/>
      <w:ind w:firstLine="200" w:firstLineChars="200"/>
      <w:textAlignment w:val="baseline"/>
    </w:pPr>
    <w:rPr>
      <w:rFonts w:ascii="宋体" w:eastAsia="仿宋"/>
      <w:color w:val="000000"/>
      <w:kern w:val="0"/>
      <w:sz w:val="24"/>
      <w:lang w:val="zh-CN"/>
    </w:rPr>
  </w:style>
  <w:style w:type="paragraph" w:customStyle="1" w:styleId="109">
    <w:name w:val="规范正文"/>
    <w:basedOn w:val="1"/>
    <w:qFormat/>
    <w:uiPriority w:val="0"/>
    <w:pPr>
      <w:adjustRightInd w:val="0"/>
      <w:spacing w:line="360" w:lineRule="auto"/>
      <w:ind w:left="480"/>
      <w:textAlignment w:val="baseline"/>
    </w:pPr>
    <w:rPr>
      <w:kern w:val="0"/>
      <w:sz w:val="24"/>
    </w:rPr>
  </w:style>
  <w:style w:type="paragraph" w:customStyle="1" w:styleId="110">
    <w:name w:val="样式 正文悬挂缩进 + (西文)斜体 蓝色"/>
    <w:basedOn w:val="80"/>
    <w:qFormat/>
    <w:uiPriority w:val="0"/>
    <w:rPr>
      <w:i/>
      <w:color w:val="0000FF"/>
    </w:rPr>
  </w:style>
  <w:style w:type="paragraph" w:customStyle="1" w:styleId="111">
    <w:name w:val="标题 2+ 小三"/>
    <w:basedOn w:val="3"/>
    <w:link w:val="216"/>
    <w:qFormat/>
    <w:uiPriority w:val="99"/>
    <w:rPr>
      <w:sz w:val="30"/>
    </w:rPr>
  </w:style>
  <w:style w:type="paragraph" w:customStyle="1" w:styleId="112">
    <w:name w:val="中文摘要标题"/>
    <w:next w:val="1"/>
    <w:qFormat/>
    <w:uiPriority w:val="0"/>
    <w:pPr>
      <w:spacing w:beforeLines="100" w:line="400" w:lineRule="exact"/>
      <w:jc w:val="center"/>
    </w:pPr>
    <w:rPr>
      <w:rFonts w:ascii="Times New Roman" w:hAnsi="Times New Roman" w:eastAsia="黑体" w:cs="Times New Roman"/>
      <w:sz w:val="30"/>
      <w:lang w:val="en-US" w:eastAsia="zh-CN" w:bidi="ar-SA"/>
    </w:rPr>
  </w:style>
  <w:style w:type="paragraph" w:customStyle="1" w:styleId="113">
    <w:name w:val="MM Topic 4"/>
    <w:basedOn w:val="6"/>
    <w:qFormat/>
    <w:uiPriority w:val="0"/>
    <w:pPr>
      <w:numPr>
        <w:ilvl w:val="3"/>
        <w:numId w:val="6"/>
      </w:numPr>
      <w:tabs>
        <w:tab w:val="left" w:pos="1984"/>
      </w:tabs>
      <w:spacing w:line="374" w:lineRule="auto"/>
    </w:pPr>
    <w:rPr>
      <w:rFonts w:ascii="Arial" w:hAnsi="Arial" w:eastAsia="黑体"/>
      <w:kern w:val="0"/>
      <w:lang w:val="zh-CN"/>
    </w:rPr>
  </w:style>
  <w:style w:type="paragraph" w:customStyle="1" w:styleId="114">
    <w:name w:val="MM Topic 2"/>
    <w:basedOn w:val="4"/>
    <w:link w:val="165"/>
    <w:qFormat/>
    <w:uiPriority w:val="0"/>
    <w:pPr>
      <w:tabs>
        <w:tab w:val="left" w:pos="576"/>
      </w:tabs>
      <w:spacing w:line="415" w:lineRule="auto"/>
      <w:ind w:left="1440" w:hanging="360"/>
    </w:pPr>
    <w:rPr>
      <w:rFonts w:ascii="Arial" w:hAnsi="Arial" w:eastAsia="黑体"/>
    </w:rPr>
  </w:style>
  <w:style w:type="paragraph" w:customStyle="1" w:styleId="115">
    <w:name w:val="样式 五号 蓝色 居中 首行缩进:  2 字符"/>
    <w:basedOn w:val="1"/>
    <w:qFormat/>
    <w:uiPriority w:val="99"/>
    <w:pPr>
      <w:adjustRightInd w:val="0"/>
      <w:spacing w:line="360" w:lineRule="auto"/>
      <w:jc w:val="center"/>
    </w:pPr>
    <w:rPr>
      <w:rFonts w:eastAsia="仿宋_GB2312"/>
      <w:color w:val="0000FF"/>
    </w:rPr>
  </w:style>
  <w:style w:type="paragraph" w:customStyle="1" w:styleId="116">
    <w:name w:val="MM Topic 6"/>
    <w:basedOn w:val="8"/>
    <w:qFormat/>
    <w:uiPriority w:val="0"/>
    <w:pPr>
      <w:numPr>
        <w:ilvl w:val="0"/>
        <w:numId w:val="0"/>
      </w:numPr>
      <w:tabs>
        <w:tab w:val="clear" w:pos="0"/>
      </w:tabs>
      <w:ind w:left="1440" w:hanging="360"/>
    </w:pPr>
    <w:rPr>
      <w:b/>
      <w:bCs/>
    </w:rPr>
  </w:style>
  <w:style w:type="paragraph" w:customStyle="1" w:styleId="117">
    <w:name w:val="·编号标题 5"/>
    <w:basedOn w:val="7"/>
    <w:next w:val="13"/>
    <w:qFormat/>
    <w:uiPriority w:val="0"/>
    <w:pPr>
      <w:numPr>
        <w:ilvl w:val="0"/>
        <w:numId w:val="0"/>
      </w:numPr>
      <w:tabs>
        <w:tab w:val="clear" w:pos="1260"/>
      </w:tabs>
      <w:spacing w:line="374" w:lineRule="auto"/>
      <w:ind w:left="928" w:hanging="360"/>
    </w:pPr>
    <w:rPr>
      <w:rFonts w:ascii="Calibri" w:hAnsi="Calibri"/>
      <w:kern w:val="0"/>
      <w:sz w:val="28"/>
    </w:rPr>
  </w:style>
  <w:style w:type="paragraph" w:customStyle="1" w:styleId="11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 A"/>
    <w:qFormat/>
    <w:uiPriority w:val="99"/>
    <w:pPr>
      <w:widowControl w:val="0"/>
      <w:spacing w:line="360" w:lineRule="auto"/>
      <w:ind w:firstLine="1440"/>
      <w:jc w:val="both"/>
    </w:pPr>
    <w:rPr>
      <w:rFonts w:ascii="Times New Roman" w:hAnsi="Times New Roman" w:eastAsia="Arial Unicode MS" w:cs="Times New Roman"/>
      <w:color w:val="000000"/>
      <w:kern w:val="2"/>
      <w:sz w:val="24"/>
      <w:szCs w:val="24"/>
      <w:lang w:val="en-US" w:eastAsia="zh-CN" w:bidi="ar-SA"/>
    </w:rPr>
  </w:style>
  <w:style w:type="paragraph" w:customStyle="1" w:styleId="120">
    <w:name w:val="列出段落3"/>
    <w:basedOn w:val="1"/>
    <w:qFormat/>
    <w:uiPriority w:val="0"/>
    <w:pPr>
      <w:ind w:firstLine="200" w:firstLineChars="200"/>
    </w:pPr>
  </w:style>
  <w:style w:type="paragraph" w:customStyle="1" w:styleId="121">
    <w:name w:val="列出段落11"/>
    <w:basedOn w:val="1"/>
    <w:qFormat/>
    <w:uiPriority w:val="34"/>
    <w:pPr>
      <w:ind w:firstLine="420" w:firstLineChars="200"/>
    </w:pPr>
  </w:style>
  <w:style w:type="paragraph" w:customStyle="1" w:styleId="122">
    <w:name w:val="需求4级"/>
    <w:basedOn w:val="6"/>
    <w:qFormat/>
    <w:uiPriority w:val="99"/>
    <w:pPr>
      <w:spacing w:before="320" w:after="280" w:line="360" w:lineRule="auto"/>
    </w:pPr>
    <w:rPr>
      <w:rFonts w:ascii="Arial" w:hAnsi="Arial" w:eastAsia="黑体"/>
      <w:b w:val="0"/>
      <w:sz w:val="24"/>
      <w:szCs w:val="24"/>
    </w:rPr>
  </w:style>
  <w:style w:type="paragraph" w:customStyle="1" w:styleId="123">
    <w:name w:val="MM Topic 5"/>
    <w:basedOn w:val="7"/>
    <w:qFormat/>
    <w:uiPriority w:val="0"/>
    <w:pPr>
      <w:numPr>
        <w:ilvl w:val="0"/>
        <w:numId w:val="0"/>
      </w:numPr>
      <w:tabs>
        <w:tab w:val="clear" w:pos="1260"/>
      </w:tabs>
      <w:spacing w:line="374" w:lineRule="auto"/>
      <w:ind w:left="1440" w:hanging="360"/>
    </w:pPr>
    <w:rPr>
      <w:rFonts w:ascii="Times New Roman" w:hAnsi="Times New Roman"/>
      <w:sz w:val="28"/>
    </w:rPr>
  </w:style>
  <w:style w:type="paragraph" w:customStyle="1" w:styleId="124">
    <w:name w:val="名词解释"/>
    <w:basedOn w:val="13"/>
    <w:qFormat/>
    <w:uiPriority w:val="0"/>
    <w:pPr>
      <w:ind w:firstLine="200" w:firstLineChars="200"/>
    </w:pPr>
    <w:rPr>
      <w:rFonts w:ascii="幼圆" w:hAnsi="Times New Roman" w:eastAsia="幼圆"/>
      <w:color w:val="FF0000"/>
      <w:kern w:val="0"/>
      <w:sz w:val="24"/>
      <w:szCs w:val="21"/>
      <w:lang w:val="zh-CN"/>
    </w:rPr>
  </w:style>
  <w:style w:type="paragraph" w:customStyle="1" w:styleId="125">
    <w:name w:val="Figure text-L"/>
    <w:basedOn w:val="1"/>
    <w:qFormat/>
    <w:uiPriority w:val="0"/>
    <w:pPr>
      <w:adjustRightInd w:val="0"/>
      <w:spacing w:before="60" w:after="60" w:line="360" w:lineRule="atLeast"/>
      <w:textAlignment w:val="baseline"/>
    </w:pPr>
    <w:rPr>
      <w:rFonts w:eastAsia="Times New Roman"/>
      <w:bCs/>
      <w:kern w:val="0"/>
      <w:sz w:val="22"/>
      <w:szCs w:val="24"/>
      <w:lang w:eastAsia="en-US"/>
    </w:rPr>
  </w:style>
  <w:style w:type="paragraph" w:customStyle="1" w:styleId="126">
    <w:name w:val="MM Topic 3"/>
    <w:basedOn w:val="5"/>
    <w:link w:val="194"/>
    <w:qFormat/>
    <w:uiPriority w:val="0"/>
    <w:pPr>
      <w:numPr>
        <w:ilvl w:val="0"/>
        <w:numId w:val="6"/>
      </w:numPr>
      <w:tabs>
        <w:tab w:val="left" w:pos="1479"/>
      </w:tabs>
      <w:spacing w:line="415" w:lineRule="auto"/>
    </w:pPr>
  </w:style>
  <w:style w:type="paragraph" w:customStyle="1" w:styleId="127">
    <w:name w:val="需求2级"/>
    <w:basedOn w:val="4"/>
    <w:qFormat/>
    <w:uiPriority w:val="99"/>
    <w:pPr>
      <w:spacing w:before="360" w:after="360" w:line="420" w:lineRule="auto"/>
    </w:pPr>
    <w:rPr>
      <w:rFonts w:ascii="Arial" w:hAnsi="Arial" w:eastAsia="黑体"/>
      <w:sz w:val="28"/>
      <w:szCs w:val="28"/>
    </w:rPr>
  </w:style>
  <w:style w:type="paragraph" w:customStyle="1" w:styleId="128">
    <w:name w:val="说明"/>
    <w:qFormat/>
    <w:uiPriority w:val="0"/>
    <w:pPr>
      <w:adjustRightInd w:val="0"/>
      <w:snapToGrid w:val="0"/>
      <w:spacing w:beforeLines="50" w:line="360" w:lineRule="auto"/>
      <w:ind w:left="300" w:hanging="300" w:hangingChars="300"/>
    </w:pPr>
    <w:rPr>
      <w:rFonts w:ascii="Times New Roman" w:hAnsi="Times New Roman" w:eastAsia="宋体" w:cs="宋体"/>
      <w:b/>
      <w:snapToGrid w:val="0"/>
      <w:sz w:val="24"/>
      <w:szCs w:val="24"/>
      <w:lang w:val="en-US" w:eastAsia="zh-CN" w:bidi="ar-SA"/>
    </w:rPr>
  </w:style>
  <w:style w:type="paragraph" w:customStyle="1" w:styleId="129">
    <w:name w:val="默认段落字体 Char"/>
    <w:basedOn w:val="1"/>
    <w:qFormat/>
    <w:uiPriority w:val="0"/>
    <w:rPr>
      <w:rFonts w:ascii="Tahoma" w:hAnsi="Tahoma" w:eastAsia="仿宋_GB2312"/>
      <w:sz w:val="24"/>
    </w:rPr>
  </w:style>
  <w:style w:type="paragraph" w:customStyle="1" w:styleId="130">
    <w:name w:val="Table Paragraph"/>
    <w:basedOn w:val="1"/>
    <w:qFormat/>
    <w:uiPriority w:val="1"/>
  </w:style>
  <w:style w:type="paragraph" w:customStyle="1" w:styleId="131">
    <w:name w:val="8"/>
    <w:qFormat/>
    <w:uiPriority w:val="0"/>
    <w:rPr>
      <w:rFonts w:ascii="Calibri" w:hAnsi="Calibri" w:eastAsia="宋体" w:cs="Times New Roman"/>
      <w:kern w:val="2"/>
      <w:sz w:val="21"/>
      <w:szCs w:val="22"/>
      <w:lang w:val="en-US" w:eastAsia="zh-CN" w:bidi="ar-SA"/>
    </w:rPr>
  </w:style>
  <w:style w:type="paragraph" w:customStyle="1" w:styleId="132">
    <w:name w:val="正文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33">
    <w:name w:val="正文 首行缩进加粗"/>
    <w:basedOn w:val="1"/>
    <w:qFormat/>
    <w:uiPriority w:val="0"/>
    <w:pPr>
      <w:tabs>
        <w:tab w:val="left" w:pos="1785"/>
      </w:tabs>
      <w:adjustRightInd w:val="0"/>
      <w:snapToGrid w:val="0"/>
      <w:spacing w:line="360" w:lineRule="auto"/>
      <w:ind w:firstLine="560" w:firstLineChars="200"/>
    </w:pPr>
    <w:rPr>
      <w:rFonts w:ascii="宋体" w:hAnsi="宋体" w:cs="宋体"/>
      <w:color w:val="000000"/>
      <w:kern w:val="0"/>
      <w:sz w:val="28"/>
      <w:szCs w:val="28"/>
    </w:rPr>
  </w:style>
  <w:style w:type="paragraph" w:customStyle="1" w:styleId="134">
    <w:name w:val="infoblue"/>
    <w:basedOn w:val="1"/>
    <w:qFormat/>
    <w:uiPriority w:val="0"/>
    <w:pPr>
      <w:widowControl/>
      <w:spacing w:after="120" w:line="240" w:lineRule="atLeast"/>
      <w:ind w:left="720"/>
      <w:jc w:val="left"/>
    </w:pPr>
    <w:rPr>
      <w:rFonts w:eastAsia="仿宋_GB2312"/>
      <w:i/>
      <w:iCs/>
      <w:color w:val="0000FF"/>
      <w:kern w:val="0"/>
      <w:sz w:val="20"/>
    </w:rPr>
  </w:style>
  <w:style w:type="paragraph" w:customStyle="1" w:styleId="135">
    <w:name w:val="目录"/>
    <w:basedOn w:val="1"/>
    <w:qFormat/>
    <w:uiPriority w:val="0"/>
    <w:pPr>
      <w:snapToGrid w:val="0"/>
      <w:spacing w:beforeLines="50" w:afterLines="50" w:line="240" w:lineRule="atLeast"/>
      <w:jc w:val="center"/>
    </w:pPr>
    <w:rPr>
      <w:rFonts w:ascii="宋体" w:hAnsi="宋体" w:eastAsia="仿宋_GB2312" w:cs="宋体"/>
      <w:b/>
      <w:bCs/>
      <w:sz w:val="28"/>
    </w:rPr>
  </w:style>
  <w:style w:type="paragraph" w:customStyle="1" w:styleId="136">
    <w:name w:val="列出段落4"/>
    <w:basedOn w:val="1"/>
    <w:unhideWhenUsed/>
    <w:qFormat/>
    <w:uiPriority w:val="99"/>
    <w:pPr>
      <w:ind w:firstLine="420" w:firstLineChars="200"/>
    </w:pPr>
  </w:style>
  <w:style w:type="paragraph" w:customStyle="1" w:styleId="137">
    <w:name w:val="requirement"/>
    <w:basedOn w:val="1"/>
    <w:qFormat/>
    <w:uiPriority w:val="0"/>
    <w:pPr>
      <w:widowControl/>
      <w:ind w:left="1355"/>
      <w:jc w:val="left"/>
    </w:pPr>
    <w:rPr>
      <w:rFonts w:eastAsia="仿宋_GB2312"/>
      <w:kern w:val="0"/>
      <w:sz w:val="24"/>
    </w:rPr>
  </w:style>
  <w:style w:type="paragraph" w:customStyle="1" w:styleId="138">
    <w:name w:val="List Paragraph1"/>
    <w:basedOn w:val="1"/>
    <w:qFormat/>
    <w:uiPriority w:val="99"/>
    <w:pPr>
      <w:ind w:firstLine="420" w:firstLineChars="200"/>
    </w:pPr>
    <w:rPr>
      <w:szCs w:val="21"/>
    </w:rPr>
  </w:style>
  <w:style w:type="paragraph" w:customStyle="1" w:styleId="139">
    <w:name w:val="项目符号"/>
    <w:basedOn w:val="1"/>
    <w:qFormat/>
    <w:uiPriority w:val="0"/>
    <w:pPr>
      <w:tabs>
        <w:tab w:val="left" w:pos="840"/>
      </w:tabs>
      <w:ind w:left="840" w:hanging="420"/>
    </w:pPr>
    <w:rPr>
      <w:rFonts w:eastAsia="仿宋_GB2312"/>
      <w:sz w:val="24"/>
      <w:szCs w:val="24"/>
    </w:rPr>
  </w:style>
  <w:style w:type="paragraph" w:customStyle="1" w:styleId="140">
    <w:name w:val="样式2"/>
    <w:basedOn w:val="111"/>
    <w:qFormat/>
    <w:uiPriority w:val="99"/>
    <w:rPr>
      <w:sz w:val="28"/>
      <w:szCs w:val="28"/>
    </w:rPr>
  </w:style>
  <w:style w:type="paragraph" w:customStyle="1" w:styleId="141">
    <w:name w:val="_Style 2"/>
    <w:basedOn w:val="1"/>
    <w:qFormat/>
    <w:uiPriority w:val="34"/>
    <w:pPr>
      <w:ind w:firstLine="420" w:firstLineChars="200"/>
    </w:pPr>
  </w:style>
  <w:style w:type="paragraph" w:customStyle="1" w:styleId="142">
    <w:name w:val="图居中"/>
    <w:basedOn w:val="1"/>
    <w:qFormat/>
    <w:uiPriority w:val="0"/>
    <w:pPr>
      <w:framePr w:hSpace="181" w:vSpace="181" w:wrap="notBeside" w:vAnchor="text" w:hAnchor="text" w:xAlign="center" w:y="1"/>
    </w:pPr>
    <w:rPr>
      <w:rFonts w:eastAsia="仿宋_GB2312"/>
      <w:sz w:val="24"/>
      <w:szCs w:val="24"/>
    </w:rPr>
  </w:style>
  <w:style w:type="paragraph" w:customStyle="1" w:styleId="1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44">
    <w:name w:val="Table Heading"/>
    <w:basedOn w:val="101"/>
    <w:qFormat/>
    <w:uiPriority w:val="0"/>
    <w:pPr>
      <w:spacing w:before="120" w:after="120"/>
    </w:pPr>
    <w:rPr>
      <w:b/>
    </w:rPr>
  </w:style>
  <w:style w:type="paragraph" w:customStyle="1" w:styleId="145">
    <w:name w:val="附件"/>
    <w:basedOn w:val="2"/>
    <w:qFormat/>
    <w:uiPriority w:val="0"/>
    <w:pPr>
      <w:widowControl/>
      <w:numPr>
        <w:ilvl w:val="0"/>
        <w:numId w:val="7"/>
      </w:numPr>
      <w:spacing w:after="0"/>
      <w:jc w:val="left"/>
    </w:pPr>
    <w:rPr>
      <w:rFonts w:eastAsia="仿宋_GB2312"/>
      <w:b/>
      <w:kern w:val="0"/>
      <w:sz w:val="44"/>
      <w:szCs w:val="12"/>
      <w:lang w:val="zh-CN"/>
    </w:rPr>
  </w:style>
  <w:style w:type="paragraph" w:customStyle="1" w:styleId="146">
    <w:name w:val="样式1"/>
    <w:basedOn w:val="1"/>
    <w:qFormat/>
    <w:uiPriority w:val="99"/>
    <w:pPr>
      <w:adjustRightInd w:val="0"/>
      <w:snapToGrid w:val="0"/>
      <w:spacing w:line="360" w:lineRule="auto"/>
      <w:ind w:right="240"/>
    </w:pPr>
    <w:rPr>
      <w:rFonts w:eastAsia="仿宋_GB2312"/>
      <w:sz w:val="24"/>
      <w:szCs w:val="24"/>
    </w:rPr>
  </w:style>
  <w:style w:type="character" w:customStyle="1" w:styleId="147">
    <w:name w:val="标题 8 Char"/>
    <w:basedOn w:val="46"/>
    <w:link w:val="10"/>
    <w:qFormat/>
    <w:uiPriority w:val="0"/>
    <w:rPr>
      <w:rFonts w:ascii="Arial" w:hAnsi="Arial" w:eastAsia="黑体" w:cs="Times New Roman"/>
      <w:sz w:val="24"/>
      <w:szCs w:val="24"/>
      <w:lang w:val="zh-CN"/>
    </w:rPr>
  </w:style>
  <w:style w:type="character" w:customStyle="1" w:styleId="148">
    <w:name w:val="页脚 Char"/>
    <w:basedOn w:val="46"/>
    <w:link w:val="28"/>
    <w:qFormat/>
    <w:uiPriority w:val="99"/>
    <w:rPr>
      <w:rFonts w:ascii="Times New Roman" w:hAnsi="Times New Roman" w:eastAsia="宋体" w:cs="Times New Roman"/>
      <w:sz w:val="18"/>
      <w:szCs w:val="18"/>
    </w:rPr>
  </w:style>
  <w:style w:type="character" w:customStyle="1" w:styleId="149">
    <w:name w:val="标题 1 Char1"/>
    <w:qFormat/>
    <w:locked/>
    <w:uiPriority w:val="99"/>
    <w:rPr>
      <w:rFonts w:ascii="Times New Roman" w:hAnsi="Times New Roman" w:eastAsia="宋体"/>
      <w:b/>
      <w:kern w:val="44"/>
      <w:sz w:val="20"/>
    </w:rPr>
  </w:style>
  <w:style w:type="character" w:customStyle="1" w:styleId="150">
    <w:name w:val="批注文字 Char"/>
    <w:basedOn w:val="46"/>
    <w:link w:val="17"/>
    <w:qFormat/>
    <w:uiPriority w:val="0"/>
    <w:rPr>
      <w:rFonts w:ascii="Times New Roman" w:hAnsi="Times New Roman" w:eastAsia="宋体" w:cs="Times New Roman"/>
      <w:szCs w:val="20"/>
    </w:rPr>
  </w:style>
  <w:style w:type="character" w:customStyle="1" w:styleId="151">
    <w:name w:val="first-child"/>
    <w:basedOn w:val="46"/>
    <w:qFormat/>
    <w:uiPriority w:val="0"/>
  </w:style>
  <w:style w:type="character" w:customStyle="1" w:styleId="152">
    <w:name w:val="已访问的超链接1"/>
    <w:unhideWhenUsed/>
    <w:qFormat/>
    <w:uiPriority w:val="99"/>
    <w:rPr>
      <w:color w:val="800080"/>
      <w:u w:val="single"/>
    </w:rPr>
  </w:style>
  <w:style w:type="character" w:customStyle="1" w:styleId="153">
    <w:name w:val="页眉 Char"/>
    <w:basedOn w:val="46"/>
    <w:link w:val="29"/>
    <w:qFormat/>
    <w:uiPriority w:val="99"/>
    <w:rPr>
      <w:rFonts w:ascii="Times New Roman" w:hAnsi="Times New Roman" w:eastAsia="宋体" w:cs="Times New Roman"/>
      <w:sz w:val="18"/>
      <w:szCs w:val="18"/>
    </w:rPr>
  </w:style>
  <w:style w:type="character" w:customStyle="1" w:styleId="154">
    <w:name w:val="font21"/>
    <w:basedOn w:val="46"/>
    <w:qFormat/>
    <w:uiPriority w:val="0"/>
    <w:rPr>
      <w:rFonts w:hint="eastAsia" w:ascii="宋体" w:hAnsi="宋体" w:eastAsia="宋体" w:cs="宋体"/>
      <w:color w:val="000000"/>
      <w:sz w:val="20"/>
      <w:szCs w:val="20"/>
      <w:u w:val="none"/>
    </w:rPr>
  </w:style>
  <w:style w:type="character" w:customStyle="1" w:styleId="155">
    <w:name w:val="tree-title"/>
    <w:basedOn w:val="46"/>
    <w:qFormat/>
    <w:uiPriority w:val="0"/>
  </w:style>
  <w:style w:type="character" w:customStyle="1" w:styleId="156">
    <w:name w:val="active4"/>
    <w:basedOn w:val="46"/>
    <w:qFormat/>
    <w:uiPriority w:val="0"/>
    <w:rPr>
      <w:color w:val="FFFFFF"/>
    </w:rPr>
  </w:style>
  <w:style w:type="character" w:customStyle="1" w:styleId="157">
    <w:name w:val="hilite"/>
    <w:basedOn w:val="46"/>
    <w:qFormat/>
    <w:uiPriority w:val="0"/>
    <w:rPr>
      <w:color w:val="000000"/>
    </w:rPr>
  </w:style>
  <w:style w:type="character" w:customStyle="1" w:styleId="158">
    <w:name w:val="批注文字 Char1"/>
    <w:basedOn w:val="46"/>
    <w:semiHidden/>
    <w:qFormat/>
    <w:uiPriority w:val="99"/>
    <w:rPr>
      <w:rFonts w:ascii="Times New Roman" w:hAnsi="Times New Roman" w:eastAsia="宋体" w:cs="Times New Roman"/>
      <w:szCs w:val="20"/>
    </w:rPr>
  </w:style>
  <w:style w:type="character" w:customStyle="1" w:styleId="159">
    <w:name w:val="正文文本缩进 Char"/>
    <w:basedOn w:val="46"/>
    <w:link w:val="19"/>
    <w:qFormat/>
    <w:uiPriority w:val="0"/>
    <w:rPr>
      <w:rFonts w:ascii="宋体" w:hAnsi="宋体" w:eastAsia="宋体" w:cs="Times New Roman"/>
      <w:sz w:val="24"/>
      <w:szCs w:val="20"/>
    </w:rPr>
  </w:style>
  <w:style w:type="character" w:customStyle="1" w:styleId="160">
    <w:name w:val="列出段落 Char"/>
    <w:link w:val="82"/>
    <w:qFormat/>
    <w:uiPriority w:val="34"/>
    <w:rPr>
      <w:rFonts w:ascii="Times New Roman" w:hAnsi="Times New Roman" w:eastAsia="宋体" w:cs="Times New Roman"/>
      <w:szCs w:val="20"/>
    </w:rPr>
  </w:style>
  <w:style w:type="character" w:customStyle="1" w:styleId="161">
    <w:name w:val="无"/>
    <w:qFormat/>
    <w:uiPriority w:val="99"/>
  </w:style>
  <w:style w:type="character" w:customStyle="1" w:styleId="162">
    <w:name w:val="正文文本缩进 3 Char"/>
    <w:basedOn w:val="46"/>
    <w:link w:val="34"/>
    <w:qFormat/>
    <w:uiPriority w:val="99"/>
    <w:rPr>
      <w:rFonts w:ascii="Times New Roman" w:hAnsi="Times New Roman" w:eastAsia="宋体" w:cs="Times New Roman"/>
      <w:sz w:val="16"/>
      <w:szCs w:val="16"/>
    </w:rPr>
  </w:style>
  <w:style w:type="character" w:customStyle="1" w:styleId="163">
    <w:name w:val="正文文本 2 Char"/>
    <w:basedOn w:val="46"/>
    <w:link w:val="38"/>
    <w:qFormat/>
    <w:uiPriority w:val="0"/>
    <w:rPr>
      <w:rFonts w:ascii="Times New Roman" w:hAnsi="Times New Roman" w:eastAsia="宋体" w:cs="Times New Roman"/>
      <w:szCs w:val="20"/>
    </w:rPr>
  </w:style>
  <w:style w:type="character" w:customStyle="1" w:styleId="164">
    <w:name w:val="t1"/>
    <w:qFormat/>
    <w:uiPriority w:val="0"/>
    <w:rPr>
      <w:color w:val="990000"/>
    </w:rPr>
  </w:style>
  <w:style w:type="character" w:customStyle="1" w:styleId="165">
    <w:name w:val="MM Topic 2 Char"/>
    <w:link w:val="114"/>
    <w:qFormat/>
    <w:locked/>
    <w:uiPriority w:val="0"/>
    <w:rPr>
      <w:rFonts w:ascii="Arial" w:hAnsi="Arial" w:eastAsia="黑体"/>
      <w:b/>
      <w:bCs/>
      <w:sz w:val="32"/>
      <w:szCs w:val="32"/>
    </w:rPr>
  </w:style>
  <w:style w:type="character" w:customStyle="1" w:styleId="166">
    <w:name w:val="纯文本 Char"/>
    <w:basedOn w:val="46"/>
    <w:qFormat/>
    <w:uiPriority w:val="99"/>
    <w:rPr>
      <w:rFonts w:ascii="宋体" w:hAnsi="Courier New" w:eastAsia="宋体" w:cs="Courier New"/>
      <w:szCs w:val="21"/>
    </w:rPr>
  </w:style>
  <w:style w:type="character" w:customStyle="1" w:styleId="167">
    <w:name w:val="样式 样式 首行缩进:  2 字符 + 小四 Char"/>
    <w:qFormat/>
    <w:uiPriority w:val="0"/>
    <w:rPr>
      <w:rFonts w:eastAsia="宋体" w:cs="宋体"/>
      <w:kern w:val="2"/>
      <w:sz w:val="24"/>
      <w:lang w:val="en-US" w:eastAsia="zh-CN" w:bidi="ar-SA"/>
    </w:rPr>
  </w:style>
  <w:style w:type="character" w:customStyle="1" w:styleId="168">
    <w:name w:val="正文文本缩进 2 Char"/>
    <w:basedOn w:val="46"/>
    <w:link w:val="25"/>
    <w:qFormat/>
    <w:uiPriority w:val="0"/>
    <w:rPr>
      <w:rFonts w:ascii="Times New Roman" w:hAnsi="Times New Roman" w:eastAsia="宋体" w:cs="Times New Roman"/>
      <w:szCs w:val="20"/>
    </w:rPr>
  </w:style>
  <w:style w:type="character" w:customStyle="1" w:styleId="169">
    <w:name w:val="尾注文本 Char"/>
    <w:link w:val="26"/>
    <w:semiHidden/>
    <w:qFormat/>
    <w:uiPriority w:val="0"/>
    <w:rPr>
      <w:rFonts w:ascii="Times New Roman" w:hAnsi="Times New Roman" w:eastAsia="仿宋_GB2312" w:cs="Times New Roman"/>
      <w:sz w:val="24"/>
      <w:szCs w:val="24"/>
    </w:rPr>
  </w:style>
  <w:style w:type="character" w:customStyle="1" w:styleId="170">
    <w:name w:val="Hyperlink.0"/>
    <w:qFormat/>
    <w:uiPriority w:val="99"/>
    <w:rPr>
      <w:rFonts w:ascii="宋体" w:hAnsi="宋体" w:eastAsia="宋体" w:cs="宋体"/>
      <w:color w:val="000000"/>
      <w:lang w:val="en-US"/>
    </w:rPr>
  </w:style>
  <w:style w:type="character" w:customStyle="1" w:styleId="171">
    <w:name w:val="tab2"/>
    <w:basedOn w:val="46"/>
    <w:qFormat/>
    <w:uiPriority w:val="0"/>
    <w:rPr>
      <w:color w:val="333366"/>
    </w:rPr>
  </w:style>
  <w:style w:type="character" w:customStyle="1" w:styleId="172">
    <w:name w:val="14p1"/>
    <w:qFormat/>
    <w:uiPriority w:val="0"/>
    <w:rPr>
      <w:sz w:val="21"/>
      <w:szCs w:val="21"/>
    </w:rPr>
  </w:style>
  <w:style w:type="character" w:customStyle="1" w:styleId="173">
    <w:name w:val="正文文本 Char"/>
    <w:basedOn w:val="46"/>
    <w:link w:val="2"/>
    <w:qFormat/>
    <w:uiPriority w:val="0"/>
    <w:rPr>
      <w:rFonts w:ascii="Times New Roman" w:hAnsi="Times New Roman" w:eastAsia="宋体" w:cs="Times New Roman"/>
      <w:szCs w:val="20"/>
    </w:rPr>
  </w:style>
  <w:style w:type="character" w:customStyle="1" w:styleId="174">
    <w:name w:val="标题 1 Char"/>
    <w:basedOn w:val="46"/>
    <w:link w:val="3"/>
    <w:qFormat/>
    <w:uiPriority w:val="9"/>
    <w:rPr>
      <w:rFonts w:ascii="Times New Roman" w:hAnsi="Times New Roman" w:eastAsia="宋体" w:cs="Times New Roman"/>
      <w:b/>
      <w:bCs/>
      <w:kern w:val="44"/>
      <w:sz w:val="44"/>
      <w:szCs w:val="44"/>
    </w:rPr>
  </w:style>
  <w:style w:type="character" w:customStyle="1" w:styleId="175">
    <w:name w:val="题注 Char"/>
    <w:link w:val="14"/>
    <w:qFormat/>
    <w:uiPriority w:val="0"/>
    <w:rPr>
      <w:rFonts w:ascii="Arial" w:hAnsi="Arial" w:eastAsia="黑体" w:cs="Arial"/>
      <w:i/>
      <w:sz w:val="24"/>
      <w:szCs w:val="20"/>
    </w:rPr>
  </w:style>
  <w:style w:type="character" w:customStyle="1" w:styleId="176">
    <w:name w:val="批注主题 Char1"/>
    <w:basedOn w:val="150"/>
    <w:semiHidden/>
    <w:qFormat/>
    <w:uiPriority w:val="99"/>
    <w:rPr>
      <w:rFonts w:ascii="Times New Roman" w:hAnsi="Times New Roman" w:eastAsia="宋体" w:cs="Times New Roman"/>
      <w:b/>
      <w:bCs/>
      <w:szCs w:val="20"/>
    </w:rPr>
  </w:style>
  <w:style w:type="character" w:customStyle="1" w:styleId="177">
    <w:name w:val="副标题 Char"/>
    <w:basedOn w:val="46"/>
    <w:link w:val="32"/>
    <w:qFormat/>
    <w:uiPriority w:val="11"/>
    <w:rPr>
      <w:rFonts w:ascii="Cambria" w:hAnsi="Cambria" w:eastAsia="宋体" w:cs="Times New Roman"/>
      <w:b/>
      <w:bCs/>
      <w:kern w:val="28"/>
      <w:sz w:val="32"/>
      <w:szCs w:val="32"/>
    </w:rPr>
  </w:style>
  <w:style w:type="character" w:customStyle="1" w:styleId="178">
    <w:name w:val="font61"/>
    <w:basedOn w:val="46"/>
    <w:qFormat/>
    <w:uiPriority w:val="0"/>
    <w:rPr>
      <w:rFonts w:hint="eastAsia" w:ascii="宋体" w:hAnsi="宋体" w:eastAsia="宋体" w:cs="宋体"/>
      <w:color w:val="000000"/>
      <w:sz w:val="22"/>
      <w:szCs w:val="22"/>
      <w:u w:val="none"/>
    </w:rPr>
  </w:style>
  <w:style w:type="character" w:customStyle="1" w:styleId="179">
    <w:name w:val="尾注文本 Char2"/>
    <w:basedOn w:val="46"/>
    <w:semiHidden/>
    <w:qFormat/>
    <w:uiPriority w:val="99"/>
    <w:rPr>
      <w:rFonts w:ascii="Times New Roman" w:hAnsi="Times New Roman" w:eastAsia="宋体" w:cs="Times New Roman"/>
      <w:szCs w:val="20"/>
    </w:rPr>
  </w:style>
  <w:style w:type="character" w:customStyle="1" w:styleId="180">
    <w:name w:val="标题 2 Char"/>
    <w:basedOn w:val="46"/>
    <w:link w:val="4"/>
    <w:qFormat/>
    <w:uiPriority w:val="9"/>
    <w:rPr>
      <w:rFonts w:ascii="Cambria" w:hAnsi="Cambria" w:eastAsia="宋体" w:cs="Times New Roman"/>
      <w:b/>
      <w:bCs/>
      <w:sz w:val="32"/>
      <w:szCs w:val="32"/>
    </w:rPr>
  </w:style>
  <w:style w:type="character" w:customStyle="1" w:styleId="181">
    <w:name w:val="font01"/>
    <w:basedOn w:val="46"/>
    <w:qFormat/>
    <w:uiPriority w:val="0"/>
    <w:rPr>
      <w:rFonts w:hint="eastAsia" w:ascii="宋体" w:hAnsi="宋体" w:eastAsia="宋体" w:cs="宋体"/>
      <w:color w:val="000000"/>
      <w:sz w:val="24"/>
      <w:szCs w:val="24"/>
      <w:u w:val="none"/>
    </w:rPr>
  </w:style>
  <w:style w:type="character" w:customStyle="1" w:styleId="182">
    <w:name w:val="标题 Char"/>
    <w:link w:val="41"/>
    <w:qFormat/>
    <w:uiPriority w:val="99"/>
    <w:rPr>
      <w:rFonts w:ascii="Arial" w:hAnsi="Arial" w:eastAsia="仿宋_GB2312" w:cs="Arial"/>
      <w:b/>
      <w:bCs/>
      <w:sz w:val="32"/>
      <w:szCs w:val="32"/>
    </w:rPr>
  </w:style>
  <w:style w:type="character" w:customStyle="1" w:styleId="183">
    <w:name w:val="样式 (符号) 宋体 小四 首行缩进:  0.74 厘米 行距: 1.5 倍行距 Char"/>
    <w:link w:val="66"/>
    <w:qFormat/>
    <w:uiPriority w:val="0"/>
    <w:rPr>
      <w:rFonts w:ascii="Times New Roman" w:hAnsi="宋体" w:eastAsia="宋体" w:cs="宋体"/>
      <w:sz w:val="24"/>
      <w:szCs w:val="20"/>
    </w:rPr>
  </w:style>
  <w:style w:type="character" w:customStyle="1" w:styleId="184">
    <w:name w:val="需求要点 Char Char"/>
    <w:qFormat/>
    <w:uiPriority w:val="0"/>
    <w:rPr>
      <w:rFonts w:ascii="宋体" w:hAnsi="宋体" w:eastAsia="宋体" w:cs="宋体"/>
      <w:b/>
      <w:bCs/>
      <w:kern w:val="2"/>
      <w:sz w:val="21"/>
      <w:szCs w:val="21"/>
      <w:lang w:val="en-US" w:eastAsia="zh-CN" w:bidi="ar-SA"/>
    </w:rPr>
  </w:style>
  <w:style w:type="character" w:customStyle="1" w:styleId="185">
    <w:name w:val="纯文本 Char1"/>
    <w:link w:val="22"/>
    <w:qFormat/>
    <w:locked/>
    <w:uiPriority w:val="0"/>
    <w:rPr>
      <w:rFonts w:ascii="宋体" w:hAnsi="Courier New" w:eastAsia="宋体" w:cs="Times New Roman"/>
      <w:szCs w:val="20"/>
    </w:rPr>
  </w:style>
  <w:style w:type="character" w:customStyle="1" w:styleId="186">
    <w:name w:val="批注主题 Char"/>
    <w:basedOn w:val="150"/>
    <w:link w:val="42"/>
    <w:qFormat/>
    <w:uiPriority w:val="99"/>
    <w:rPr>
      <w:rFonts w:ascii="Times New Roman" w:hAnsi="Times New Roman" w:eastAsia="宋体" w:cs="Times New Roman"/>
      <w:b/>
      <w:bCs/>
      <w:szCs w:val="20"/>
    </w:rPr>
  </w:style>
  <w:style w:type="character" w:customStyle="1" w:styleId="187">
    <w:name w:val="fielderror"/>
    <w:basedOn w:val="46"/>
    <w:qFormat/>
    <w:uiPriority w:val="0"/>
    <w:rPr>
      <w:color w:val="800000"/>
    </w:rPr>
  </w:style>
  <w:style w:type="character" w:customStyle="1" w:styleId="188">
    <w:name w:val="active6"/>
    <w:basedOn w:val="46"/>
    <w:qFormat/>
    <w:uiPriority w:val="0"/>
    <w:rPr>
      <w:color w:val="FFFFFF"/>
    </w:rPr>
  </w:style>
  <w:style w:type="character" w:customStyle="1" w:styleId="189">
    <w:name w:val="文档结构图 Char2"/>
    <w:basedOn w:val="46"/>
    <w:semiHidden/>
    <w:qFormat/>
    <w:uiPriority w:val="99"/>
    <w:rPr>
      <w:rFonts w:ascii="宋体" w:hAnsi="Times New Roman" w:eastAsia="宋体" w:cs="Times New Roman"/>
      <w:sz w:val="18"/>
      <w:szCs w:val="18"/>
    </w:rPr>
  </w:style>
  <w:style w:type="character" w:customStyle="1" w:styleId="190">
    <w:name w:val="文档结构图 Char1"/>
    <w:qFormat/>
    <w:uiPriority w:val="99"/>
    <w:rPr>
      <w:rFonts w:ascii="宋体"/>
      <w:kern w:val="2"/>
      <w:sz w:val="18"/>
      <w:szCs w:val="18"/>
    </w:rPr>
  </w:style>
  <w:style w:type="character" w:customStyle="1" w:styleId="191">
    <w:name w:val="标题 3 Char"/>
    <w:basedOn w:val="46"/>
    <w:link w:val="5"/>
    <w:qFormat/>
    <w:uiPriority w:val="9"/>
    <w:rPr>
      <w:rFonts w:ascii="Times New Roman" w:hAnsi="Times New Roman" w:eastAsia="宋体" w:cs="Times New Roman"/>
      <w:b/>
      <w:bCs/>
      <w:sz w:val="32"/>
      <w:szCs w:val="32"/>
    </w:rPr>
  </w:style>
  <w:style w:type="character" w:customStyle="1" w:styleId="192">
    <w:name w:val="font41"/>
    <w:basedOn w:val="46"/>
    <w:qFormat/>
    <w:uiPriority w:val="0"/>
    <w:rPr>
      <w:rFonts w:hint="default" w:ascii="Times New Roman" w:hAnsi="Times New Roman" w:cs="Times New Roman"/>
      <w:color w:val="000000"/>
      <w:sz w:val="22"/>
      <w:szCs w:val="22"/>
      <w:u w:val="none"/>
    </w:rPr>
  </w:style>
  <w:style w:type="character" w:customStyle="1" w:styleId="193">
    <w:name w:val="control-label6"/>
    <w:basedOn w:val="46"/>
    <w:qFormat/>
    <w:uiPriority w:val="0"/>
    <w:rPr>
      <w:rFonts w:hint="eastAsia" w:ascii="微软雅黑" w:hAnsi="微软雅黑" w:eastAsia="微软雅黑"/>
    </w:rPr>
  </w:style>
  <w:style w:type="character" w:customStyle="1" w:styleId="194">
    <w:name w:val="MM Topic 3 Char"/>
    <w:link w:val="126"/>
    <w:qFormat/>
    <w:locked/>
    <w:uiPriority w:val="0"/>
    <w:rPr>
      <w:rFonts w:ascii="Times New Roman" w:hAnsi="Times New Roman"/>
      <w:b/>
      <w:bCs/>
      <w:sz w:val="32"/>
      <w:szCs w:val="32"/>
    </w:rPr>
  </w:style>
  <w:style w:type="character" w:customStyle="1" w:styleId="195">
    <w:name w:val="标题 4 Char"/>
    <w:basedOn w:val="46"/>
    <w:link w:val="6"/>
    <w:qFormat/>
    <w:uiPriority w:val="9"/>
    <w:rPr>
      <w:rFonts w:ascii="Cambria" w:hAnsi="Cambria" w:eastAsia="宋体" w:cs="Times New Roman"/>
      <w:b/>
      <w:bCs/>
      <w:sz w:val="28"/>
      <w:szCs w:val="28"/>
    </w:rPr>
  </w:style>
  <w:style w:type="character" w:customStyle="1" w:styleId="196">
    <w:name w:val="·编号标题 3 Char"/>
    <w:link w:val="78"/>
    <w:qFormat/>
    <w:locked/>
    <w:uiPriority w:val="0"/>
    <w:rPr>
      <w:b/>
      <w:bCs/>
      <w:sz w:val="32"/>
      <w:szCs w:val="32"/>
    </w:rPr>
  </w:style>
  <w:style w:type="character" w:customStyle="1" w:styleId="197">
    <w:name w:val="m1"/>
    <w:qFormat/>
    <w:uiPriority w:val="0"/>
    <w:rPr>
      <w:color w:val="0000FF"/>
    </w:rPr>
  </w:style>
  <w:style w:type="character" w:customStyle="1" w:styleId="198">
    <w:name w:val="标题 5 Char"/>
    <w:basedOn w:val="46"/>
    <w:link w:val="7"/>
    <w:qFormat/>
    <w:uiPriority w:val="0"/>
    <w:rPr>
      <w:rFonts w:ascii="宋体" w:hAnsi="宋体" w:eastAsia="宋体" w:cs="Times New Roman"/>
      <w:b/>
      <w:bCs/>
      <w:sz w:val="24"/>
      <w:szCs w:val="28"/>
      <w:lang w:val="zh-CN"/>
    </w:rPr>
  </w:style>
  <w:style w:type="character" w:customStyle="1" w:styleId="199">
    <w:name w:val="active5"/>
    <w:basedOn w:val="46"/>
    <w:qFormat/>
    <w:uiPriority w:val="0"/>
    <w:rPr>
      <w:color w:val="FFFFFF"/>
    </w:rPr>
  </w:style>
  <w:style w:type="character" w:customStyle="1" w:styleId="200">
    <w:name w:val="Highlighted Variable"/>
    <w:qFormat/>
    <w:uiPriority w:val="0"/>
    <w:rPr>
      <w:color w:val="0000FF"/>
      <w:sz w:val="21"/>
    </w:rPr>
  </w:style>
  <w:style w:type="character" w:customStyle="1" w:styleId="201">
    <w:name w:val="标书正文 Char"/>
    <w:link w:val="67"/>
    <w:qFormat/>
    <w:uiPriority w:val="0"/>
    <w:rPr>
      <w:rFonts w:ascii="Times New Roman" w:hAnsi="宋体" w:eastAsia="宋体" w:cs="宋体"/>
      <w:sz w:val="24"/>
      <w:szCs w:val="20"/>
    </w:rPr>
  </w:style>
  <w:style w:type="character" w:customStyle="1" w:styleId="202">
    <w:name w:val="font91"/>
    <w:basedOn w:val="46"/>
    <w:qFormat/>
    <w:uiPriority w:val="0"/>
    <w:rPr>
      <w:rFonts w:hint="eastAsia" w:ascii="宋体" w:hAnsi="宋体" w:eastAsia="宋体" w:cs="宋体"/>
      <w:color w:val="000000"/>
      <w:sz w:val="22"/>
      <w:szCs w:val="22"/>
      <w:u w:val="none"/>
    </w:rPr>
  </w:style>
  <w:style w:type="character" w:customStyle="1" w:styleId="203">
    <w:name w:val="tab1"/>
    <w:basedOn w:val="46"/>
    <w:qFormat/>
    <w:uiPriority w:val="0"/>
  </w:style>
  <w:style w:type="character" w:customStyle="1" w:styleId="204">
    <w:name w:val="批注框文本 Char"/>
    <w:basedOn w:val="46"/>
    <w:link w:val="27"/>
    <w:qFormat/>
    <w:uiPriority w:val="99"/>
    <w:rPr>
      <w:rFonts w:ascii="Times New Roman" w:hAnsi="Times New Roman" w:eastAsia="宋体" w:cs="Times New Roman"/>
      <w:sz w:val="18"/>
      <w:szCs w:val="18"/>
    </w:rPr>
  </w:style>
  <w:style w:type="character" w:customStyle="1" w:styleId="205">
    <w:name w:val="required"/>
    <w:basedOn w:val="46"/>
    <w:qFormat/>
    <w:uiPriority w:val="0"/>
    <w:rPr>
      <w:color w:val="FF0000"/>
    </w:rPr>
  </w:style>
  <w:style w:type="character" w:customStyle="1" w:styleId="206">
    <w:name w:val="underline"/>
    <w:basedOn w:val="46"/>
    <w:qFormat/>
    <w:uiPriority w:val="0"/>
    <w:rPr>
      <w:u w:val="single"/>
    </w:rPr>
  </w:style>
  <w:style w:type="character" w:customStyle="1" w:styleId="207">
    <w:name w:val="font11"/>
    <w:basedOn w:val="46"/>
    <w:qFormat/>
    <w:uiPriority w:val="0"/>
    <w:rPr>
      <w:rFonts w:hint="default" w:ascii="等线" w:hAnsi="等线" w:eastAsia="等线" w:cs="等线"/>
      <w:color w:val="000000"/>
      <w:sz w:val="22"/>
      <w:szCs w:val="22"/>
      <w:u w:val="none"/>
    </w:rPr>
  </w:style>
  <w:style w:type="character" w:customStyle="1" w:styleId="208">
    <w:name w:val="标题 Char2"/>
    <w:basedOn w:val="46"/>
    <w:qFormat/>
    <w:uiPriority w:val="10"/>
    <w:rPr>
      <w:rFonts w:ascii="Cambria" w:hAnsi="Cambria" w:eastAsia="宋体" w:cs="Times New Roman"/>
      <w:b/>
      <w:bCs/>
      <w:sz w:val="32"/>
      <w:szCs w:val="32"/>
    </w:rPr>
  </w:style>
  <w:style w:type="character" w:customStyle="1" w:styleId="209">
    <w:name w:val="标题 6 Char"/>
    <w:basedOn w:val="46"/>
    <w:link w:val="8"/>
    <w:qFormat/>
    <w:uiPriority w:val="0"/>
    <w:rPr>
      <w:rFonts w:ascii="Arial" w:hAnsi="Arial" w:eastAsia="黑体" w:cs="Times New Roman"/>
      <w:sz w:val="24"/>
      <w:szCs w:val="24"/>
      <w:lang w:val="zh-CN"/>
    </w:rPr>
  </w:style>
  <w:style w:type="character" w:customStyle="1" w:styleId="210">
    <w:name w:val="font31"/>
    <w:basedOn w:val="46"/>
    <w:qFormat/>
    <w:uiPriority w:val="0"/>
    <w:rPr>
      <w:rFonts w:hint="eastAsia" w:ascii="宋体" w:hAnsi="宋体" w:eastAsia="宋体" w:cs="宋体"/>
      <w:color w:val="000000"/>
      <w:sz w:val="18"/>
      <w:szCs w:val="18"/>
      <w:u w:val="none"/>
    </w:rPr>
  </w:style>
  <w:style w:type="character" w:customStyle="1" w:styleId="211">
    <w:name w:val="正文文本 3 Char2"/>
    <w:basedOn w:val="46"/>
    <w:semiHidden/>
    <w:qFormat/>
    <w:uiPriority w:val="99"/>
    <w:rPr>
      <w:rFonts w:ascii="Times New Roman" w:hAnsi="Times New Roman" w:eastAsia="宋体" w:cs="Times New Roman"/>
      <w:sz w:val="16"/>
      <w:szCs w:val="16"/>
    </w:rPr>
  </w:style>
  <w:style w:type="character" w:customStyle="1" w:styleId="212">
    <w:name w:val="正文文本 3 Char"/>
    <w:link w:val="18"/>
    <w:qFormat/>
    <w:uiPriority w:val="0"/>
    <w:rPr>
      <w:rFonts w:ascii="Times New Roman" w:hAnsi="Times New Roman" w:eastAsia="仿宋_GB2312" w:cs="Times New Roman"/>
      <w:b/>
      <w:bCs/>
      <w:color w:val="FFFFFF"/>
      <w:sz w:val="24"/>
      <w:szCs w:val="24"/>
    </w:rPr>
  </w:style>
  <w:style w:type="character" w:customStyle="1" w:styleId="213">
    <w:name w:val="文档结构图 Char"/>
    <w:link w:val="15"/>
    <w:qFormat/>
    <w:uiPriority w:val="99"/>
    <w:rPr>
      <w:rFonts w:ascii="Times New Roman" w:hAnsi="Times New Roman" w:eastAsia="仿宋_GB2312" w:cs="Times New Roman"/>
      <w:sz w:val="24"/>
      <w:szCs w:val="24"/>
      <w:shd w:val="clear" w:color="auto" w:fill="000080"/>
    </w:rPr>
  </w:style>
  <w:style w:type="character" w:customStyle="1" w:styleId="214">
    <w:name w:val="标题 Char1"/>
    <w:basedOn w:val="46"/>
    <w:qFormat/>
    <w:uiPriority w:val="10"/>
    <w:rPr>
      <w:rFonts w:ascii="Cambria" w:hAnsi="Cambria" w:eastAsia="宋体" w:cs="Times New Roman"/>
      <w:b/>
      <w:bCs/>
      <w:sz w:val="32"/>
      <w:szCs w:val="32"/>
    </w:rPr>
  </w:style>
  <w:style w:type="character" w:customStyle="1" w:styleId="215">
    <w:name w:val="标题 7 Char"/>
    <w:basedOn w:val="46"/>
    <w:link w:val="9"/>
    <w:qFormat/>
    <w:uiPriority w:val="0"/>
    <w:rPr>
      <w:rFonts w:ascii="Times New Roman" w:hAnsi="Times New Roman" w:eastAsia="仿宋_GB2312" w:cs="Times New Roman"/>
      <w:b/>
      <w:bCs/>
      <w:sz w:val="24"/>
      <w:szCs w:val="24"/>
      <w:lang w:val="zh-CN"/>
    </w:rPr>
  </w:style>
  <w:style w:type="character" w:customStyle="1" w:styleId="216">
    <w:name w:val="标题 2+ 小三 Char"/>
    <w:link w:val="111"/>
    <w:qFormat/>
    <w:locked/>
    <w:uiPriority w:val="99"/>
    <w:rPr>
      <w:rFonts w:ascii="Times New Roman" w:hAnsi="Times New Roman" w:eastAsia="宋体" w:cs="Times New Roman"/>
      <w:b/>
      <w:bCs/>
      <w:kern w:val="44"/>
      <w:sz w:val="30"/>
      <w:szCs w:val="44"/>
    </w:rPr>
  </w:style>
  <w:style w:type="character" w:customStyle="1" w:styleId="217">
    <w:name w:val="标题 9 Char"/>
    <w:basedOn w:val="46"/>
    <w:link w:val="11"/>
    <w:qFormat/>
    <w:uiPriority w:val="0"/>
    <w:rPr>
      <w:rFonts w:ascii="Arial" w:hAnsi="Arial" w:eastAsia="黑体" w:cs="Times New Roman"/>
      <w:sz w:val="24"/>
      <w:szCs w:val="21"/>
      <w:lang w:val="zh-CN"/>
    </w:rPr>
  </w:style>
  <w:style w:type="character" w:customStyle="1" w:styleId="218">
    <w:name w:val="active"/>
    <w:basedOn w:val="46"/>
    <w:qFormat/>
    <w:uiPriority w:val="0"/>
    <w:rPr>
      <w:color w:val="FFFFFF"/>
    </w:rPr>
  </w:style>
  <w:style w:type="character" w:customStyle="1" w:styleId="219">
    <w:name w:val="Default Char"/>
    <w:link w:val="83"/>
    <w:qFormat/>
    <w:locked/>
    <w:uiPriority w:val="0"/>
    <w:rPr>
      <w:rFonts w:ascii="......." w:hAnsi="Calibri" w:eastAsia="......." w:cs="......."/>
      <w:color w:val="000000"/>
      <w:kern w:val="0"/>
      <w:sz w:val="24"/>
      <w:szCs w:val="24"/>
    </w:rPr>
  </w:style>
  <w:style w:type="character" w:customStyle="1" w:styleId="220">
    <w:name w:val="正文缩进 Char"/>
    <w:link w:val="13"/>
    <w:qFormat/>
    <w:uiPriority w:val="0"/>
  </w:style>
  <w:style w:type="character" w:customStyle="1" w:styleId="221">
    <w:name w:val="hilite6"/>
    <w:basedOn w:val="46"/>
    <w:qFormat/>
    <w:uiPriority w:val="0"/>
    <w:rPr>
      <w:color w:val="000000"/>
    </w:rPr>
  </w:style>
  <w:style w:type="character" w:customStyle="1" w:styleId="222">
    <w:name w:val="标准文本 Char Char"/>
    <w:link w:val="68"/>
    <w:qFormat/>
    <w:locked/>
    <w:uiPriority w:val="0"/>
    <w:rPr>
      <w:rFonts w:ascii="宋体" w:hAnsi="宋体" w:eastAsia="宋体" w:cs="Times New Roman"/>
      <w:kern w:val="0"/>
      <w:sz w:val="24"/>
      <w:szCs w:val="24"/>
    </w:rPr>
  </w:style>
  <w:style w:type="character" w:customStyle="1" w:styleId="223">
    <w:name w:val="日期 Char"/>
    <w:basedOn w:val="46"/>
    <w:link w:val="24"/>
    <w:qFormat/>
    <w:uiPriority w:val="99"/>
    <w:rPr>
      <w:rFonts w:ascii="Times New Roman" w:hAnsi="Times New Roman" w:eastAsia="宋体" w:cs="Times New Roman"/>
      <w:sz w:val="32"/>
      <w:szCs w:val="20"/>
    </w:rPr>
  </w:style>
  <w:style w:type="paragraph" w:customStyle="1" w:styleId="224">
    <w:name w:val="无间隔11"/>
    <w:basedOn w:val="1"/>
    <w:qFormat/>
    <w:uiPriority w:val="0"/>
    <w:rPr>
      <w:rFonts w:ascii="Calibri" w:hAnsi="Calibri"/>
    </w:rPr>
  </w:style>
  <w:style w:type="table" w:customStyle="1" w:styleId="225">
    <w:name w:val="Table Normal"/>
    <w:qFormat/>
    <w:uiPriority w:val="0"/>
    <w:tblPr>
      <w:tblCellMar>
        <w:top w:w="0" w:type="dxa"/>
        <w:left w:w="0" w:type="dxa"/>
        <w:bottom w:w="0" w:type="dxa"/>
        <w:right w:w="0" w:type="dxa"/>
      </w:tblCellMar>
    </w:tblPr>
  </w:style>
  <w:style w:type="character" w:customStyle="1" w:styleId="226">
    <w:name w:val="first-child1"/>
    <w:basedOn w:val="46"/>
    <w:qFormat/>
    <w:uiPriority w:val="0"/>
  </w:style>
  <w:style w:type="paragraph" w:customStyle="1" w:styleId="227">
    <w:name w:val="列表段落2"/>
    <w:basedOn w:val="1"/>
    <w:qFormat/>
    <w:uiPriority w:val="34"/>
    <w:pPr>
      <w:ind w:firstLine="420"/>
    </w:pPr>
    <w:rPr>
      <w:rFonts w:asciiTheme="minorHAnsi" w:hAnsiTheme="minorHAnsi" w:eastAsiaTheme="minorEastAsia" w:cstheme="minorBidi"/>
      <w:szCs w:val="22"/>
    </w:rPr>
  </w:style>
  <w:style w:type="paragraph" w:customStyle="1" w:styleId="228">
    <w:name w:val="p15"/>
    <w:basedOn w:val="1"/>
    <w:qFormat/>
    <w:uiPriority w:val="0"/>
    <w:rPr>
      <w:rFonts w:hint="eastAsia" w:ascii="宋体" w:hAnsi="宋体" w:cs="宋体"/>
      <w:kern w:val="0"/>
      <w:szCs w:val="21"/>
    </w:rPr>
  </w:style>
  <w:style w:type="character" w:customStyle="1" w:styleId="229">
    <w:name w:val="未处理的提及1"/>
    <w:basedOn w:val="46"/>
    <w:semiHidden/>
    <w:unhideWhenUsed/>
    <w:qFormat/>
    <w:uiPriority w:val="99"/>
    <w:rPr>
      <w:color w:val="605E5C"/>
      <w:shd w:val="clear" w:color="auto" w:fill="E1DFDD"/>
    </w:rPr>
  </w:style>
  <w:style w:type="paragraph" w:styleId="230">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styleId="231">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3BCDF6-2A2F-4C96-816A-7F05D57D2441}">
  <ds:schemaRefs/>
</ds:datastoreItem>
</file>

<file path=docProps/app.xml><?xml version="1.0" encoding="utf-8"?>
<Properties xmlns="http://schemas.openxmlformats.org/officeDocument/2006/extended-properties" xmlns:vt="http://schemas.openxmlformats.org/officeDocument/2006/docPropsVTypes">
  <Template>Normal</Template>
  <Company>MS</Company>
  <Pages>28</Pages>
  <Words>4636</Words>
  <Characters>5115</Characters>
  <Lines>142</Lines>
  <Paragraphs>40</Paragraphs>
  <TotalTime>163</TotalTime>
  <ScaleCrop>false</ScaleCrop>
  <LinksUpToDate>false</LinksUpToDate>
  <CharactersWithSpaces>5161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2021-12-09T05:04:00Z</dcterms:created>
  <dc:creator>未定义</dc:creator>
  <cp:lastModifiedBy>soda</cp:lastModifiedBy>
  <cp:lastPrinted>2021-09-09T06:51:00Z</cp:lastPrinted>
  <dcterms:modified xsi:type="dcterms:W3CDTF">2025-10-30T08:35:51Z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A78053827A5D4DBFACDEEE58FA7BE979</vt:lpwstr>
  </property>
  <property fmtid="{D5CDD505-2E9C-101B-9397-08002B2CF9AE}" pid="4" name="KSOTemplateDocerSaveRecord">
    <vt:lpwstr>eyJoZGlkIjoiMTY5OTRiZTY2MmVjMDgxMGM3YWFlYmE1NTY1OGYzYzQiLCJ1c2VySWQiOiIzMTQ1Njk2ODIifQ==</vt:lpwstr>
  </property>
</Properties>
</file>