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6746" w:rsidRDefault="007E6746" w:rsidP="007E6746">
      <w:pPr>
        <w:spacing w:before="240" w:line="600" w:lineRule="exact"/>
        <w:rPr>
          <w:rFonts w:ascii="宋体" w:hAnsi="宋体" w:cs="宋体"/>
          <w:b/>
          <w:sz w:val="24"/>
          <w:szCs w:val="24"/>
        </w:rPr>
      </w:pPr>
      <w:bookmarkStart w:id="0" w:name="OLE_LINK54"/>
      <w:bookmarkStart w:id="1" w:name="OLE_LINK53"/>
      <w:r>
        <w:rPr>
          <w:rFonts w:ascii="宋体" w:hAnsi="宋体" w:cs="宋体" w:hint="eastAsia"/>
          <w:b/>
          <w:sz w:val="24"/>
          <w:szCs w:val="24"/>
        </w:rPr>
        <w:t>表1：台式计算机主机</w:t>
      </w:r>
    </w:p>
    <w:tbl>
      <w:tblPr>
        <w:tblW w:w="10692" w:type="dxa"/>
        <w:jc w:val="center"/>
        <w:tblLayout w:type="fixed"/>
        <w:tblLook w:val="04A0" w:firstRow="1" w:lastRow="0" w:firstColumn="1" w:lastColumn="0" w:noHBand="0" w:noVBand="1"/>
      </w:tblPr>
      <w:tblGrid>
        <w:gridCol w:w="1117"/>
        <w:gridCol w:w="1440"/>
        <w:gridCol w:w="780"/>
        <w:gridCol w:w="2556"/>
        <w:gridCol w:w="4799"/>
      </w:tblGrid>
      <w:tr w:rsidR="007E6746" w:rsidTr="00D97EB6">
        <w:trPr>
          <w:trHeight w:val="450"/>
          <w:tblHeader/>
          <w:jc w:val="center"/>
        </w:trPr>
        <w:tc>
          <w:tcPr>
            <w:tcW w:w="1117"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b/>
                <w:bCs/>
                <w:kern w:val="0"/>
                <w:sz w:val="24"/>
                <w:szCs w:val="24"/>
              </w:rPr>
            </w:pPr>
            <w:bookmarkStart w:id="2" w:name="OLE_LINK31"/>
            <w:bookmarkStart w:id="3" w:name="OLE_LINK32"/>
            <w:bookmarkEnd w:id="0"/>
            <w:bookmarkEnd w:id="1"/>
            <w:r>
              <w:rPr>
                <w:rFonts w:ascii="宋体" w:hAnsi="宋体" w:cs="宋体" w:hint="eastAsia"/>
                <w:b/>
                <w:bCs/>
                <w:kern w:val="0"/>
                <w:sz w:val="24"/>
                <w:szCs w:val="24"/>
              </w:rPr>
              <w:t>序号</w:t>
            </w:r>
          </w:p>
        </w:tc>
        <w:tc>
          <w:tcPr>
            <w:tcW w:w="1440" w:type="dxa"/>
            <w:tcBorders>
              <w:top w:val="single" w:sz="4" w:space="0" w:color="auto"/>
              <w:left w:val="nil"/>
              <w:bottom w:val="single" w:sz="4" w:space="0" w:color="auto"/>
              <w:right w:val="single" w:sz="4" w:space="0" w:color="auto"/>
            </w:tcBorders>
            <w:vAlign w:val="center"/>
          </w:tcPr>
          <w:p w:rsidR="007E6746" w:rsidRDefault="007E6746" w:rsidP="00D97EB6">
            <w:pPr>
              <w:widowControl/>
              <w:jc w:val="center"/>
              <w:rPr>
                <w:rFonts w:ascii="宋体" w:hAnsi="宋体" w:cs="宋体"/>
                <w:b/>
                <w:bCs/>
                <w:kern w:val="0"/>
                <w:sz w:val="24"/>
                <w:szCs w:val="24"/>
              </w:rPr>
            </w:pPr>
            <w:r>
              <w:rPr>
                <w:rFonts w:ascii="宋体" w:hAnsi="宋体" w:cs="宋体" w:hint="eastAsia"/>
                <w:b/>
                <w:bCs/>
                <w:kern w:val="0"/>
                <w:sz w:val="24"/>
                <w:szCs w:val="24"/>
              </w:rPr>
              <w:t>指标分类</w:t>
            </w:r>
          </w:p>
        </w:tc>
        <w:tc>
          <w:tcPr>
            <w:tcW w:w="780" w:type="dxa"/>
            <w:tcBorders>
              <w:top w:val="single" w:sz="4" w:space="0" w:color="auto"/>
              <w:left w:val="nil"/>
              <w:bottom w:val="single" w:sz="4" w:space="0" w:color="auto"/>
              <w:right w:val="single" w:sz="4" w:space="0" w:color="auto"/>
            </w:tcBorders>
            <w:vAlign w:val="center"/>
          </w:tcPr>
          <w:p w:rsidR="007E6746" w:rsidRDefault="007E6746" w:rsidP="00D97EB6">
            <w:pPr>
              <w:widowControl/>
              <w:jc w:val="center"/>
              <w:rPr>
                <w:rFonts w:ascii="宋体" w:hAnsi="宋体" w:cs="宋体"/>
                <w:b/>
                <w:bCs/>
                <w:kern w:val="0"/>
                <w:sz w:val="24"/>
                <w:szCs w:val="24"/>
              </w:rPr>
            </w:pPr>
            <w:r>
              <w:rPr>
                <w:rFonts w:ascii="宋体" w:hAnsi="宋体" w:cs="宋体" w:hint="eastAsia"/>
                <w:b/>
                <w:bCs/>
                <w:kern w:val="0"/>
                <w:sz w:val="24"/>
                <w:szCs w:val="24"/>
              </w:rPr>
              <w:t>一级指标</w:t>
            </w:r>
          </w:p>
        </w:tc>
        <w:tc>
          <w:tcPr>
            <w:tcW w:w="2556" w:type="dxa"/>
            <w:tcBorders>
              <w:top w:val="single" w:sz="4" w:space="0" w:color="auto"/>
              <w:left w:val="nil"/>
              <w:bottom w:val="single" w:sz="4" w:space="0" w:color="auto"/>
              <w:right w:val="single" w:sz="4" w:space="0" w:color="auto"/>
            </w:tcBorders>
            <w:vAlign w:val="center"/>
          </w:tcPr>
          <w:p w:rsidR="007E6746" w:rsidRDefault="007E6746" w:rsidP="00D97EB6">
            <w:pPr>
              <w:widowControl/>
              <w:jc w:val="center"/>
              <w:rPr>
                <w:rFonts w:ascii="宋体" w:hAnsi="宋体" w:cs="宋体"/>
                <w:b/>
                <w:bCs/>
                <w:kern w:val="0"/>
                <w:sz w:val="24"/>
                <w:szCs w:val="24"/>
              </w:rPr>
            </w:pPr>
            <w:r>
              <w:rPr>
                <w:rFonts w:ascii="宋体" w:hAnsi="宋体" w:cs="宋体" w:hint="eastAsia"/>
                <w:b/>
                <w:bCs/>
                <w:kern w:val="0"/>
                <w:sz w:val="24"/>
                <w:szCs w:val="24"/>
              </w:rPr>
              <w:t>二级指标</w:t>
            </w:r>
          </w:p>
        </w:tc>
        <w:tc>
          <w:tcPr>
            <w:tcW w:w="4799" w:type="dxa"/>
            <w:tcBorders>
              <w:top w:val="single" w:sz="4" w:space="0" w:color="auto"/>
              <w:left w:val="nil"/>
              <w:bottom w:val="single" w:sz="4" w:space="0" w:color="auto"/>
              <w:right w:val="single" w:sz="4" w:space="0" w:color="auto"/>
            </w:tcBorders>
            <w:vAlign w:val="center"/>
          </w:tcPr>
          <w:p w:rsidR="007E6746" w:rsidRDefault="007E6746" w:rsidP="00D97EB6">
            <w:pPr>
              <w:widowControl/>
              <w:jc w:val="center"/>
              <w:rPr>
                <w:rFonts w:ascii="宋体" w:hAnsi="宋体" w:cs="宋体"/>
                <w:b/>
                <w:bCs/>
                <w:kern w:val="0"/>
                <w:sz w:val="24"/>
                <w:szCs w:val="24"/>
              </w:rPr>
            </w:pPr>
            <w:r>
              <w:rPr>
                <w:rFonts w:ascii="宋体" w:hAnsi="宋体" w:cs="宋体" w:hint="eastAsia"/>
                <w:b/>
                <w:bCs/>
                <w:kern w:val="0"/>
                <w:sz w:val="24"/>
                <w:szCs w:val="24"/>
              </w:rPr>
              <w:t>采购人技术要求</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CPU规格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★CPU信息</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CPU规格：配置1颗X86架构CPU,每颗CPU物理核心数≥4核，主频≥2.7Ghz，CPU符合国家安全可靠测评要求，安全可靠等级≥I级，在中国信息安全测评中心和国家保密科技测评中心网站等官方渠道可查看安全可靠测评结果。</w:t>
            </w:r>
          </w:p>
        </w:tc>
      </w:tr>
      <w:tr w:rsidR="007E6746" w:rsidTr="00D97EB6">
        <w:trPr>
          <w:trHeight w:val="478"/>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内存规格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★内存配置容量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单条内存≥8G，总配置内存≥1条</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★内存类型</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支持DDR4及以上内存类型</w:t>
            </w:r>
          </w:p>
        </w:tc>
      </w:tr>
      <w:tr w:rsidR="007E6746" w:rsidTr="00D97EB6">
        <w:trPr>
          <w:trHeight w:val="738"/>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★内存条配置数量（</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配置内存数量≥1条</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★主板集成模块</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与处理器相匹配的芯片组</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★主板支持的CPU和内存情况</w:t>
            </w:r>
          </w:p>
        </w:tc>
        <w:tc>
          <w:tcPr>
            <w:tcW w:w="4799" w:type="dxa"/>
            <w:tcBorders>
              <w:top w:val="nil"/>
              <w:left w:val="nil"/>
              <w:bottom w:val="single" w:sz="4" w:space="0" w:color="auto"/>
              <w:right w:val="single" w:sz="4" w:space="0" w:color="auto"/>
            </w:tcBorders>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单</w:t>
            </w:r>
            <w:proofErr w:type="gramStart"/>
            <w:r>
              <w:rPr>
                <w:rFonts w:ascii="宋体" w:hAnsi="宋体" w:cs="宋体" w:hint="eastAsia"/>
                <w:kern w:val="0"/>
                <w:sz w:val="24"/>
                <w:szCs w:val="24"/>
              </w:rPr>
              <w:t>颗核心数</w:t>
            </w:r>
            <w:proofErr w:type="gramEnd"/>
            <w:r>
              <w:rPr>
                <w:rFonts w:ascii="宋体" w:hAnsi="宋体" w:cs="宋体" w:hint="eastAsia"/>
                <w:kern w:val="0"/>
                <w:sz w:val="24"/>
                <w:szCs w:val="24"/>
              </w:rPr>
              <w:t>≥4核，主频≥2.7Ghz，数量：1颗</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内存：单条内存≥8G，DDR4内存插槽≥2个</w:t>
            </w:r>
          </w:p>
        </w:tc>
      </w:tr>
      <w:tr w:rsidR="007E6746" w:rsidTr="00D97EB6">
        <w:trPr>
          <w:trHeight w:val="49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主板内置PCIe插槽数量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主板提供PCIe插槽数量≥3个</w:t>
            </w:r>
          </w:p>
        </w:tc>
      </w:tr>
      <w:tr w:rsidR="007E6746" w:rsidTr="00D97EB6">
        <w:trPr>
          <w:trHeight w:val="501"/>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特殊孔位及接口</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≥6个USB 3.0接口</w:t>
            </w:r>
          </w:p>
        </w:tc>
      </w:tr>
      <w:tr w:rsidR="007E6746" w:rsidTr="00D97EB6">
        <w:trPr>
          <w:trHeight w:val="421"/>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★主板其他内置接口</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SATA3.0接口≥2个</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M.2 接口≥1个</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USB接口≥8个（其中前置≥4个USB 3.0接口；后置≥2个USB 3.0接口）</w:t>
            </w:r>
          </w:p>
        </w:tc>
      </w:tr>
      <w:tr w:rsidR="007E6746" w:rsidTr="00D97EB6">
        <w:trPr>
          <w:trHeight w:val="98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★单内存插槽最大可支持容量（</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≥16GB</w:t>
            </w:r>
          </w:p>
        </w:tc>
      </w:tr>
      <w:tr w:rsidR="007E6746" w:rsidTr="00D97EB6">
        <w:trPr>
          <w:trHeight w:val="696"/>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★内存插槽满配时提供的最高内存总容量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≥32GB</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存储设备规格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★固态盘数量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≥1个</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★固态存储容量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512G NVME M.2 SSD</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★机械硬盘数量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≥1个</w:t>
            </w:r>
          </w:p>
        </w:tc>
      </w:tr>
      <w:tr w:rsidR="007E6746" w:rsidTr="00D97EB6">
        <w:trPr>
          <w:trHeight w:val="496"/>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★机械硬盘总容量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≥1T</w:t>
            </w:r>
          </w:p>
        </w:tc>
      </w:tr>
      <w:tr w:rsidR="007E6746" w:rsidTr="00D97EB6">
        <w:trPr>
          <w:trHeight w:val="46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★机械硬盘转速</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≥5400rpm</w:t>
            </w:r>
          </w:p>
        </w:tc>
      </w:tr>
      <w:tr w:rsidR="007E6746" w:rsidTr="00D97EB6">
        <w:trPr>
          <w:trHeight w:val="417"/>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机械硬盘接口协议</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支持SATA3.0及以上或SAS3.0及以上接口</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18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★机械硬盘形态</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3.5英寸</w:t>
            </w:r>
          </w:p>
        </w:tc>
      </w:tr>
      <w:tr w:rsidR="007E6746" w:rsidTr="00D97EB6">
        <w:trPr>
          <w:trHeight w:val="38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固态存储接口协议</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支持SATA/NVMe接口协议</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★固态存储形态</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采用插卡或</w:t>
            </w:r>
            <w:proofErr w:type="gramStart"/>
            <w:r>
              <w:rPr>
                <w:rFonts w:ascii="宋体" w:hAnsi="宋体" w:cs="宋体" w:hint="eastAsia"/>
                <w:kern w:val="0"/>
                <w:sz w:val="24"/>
                <w:szCs w:val="24"/>
              </w:rPr>
              <w:t>板载等</w:t>
            </w:r>
            <w:proofErr w:type="gramEnd"/>
            <w:r>
              <w:rPr>
                <w:rFonts w:ascii="宋体" w:hAnsi="宋体" w:cs="宋体" w:hint="eastAsia"/>
                <w:kern w:val="0"/>
                <w:sz w:val="24"/>
                <w:szCs w:val="24"/>
              </w:rPr>
              <w:t>形态，可选用符合M.2 或 2.5 寸SATA或mSATA 等标准的插卡形态</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21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color w:val="FF0000"/>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★存储设备</w:t>
            </w:r>
            <w:proofErr w:type="gramStart"/>
            <w:r>
              <w:rPr>
                <w:rFonts w:ascii="宋体" w:hAnsi="宋体" w:cs="宋体" w:hint="eastAsia"/>
                <w:color w:val="FF0000"/>
                <w:kern w:val="0"/>
                <w:sz w:val="24"/>
                <w:szCs w:val="24"/>
              </w:rPr>
              <w:t>扩展盘位</w:t>
            </w:r>
            <w:proofErr w:type="gramEnd"/>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color w:val="FF0000"/>
                <w:kern w:val="0"/>
                <w:sz w:val="24"/>
                <w:szCs w:val="24"/>
              </w:rPr>
            </w:pPr>
            <w:r>
              <w:rPr>
                <w:rFonts w:ascii="宋体" w:hAnsi="宋体" w:cs="宋体" w:hint="eastAsia"/>
                <w:color w:val="FF0000"/>
                <w:kern w:val="0"/>
                <w:sz w:val="24"/>
                <w:szCs w:val="24"/>
              </w:rPr>
              <w:t>≥0个</w:t>
            </w:r>
          </w:p>
        </w:tc>
      </w:tr>
      <w:tr w:rsidR="007E6746" w:rsidTr="00D97EB6">
        <w:trPr>
          <w:trHeight w:val="112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★存储设备其他参数要求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a)固态盘应符合SJ/T11654相关规定；</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显卡规格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卡类型</w:t>
            </w:r>
            <w:proofErr w:type="gramEnd"/>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独立显卡</w:t>
            </w:r>
          </w:p>
        </w:tc>
      </w:tr>
      <w:tr w:rsidR="007E6746" w:rsidTr="00D97EB6">
        <w:trPr>
          <w:trHeight w:val="90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卡显存类型</w:t>
            </w:r>
            <w:proofErr w:type="gramEnd"/>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存类型应</w:t>
            </w:r>
            <w:proofErr w:type="gramEnd"/>
            <w:r>
              <w:rPr>
                <w:rFonts w:ascii="宋体" w:hAnsi="宋体" w:cs="宋体" w:hint="eastAsia"/>
                <w:kern w:val="0"/>
                <w:sz w:val="24"/>
                <w:szCs w:val="24"/>
              </w:rPr>
              <w:t>为DDR4或以上</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卡显存位宽</w:t>
            </w:r>
            <w:proofErr w:type="gramEnd"/>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存位宽</w:t>
            </w:r>
            <w:proofErr w:type="gramEnd"/>
            <w:r>
              <w:rPr>
                <w:rFonts w:ascii="宋体" w:hAnsi="宋体" w:cs="宋体" w:hint="eastAsia"/>
                <w:kern w:val="0"/>
                <w:sz w:val="24"/>
                <w:szCs w:val="24"/>
              </w:rPr>
              <w:t>≥64 位</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★独立</w:t>
            </w:r>
            <w:proofErr w:type="gramStart"/>
            <w:r>
              <w:rPr>
                <w:rFonts w:ascii="宋体" w:hAnsi="宋体" w:cs="宋体" w:hint="eastAsia"/>
                <w:kern w:val="0"/>
                <w:sz w:val="24"/>
                <w:szCs w:val="24"/>
              </w:rPr>
              <w:t>显卡显存</w:t>
            </w:r>
            <w:proofErr w:type="gramEnd"/>
            <w:r>
              <w:rPr>
                <w:rFonts w:ascii="宋体" w:hAnsi="宋体" w:cs="宋体" w:hint="eastAsia"/>
                <w:kern w:val="0"/>
                <w:sz w:val="24"/>
                <w:szCs w:val="24"/>
              </w:rPr>
              <w:t>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显存容量≥2GB</w:t>
            </w:r>
          </w:p>
        </w:tc>
      </w:tr>
      <w:tr w:rsidR="007E6746" w:rsidTr="00D97EB6">
        <w:trPr>
          <w:trHeight w:val="523"/>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27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独立显卡接口协议</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 PCIe协议版本大于等于2.0</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38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外设规格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传声器数量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≥0</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39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扬声器数量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≥0</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★鼠标数量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≥1个</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≥1个</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摄像头数量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 xml:space="preserve">≥0 </w:t>
            </w:r>
            <w:proofErr w:type="gramStart"/>
            <w:r>
              <w:rPr>
                <w:rFonts w:ascii="宋体" w:hAnsi="宋体" w:cs="宋体" w:hint="eastAsia"/>
                <w:kern w:val="0"/>
                <w:sz w:val="24"/>
                <w:szCs w:val="24"/>
              </w:rPr>
              <w:t>个</w:t>
            </w:r>
            <w:proofErr w:type="gramEnd"/>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光驱数量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≥1</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★键盘按键数目</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104键</w:t>
            </w:r>
          </w:p>
        </w:tc>
      </w:tr>
      <w:tr w:rsidR="007E6746" w:rsidTr="00D97EB6">
        <w:trPr>
          <w:trHeight w:val="439"/>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摄像头像素</w:t>
            </w:r>
          </w:p>
        </w:tc>
        <w:tc>
          <w:tcPr>
            <w:tcW w:w="4799" w:type="dxa"/>
            <w:tcBorders>
              <w:top w:val="nil"/>
              <w:left w:val="nil"/>
              <w:bottom w:val="single" w:sz="4" w:space="0" w:color="auto"/>
              <w:right w:val="single" w:sz="4" w:space="0" w:color="auto"/>
            </w:tcBorders>
            <w:vAlign w:val="center"/>
          </w:tcPr>
          <w:p w:rsidR="007E6746" w:rsidRDefault="007E6746" w:rsidP="00D97EB6">
            <w:pPr>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17"/>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摄像头分辨率</w:t>
            </w:r>
          </w:p>
        </w:tc>
        <w:tc>
          <w:tcPr>
            <w:tcW w:w="4799" w:type="dxa"/>
            <w:tcBorders>
              <w:top w:val="nil"/>
              <w:left w:val="nil"/>
              <w:bottom w:val="single" w:sz="4" w:space="0" w:color="auto"/>
              <w:right w:val="single" w:sz="4" w:space="0" w:color="auto"/>
            </w:tcBorders>
            <w:vAlign w:val="center"/>
          </w:tcPr>
          <w:p w:rsidR="007E6746" w:rsidRDefault="007E6746" w:rsidP="00D97EB6">
            <w:pPr>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扬声器功率</w:t>
            </w:r>
          </w:p>
        </w:tc>
        <w:tc>
          <w:tcPr>
            <w:tcW w:w="4799" w:type="dxa"/>
            <w:tcBorders>
              <w:top w:val="nil"/>
              <w:left w:val="nil"/>
              <w:bottom w:val="single" w:sz="4" w:space="0" w:color="auto"/>
              <w:right w:val="single" w:sz="4" w:space="0" w:color="auto"/>
            </w:tcBorders>
            <w:vAlign w:val="center"/>
          </w:tcPr>
          <w:p w:rsidR="007E6746" w:rsidRDefault="007E6746" w:rsidP="00D97EB6">
            <w:pPr>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513"/>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扬声器频率范围</w:t>
            </w:r>
          </w:p>
        </w:tc>
        <w:tc>
          <w:tcPr>
            <w:tcW w:w="4799" w:type="dxa"/>
            <w:tcBorders>
              <w:top w:val="nil"/>
              <w:left w:val="nil"/>
              <w:bottom w:val="single" w:sz="4" w:space="0" w:color="auto"/>
              <w:right w:val="single" w:sz="4" w:space="0" w:color="auto"/>
            </w:tcBorders>
            <w:vAlign w:val="center"/>
          </w:tcPr>
          <w:p w:rsidR="007E6746" w:rsidRDefault="007E6746" w:rsidP="00D97EB6">
            <w:pPr>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21"/>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49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扬声器总谐波失真</w:t>
            </w:r>
          </w:p>
        </w:tc>
        <w:tc>
          <w:tcPr>
            <w:tcW w:w="4799" w:type="dxa"/>
            <w:tcBorders>
              <w:top w:val="nil"/>
              <w:left w:val="nil"/>
              <w:bottom w:val="single" w:sz="4" w:space="0" w:color="auto"/>
              <w:right w:val="single" w:sz="4" w:space="0" w:color="auto"/>
            </w:tcBorders>
            <w:vAlign w:val="center"/>
          </w:tcPr>
          <w:p w:rsidR="007E6746" w:rsidRDefault="007E6746" w:rsidP="00D97EB6">
            <w:pPr>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27"/>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扬声器最大声压级</w:t>
            </w:r>
          </w:p>
        </w:tc>
        <w:tc>
          <w:tcPr>
            <w:tcW w:w="4799" w:type="dxa"/>
            <w:tcBorders>
              <w:top w:val="nil"/>
              <w:left w:val="nil"/>
              <w:bottom w:val="single" w:sz="4" w:space="0" w:color="auto"/>
              <w:right w:val="single" w:sz="4" w:space="0" w:color="auto"/>
            </w:tcBorders>
            <w:vAlign w:val="center"/>
          </w:tcPr>
          <w:p w:rsidR="007E6746" w:rsidRDefault="007E6746" w:rsidP="00D97EB6">
            <w:pPr>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★键盘连接方式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有线连接</w:t>
            </w:r>
          </w:p>
        </w:tc>
      </w:tr>
      <w:tr w:rsidR="007E6746" w:rsidTr="00D97EB6">
        <w:trPr>
          <w:trHeight w:val="522"/>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键盘键程</w:t>
            </w:r>
            <w:proofErr w:type="gramEnd"/>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2.3mm~4.0mm</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★键盘按键压力</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键盘按键压力在 0.54 N±0.14N</w:t>
            </w:r>
          </w:p>
        </w:tc>
      </w:tr>
      <w:tr w:rsidR="007E6746" w:rsidTr="00D97EB6">
        <w:trPr>
          <w:trHeight w:val="522"/>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54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★有线键盘连接线</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≥1.5米</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★键盘颜色</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黑色商务色系</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键盘其他要求</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键盘外观结构、连接方式、主要功能、安全、电磁兼容性、可靠性应符合GB/T14081的相关规定</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★鼠标连接方式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有线连接</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★有线鼠标连接线</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≥1.5米</w:t>
            </w:r>
          </w:p>
        </w:tc>
      </w:tr>
      <w:tr w:rsidR="007E6746" w:rsidTr="00D97EB6">
        <w:trPr>
          <w:trHeight w:val="363"/>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59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★鼠标DPI分辨率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鼠标DPI分辨率为800~1600</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★鼠标颜色</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鼠标颜色为黑色</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★鼠标其他要求</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鼠标符合 GB/T 26245 的相关规定</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内置光驱</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支持内置光驱</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网络设备规格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★有线网卡数量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≥1</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无线网卡及天线数量</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≥0</w:t>
            </w:r>
          </w:p>
        </w:tc>
      </w:tr>
      <w:tr w:rsidR="007E6746" w:rsidTr="00D97EB6">
        <w:trPr>
          <w:trHeight w:val="387"/>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单无线网卡天线数量</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≥0</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外部接口规格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★USB接口数量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 xml:space="preserve">机箱前面板应提供不少于 4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 xml:space="preserve"> USB 3.0接口</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USB</w:t>
            </w:r>
            <w:proofErr w:type="gramStart"/>
            <w:r>
              <w:rPr>
                <w:rFonts w:ascii="宋体" w:hAnsi="宋体" w:cs="宋体" w:hint="eastAsia"/>
                <w:kern w:val="0"/>
                <w:sz w:val="24"/>
                <w:szCs w:val="24"/>
              </w:rPr>
              <w:t>母座接口</w:t>
            </w:r>
            <w:proofErr w:type="gramEnd"/>
            <w:r>
              <w:rPr>
                <w:rFonts w:ascii="宋体" w:hAnsi="宋体" w:cs="宋体" w:hint="eastAsia"/>
                <w:kern w:val="0"/>
                <w:sz w:val="24"/>
                <w:szCs w:val="24"/>
              </w:rPr>
              <w:t>要求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★视频接口数量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≥2</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69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★音频接口数量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提供前置≥2个音频接口</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存储卡接口数量</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112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整机基础规格</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★整机外观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a)产品表面不应有凹痕、划伤、裂缝、变形和污染等。表面涂层均匀，不应起泡、龟裂、脱落和磨损，金属零部件无锈蚀及其它机械损伤；b)产品表面说明功能的文字、符号、标志，应清晰、端正、牢固</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★状态指示灯</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在产品显著位置提供状态指示功能</w:t>
            </w:r>
          </w:p>
        </w:tc>
      </w:tr>
      <w:tr w:rsidR="007E6746" w:rsidTr="00D97EB6">
        <w:trPr>
          <w:trHeight w:val="2506"/>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★整机结构</w:t>
            </w:r>
          </w:p>
        </w:tc>
        <w:tc>
          <w:tcPr>
            <w:tcW w:w="4799" w:type="dxa"/>
            <w:tcBorders>
              <w:top w:val="nil"/>
              <w:left w:val="nil"/>
              <w:bottom w:val="single" w:sz="4" w:space="0" w:color="auto"/>
              <w:right w:val="single" w:sz="4" w:space="0" w:color="auto"/>
            </w:tcBorders>
            <w:vAlign w:val="center"/>
          </w:tcPr>
          <w:p w:rsidR="007E6746" w:rsidRDefault="007E6746" w:rsidP="00D97EB6">
            <w:pPr>
              <w:widowControl/>
              <w:rPr>
                <w:rFonts w:ascii="宋体" w:hAnsi="宋体" w:cs="宋体"/>
                <w:kern w:val="0"/>
                <w:sz w:val="24"/>
                <w:szCs w:val="24"/>
              </w:rPr>
            </w:pPr>
          </w:p>
          <w:p w:rsidR="007E6746" w:rsidRDefault="007E6746" w:rsidP="00D97EB6">
            <w:pPr>
              <w:widowControl/>
              <w:rPr>
                <w:rFonts w:ascii="宋体" w:hAnsi="宋体" w:cs="宋体"/>
                <w:kern w:val="0"/>
                <w:sz w:val="24"/>
                <w:szCs w:val="24"/>
              </w:rPr>
            </w:pP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a)产品内部结构应符合通用部件的安装需求；</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b)所有输入输出接口应符合相关国家或行业标准；</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c)产品零部件应紧固无松动，可插拔部件应可靠连接，开关、按钮和其它控制部件应灵</w:t>
            </w:r>
            <w:r>
              <w:rPr>
                <w:rFonts w:ascii="宋体" w:hAnsi="宋体" w:cs="宋体" w:hint="eastAsia"/>
                <w:kern w:val="0"/>
                <w:sz w:val="24"/>
                <w:szCs w:val="24"/>
              </w:rPr>
              <w:lastRenderedPageBreak/>
              <w:t>活可靠，布局应方便使用；</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d)所有I/O连接器及需插接线缆的部位应预留采购人操作空间，方便插拔解锁与插拔线缆；</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e)可插拔板卡插槽部位应预留安装、拆卸或更换板卡空间；</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f)拆装可能接触到的金属剪口或金属尖角部位应做防划伤处理，以保证安全；</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g)整机内部走线应规整，固线结构和位置要合理可靠并做防割线处理，需便于理线和插拔操作，走线应不影响系统各主要部件组装和拆卸；</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h)如需</w:t>
            </w:r>
            <w:proofErr w:type="gramStart"/>
            <w:r>
              <w:rPr>
                <w:rFonts w:ascii="宋体" w:hAnsi="宋体" w:cs="宋体" w:hint="eastAsia"/>
                <w:kern w:val="0"/>
                <w:sz w:val="24"/>
                <w:szCs w:val="24"/>
              </w:rPr>
              <w:t>通过孔走线</w:t>
            </w:r>
            <w:proofErr w:type="gramEnd"/>
            <w:r>
              <w:rPr>
                <w:rFonts w:ascii="宋体" w:hAnsi="宋体" w:cs="宋体" w:hint="eastAsia"/>
                <w:kern w:val="0"/>
                <w:sz w:val="24"/>
                <w:szCs w:val="24"/>
              </w:rPr>
              <w:t>，过线孔应做防割线处理；</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i)各插头位置和插拔方向应合理，应做到插拔无障碍设计，具备</w:t>
            </w:r>
            <w:proofErr w:type="gramStart"/>
            <w:r>
              <w:rPr>
                <w:rFonts w:ascii="宋体" w:hAnsi="宋体" w:cs="宋体" w:hint="eastAsia"/>
                <w:kern w:val="0"/>
                <w:sz w:val="24"/>
                <w:szCs w:val="24"/>
              </w:rPr>
              <w:t>防呆设计</w:t>
            </w:r>
            <w:proofErr w:type="gramEnd"/>
            <w:r>
              <w:rPr>
                <w:rFonts w:ascii="宋体" w:hAnsi="宋体" w:cs="宋体" w:hint="eastAsia"/>
                <w:kern w:val="0"/>
                <w:sz w:val="24"/>
                <w:szCs w:val="24"/>
              </w:rPr>
              <w:t>，有效避免误操作；</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j)各主要部件拆装无障碍，使用常规工具拆装，无特殊拆装工具需求；</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k)各主要部件拆装步骤要少，各自</w:t>
            </w:r>
            <w:proofErr w:type="gramStart"/>
            <w:r>
              <w:rPr>
                <w:rFonts w:ascii="宋体" w:hAnsi="宋体" w:cs="宋体" w:hint="eastAsia"/>
                <w:kern w:val="0"/>
                <w:sz w:val="24"/>
                <w:szCs w:val="24"/>
              </w:rPr>
              <w:t>拆装需</w:t>
            </w:r>
            <w:proofErr w:type="gramEnd"/>
            <w:r>
              <w:rPr>
                <w:rFonts w:ascii="宋体" w:hAnsi="宋体" w:cs="宋体" w:hint="eastAsia"/>
                <w:kern w:val="0"/>
                <w:sz w:val="24"/>
                <w:szCs w:val="24"/>
              </w:rPr>
              <w:t>避免相互干扰；</w:t>
            </w:r>
          </w:p>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l)对于整机或零部件外表面为高亮面的，应粘贴保护膜，保护膜需粘贴牢固，运输、组装等过程不易脱落，撕下无残留</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74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★机箱防护要求</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机箱符合 GB/T 4208 中 IP20 防护要求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★整机噪音</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产品工作在空闲状态下，产品的声功率级应不超过3.1Bel</w:t>
            </w:r>
          </w:p>
        </w:tc>
      </w:tr>
      <w:tr w:rsidR="007E6746" w:rsidTr="00D97EB6">
        <w:trPr>
          <w:trHeight w:val="15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★整机散热</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在环境温度25℃及处理器满载情况下，产品表面温度应符合如下要求：a)出风口在机箱后面</w:t>
            </w:r>
            <w:proofErr w:type="gramStart"/>
            <w:r>
              <w:rPr>
                <w:rFonts w:ascii="宋体" w:hAnsi="宋体" w:cs="宋体" w:hint="eastAsia"/>
                <w:kern w:val="0"/>
                <w:sz w:val="24"/>
                <w:szCs w:val="24"/>
              </w:rPr>
              <w:t>板情况</w:t>
            </w:r>
            <w:proofErr w:type="gramEnd"/>
            <w:r>
              <w:rPr>
                <w:rFonts w:ascii="宋体" w:hAnsi="宋体" w:cs="宋体" w:hint="eastAsia"/>
                <w:kern w:val="0"/>
                <w:sz w:val="24"/>
                <w:szCs w:val="24"/>
              </w:rPr>
              <w:t>下，出风口温度不高于55℃;b)可触及面温度不高于45℃;c)显示器表面温度：显示屏不高于38℃,显示屏上下灯带位置温度（如涉及）不高于40℃,出风口温度不高于45℃</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★整机能效限定值</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产品能效限定值应达到GB28380标准中能效等级2级及以上</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★机身材质</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机箱金属材质</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79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★机身颜色</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机身颜色黑色</w:t>
            </w:r>
          </w:p>
        </w:tc>
      </w:tr>
      <w:tr w:rsidR="007E6746" w:rsidTr="00D97EB6">
        <w:trPr>
          <w:trHeight w:val="363"/>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80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★机箱尺寸容量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机箱体积≤13.6L</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81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CPU</w:t>
            </w:r>
            <w:r>
              <w:rPr>
                <w:rFonts w:ascii="宋体" w:hAnsi="宋体" w:cs="宋体" w:hint="eastAsia"/>
                <w:kern w:val="0"/>
                <w:sz w:val="24"/>
                <w:szCs w:val="24"/>
              </w:rPr>
              <w:lastRenderedPageBreak/>
              <w:t>性能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★CPU物理核数</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≥4核</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82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★CPU主频</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≥2.7GHz</w:t>
            </w:r>
          </w:p>
        </w:tc>
      </w:tr>
      <w:tr w:rsidR="007E6746" w:rsidTr="00D97EB6">
        <w:trPr>
          <w:trHeight w:val="48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83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★CPU末级缓存容量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≥8MB</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color w:val="FF0000"/>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★CPU支持的内存最高速率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color w:val="FF0000"/>
                <w:kern w:val="0"/>
                <w:sz w:val="24"/>
                <w:szCs w:val="24"/>
              </w:rPr>
            </w:pPr>
            <w:r>
              <w:rPr>
                <w:rFonts w:ascii="宋体" w:hAnsi="宋体" w:cs="宋体" w:hint="eastAsia"/>
                <w:color w:val="FF0000"/>
                <w:kern w:val="0"/>
                <w:sz w:val="24"/>
                <w:szCs w:val="24"/>
              </w:rPr>
              <w:t>≥2666MT/s</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性能要求</w:t>
            </w:r>
          </w:p>
        </w:tc>
        <w:tc>
          <w:tcPr>
            <w:tcW w:w="78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内存性能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★内存读写速率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color w:val="FF0000"/>
                <w:kern w:val="0"/>
                <w:sz w:val="24"/>
                <w:szCs w:val="24"/>
              </w:rPr>
            </w:pPr>
            <w:r>
              <w:rPr>
                <w:rFonts w:ascii="宋体" w:hAnsi="宋体" w:cs="宋体" w:hint="eastAsia"/>
                <w:color w:val="FF0000"/>
                <w:kern w:val="0"/>
                <w:sz w:val="24"/>
                <w:szCs w:val="24"/>
              </w:rPr>
              <w:t>≥2666MT/s</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86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显卡性能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★显示分辨率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最大显示分辨率≥1920x1080</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87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★显卡显示芯片核心频率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最高应≥780MHz</w:t>
            </w:r>
          </w:p>
        </w:tc>
      </w:tr>
      <w:tr w:rsidR="007E6746" w:rsidTr="00D97EB6">
        <w:trPr>
          <w:trHeight w:val="392"/>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color w:val="FF0000"/>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★显存等效频率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color w:val="FF0000"/>
                <w:kern w:val="0"/>
                <w:sz w:val="24"/>
                <w:szCs w:val="24"/>
              </w:rPr>
            </w:pPr>
            <w:r>
              <w:rPr>
                <w:rFonts w:ascii="宋体" w:hAnsi="宋体" w:cs="宋体" w:hint="eastAsia"/>
                <w:color w:val="FF0000"/>
                <w:kern w:val="0"/>
                <w:sz w:val="24"/>
                <w:szCs w:val="24"/>
              </w:rPr>
              <w:t>≥2666MHz</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89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★显卡可支持多</w:t>
            </w:r>
            <w:proofErr w:type="gramStart"/>
            <w:r>
              <w:rPr>
                <w:rFonts w:ascii="宋体" w:hAnsi="宋体" w:cs="宋体" w:hint="eastAsia"/>
                <w:kern w:val="0"/>
                <w:sz w:val="24"/>
                <w:szCs w:val="24"/>
              </w:rPr>
              <w:t>屏同时</w:t>
            </w:r>
            <w:proofErr w:type="gramEnd"/>
            <w:r>
              <w:rPr>
                <w:rFonts w:ascii="宋体" w:hAnsi="宋体" w:cs="宋体" w:hint="eastAsia"/>
                <w:kern w:val="0"/>
                <w:sz w:val="24"/>
                <w:szCs w:val="24"/>
              </w:rPr>
              <w:t>显示数量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显卡支持2块屏幕同时显示，分辨率不低于1920x1080</w:t>
            </w:r>
          </w:p>
        </w:tc>
      </w:tr>
      <w:tr w:rsidR="007E6746" w:rsidTr="00D97EB6">
        <w:trPr>
          <w:trHeight w:val="90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99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网络设备性能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★有线网卡速率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最高速率应不低于 1000Mbps</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支持无线网络通信技术协议</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361"/>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无线网卡频宽</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★内存扩展接口(</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具备≥2个内存插槽</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存储扩展接口(</w:t>
            </w:r>
            <w:proofErr w:type="gramStart"/>
            <w:r>
              <w:rPr>
                <w:rFonts w:ascii="宋体" w:hAnsi="宋体" w:cs="宋体" w:hint="eastAsia"/>
                <w:kern w:val="0"/>
                <w:sz w:val="24"/>
                <w:szCs w:val="24"/>
              </w:rPr>
              <w:t>板载存储</w:t>
            </w:r>
            <w:proofErr w:type="gramEnd"/>
            <w:r>
              <w:rPr>
                <w:rFonts w:ascii="宋体" w:hAnsi="宋体" w:cs="宋体" w:hint="eastAsia"/>
                <w:kern w:val="0"/>
                <w:sz w:val="24"/>
                <w:szCs w:val="24"/>
              </w:rPr>
              <w:t>不涉及)</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支持SATA 3.0*2，M.2*1</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★主板USB瞬间过流保护</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支持瞬间过流保护功能</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★主板防静电保护</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支持防静电保护功能</w:t>
            </w:r>
          </w:p>
        </w:tc>
      </w:tr>
      <w:tr w:rsidR="007E6746" w:rsidTr="00D97EB6">
        <w:trPr>
          <w:trHeight w:val="332"/>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★I/O接口功能</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≥6个USB 3.0接口（其中前置USB 3.0数量≥4个）</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显卡功能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★显卡外接显示接口</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显卡至少支持VGA、HDMI、DVI、DP、Type-C中2种显示接口，并与显示器接口相匹配</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108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独立显卡数量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独立显卡数量1个</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外设功能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摄像头物理隐私保护开关</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传声器降噪</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键盘背光</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13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115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光驱功能</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光驱应支持只读、刻录等类型；最大读取速度CD不低于24×150KB/s；最大读取速度DVD不低于8×358KB/s；最大刻录速度CD不低于24×150KB/s；最大刻录速度DVD不低于6×1358KB/s；兼容光盘类型包含只读光盘、可读写光盘、可擦写光盘等</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通过SATA固态存储/PCIe 固态存储/UFS 固态存储/SATA 硬磁盘等存储部件提供存储功能</w:t>
            </w:r>
          </w:p>
        </w:tc>
      </w:tr>
      <w:tr w:rsidR="007E6746" w:rsidTr="00D97EB6">
        <w:trPr>
          <w:trHeight w:val="616"/>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内置控制器固态存储加密</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网络设备功能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★网络功能</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支持访问网络和数据交换功能</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119</w:t>
            </w:r>
          </w:p>
        </w:tc>
        <w:tc>
          <w:tcPr>
            <w:tcW w:w="1440" w:type="dxa"/>
            <w:tcBorders>
              <w:top w:val="nil"/>
              <w:left w:val="nil"/>
              <w:bottom w:val="single" w:sz="4" w:space="0" w:color="auto"/>
              <w:right w:val="single" w:sz="4" w:space="0" w:color="auto"/>
            </w:tcBorders>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 xml:space="preserve">功能要求　</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无线网卡频段</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物理开关</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★数据传输</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支持数据传输能力，并提供数据流量和异常日志记录功能</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proofErr w:type="gramStart"/>
            <w:r>
              <w:rPr>
                <w:rFonts w:ascii="宋体" w:hAnsi="宋体" w:cs="宋体" w:hint="eastAsia"/>
                <w:kern w:val="0"/>
                <w:sz w:val="24"/>
                <w:szCs w:val="24"/>
              </w:rPr>
              <w:t>蓝牙协议</w:t>
            </w:r>
            <w:proofErr w:type="gramEnd"/>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48"/>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★有线网卡接口类型</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支持RJ45接口</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无线网卡标准</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★网络设备拆装</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外部接口功能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★音频接口类型</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支持3.5mm孔径</w:t>
            </w:r>
          </w:p>
        </w:tc>
      </w:tr>
      <w:tr w:rsidR="007E6746" w:rsidTr="00D97EB6">
        <w:trPr>
          <w:trHeight w:val="479"/>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★视频接口类型</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至少支持VGA、HDMI、DVI、DP、Type-C中2种显示接口</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★HDMI、DP、Type-C显示接口要求</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若提供 HDMI 或 DP 或 Type-C 作为显示接口，应支持音频和视频同步输出</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129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其他接口</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34"/>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存储卡接口类型</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131</w:t>
            </w:r>
          </w:p>
        </w:tc>
        <w:tc>
          <w:tcPr>
            <w:tcW w:w="1440" w:type="dxa"/>
            <w:vMerge w:val="restart"/>
            <w:tcBorders>
              <w:top w:val="nil"/>
              <w:left w:val="nil"/>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nil"/>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电源功能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★电源线适配能力</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电源适配器电线组件应符合GB/T15934的要求，可拆线的插头和连接器可以不做要求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132</w:t>
            </w:r>
          </w:p>
        </w:tc>
        <w:tc>
          <w:tcPr>
            <w:tcW w:w="1440" w:type="dxa"/>
            <w:vMerge/>
            <w:tcBorders>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p>
        </w:tc>
        <w:tc>
          <w:tcPr>
            <w:tcW w:w="780" w:type="dxa"/>
            <w:vMerge/>
            <w:tcBorders>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★电源功率</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不小于180瓦</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操作系统及软件功能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★中文信息处理要求</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符合GB 18030的相关规定</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★操作系统备份及还原功能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支持操作系统备份及还原功能</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spacing w:line="360" w:lineRule="auto"/>
              <w:jc w:val="center"/>
              <w:rPr>
                <w:rFonts w:ascii="宋体" w:hAnsi="宋体" w:cs="宋体"/>
                <w:kern w:val="0"/>
                <w:sz w:val="24"/>
                <w:szCs w:val="24"/>
              </w:rPr>
            </w:pPr>
            <w:r>
              <w:rPr>
                <w:rFonts w:ascii="宋体" w:hAnsi="宋体" w:cs="宋体" w:hint="eastAsia"/>
                <w:kern w:val="0"/>
                <w:sz w:val="24"/>
                <w:szCs w:val="24"/>
              </w:rPr>
              <w:t>135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★固件备份还原能力</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支持备份及还原固件的功能</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★操作系统及驱动升级</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支持通过网络、闪存盘等方式对操作系统、驱动进行升级</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137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★固件升级</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支持通过</w:t>
            </w:r>
            <w:proofErr w:type="gramStart"/>
            <w:r>
              <w:rPr>
                <w:rFonts w:ascii="宋体" w:hAnsi="宋体" w:cs="宋体" w:hint="eastAsia"/>
                <w:kern w:val="0"/>
                <w:sz w:val="24"/>
                <w:szCs w:val="24"/>
              </w:rPr>
              <w:t>闪</w:t>
            </w:r>
            <w:proofErr w:type="gramEnd"/>
            <w:r>
              <w:rPr>
                <w:rFonts w:ascii="宋体" w:hAnsi="宋体" w:cs="宋体" w:hint="eastAsia"/>
                <w:kern w:val="0"/>
                <w:sz w:val="24"/>
                <w:szCs w:val="24"/>
              </w:rPr>
              <w:t>存盘等方式对固件进行升级</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★BIOS支持关闭通讯接口</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支持BIOS关闭以太网及USB接口</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139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★固件查看信息</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支持查看固件版本、内存信息、主板信息、处理器信息和系统时间信息等功能</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★固件设置启动顺序</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支持设置启动顺序功能，并按照设置的启动顺序启动</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★固件设置口令</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支持设置口令功能</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★固件设置网络引导</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支持网络引导启动和关闭功能</w:t>
            </w:r>
          </w:p>
        </w:tc>
      </w:tr>
      <w:tr w:rsidR="007E6746" w:rsidTr="00D97EB6">
        <w:trPr>
          <w:trHeight w:val="482"/>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生物识别功能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指纹识别</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本次采购对此项无需求</w:t>
            </w:r>
          </w:p>
        </w:tc>
      </w:tr>
      <w:tr w:rsidR="007E6746" w:rsidTr="00D97EB6">
        <w:trPr>
          <w:trHeight w:val="38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人脸识别</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本次采购对此项无需求</w:t>
            </w:r>
          </w:p>
        </w:tc>
      </w:tr>
      <w:tr w:rsidR="007E6746" w:rsidTr="00D97EB6">
        <w:trPr>
          <w:trHeight w:val="38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静脉识别</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硬件加速功能</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NPU/GPU等AI加速模块</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本次采购对此项无需求</w:t>
            </w:r>
          </w:p>
        </w:tc>
      </w:tr>
      <w:tr w:rsidR="007E6746" w:rsidTr="00D97EB6">
        <w:trPr>
          <w:trHeight w:val="391"/>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视频编解码加速模块</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影像处理加速模块</w:t>
            </w:r>
          </w:p>
        </w:tc>
        <w:tc>
          <w:tcPr>
            <w:tcW w:w="4799" w:type="dxa"/>
            <w:tcBorders>
              <w:top w:val="nil"/>
              <w:left w:val="nil"/>
              <w:bottom w:val="single" w:sz="4" w:space="0" w:color="auto"/>
              <w:right w:val="single" w:sz="4" w:space="0" w:color="auto"/>
            </w:tcBorders>
            <w:vAlign w:val="center"/>
          </w:tcPr>
          <w:p w:rsidR="007E6746" w:rsidRDefault="007E6746" w:rsidP="00D97EB6">
            <w:r>
              <w:rPr>
                <w:rFonts w:ascii="宋体" w:hAnsi="宋体" w:cs="宋体" w:hint="eastAsia"/>
                <w:kern w:val="0"/>
                <w:sz w:val="24"/>
                <w:szCs w:val="24"/>
              </w:rPr>
              <w:t>本次采购对此项无需求</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149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存储设备可靠性</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★固态存储寿命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TBW≥85TB（条件：512GB硬盘容量）</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★机械硬盘寿命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通电时间≥5 万小时</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外设可靠性</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★键盘按键寿命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≥1000 万次</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★鼠标按键寿命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≥500 万次</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★键盘鼠标线材寿命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键盘鼠标所用线材经±60°弯折不低于3000次，功能、外观完好</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★风扇寿命</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≥4 万小时</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整机可靠性要求</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★电磁兼容性要求的抗扰度</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通过电磁兼容性的测试</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★环境条件要求的气候环境适应性</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★环境条件要求的振动适应性</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符合GB/T 9813.1中规定</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★环境条件要求的冲击适应性</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159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★环境条件要求的碰撞适应性</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7E6746" w:rsidTr="00D97EB6">
        <w:trPr>
          <w:trHeight w:val="677"/>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160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★环境条件要求的运输包装件跌落适应性</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符合GB/T9813.1中规定</w:t>
            </w:r>
          </w:p>
        </w:tc>
      </w:tr>
      <w:tr w:rsidR="007E6746" w:rsidTr="00D97EB6">
        <w:trPr>
          <w:trHeight w:val="334"/>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★MTBF测试</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MTBF(m1)≥100万小时</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★常用软件兼容</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支持流式软件、版式软件、浏览器、邮件采购人端、解压软件、多媒体、图形图像处理等常用软件</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★数据库兼容</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兼容3个及以上厂商的数据库产品</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★中间件兼容</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兼容3个及以上厂商中间件产品</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★平台软件兼容</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兼容3个及以上厂商</w:t>
            </w:r>
            <w:proofErr w:type="gramStart"/>
            <w:r>
              <w:rPr>
                <w:rFonts w:ascii="宋体" w:hAnsi="宋体" w:cs="宋体" w:hint="eastAsia"/>
                <w:kern w:val="0"/>
                <w:sz w:val="24"/>
                <w:szCs w:val="24"/>
              </w:rPr>
              <w:t>云计算</w:t>
            </w:r>
            <w:proofErr w:type="gramEnd"/>
            <w:r>
              <w:rPr>
                <w:rFonts w:ascii="宋体" w:hAnsi="宋体" w:cs="宋体" w:hint="eastAsia"/>
                <w:kern w:val="0"/>
                <w:sz w:val="24"/>
                <w:szCs w:val="24"/>
              </w:rPr>
              <w:t>及大数据平台</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78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★标志、包装、运输和贮存</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符合GB/T9813.1和商品包装政府采购需求标准的相关规定</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★配置检查工具</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供应商提供自检测试工具</w:t>
            </w:r>
          </w:p>
        </w:tc>
      </w:tr>
      <w:tr w:rsidR="007E6746" w:rsidTr="00D97EB6">
        <w:trPr>
          <w:trHeight w:val="180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★服务响应</w:t>
            </w:r>
          </w:p>
        </w:tc>
        <w:tc>
          <w:tcPr>
            <w:tcW w:w="4799" w:type="dxa"/>
            <w:tcBorders>
              <w:top w:val="nil"/>
              <w:left w:val="nil"/>
              <w:bottom w:val="single" w:sz="4" w:space="0" w:color="auto"/>
              <w:right w:val="single" w:sz="4" w:space="0" w:color="auto"/>
            </w:tcBorders>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a)供应商提供电话、电子邮件、远程连接等多种形式服务；</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 xml:space="preserve">b)供应商提供同城 4h、异地 12h 技术响应服务，2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工作日解决问题，对于未能解决的问题和故障应提供可行的升级方案，并提供周转设备或更换设备；</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c)建立全国技术服务体系和服务团体，符合专业服务体系标准要求，提供原厂中文服务；</w:t>
            </w:r>
          </w:p>
          <w:p w:rsidR="007E6746" w:rsidRDefault="007E6746" w:rsidP="00D97EB6">
            <w:pPr>
              <w:widowControl/>
              <w:rPr>
                <w:rFonts w:ascii="宋体" w:hAnsi="宋体" w:cs="宋体"/>
                <w:kern w:val="0"/>
                <w:sz w:val="24"/>
                <w:szCs w:val="24"/>
              </w:rPr>
            </w:pPr>
            <w:r>
              <w:rPr>
                <w:rFonts w:ascii="宋体" w:hAnsi="宋体" w:cs="宋体" w:hint="eastAsia"/>
                <w:kern w:val="0"/>
                <w:sz w:val="24"/>
                <w:szCs w:val="24"/>
              </w:rPr>
              <w:t>d)服务周期内提供产品的维修、换件和升级服务；</w:t>
            </w:r>
          </w:p>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e）产品生命周期结束后，原厂需提供符合工信部要求的IT资产环保处置服务，包括上门回收、数据销毁、环保拆解，并提供《资产环保处置证明》，服务可通过电话或官方网站查询；</w:t>
            </w:r>
          </w:p>
        </w:tc>
      </w:tr>
      <w:tr w:rsidR="007E6746" w:rsidTr="00D97EB6">
        <w:trPr>
          <w:trHeight w:val="112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169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★服务周期</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原厂保修服务不低于三年，原厂400电话可查</w:t>
            </w:r>
          </w:p>
        </w:tc>
      </w:tr>
      <w:tr w:rsidR="007E6746" w:rsidTr="00D97EB6">
        <w:trPr>
          <w:trHeight w:val="112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★预装操作系统</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配合采购人安装系统</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★培训服务</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供应商提供培训材料、产品手册、培训视频等培训相关内容</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★典型问题解决手册</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供应商提供典型问题解决说明文档或视频</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lastRenderedPageBreak/>
              <w:t>173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★厂家升级软件与扩容服务</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供应商提供上门升级部件/软件与扩容的增值服务</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174</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★整机质量服务要求</w:t>
            </w:r>
          </w:p>
        </w:tc>
        <w:tc>
          <w:tcPr>
            <w:tcW w:w="4799" w:type="dxa"/>
            <w:tcBorders>
              <w:top w:val="nil"/>
              <w:left w:val="nil"/>
              <w:bottom w:val="single" w:sz="4" w:space="0" w:color="auto"/>
              <w:right w:val="single" w:sz="4" w:space="0" w:color="auto"/>
            </w:tcBorders>
            <w:noWrap/>
            <w:vAlign w:val="center"/>
          </w:tcPr>
          <w:p w:rsidR="007E6746" w:rsidRDefault="007E6746" w:rsidP="00D97EB6">
            <w:pPr>
              <w:widowControl/>
              <w:rPr>
                <w:rFonts w:ascii="宋体" w:hAnsi="宋体" w:cs="宋体"/>
                <w:kern w:val="0"/>
                <w:sz w:val="24"/>
                <w:szCs w:val="24"/>
              </w:rPr>
            </w:pPr>
            <w:r>
              <w:rPr>
                <w:rFonts w:ascii="宋体" w:hAnsi="宋体" w:cs="宋体" w:hint="eastAsia"/>
                <w:kern w:val="0"/>
                <w:sz w:val="24"/>
                <w:szCs w:val="24"/>
              </w:rPr>
              <w:t>免费服务周期（含换件和维修）保修服务不低于三年，原厂400电话可查</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175</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★合格证书要求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供应商提供产品合格证</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176</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★开箱组装/使用指导要求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供应商提供开箱组装/使用指导</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177</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★驱动下载服务要求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供应商提供驱动光盘或下载方式</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178</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★兼容适配软件下载服务要求</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供应商提供兼容适配软件下载渠道（光盘、网站）</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179</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跨架构平台应用兼容</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供应商提供跨架构平台的应用兼容工具，支持一种或者一种以上不同架构平台的应用</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180</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78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供应链合</w:t>
            </w:r>
            <w:proofErr w:type="gramStart"/>
            <w:r>
              <w:rPr>
                <w:rFonts w:ascii="宋体" w:hAnsi="宋体" w:cs="宋体" w:hint="eastAsia"/>
                <w:kern w:val="0"/>
                <w:sz w:val="24"/>
                <w:szCs w:val="24"/>
              </w:rPr>
              <w:t>规</w:t>
            </w:r>
            <w:proofErr w:type="gramEnd"/>
            <w:r>
              <w:rPr>
                <w:rFonts w:ascii="宋体" w:hAnsi="宋体" w:cs="宋体" w:hint="eastAsia"/>
                <w:kern w:val="0"/>
                <w:sz w:val="24"/>
                <w:szCs w:val="24"/>
              </w:rPr>
              <w:t>性</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★产品部件保障</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w:t>
            </w:r>
            <w:proofErr w:type="gramStart"/>
            <w:r>
              <w:rPr>
                <w:rFonts w:ascii="宋体" w:hAnsi="宋体" w:cs="宋体" w:hint="eastAsia"/>
                <w:kern w:val="0"/>
                <w:sz w:val="24"/>
                <w:szCs w:val="24"/>
              </w:rPr>
              <w:t>商保障</w:t>
            </w:r>
            <w:proofErr w:type="gramEnd"/>
            <w:r>
              <w:rPr>
                <w:rFonts w:ascii="宋体" w:hAnsi="宋体" w:cs="宋体" w:hint="eastAsia"/>
                <w:kern w:val="0"/>
                <w:sz w:val="24"/>
                <w:szCs w:val="24"/>
              </w:rPr>
              <w:t>产品主要部件，提供6年的备件服务能力（自购买之日起），或提供可兼容原设备的升级换代产品</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181</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780" w:type="dxa"/>
            <w:vMerge w:val="restart"/>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供应链质量</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★抗干扰性</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当产品部件出现供应风险时，供应商应通知采购人并提供风险应对方案确保产品的服务保障</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182</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780" w:type="dxa"/>
            <w:vMerge/>
            <w:tcBorders>
              <w:top w:val="nil"/>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★供应能力证明</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供应商提供供应</w:t>
            </w:r>
            <w:proofErr w:type="gramStart"/>
            <w:r>
              <w:rPr>
                <w:rFonts w:ascii="宋体" w:hAnsi="宋体" w:cs="宋体" w:hint="eastAsia"/>
                <w:kern w:val="0"/>
                <w:sz w:val="24"/>
                <w:szCs w:val="24"/>
              </w:rPr>
              <w:t>链稳定</w:t>
            </w:r>
            <w:proofErr w:type="gramEnd"/>
            <w:r>
              <w:rPr>
                <w:rFonts w:ascii="宋体" w:hAnsi="宋体" w:cs="宋体" w:hint="eastAsia"/>
                <w:kern w:val="0"/>
                <w:sz w:val="24"/>
                <w:szCs w:val="24"/>
              </w:rPr>
              <w:t>承诺书，确保产品的部件在产品服务周期内稳定供货</w:t>
            </w:r>
          </w:p>
        </w:tc>
      </w:tr>
      <w:tr w:rsidR="007E6746" w:rsidTr="00D97EB6">
        <w:trPr>
          <w:trHeight w:val="90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183</w:t>
            </w:r>
          </w:p>
        </w:tc>
        <w:tc>
          <w:tcPr>
            <w:tcW w:w="144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关键部件安全要求</w:t>
            </w:r>
          </w:p>
        </w:tc>
        <w:tc>
          <w:tcPr>
            <w:tcW w:w="2556" w:type="dxa"/>
            <w:tcBorders>
              <w:top w:val="nil"/>
              <w:left w:val="nil"/>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★关键部件安全要求3</w:t>
            </w:r>
          </w:p>
        </w:tc>
        <w:tc>
          <w:tcPr>
            <w:tcW w:w="4799" w:type="dxa"/>
            <w:tcBorders>
              <w:top w:val="nil"/>
              <w:left w:val="nil"/>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CPU和操作系统等关键部件应当符合安全可靠测评要求</w:t>
            </w:r>
          </w:p>
        </w:tc>
      </w:tr>
      <w:tr w:rsidR="007E6746" w:rsidTr="00D97EB6">
        <w:trPr>
          <w:trHeight w:val="67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184</w:t>
            </w:r>
          </w:p>
        </w:tc>
        <w:tc>
          <w:tcPr>
            <w:tcW w:w="1440"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val="restart"/>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整机安全性要求</w:t>
            </w:r>
          </w:p>
        </w:tc>
        <w:tc>
          <w:tcPr>
            <w:tcW w:w="2556"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★密码算法实现</w:t>
            </w:r>
          </w:p>
        </w:tc>
        <w:tc>
          <w:tcPr>
            <w:tcW w:w="4799"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CPU芯片应符合GM/T0008的相关规定，或芯片密码模块应符合GB/T37092或GM/T0028的相关规定</w:t>
            </w:r>
          </w:p>
        </w:tc>
      </w:tr>
      <w:tr w:rsidR="007E6746" w:rsidTr="00D97EB6">
        <w:trPr>
          <w:trHeight w:val="446"/>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185</w:t>
            </w:r>
          </w:p>
        </w:tc>
        <w:tc>
          <w:tcPr>
            <w:tcW w:w="1440"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USB端口管控</w:t>
            </w:r>
          </w:p>
        </w:tc>
        <w:tc>
          <w:tcPr>
            <w:tcW w:w="4799"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支持USB端口管控</w:t>
            </w:r>
          </w:p>
        </w:tc>
      </w:tr>
      <w:tr w:rsidR="007E6746" w:rsidTr="00D97EB6">
        <w:trPr>
          <w:trHeight w:val="27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186</w:t>
            </w:r>
          </w:p>
        </w:tc>
        <w:tc>
          <w:tcPr>
            <w:tcW w:w="1440"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安全物理锁</w:t>
            </w:r>
          </w:p>
        </w:tc>
        <w:tc>
          <w:tcPr>
            <w:tcW w:w="4799"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支持安全物理锁</w:t>
            </w:r>
          </w:p>
        </w:tc>
      </w:tr>
      <w:tr w:rsidR="007E6746" w:rsidTr="00D97EB6">
        <w:trPr>
          <w:trHeight w:val="1125"/>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187</w:t>
            </w:r>
          </w:p>
        </w:tc>
        <w:tc>
          <w:tcPr>
            <w:tcW w:w="1440"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★信息安全基本要求</w:t>
            </w:r>
          </w:p>
        </w:tc>
        <w:tc>
          <w:tcPr>
            <w:tcW w:w="4799"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a)产品应符合GB/T39276的5.2的规定；b)生产厂商应建立漏洞跟踪表，保证产品版本涉及到的漏洞(如驱动程序等)可查看；c)产品不得包含已知的恶意代码或漏洞，不存在未声明的指令、功能、接口</w:t>
            </w:r>
          </w:p>
        </w:tc>
      </w:tr>
      <w:tr w:rsidR="007E6746" w:rsidTr="00D97EB6">
        <w:trPr>
          <w:trHeight w:val="450"/>
          <w:jc w:val="center"/>
        </w:trPr>
        <w:tc>
          <w:tcPr>
            <w:tcW w:w="1117" w:type="dxa"/>
            <w:tcBorders>
              <w:top w:val="nil"/>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188</w:t>
            </w:r>
          </w:p>
        </w:tc>
        <w:tc>
          <w:tcPr>
            <w:tcW w:w="1440"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★固件安全启动</w:t>
            </w:r>
          </w:p>
        </w:tc>
        <w:tc>
          <w:tcPr>
            <w:tcW w:w="4799"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支持固件安全启动功能，固件启动过程中只有通过启动校验才能正常启动</w:t>
            </w:r>
          </w:p>
        </w:tc>
      </w:tr>
      <w:tr w:rsidR="007E6746" w:rsidTr="00D97EB6">
        <w:trPr>
          <w:trHeight w:val="450"/>
          <w:jc w:val="center"/>
        </w:trPr>
        <w:tc>
          <w:tcPr>
            <w:tcW w:w="1117"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189</w:t>
            </w:r>
          </w:p>
        </w:tc>
        <w:tc>
          <w:tcPr>
            <w:tcW w:w="1440"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780" w:type="dxa"/>
            <w:vMerge/>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p>
        </w:tc>
        <w:tc>
          <w:tcPr>
            <w:tcW w:w="2556"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center"/>
              <w:rPr>
                <w:rFonts w:ascii="宋体" w:hAnsi="宋体" w:cs="宋体"/>
                <w:kern w:val="0"/>
                <w:sz w:val="24"/>
                <w:szCs w:val="24"/>
              </w:rPr>
            </w:pPr>
            <w:r>
              <w:rPr>
                <w:rFonts w:ascii="宋体" w:hAnsi="宋体" w:cs="宋体" w:hint="eastAsia"/>
                <w:kern w:val="0"/>
                <w:sz w:val="24"/>
                <w:szCs w:val="24"/>
              </w:rPr>
              <w:t>★限用物质的限量要求</w:t>
            </w:r>
          </w:p>
        </w:tc>
        <w:tc>
          <w:tcPr>
            <w:tcW w:w="4799" w:type="dxa"/>
            <w:tcBorders>
              <w:top w:val="single" w:sz="4" w:space="0" w:color="auto"/>
              <w:left w:val="single" w:sz="4" w:space="0" w:color="auto"/>
              <w:bottom w:val="single" w:sz="4" w:space="0" w:color="auto"/>
              <w:right w:val="single" w:sz="4" w:space="0" w:color="auto"/>
            </w:tcBorders>
            <w:vAlign w:val="center"/>
          </w:tcPr>
          <w:p w:rsidR="007E6746" w:rsidRDefault="007E6746" w:rsidP="00D97EB6">
            <w:pPr>
              <w:widowControl/>
              <w:jc w:val="left"/>
              <w:rPr>
                <w:rFonts w:ascii="宋体" w:hAnsi="宋体" w:cs="宋体"/>
                <w:kern w:val="0"/>
                <w:sz w:val="24"/>
                <w:szCs w:val="24"/>
              </w:rPr>
            </w:pPr>
            <w:r>
              <w:rPr>
                <w:rFonts w:ascii="宋体" w:hAnsi="宋体" w:cs="宋体" w:hint="eastAsia"/>
                <w:kern w:val="0"/>
                <w:sz w:val="24"/>
                <w:szCs w:val="24"/>
              </w:rPr>
              <w:t>符合GB/T26572中规定</w:t>
            </w:r>
          </w:p>
        </w:tc>
      </w:tr>
    </w:tbl>
    <w:bookmarkEnd w:id="2"/>
    <w:bookmarkEnd w:id="3"/>
    <w:p w:rsidR="00F85E67" w:rsidRDefault="00F85E67" w:rsidP="00F85E67">
      <w:pPr>
        <w:spacing w:before="240" w:line="600" w:lineRule="exact"/>
        <w:jc w:val="center"/>
        <w:rPr>
          <w:rFonts w:ascii="宋体" w:hAnsi="宋体" w:cs="宋体"/>
          <w:b/>
          <w:sz w:val="24"/>
          <w:szCs w:val="24"/>
        </w:rPr>
      </w:pPr>
      <w:r>
        <w:rPr>
          <w:rFonts w:ascii="宋体" w:hAnsi="宋体" w:cs="宋体" w:hint="eastAsia"/>
          <w:b/>
          <w:sz w:val="24"/>
          <w:szCs w:val="24"/>
        </w:rPr>
        <w:lastRenderedPageBreak/>
        <w:t>表3：笔记本电脑</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3"/>
        <w:gridCol w:w="1535"/>
        <w:gridCol w:w="1103"/>
        <w:gridCol w:w="2551"/>
        <w:gridCol w:w="4231"/>
      </w:tblGrid>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序号</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指标分类</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一级指标</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二级指标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指标要求</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 信息</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处理器，通过安全可靠测评，（≥8核芯，≥8线程，主频≥2.</w:t>
            </w:r>
            <w:r>
              <w:rPr>
                <w:rFonts w:ascii="宋体" w:hAnsi="宋体" w:cs="宋体"/>
                <w:kern w:val="0"/>
                <w:sz w:val="24"/>
                <w:szCs w:val="24"/>
              </w:rPr>
              <w:t>7</w:t>
            </w:r>
            <w:r>
              <w:rPr>
                <w:rFonts w:ascii="宋体" w:hAnsi="宋体" w:cs="宋体" w:hint="eastAsia"/>
                <w:kern w:val="0"/>
                <w:sz w:val="24"/>
                <w:szCs w:val="24"/>
              </w:rPr>
              <w:t>GHz，缓存≥8M）</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★内存规格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★内存配置容量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≥16GB</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★内存类型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 DDR4/LPDDR4/LPDDR4X 及以上内存类型</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★内存条配置数量</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★主板集成模块</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集成资源扩展模块、计算处理模块、音频扩展模块等，主板的互联拓扑可通过处理器或交换电路实现</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★主板支持的CPU和内存情况</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最少支持一颗</w:t>
            </w:r>
            <w:r>
              <w:rPr>
                <w:rFonts w:ascii="宋体" w:hAnsi="宋体" w:cs="宋体"/>
                <w:kern w:val="0"/>
                <w:sz w:val="24"/>
                <w:szCs w:val="24"/>
              </w:rPr>
              <w:t>X</w:t>
            </w:r>
            <w:r>
              <w:rPr>
                <w:rFonts w:ascii="宋体" w:hAnsi="宋体" w:cs="宋体" w:hint="eastAsia"/>
                <w:kern w:val="0"/>
                <w:sz w:val="24"/>
                <w:szCs w:val="24"/>
              </w:rPr>
              <w:t>86架构处理器，DDR4内存规格</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主板内置PCIe插槽数量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特殊孔位及接口</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主板支持安装多功能导入装置板卡，或预留相应孔位及接口</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★单内存插槽最大可支持容量</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≥8GB</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★内存插槽满配时</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提供的最高内存总容量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≥16GB</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★存储设备规格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★固态盘数量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★固态存储容量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≥512G</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★固态盘数量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机械硬盘数量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w:t>
            </w:r>
          </w:p>
        </w:tc>
      </w:tr>
      <w:tr w:rsidR="00F85E67" w:rsidTr="00D97EB6">
        <w:trPr>
          <w:trHeight w:val="326"/>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机械硬盘总容量</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机械硬盘转速</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机械硬盘接口协议</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机械硬盘形态</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固态存储接口协议</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支持PCIe/NVMe等类型接口协议</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固态存储形态</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采用插卡形态，插卡形态</w:t>
            </w:r>
            <w:proofErr w:type="gramStart"/>
            <w:r>
              <w:rPr>
                <w:rFonts w:ascii="宋体" w:hAnsi="宋体" w:cs="宋体" w:hint="eastAsia"/>
                <w:kern w:val="0"/>
                <w:sz w:val="24"/>
                <w:szCs w:val="24"/>
              </w:rPr>
              <w:t>宜符合</w:t>
            </w:r>
            <w:proofErr w:type="gramEnd"/>
            <w:r>
              <w:rPr>
                <w:rFonts w:ascii="宋体" w:hAnsi="宋体" w:cs="宋体" w:hint="eastAsia"/>
                <w:kern w:val="0"/>
                <w:sz w:val="24"/>
                <w:szCs w:val="24"/>
              </w:rPr>
              <w:t>M.2标准尺寸和接口定义</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★存储设备</w:t>
            </w:r>
            <w:proofErr w:type="gramStart"/>
            <w:r>
              <w:rPr>
                <w:rFonts w:ascii="宋体" w:hAnsi="宋体" w:cs="宋体" w:hint="eastAsia"/>
                <w:kern w:val="0"/>
                <w:sz w:val="24"/>
                <w:szCs w:val="24"/>
              </w:rPr>
              <w:t>扩展盘位</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★存储设备其他参与要求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a）</w:t>
            </w:r>
            <w:r>
              <w:rPr>
                <w:rFonts w:ascii="宋体" w:hAnsi="宋体" w:cs="宋体" w:hint="eastAsia"/>
                <w:kern w:val="0"/>
                <w:sz w:val="24"/>
                <w:szCs w:val="24"/>
              </w:rPr>
              <w:tab/>
              <w:t>固态盘应符合SJ/T 11654相关规定;</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b）</w:t>
            </w:r>
            <w:r>
              <w:rPr>
                <w:rFonts w:ascii="宋体" w:hAnsi="宋体" w:cs="宋体" w:hint="eastAsia"/>
                <w:kern w:val="0"/>
                <w:sz w:val="24"/>
                <w:szCs w:val="24"/>
              </w:rPr>
              <w:tab/>
              <w:t>机械硬盘准备时间应不大于30s；侧面固定螺丝孔数量可为4孔或6 孔；工作状态环境温度应满足5℃</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~55℃；其它参数应符合GB/T12628 的相关规定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23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w:t>
            </w:r>
            <w:proofErr w:type="gramStart"/>
            <w:r>
              <w:rPr>
                <w:rFonts w:ascii="宋体" w:hAnsi="宋体" w:cs="宋体" w:hint="eastAsia"/>
                <w:kern w:val="0"/>
                <w:sz w:val="24"/>
                <w:szCs w:val="24"/>
              </w:rPr>
              <w:t>卡类型</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集成显卡</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卡显存类型</w:t>
            </w:r>
            <w:proofErr w:type="gramEnd"/>
          </w:p>
        </w:tc>
        <w:tc>
          <w:tcPr>
            <w:tcW w:w="4231" w:type="dxa"/>
            <w:vAlign w:val="center"/>
          </w:tcPr>
          <w:p w:rsidR="00F85E67" w:rsidRDefault="00F85E67" w:rsidP="00D97EB6">
            <w:pPr>
              <w:jc w:val="cente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独立显</w:t>
            </w:r>
            <w:proofErr w:type="gramStart"/>
            <w:r>
              <w:rPr>
                <w:rFonts w:ascii="宋体" w:hAnsi="宋体" w:cs="宋体" w:hint="eastAsia"/>
                <w:kern w:val="0"/>
                <w:sz w:val="24"/>
                <w:szCs w:val="24"/>
              </w:rPr>
              <w:t>卡显存位宽</w:t>
            </w:r>
            <w:proofErr w:type="gramEnd"/>
          </w:p>
        </w:tc>
        <w:tc>
          <w:tcPr>
            <w:tcW w:w="4231" w:type="dxa"/>
            <w:vAlign w:val="center"/>
          </w:tcPr>
          <w:p w:rsidR="00F85E67" w:rsidRDefault="00F85E67" w:rsidP="00D97EB6">
            <w:pPr>
              <w:jc w:val="cente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独立</w:t>
            </w:r>
            <w:proofErr w:type="gramStart"/>
            <w:r>
              <w:rPr>
                <w:rFonts w:ascii="宋体" w:hAnsi="宋体" w:cs="宋体" w:hint="eastAsia"/>
                <w:kern w:val="0"/>
                <w:sz w:val="24"/>
                <w:szCs w:val="24"/>
              </w:rPr>
              <w:t>显卡显存</w:t>
            </w:r>
            <w:proofErr w:type="gramEnd"/>
            <w:r>
              <w:rPr>
                <w:rFonts w:ascii="宋体" w:hAnsi="宋体" w:cs="宋体" w:hint="eastAsia"/>
                <w:kern w:val="0"/>
                <w:sz w:val="24"/>
                <w:szCs w:val="24"/>
              </w:rPr>
              <w:t>容量</w:t>
            </w:r>
          </w:p>
        </w:tc>
        <w:tc>
          <w:tcPr>
            <w:tcW w:w="4231" w:type="dxa"/>
            <w:vAlign w:val="center"/>
          </w:tcPr>
          <w:p w:rsidR="00F85E67" w:rsidRDefault="00F85E67" w:rsidP="00D97EB6">
            <w:pPr>
              <w:jc w:val="cente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独立显卡接口协议</w:t>
            </w:r>
          </w:p>
        </w:tc>
        <w:tc>
          <w:tcPr>
            <w:tcW w:w="4231" w:type="dxa"/>
            <w:vAlign w:val="center"/>
          </w:tcPr>
          <w:p w:rsidR="00F85E67" w:rsidRDefault="00F85E67" w:rsidP="00D97EB6">
            <w:pPr>
              <w:jc w:val="cente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★显示设备规格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显示屏屏占比</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★显示屏分辨率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≥1920x1200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显示屏像素密度</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≥150像素/英寸</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显示屏可视角度</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水平≥178°，垂直≥178°</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★显示屏尺寸</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14英寸</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★显示屏屏幕比例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16:10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★显示屏防蓝光</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支持防蓝光模式，蓝光加权辐射亮度比应≤0.0012W/(·cd·sr)（</w:t>
            </w:r>
            <w:proofErr w:type="gramStart"/>
            <w:r>
              <w:rPr>
                <w:rFonts w:ascii="宋体" w:hAnsi="宋体" w:cs="宋体" w:hint="eastAsia"/>
                <w:kern w:val="0"/>
                <w:sz w:val="24"/>
                <w:szCs w:val="24"/>
              </w:rPr>
              <w:t>瓦每坎特拉每球面</w:t>
            </w:r>
            <w:proofErr w:type="gramEnd"/>
            <w:r>
              <w:rPr>
                <w:rFonts w:ascii="宋体" w:hAnsi="宋体" w:cs="宋体" w:hint="eastAsia"/>
                <w:kern w:val="0"/>
                <w:sz w:val="24"/>
                <w:szCs w:val="24"/>
              </w:rPr>
              <w:t>度）</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★显示屏低频闪</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显示屏应支持低频闪≤-35dB</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★显示屏防炫目</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显示器镜面反射率≤10%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★外设规格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★传声器数量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≥1个</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★扬声器数量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≥1个</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★鼠标数量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≥1个</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内置键盘</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★触</w:t>
            </w:r>
            <w:proofErr w:type="gramStart"/>
            <w:r>
              <w:rPr>
                <w:rFonts w:ascii="宋体" w:hAnsi="宋体" w:cs="宋体" w:hint="eastAsia"/>
                <w:kern w:val="0"/>
                <w:sz w:val="24"/>
                <w:szCs w:val="24"/>
              </w:rPr>
              <w:t>控板数量</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★摄像头数量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≥1 </w:t>
            </w:r>
            <w:proofErr w:type="gramStart"/>
            <w:r>
              <w:rPr>
                <w:rFonts w:ascii="宋体" w:hAnsi="宋体" w:cs="宋体" w:hint="eastAsia"/>
                <w:kern w:val="0"/>
                <w:sz w:val="24"/>
                <w:szCs w:val="24"/>
              </w:rPr>
              <w:t>个</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光驱数量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≥0 </w:t>
            </w:r>
            <w:proofErr w:type="gramStart"/>
            <w:r>
              <w:rPr>
                <w:rFonts w:ascii="宋体" w:hAnsi="宋体" w:cs="宋体" w:hint="eastAsia"/>
                <w:kern w:val="0"/>
                <w:sz w:val="24"/>
                <w:szCs w:val="24"/>
              </w:rPr>
              <w:t>个</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★键盘按键数目</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62 键/84 键/105 键等</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★摄像头像素</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≥100万</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★摄像头分辨率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≥1280x720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★内置扬声器功率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≥2瓦/</w:t>
            </w:r>
            <w:proofErr w:type="gramStart"/>
            <w:r>
              <w:rPr>
                <w:rFonts w:ascii="宋体" w:hAnsi="宋体" w:cs="宋体" w:hint="eastAsia"/>
                <w:kern w:val="0"/>
                <w:sz w:val="24"/>
                <w:szCs w:val="24"/>
              </w:rPr>
              <w:t>个</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★内置扬声器频率范围</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100Hz-20kHz，其中100Hz-200Hz： 35dB及以上；200Hz-12kHz：55dB 及以上，12kHz-18kHz：35dB及以上</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★内置扬声器总谐波失真</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总谐波失真在300Hz-7kHz频率范围内宜不高于5%</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★内置扬声器最大声压级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最大声压级在粉红噪声播放场景下，工作距离处声压级宜不低于</w:t>
            </w:r>
            <w:r>
              <w:rPr>
                <w:rFonts w:ascii="宋体" w:hAnsi="宋体" w:cs="宋体"/>
                <w:kern w:val="0"/>
                <w:sz w:val="24"/>
                <w:szCs w:val="24"/>
              </w:rPr>
              <w:t>70dB</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键盘键程</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kern w:val="0"/>
                <w:sz w:val="24"/>
                <w:szCs w:val="24"/>
              </w:rPr>
              <w:t>0.9mm ~ 2.3 mm</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★键盘按键压力</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按键压力宜在0.3～0.8N之间</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★键盘颜色</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黑色商务色系</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★鼠标连接方式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有线或无线</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★有线鼠标连接线</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≥1.5米</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★鼠标 DPI 分辨率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kern w:val="0"/>
                <w:sz w:val="24"/>
                <w:szCs w:val="24"/>
              </w:rPr>
              <w:t>800~1600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57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鼠标颜色</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黑色</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★鼠标其他要求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其它参数应符合GB/T26245的相关规定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触控板尺寸</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≥70mm×50mm</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触控板材质</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采用</w:t>
            </w:r>
            <w:proofErr w:type="gramStart"/>
            <w:r>
              <w:rPr>
                <w:rFonts w:ascii="宋体" w:hAnsi="宋体" w:cs="宋体" w:hint="eastAsia"/>
                <w:kern w:val="0"/>
                <w:sz w:val="24"/>
                <w:szCs w:val="24"/>
              </w:rPr>
              <w:t>麦拉片或</w:t>
            </w:r>
            <w:proofErr w:type="gramEnd"/>
            <w:r>
              <w:rPr>
                <w:rFonts w:ascii="宋体" w:hAnsi="宋体" w:cs="宋体" w:hint="eastAsia"/>
                <w:kern w:val="0"/>
                <w:sz w:val="24"/>
                <w:szCs w:val="24"/>
              </w:rPr>
              <w:t>玻璃等材质</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光驱规格</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无光驱设备，可支持外置光驱</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★网络设备规格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★有线网卡数量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无线网卡及天线数量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单无线网卡天线数量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★外部接口规格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★USB接口数量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USB 接口数量应不少于3个，至少包含2个USB-C 3.0及以上标准接口</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★视频接口数量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★输入充电接口数量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★音频接口数量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存储卡接口数量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70</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产品规格</w:t>
            </w:r>
          </w:p>
        </w:tc>
        <w:tc>
          <w:tcPr>
            <w:tcW w:w="1103" w:type="dxa"/>
            <w:vMerge w:val="restart"/>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★电池规格</w:t>
            </w: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★电池额定能量</w:t>
            </w:r>
          </w:p>
        </w:tc>
        <w:tc>
          <w:tcPr>
            <w:tcW w:w="423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≥65Wh</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★电池充放电次数</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≥500次（常温下500次充放电后电池容量应不低于原始容量的80%）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快速充电功能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支持快速充电功能，如 UFCS、USB PD</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★电池安全要求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 31241的规定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proofErr w:type="gramStart"/>
            <w:r>
              <w:rPr>
                <w:rFonts w:ascii="宋体" w:hAnsi="宋体" w:cs="宋体" w:hint="eastAsia"/>
                <w:kern w:val="0"/>
                <w:sz w:val="24"/>
                <w:szCs w:val="24"/>
              </w:rPr>
              <w:t>电池电</w:t>
            </w:r>
            <w:proofErr w:type="gramEnd"/>
            <w:r>
              <w:rPr>
                <w:rFonts w:ascii="宋体" w:hAnsi="宋体" w:cs="宋体" w:hint="eastAsia"/>
                <w:kern w:val="0"/>
                <w:sz w:val="24"/>
                <w:szCs w:val="24"/>
              </w:rPr>
              <w:t>芯材质</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供应商给出</w:t>
            </w:r>
            <w:proofErr w:type="gramStart"/>
            <w:r>
              <w:rPr>
                <w:rFonts w:ascii="宋体" w:hAnsi="宋体" w:cs="宋体" w:hint="eastAsia"/>
                <w:kern w:val="0"/>
                <w:sz w:val="24"/>
                <w:szCs w:val="24"/>
              </w:rPr>
              <w:t>电池电</w:t>
            </w:r>
            <w:proofErr w:type="gramEnd"/>
            <w:r>
              <w:rPr>
                <w:rFonts w:ascii="宋体" w:hAnsi="宋体" w:cs="宋体" w:hint="eastAsia"/>
                <w:kern w:val="0"/>
                <w:sz w:val="24"/>
                <w:szCs w:val="24"/>
              </w:rPr>
              <w:t>芯材料信息</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★整机基础规格</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★整机外观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a)</w:t>
            </w:r>
            <w:r>
              <w:rPr>
                <w:rFonts w:ascii="宋体" w:hAnsi="宋体" w:cs="宋体" w:hint="eastAsia"/>
                <w:kern w:val="0"/>
                <w:sz w:val="24"/>
                <w:szCs w:val="24"/>
              </w:rPr>
              <w:tab/>
              <w:t>产品表面不应有凹痕、划伤、裂缝、变形和污染等。表面涂层均匀，不应起泡、龟裂、脱落和磨损，金属零部件无锈蚀及其它机械损伤；</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b)</w:t>
            </w:r>
            <w:r>
              <w:rPr>
                <w:rFonts w:ascii="宋体" w:hAnsi="宋体" w:cs="宋体" w:hint="eastAsia"/>
                <w:kern w:val="0"/>
                <w:sz w:val="24"/>
                <w:szCs w:val="24"/>
              </w:rPr>
              <w:tab/>
              <w:t>产品表面说明功能的文字、符号、标志，应清晰、端正、牢固； c) 宜在产品显著位置提供运行状态指示功能，并由生产厂商提供详细参数</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★整机结构</w:t>
            </w:r>
          </w:p>
        </w:tc>
        <w:tc>
          <w:tcPr>
            <w:tcW w:w="4231" w:type="dxa"/>
          </w:tcPr>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 xml:space="preserve">a) 产品应符合GB/T4208的相关规定； </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b)产品内部结构应符合通用部件的安装需要；</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c) 所有输入输出接口应符合相关国家或行业标准；</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d) 产品零部件应紧固无松动，可插拔部件应可靠连接，开关、按钮和其它控制部件应灵活可靠，布局应方便使用；</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e) 所有I/O连接器及需插接线缆的部位应预留用户操作空间，方便插拔解锁与插拔线缆；</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f) 可插拔板卡插槽部位应预留安装、拆卸或更换板卡空间；</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g) 拆装可能接触到的金属剪口或金属尖角部位应做防划伤处理，以保证安</w:t>
            </w:r>
            <w:r>
              <w:rPr>
                <w:rFonts w:ascii="宋体" w:hAnsi="宋体" w:cs="宋体" w:hint="eastAsia"/>
                <w:kern w:val="0"/>
                <w:sz w:val="24"/>
                <w:szCs w:val="24"/>
              </w:rPr>
              <w:lastRenderedPageBreak/>
              <w:t>全；</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h) 整机内部走线应规整，固线结构和位置要合理可靠并做防割线处理，需便于理线和插拔操作，走线应不影响系统各主要部件组装和拆卸；</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i) 如需</w:t>
            </w:r>
            <w:proofErr w:type="gramStart"/>
            <w:r>
              <w:rPr>
                <w:rFonts w:ascii="宋体" w:hAnsi="宋体" w:cs="宋体" w:hint="eastAsia"/>
                <w:kern w:val="0"/>
                <w:sz w:val="24"/>
                <w:szCs w:val="24"/>
              </w:rPr>
              <w:t>通过孔走线</w:t>
            </w:r>
            <w:proofErr w:type="gramEnd"/>
            <w:r>
              <w:rPr>
                <w:rFonts w:ascii="宋体" w:hAnsi="宋体" w:cs="宋体" w:hint="eastAsia"/>
                <w:kern w:val="0"/>
                <w:sz w:val="24"/>
                <w:szCs w:val="24"/>
              </w:rPr>
              <w:t>，过线孔应做防割线处理；</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j) 各插头位置和插拔方向应合理，应做到插拔无障碍设计，具备</w:t>
            </w:r>
            <w:proofErr w:type="gramStart"/>
            <w:r>
              <w:rPr>
                <w:rFonts w:ascii="宋体" w:hAnsi="宋体" w:cs="宋体" w:hint="eastAsia"/>
                <w:kern w:val="0"/>
                <w:sz w:val="24"/>
                <w:szCs w:val="24"/>
              </w:rPr>
              <w:t>防呆设计</w:t>
            </w:r>
            <w:proofErr w:type="gramEnd"/>
            <w:r>
              <w:rPr>
                <w:rFonts w:ascii="宋体" w:hAnsi="宋体" w:cs="宋体" w:hint="eastAsia"/>
                <w:kern w:val="0"/>
                <w:sz w:val="24"/>
                <w:szCs w:val="24"/>
              </w:rPr>
              <w:t>，有效避免误操作；</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k) 各主要部件拆装无障碍，使用常规工具拆装，无特殊拆装工具需求；</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l) 各主要部件拆装步骤要少，各自</w:t>
            </w:r>
            <w:proofErr w:type="gramStart"/>
            <w:r>
              <w:rPr>
                <w:rFonts w:ascii="宋体" w:hAnsi="宋体" w:cs="宋体" w:hint="eastAsia"/>
                <w:kern w:val="0"/>
                <w:sz w:val="24"/>
                <w:szCs w:val="24"/>
              </w:rPr>
              <w:t>拆装需</w:t>
            </w:r>
            <w:proofErr w:type="gramEnd"/>
            <w:r>
              <w:rPr>
                <w:rFonts w:ascii="宋体" w:hAnsi="宋体" w:cs="宋体" w:hint="eastAsia"/>
                <w:kern w:val="0"/>
                <w:sz w:val="24"/>
                <w:szCs w:val="24"/>
              </w:rPr>
              <w:t>避免相互干扰；</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 xml:space="preserve">m) 对于整机或零部件外表面为高亮面的，应粘贴保护膜，保护膜需粘贴牢固，运输、组装等过程不易脱落，撕下无残留； </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77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★整机噪音</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25</w:t>
            </w:r>
            <w:proofErr w:type="gramStart"/>
            <w:r>
              <w:rPr>
                <w:rFonts w:ascii="宋体" w:hAnsi="宋体" w:cs="宋体" w:hint="eastAsia"/>
                <w:kern w:val="0"/>
                <w:sz w:val="24"/>
                <w:szCs w:val="24"/>
              </w:rPr>
              <w:t>摄氏度环温条件</w:t>
            </w:r>
            <w:proofErr w:type="gramEnd"/>
            <w:r>
              <w:rPr>
                <w:rFonts w:ascii="宋体" w:hAnsi="宋体" w:cs="宋体" w:hint="eastAsia"/>
                <w:kern w:val="0"/>
                <w:sz w:val="24"/>
                <w:szCs w:val="24"/>
              </w:rPr>
              <w:t>：空闲小于等于38dBA 满载小于等于45dBA</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★整机散热</w:t>
            </w:r>
          </w:p>
        </w:tc>
        <w:tc>
          <w:tcPr>
            <w:tcW w:w="4231" w:type="dxa"/>
          </w:tcPr>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产品在环境温度25℃且运行在满载的状态下，可触及面温度范围内应不高于45℃，各表面温度应符合以下要求：</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a) 键帽温度不高于38℃；</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b)</w:t>
            </w:r>
            <w:r>
              <w:rPr>
                <w:rFonts w:ascii="宋体" w:hAnsi="宋体" w:cs="宋体" w:hint="eastAsia"/>
                <w:kern w:val="0"/>
                <w:sz w:val="24"/>
                <w:szCs w:val="24"/>
              </w:rPr>
              <w:tab/>
              <w:t>键盘间隙温度不高于40℃；</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c)</w:t>
            </w:r>
            <w:r>
              <w:rPr>
                <w:rFonts w:ascii="宋体" w:hAnsi="宋体" w:cs="宋体" w:hint="eastAsia"/>
                <w:kern w:val="0"/>
                <w:sz w:val="24"/>
                <w:szCs w:val="24"/>
              </w:rPr>
              <w:tab/>
              <w:t>掌托温度不高于38℃；</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d)</w:t>
            </w:r>
            <w:r>
              <w:rPr>
                <w:rFonts w:ascii="宋体" w:hAnsi="宋体" w:cs="宋体" w:hint="eastAsia"/>
                <w:kern w:val="0"/>
                <w:sz w:val="24"/>
                <w:szCs w:val="24"/>
              </w:rPr>
              <w:tab/>
            </w:r>
            <w:proofErr w:type="gramStart"/>
            <w:r>
              <w:rPr>
                <w:rFonts w:ascii="宋体" w:hAnsi="宋体" w:cs="宋体" w:hint="eastAsia"/>
                <w:kern w:val="0"/>
                <w:sz w:val="24"/>
                <w:szCs w:val="24"/>
              </w:rPr>
              <w:t>触控板温度</w:t>
            </w:r>
            <w:proofErr w:type="gramEnd"/>
            <w:r>
              <w:rPr>
                <w:rFonts w:ascii="宋体" w:hAnsi="宋体" w:cs="宋体" w:hint="eastAsia"/>
                <w:kern w:val="0"/>
                <w:sz w:val="24"/>
                <w:szCs w:val="24"/>
              </w:rPr>
              <w:t>不高于38℃；</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e)</w:t>
            </w:r>
            <w:r>
              <w:rPr>
                <w:rFonts w:ascii="宋体" w:hAnsi="宋体" w:cs="宋体" w:hint="eastAsia"/>
                <w:kern w:val="0"/>
                <w:sz w:val="24"/>
                <w:szCs w:val="24"/>
              </w:rPr>
              <w:tab/>
              <w:t>底壳温度不高于45℃</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★整机能效限定值</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产品能效限定值应达到GB 28380-2</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012标准中能效等级2级及以上</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80</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产品规格</w:t>
            </w:r>
          </w:p>
        </w:tc>
        <w:tc>
          <w:tcPr>
            <w:tcW w:w="1103" w:type="dxa"/>
            <w:vMerge/>
          </w:tcPr>
          <w:p w:rsidR="00F85E67" w:rsidRDefault="00F85E67" w:rsidP="00D97EB6">
            <w:pPr>
              <w:widowControl/>
              <w:jc w:val="center"/>
              <w:rPr>
                <w:rFonts w:ascii="宋体" w:hAnsi="宋体" w:cs="宋体"/>
                <w:color w:val="FF0000"/>
                <w:kern w:val="0"/>
                <w:sz w:val="24"/>
                <w:szCs w:val="24"/>
              </w:rPr>
            </w:pP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★整机重量</w:t>
            </w:r>
          </w:p>
        </w:tc>
        <w:tc>
          <w:tcPr>
            <w:tcW w:w="4231" w:type="dxa"/>
            <w:vAlign w:val="center"/>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≤1.5kg</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81</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产品规格</w:t>
            </w:r>
          </w:p>
        </w:tc>
        <w:tc>
          <w:tcPr>
            <w:tcW w:w="1103" w:type="dxa"/>
            <w:vMerge/>
          </w:tcPr>
          <w:p w:rsidR="00F85E67" w:rsidRDefault="00F85E67" w:rsidP="00D97EB6">
            <w:pPr>
              <w:widowControl/>
              <w:jc w:val="center"/>
              <w:rPr>
                <w:rFonts w:ascii="宋体" w:hAnsi="宋体" w:cs="宋体"/>
                <w:color w:val="FF0000"/>
                <w:kern w:val="0"/>
                <w:sz w:val="24"/>
                <w:szCs w:val="24"/>
              </w:rPr>
            </w:pP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★整机厚度</w:t>
            </w:r>
          </w:p>
        </w:tc>
        <w:tc>
          <w:tcPr>
            <w:tcW w:w="4231" w:type="dxa"/>
            <w:vAlign w:val="center"/>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≤17mm（不含脚垫）</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82</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产品规格</w:t>
            </w:r>
          </w:p>
        </w:tc>
        <w:tc>
          <w:tcPr>
            <w:tcW w:w="1103" w:type="dxa"/>
            <w:vMerge/>
          </w:tcPr>
          <w:p w:rsidR="00F85E67" w:rsidRDefault="00F85E67" w:rsidP="00D97EB6">
            <w:pPr>
              <w:widowControl/>
              <w:jc w:val="center"/>
              <w:rPr>
                <w:rFonts w:ascii="宋体" w:hAnsi="宋体" w:cs="宋体"/>
                <w:color w:val="FF0000"/>
                <w:kern w:val="0"/>
                <w:sz w:val="24"/>
                <w:szCs w:val="24"/>
              </w:rPr>
            </w:pP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机身材质</w:t>
            </w:r>
          </w:p>
        </w:tc>
        <w:tc>
          <w:tcPr>
            <w:tcW w:w="423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金属材质</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产品规格</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★机身颜色</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一般选用灰色/黑色等商务色系</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★CPU性能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 物理核数</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 主频</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≥2.7GHz</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 末级缓存容量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≥8MB</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87</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性能要求</w:t>
            </w:r>
          </w:p>
        </w:tc>
        <w:tc>
          <w:tcPr>
            <w:tcW w:w="1103" w:type="dxa"/>
            <w:vMerge/>
          </w:tcPr>
          <w:p w:rsidR="00F85E67" w:rsidRDefault="00F85E67" w:rsidP="00D97EB6">
            <w:pPr>
              <w:widowControl/>
              <w:jc w:val="center"/>
              <w:rPr>
                <w:rFonts w:ascii="宋体" w:hAnsi="宋体" w:cs="宋体"/>
                <w:color w:val="FF0000"/>
                <w:kern w:val="0"/>
                <w:sz w:val="24"/>
                <w:szCs w:val="24"/>
              </w:rPr>
            </w:pP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★CPU支持的内存最高速率</w:t>
            </w:r>
          </w:p>
        </w:tc>
        <w:tc>
          <w:tcPr>
            <w:tcW w:w="423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≥2666MT/s</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88</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性能要求</w:t>
            </w:r>
          </w:p>
        </w:tc>
        <w:tc>
          <w:tcPr>
            <w:tcW w:w="110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★内存性能</w:t>
            </w: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★内存读写速率</w:t>
            </w:r>
          </w:p>
        </w:tc>
        <w:tc>
          <w:tcPr>
            <w:tcW w:w="423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≥2666MT/s</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★显示分辨率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≥1920x1200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★显卡显示芯片核心频率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≥300MHz</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91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★显存等效频率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≥1000MT/s</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★显卡可支持多屏</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同时显示数量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显卡应支持 2 块屏幕同时显示，分辨率应不低于1920×1080</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★显示设备性能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★显示屏刷新率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≥60Hz</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★显示屏位深</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≥8位</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显示屏色域</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≥99% sRGB</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显示屏色准</w:t>
            </w:r>
            <w:proofErr w:type="gramEnd"/>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△E ≤ 4</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★显示屏响应时间</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≤30ms</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★显示屏亮度</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≥300尼特</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99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★显示屏亮度一致性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≥70%</w:t>
            </w:r>
          </w:p>
        </w:tc>
      </w:tr>
      <w:tr w:rsidR="00F85E67" w:rsidTr="00D97EB6">
        <w:trPr>
          <w:trHeight w:val="280"/>
          <w:jc w:val="center"/>
        </w:trPr>
        <w:tc>
          <w:tcPr>
            <w:tcW w:w="923"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100</w:t>
            </w:r>
          </w:p>
        </w:tc>
        <w:tc>
          <w:tcPr>
            <w:tcW w:w="1535"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性能要求</w:t>
            </w:r>
          </w:p>
        </w:tc>
        <w:tc>
          <w:tcPr>
            <w:tcW w:w="1103" w:type="dxa"/>
            <w:vMerge/>
          </w:tcPr>
          <w:p w:rsidR="00F85E67" w:rsidRDefault="00F85E67" w:rsidP="00D97EB6">
            <w:pPr>
              <w:widowControl/>
              <w:jc w:val="center"/>
              <w:rPr>
                <w:rFonts w:ascii="宋体" w:hAnsi="宋体" w:cs="宋体"/>
                <w:color w:val="FF0000"/>
                <w:kern w:val="0"/>
                <w:sz w:val="24"/>
                <w:szCs w:val="24"/>
              </w:rPr>
            </w:pPr>
          </w:p>
        </w:tc>
        <w:tc>
          <w:tcPr>
            <w:tcW w:w="255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★显示屏对比度</w:t>
            </w:r>
          </w:p>
        </w:tc>
        <w:tc>
          <w:tcPr>
            <w:tcW w:w="4231" w:type="dxa"/>
          </w:tcPr>
          <w:p w:rsidR="00F85E67" w:rsidRDefault="00F85E67" w:rsidP="00D97EB6">
            <w:pPr>
              <w:widowControl/>
              <w:jc w:val="center"/>
              <w:rPr>
                <w:rFonts w:ascii="宋体" w:hAnsi="宋体" w:cs="宋体"/>
                <w:color w:val="FF0000"/>
                <w:kern w:val="0"/>
                <w:sz w:val="24"/>
                <w:szCs w:val="24"/>
              </w:rPr>
            </w:pPr>
            <w:r>
              <w:rPr>
                <w:rFonts w:ascii="宋体" w:hAnsi="宋体" w:cs="宋体" w:hint="eastAsia"/>
                <w:color w:val="FF0000"/>
                <w:kern w:val="0"/>
                <w:sz w:val="24"/>
                <w:szCs w:val="24"/>
              </w:rPr>
              <w:t>≥1000：1</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★显示屏其他参数</w:t>
            </w:r>
          </w:p>
        </w:tc>
        <w:tc>
          <w:tcPr>
            <w:tcW w:w="4231" w:type="dxa"/>
          </w:tcPr>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其它参数应符合SJ/T11292的相关规定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★网络设备性能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★有线网卡速率</w:t>
            </w:r>
          </w:p>
        </w:tc>
        <w:tc>
          <w:tcPr>
            <w:tcW w:w="4231" w:type="dxa"/>
          </w:tcPr>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最高速率不低于1000Mbps，支持</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10Mbps、100Mbps、1000Mbps速率自适应</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★支持无线网络</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通信技术协议</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支持WIFI6并向下兼容</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★无线网卡频宽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≥20MHz</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★电源适配器性能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★电源适配器电源效率</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在20%/50%/100%负载下效率均应不低于87%</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性能要求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★待机性能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★满载待机性能（LTP）</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≥1.5小时</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★内存扩展接口</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板载内存</w:t>
            </w:r>
            <w:proofErr w:type="gramEnd"/>
            <w:r>
              <w:rPr>
                <w:rFonts w:ascii="宋体" w:hAnsi="宋体" w:cs="宋体" w:hint="eastAsia"/>
                <w:kern w:val="0"/>
                <w:sz w:val="24"/>
                <w:szCs w:val="24"/>
              </w:rPr>
              <w:t>不涉及)</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供应商给出内存扩展接口数量</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存储扩展接口</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供应商给出主板支持存储扩展接口类型，如SATA3.0、SAS3.0、M.2 等类型接口</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 USB瞬间过流保护</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支持瞬间过流保护功能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★主板防静电保护</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支持防静电保护功能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★I/O 接口功能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内置或通过扩展</w:t>
            </w:r>
            <w:proofErr w:type="gramStart"/>
            <w:r>
              <w:rPr>
                <w:rFonts w:ascii="宋体" w:hAnsi="宋体" w:cs="宋体" w:hint="eastAsia"/>
                <w:kern w:val="0"/>
                <w:sz w:val="24"/>
                <w:szCs w:val="24"/>
              </w:rPr>
              <w:t>坞</w:t>
            </w:r>
            <w:proofErr w:type="gramEnd"/>
            <w:r>
              <w:rPr>
                <w:rFonts w:ascii="宋体" w:hAnsi="宋体" w:cs="宋体" w:hint="eastAsia"/>
                <w:kern w:val="0"/>
                <w:sz w:val="24"/>
                <w:szCs w:val="24"/>
              </w:rPr>
              <w:t>支持数据传输接口、视频接口、音频接口、网络接口、电源接口等各类标准接口产品应集成键盘、</w:t>
            </w:r>
            <w:proofErr w:type="gramStart"/>
            <w:r>
              <w:rPr>
                <w:rFonts w:ascii="宋体" w:hAnsi="宋体" w:cs="宋体" w:hint="eastAsia"/>
                <w:kern w:val="0"/>
                <w:sz w:val="24"/>
                <w:szCs w:val="24"/>
              </w:rPr>
              <w:t>触控板输入</w:t>
            </w:r>
            <w:proofErr w:type="gramEnd"/>
            <w:r>
              <w:rPr>
                <w:rFonts w:ascii="宋体" w:hAnsi="宋体" w:cs="宋体" w:hint="eastAsia"/>
                <w:kern w:val="0"/>
                <w:sz w:val="24"/>
                <w:szCs w:val="24"/>
              </w:rPr>
              <w:t>部件，同时应具备接入键盘、鼠标、写字板等外设的能力，</w:t>
            </w:r>
            <w:proofErr w:type="gramStart"/>
            <w:r>
              <w:rPr>
                <w:rFonts w:ascii="宋体" w:hAnsi="宋体" w:cs="宋体" w:hint="eastAsia"/>
                <w:kern w:val="0"/>
                <w:sz w:val="24"/>
                <w:szCs w:val="24"/>
              </w:rPr>
              <w:t>宜支持</w:t>
            </w:r>
            <w:proofErr w:type="gramEnd"/>
            <w:r>
              <w:rPr>
                <w:rFonts w:ascii="宋体" w:hAnsi="宋体" w:cs="宋体" w:hint="eastAsia"/>
                <w:kern w:val="0"/>
                <w:sz w:val="24"/>
                <w:szCs w:val="24"/>
              </w:rPr>
              <w:t>触摸屏、语音交互、手写笔等人机交互功能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★显卡外接显示接口</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至少支持 VGA、HDMI、DVI、DP、Type-C中 1 种显示接口</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支持显示屏，同时应支持外接显示器。显示屏和外接显示器应支持多</w:t>
            </w:r>
            <w:proofErr w:type="gramStart"/>
            <w:r>
              <w:rPr>
                <w:rFonts w:ascii="宋体" w:hAnsi="宋体" w:cs="宋体" w:hint="eastAsia"/>
                <w:kern w:val="0"/>
                <w:sz w:val="24"/>
                <w:szCs w:val="24"/>
              </w:rPr>
              <w:t>屏同时</w:t>
            </w:r>
            <w:proofErr w:type="gramEnd"/>
            <w:r>
              <w:rPr>
                <w:rFonts w:ascii="宋体" w:hAnsi="宋体" w:cs="宋体" w:hint="eastAsia"/>
                <w:kern w:val="0"/>
                <w:sz w:val="24"/>
                <w:szCs w:val="24"/>
              </w:rPr>
              <w:lastRenderedPageBreak/>
              <w:t>显示，显示模式应支持复制模式和扩展模式</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114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★外设功能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摄像头物理隐私保护开关</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支持物理隐私保护开关</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传声器降噪</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支持降噪功能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音频处理功能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支持音频效果处理功能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键盘背光</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支持键盘背光</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proofErr w:type="gramStart"/>
            <w:r>
              <w:rPr>
                <w:rFonts w:ascii="宋体" w:hAnsi="宋体" w:cs="宋体" w:hint="eastAsia"/>
                <w:kern w:val="0"/>
                <w:sz w:val="24"/>
                <w:szCs w:val="24"/>
              </w:rPr>
              <w:t>触控板多</w:t>
            </w:r>
            <w:proofErr w:type="gramEnd"/>
            <w:r>
              <w:rPr>
                <w:rFonts w:ascii="宋体" w:hAnsi="宋体" w:cs="宋体" w:hint="eastAsia"/>
                <w:kern w:val="0"/>
                <w:sz w:val="24"/>
                <w:szCs w:val="24"/>
              </w:rPr>
              <w:t>点触控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支持2点及以上触</w:t>
            </w:r>
            <w:proofErr w:type="gramStart"/>
            <w:r>
              <w:rPr>
                <w:rFonts w:ascii="宋体" w:hAnsi="宋体" w:cs="宋体" w:hint="eastAsia"/>
                <w:kern w:val="0"/>
                <w:sz w:val="24"/>
                <w:szCs w:val="24"/>
              </w:rPr>
              <w:t>控功能</w:t>
            </w:r>
            <w:proofErr w:type="gramEnd"/>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119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★光驱功能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支持信息存储功能，包括支持易失性存储功能和非易失性存储功能。为提升存储性能和降低存储功耗，</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非易失性存储</w:t>
            </w:r>
            <w:proofErr w:type="gramStart"/>
            <w:r>
              <w:rPr>
                <w:rFonts w:ascii="宋体" w:hAnsi="宋体" w:cs="宋体" w:hint="eastAsia"/>
                <w:kern w:val="0"/>
                <w:sz w:val="24"/>
                <w:szCs w:val="24"/>
              </w:rPr>
              <w:t>宜支持</w:t>
            </w:r>
            <w:proofErr w:type="gramEnd"/>
            <w:r>
              <w:rPr>
                <w:rFonts w:ascii="宋体" w:hAnsi="宋体" w:cs="宋体" w:hint="eastAsia"/>
                <w:kern w:val="0"/>
                <w:sz w:val="24"/>
                <w:szCs w:val="24"/>
              </w:rPr>
              <w:t>固态存储设备，如SSD/UFS。</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产品应支持外出接口可以与独立的存储设备进行数据交互</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★网络设备功能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★网络功能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a)支持网络连接、网络开启/关闭功能；b)支持访问网络和数据交换功能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★无线网卡频段</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支持双频段</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物理开关</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支持网络设备物理开关</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★数据传输</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支持数据传输能力，并提供数据流量和异常日志记录功能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w:t>
            </w:r>
            <w:proofErr w:type="gramStart"/>
            <w:r>
              <w:rPr>
                <w:rFonts w:ascii="宋体" w:hAnsi="宋体" w:cs="宋体" w:hint="eastAsia"/>
                <w:kern w:val="0"/>
                <w:sz w:val="24"/>
                <w:szCs w:val="24"/>
              </w:rPr>
              <w:t>蓝牙协议</w:t>
            </w:r>
            <w:proofErr w:type="gramEnd"/>
          </w:p>
        </w:tc>
        <w:tc>
          <w:tcPr>
            <w:tcW w:w="4231" w:type="dxa"/>
          </w:tcPr>
          <w:p w:rsidR="00F85E67" w:rsidRDefault="00F85E67" w:rsidP="00D97EB6">
            <w:pPr>
              <w:widowControl/>
              <w:jc w:val="center"/>
              <w:rPr>
                <w:rFonts w:ascii="宋体" w:hAnsi="宋体" w:cs="宋体"/>
                <w:kern w:val="0"/>
                <w:sz w:val="24"/>
                <w:szCs w:val="24"/>
              </w:rPr>
            </w:pPr>
            <w:proofErr w:type="gramStart"/>
            <w:r>
              <w:rPr>
                <w:rFonts w:ascii="宋体" w:hAnsi="宋体" w:cs="宋体" w:hint="eastAsia"/>
                <w:kern w:val="0"/>
                <w:sz w:val="24"/>
                <w:szCs w:val="24"/>
              </w:rPr>
              <w:t>支持蓝牙模块</w:t>
            </w:r>
            <w:proofErr w:type="gramEnd"/>
            <w:r>
              <w:rPr>
                <w:rFonts w:ascii="宋体" w:hAnsi="宋体" w:cs="宋体" w:hint="eastAsia"/>
                <w:kern w:val="0"/>
                <w:sz w:val="24"/>
                <w:szCs w:val="24"/>
              </w:rPr>
              <w:t>，</w:t>
            </w:r>
            <w:proofErr w:type="gramStart"/>
            <w:r>
              <w:rPr>
                <w:rFonts w:ascii="宋体" w:hAnsi="宋体" w:cs="宋体" w:hint="eastAsia"/>
                <w:kern w:val="0"/>
                <w:sz w:val="24"/>
                <w:szCs w:val="24"/>
              </w:rPr>
              <w:t>蓝牙协议</w:t>
            </w:r>
            <w:proofErr w:type="gramEnd"/>
            <w:r>
              <w:rPr>
                <w:rFonts w:ascii="宋体" w:hAnsi="宋体" w:cs="宋体" w:hint="eastAsia"/>
                <w:kern w:val="0"/>
                <w:sz w:val="24"/>
                <w:szCs w:val="24"/>
              </w:rPr>
              <w:t>不低于5.0 版本</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有线网卡接口类型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支持RJ45接口</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★无线网卡标准</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 15629.11所有部分</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网络设备拆装</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网络设备应支持物理拆装，包括无线网卡</w:t>
            </w:r>
            <w:proofErr w:type="gramStart"/>
            <w:r>
              <w:rPr>
                <w:rFonts w:ascii="宋体" w:hAnsi="宋体" w:cs="宋体" w:hint="eastAsia"/>
                <w:kern w:val="0"/>
                <w:sz w:val="24"/>
                <w:szCs w:val="24"/>
              </w:rPr>
              <w:t>和蓝牙模块</w:t>
            </w:r>
            <w:proofErr w:type="gramEnd"/>
            <w:r>
              <w:rPr>
                <w:rFonts w:ascii="宋体" w:hAnsi="宋体" w:cs="宋体" w:hint="eastAsia"/>
                <w:kern w:val="0"/>
                <w:sz w:val="24"/>
                <w:szCs w:val="24"/>
              </w:rPr>
              <w:t>等</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129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★外部接口功能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★音频接口类型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不少于 1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w:t>
            </w:r>
            <w:proofErr w:type="gramStart"/>
            <w:r>
              <w:rPr>
                <w:rFonts w:ascii="宋体" w:hAnsi="宋体" w:cs="宋体" w:hint="eastAsia"/>
                <w:kern w:val="0"/>
                <w:sz w:val="24"/>
                <w:szCs w:val="24"/>
              </w:rPr>
              <w:t>宜支持</w:t>
            </w:r>
            <w:proofErr w:type="gramEnd"/>
            <w:r>
              <w:rPr>
                <w:rFonts w:ascii="宋体" w:hAnsi="宋体" w:cs="宋体" w:hint="eastAsia"/>
                <w:kern w:val="0"/>
                <w:sz w:val="24"/>
                <w:szCs w:val="24"/>
              </w:rPr>
              <w:t xml:space="preserve"> 3.5mm 孔径的 3段式或 4 段式接口。若支持 4 段式接口，</w:t>
            </w:r>
            <w:proofErr w:type="gramStart"/>
            <w:r>
              <w:rPr>
                <w:rFonts w:ascii="宋体" w:hAnsi="宋体" w:cs="宋体" w:hint="eastAsia"/>
                <w:kern w:val="0"/>
                <w:sz w:val="24"/>
                <w:szCs w:val="24"/>
              </w:rPr>
              <w:t>宜支持线序</w:t>
            </w:r>
            <w:proofErr w:type="gramEnd"/>
            <w:r>
              <w:rPr>
                <w:rFonts w:ascii="宋体" w:hAnsi="宋体" w:cs="宋体" w:hint="eastAsia"/>
                <w:kern w:val="0"/>
                <w:sz w:val="24"/>
                <w:szCs w:val="24"/>
              </w:rPr>
              <w:t>的自动识别及切换功能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★视频接口类型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至少支持 VGA、HDMI、DVI、DP、Type-C中 1 种显示接口</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★HDMI、DP、Type-C </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显示接口要求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若提供 HDMI 或 DP 或 Type-C 作为显示接口，应支持音频和视频同步输出</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　</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★输入充电接口类型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Type-C 接口</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其他接口</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U</w:t>
            </w:r>
            <w:r>
              <w:rPr>
                <w:rFonts w:ascii="宋体" w:hAnsi="宋体" w:cs="宋体"/>
                <w:kern w:val="0"/>
                <w:sz w:val="24"/>
                <w:szCs w:val="24"/>
              </w:rPr>
              <w:t>SB</w:t>
            </w:r>
            <w:r>
              <w:rPr>
                <w:rFonts w:ascii="宋体" w:hAnsi="宋体" w:cs="宋体" w:hint="eastAsia"/>
                <w:kern w:val="0"/>
                <w:sz w:val="24"/>
                <w:szCs w:val="24"/>
              </w:rPr>
              <w:t>接口</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存储卡接口类型</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★电源功能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电池快充</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支持快速充电功能，如 UFCS、USB PD</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★电源线适配能力</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 15934-2008</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对于可拆线插头GB15934不做要求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★操作</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系统</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及软</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件功</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★中文信息处理要求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 18030的相关规定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138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★操作系统备份及还</w:t>
            </w:r>
            <w:r>
              <w:rPr>
                <w:rFonts w:ascii="宋体" w:hAnsi="宋体" w:cs="宋体" w:hint="eastAsia"/>
                <w:kern w:val="0"/>
                <w:sz w:val="24"/>
                <w:szCs w:val="24"/>
              </w:rPr>
              <w:lastRenderedPageBreak/>
              <w:t>原功能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139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★固件备份还原能力</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支持备份及还原固件的功能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★操作系统及驱动升级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支持通过网络、闪存盘等方式对操作系统、驱动进行升级</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固件升级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支持通过网络、闪存盘等方式对固件进行升级</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★BIOS 支持关闭通讯接口</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支持BIOS关闭以太网及USB接口功能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★固件查看信息</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支持查看固件版本、内存信息、主板信息、处理器信息和系统时间信息等功能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★固件设置启动顺序</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支持设置启动顺序功能，并按照设置的启动顺序启动</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★固件设置口令</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支持设置口令、修改口令、验证口令功能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★固件设置网络引导</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支持网络引导启动和关闭功能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生物识别功能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指纹识别</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人脸识别</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149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静脉识别</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硬件加速功能</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NPU/GPU等AI加速模块</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本次采购对此项无需求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视频编解码加速模块</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支持视频编解码加速模块</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功能要求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影像处理加速模块</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支持影像处理加速模块</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★存储设备</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★固态存储寿命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TBW ≥ 80TB（条件：240GB 硬盘容量）</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★机械硬盘寿命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通电时间≥5 万小时</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★显示设备可靠性</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★显示屏屏幕失效点</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 9813.2的要求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★外设可靠性</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★键盘按键寿命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≥1000万次</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★鼠标按键寿命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≥500万次</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★键盘鼠标线材寿命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键盘鼠标所用线材经±60°弯折不低于3000次，功能、外观完好</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159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★风扇寿命</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≥4万小时</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★整机可靠性要求</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★电磁兼容性要求的抗扰度</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kern w:val="0"/>
                <w:sz w:val="24"/>
                <w:szCs w:val="24"/>
              </w:rPr>
              <w:t>符合GB/T9254.2的规定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气候环境适应性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9813.2中规定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振动适应性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冲击适应性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碰撞适应性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165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自由跌落适应性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★环境条件要求的</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运输包装件跌落适应性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w:t>
            </w:r>
            <w:r>
              <w:rPr>
                <w:rFonts w:ascii="宋体" w:hAnsi="宋体" w:cs="宋体"/>
                <w:kern w:val="0"/>
                <w:sz w:val="24"/>
                <w:szCs w:val="24"/>
              </w:rPr>
              <w:t xml:space="preserve"> 9813.2中规定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可靠性要求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★MTBF 测试</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MTBF(m1)≥100万小时</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★常用软件兼容</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支持流式软件、版式软件、浏览器、邮件客户端、解压软件、多媒体、图形图像处理等常用软件</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169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★数据库兼容</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兼容 3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及以上厂商的数据库产品</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★中间件兼容</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兼容 3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及以上厂商中间件产品</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兼容要求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★平台软件兼容</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兼容 3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及以上厂商</w:t>
            </w:r>
            <w:proofErr w:type="gramStart"/>
            <w:r>
              <w:rPr>
                <w:rFonts w:ascii="宋体" w:hAnsi="宋体" w:cs="宋体" w:hint="eastAsia"/>
                <w:kern w:val="0"/>
                <w:sz w:val="24"/>
                <w:szCs w:val="24"/>
              </w:rPr>
              <w:t>云计算</w:t>
            </w:r>
            <w:proofErr w:type="gramEnd"/>
            <w:r>
              <w:rPr>
                <w:rFonts w:ascii="宋体" w:hAnsi="宋体" w:cs="宋体" w:hint="eastAsia"/>
                <w:kern w:val="0"/>
                <w:sz w:val="24"/>
                <w:szCs w:val="24"/>
              </w:rPr>
              <w:t>及大数据平台</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★包装及运输要求</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★标志、包装、运输和贮存</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 9813.2和商品包装政府采购需求标准的相关规定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★配置检查工具</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提供自检测试工具</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★服务响应</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a)供应商提供电话、电子邮件、远程连接等多种形式服务；</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 xml:space="preserve">b)供应商提供同城 4h、异地 12h 技术响应服务，2 </w:t>
            </w:r>
            <w:proofErr w:type="gramStart"/>
            <w:r>
              <w:rPr>
                <w:rFonts w:ascii="宋体" w:hAnsi="宋体" w:cs="宋体" w:hint="eastAsia"/>
                <w:kern w:val="0"/>
                <w:sz w:val="24"/>
                <w:szCs w:val="24"/>
              </w:rPr>
              <w:t>个</w:t>
            </w:r>
            <w:proofErr w:type="gramEnd"/>
            <w:r>
              <w:rPr>
                <w:rFonts w:ascii="宋体" w:hAnsi="宋体" w:cs="宋体" w:hint="eastAsia"/>
                <w:kern w:val="0"/>
                <w:sz w:val="24"/>
                <w:szCs w:val="24"/>
              </w:rPr>
              <w:t>工作日解决问题，对于未能解决的问题和故障应提供可行的升级方案，并提供周转设备或更换设备；</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c)建立全国技术服务体系和服务团体，符合专业服务体系标准要求，提供原厂中文服务；</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d)服务周期内提供产品的维修、换件和升级服务；</w:t>
            </w:r>
          </w:p>
          <w:p w:rsidR="00F85E67" w:rsidRDefault="00F85E67" w:rsidP="00D97EB6">
            <w:pPr>
              <w:widowControl/>
              <w:jc w:val="left"/>
              <w:rPr>
                <w:rFonts w:ascii="宋体" w:hAnsi="宋体" w:cs="宋体"/>
                <w:kern w:val="0"/>
                <w:sz w:val="24"/>
                <w:szCs w:val="24"/>
              </w:rPr>
            </w:pPr>
            <w:r>
              <w:rPr>
                <w:rFonts w:ascii="宋体" w:hAnsi="宋体" w:cs="宋体" w:hint="eastAsia"/>
                <w:kern w:val="0"/>
                <w:sz w:val="24"/>
                <w:szCs w:val="24"/>
              </w:rPr>
              <w:t>e）产品生命周期结束后，原厂需提供符合工信部要求的IT资产环保处置服务，包括上门回收、数据销毁、环保拆解，并提供《资产环保处置证明》，服务可通过电话或官方网站查询；</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★服务周期</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w:t>
            </w:r>
            <w:proofErr w:type="gramStart"/>
            <w:r>
              <w:rPr>
                <w:rFonts w:ascii="宋体" w:hAnsi="宋体" w:cs="宋体" w:hint="eastAsia"/>
                <w:kern w:val="0"/>
                <w:sz w:val="24"/>
                <w:szCs w:val="24"/>
              </w:rPr>
              <w:t>产品延保</w:t>
            </w:r>
            <w:proofErr w:type="gramEnd"/>
            <w:r>
              <w:rPr>
                <w:rFonts w:ascii="宋体" w:hAnsi="宋体" w:cs="宋体" w:hint="eastAsia"/>
                <w:kern w:val="0"/>
                <w:sz w:val="24"/>
                <w:szCs w:val="24"/>
              </w:rPr>
              <w:t>≥3 年</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提供</w:t>
            </w:r>
            <w:proofErr w:type="gramStart"/>
            <w:r>
              <w:rPr>
                <w:rFonts w:ascii="宋体" w:hAnsi="宋体" w:cs="宋体" w:hint="eastAsia"/>
                <w:kern w:val="0"/>
                <w:sz w:val="24"/>
                <w:szCs w:val="24"/>
              </w:rPr>
              <w:t>每年延保服务</w:t>
            </w:r>
            <w:proofErr w:type="gramEnd"/>
            <w:r>
              <w:rPr>
                <w:rFonts w:ascii="宋体" w:hAnsi="宋体" w:cs="宋体" w:hint="eastAsia"/>
                <w:kern w:val="0"/>
                <w:sz w:val="24"/>
                <w:szCs w:val="24"/>
              </w:rPr>
              <w:t>报价提供备件服务能力≥6 年（自购买之日起）</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★预装操作系统</w:t>
            </w:r>
          </w:p>
        </w:tc>
        <w:tc>
          <w:tcPr>
            <w:tcW w:w="4231" w:type="dxa"/>
            <w:vAlign w:val="center"/>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配合采购人安装操作系统</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★培训服务</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供应商提供培训材料、产品手册、培训视频等培训相关内容</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★典型问题解决手册</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供应商提供典型问题解决说明文档或视频</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179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★厂家升级软件与扩容服务</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提</w:t>
            </w:r>
            <w:proofErr w:type="gramStart"/>
            <w:r>
              <w:rPr>
                <w:rFonts w:ascii="宋体" w:hAnsi="宋体" w:cs="宋体" w:hint="eastAsia"/>
                <w:kern w:val="0"/>
                <w:sz w:val="24"/>
                <w:szCs w:val="24"/>
              </w:rPr>
              <w:t>供应商供上门</w:t>
            </w:r>
            <w:proofErr w:type="gramEnd"/>
            <w:r>
              <w:rPr>
                <w:rFonts w:ascii="宋体" w:hAnsi="宋体" w:cs="宋体" w:hint="eastAsia"/>
                <w:kern w:val="0"/>
                <w:sz w:val="24"/>
                <w:szCs w:val="24"/>
              </w:rPr>
              <w:t>升级部件/软件的增值服务</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lastRenderedPageBreak/>
              <w:t>180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★整机质量服务要求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免费服务周期（含换件和维修）应不小于3年，服务</w:t>
            </w:r>
            <w:proofErr w:type="gramStart"/>
            <w:r>
              <w:rPr>
                <w:rFonts w:ascii="宋体" w:hAnsi="宋体" w:cs="宋体" w:hint="eastAsia"/>
                <w:kern w:val="0"/>
                <w:sz w:val="24"/>
                <w:szCs w:val="24"/>
              </w:rPr>
              <w:t>维保时间</w:t>
            </w:r>
            <w:proofErr w:type="gramEnd"/>
            <w:r>
              <w:rPr>
                <w:rFonts w:ascii="宋体" w:hAnsi="宋体" w:cs="宋体" w:hint="eastAsia"/>
                <w:kern w:val="0"/>
                <w:sz w:val="24"/>
                <w:szCs w:val="24"/>
              </w:rPr>
              <w:t>可通过原厂技术支持400热线电话或者官方网站查询。</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★合格证书要求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供应商提供产品合格证</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★开箱组装/使用指导要求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供应商提供开箱组装/使用指导</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★驱动下载服务要求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供应商提供驱动光盘或下载方式</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★兼容适配软件下载服务要求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供应商提供兼容适配软件下载渠道（光盘、网站）</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服务要求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跨架构平台应用兼容</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供应商提供跨架构平台应用兼容工具，兼容一种或者一种以上不同架构平台的应用运行</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186</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★供应链合</w:t>
            </w:r>
            <w:proofErr w:type="gramStart"/>
            <w:r>
              <w:rPr>
                <w:rFonts w:ascii="宋体" w:hAnsi="宋体" w:cs="宋体" w:hint="eastAsia"/>
                <w:kern w:val="0"/>
                <w:sz w:val="24"/>
                <w:szCs w:val="24"/>
              </w:rPr>
              <w:t>规</w:t>
            </w:r>
            <w:proofErr w:type="gramEnd"/>
            <w:r>
              <w:rPr>
                <w:rFonts w:ascii="宋体" w:hAnsi="宋体" w:cs="宋体" w:hint="eastAsia"/>
                <w:kern w:val="0"/>
                <w:sz w:val="24"/>
                <w:szCs w:val="24"/>
              </w:rPr>
              <w:t>性</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★产品部件保障</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保障产品主要部件，应提供 6 年的备件服务能力(自购买之日起)，或提供可兼容原设备的升级换代产品</w:t>
            </w:r>
          </w:p>
        </w:tc>
      </w:tr>
      <w:tr w:rsidR="00F85E67" w:rsidTr="00D97EB6">
        <w:trPr>
          <w:trHeight w:val="52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187</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★供应链质量</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★抗干扰性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当产品部件出现供应风险时，供应商应通知采购人并提供风险应对方案确保产品的服务保障</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188</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供应保障要求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★供应能力证明</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提供供应</w:t>
            </w:r>
            <w:proofErr w:type="gramStart"/>
            <w:r>
              <w:rPr>
                <w:rFonts w:ascii="宋体" w:hAnsi="宋体" w:cs="宋体" w:hint="eastAsia"/>
                <w:kern w:val="0"/>
                <w:sz w:val="24"/>
                <w:szCs w:val="24"/>
              </w:rPr>
              <w:t>链稳定</w:t>
            </w:r>
            <w:proofErr w:type="gramEnd"/>
            <w:r>
              <w:rPr>
                <w:rFonts w:ascii="宋体" w:hAnsi="宋体" w:cs="宋体" w:hint="eastAsia"/>
                <w:kern w:val="0"/>
                <w:sz w:val="24"/>
                <w:szCs w:val="24"/>
              </w:rPr>
              <w:t>承诺书，确保产品的部件在产品服务周期内稳定供货</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189</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★关键部件安全要求</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★关键部件安全要求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 和操作系统等关键部件应当符合安全可靠测评要求</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190</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val="restart"/>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★整机安全性要求</w:t>
            </w: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USB 端口管控</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支持USB端口管控（USB支持BIOS下接口逐个开关）</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191</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★密码算法实现</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CPU芯片应符合GM/T0008的相关</w:t>
            </w:r>
            <w:proofErr w:type="gramStart"/>
            <w:r>
              <w:rPr>
                <w:rFonts w:ascii="宋体" w:hAnsi="宋体" w:cs="宋体" w:hint="eastAsia"/>
                <w:kern w:val="0"/>
                <w:sz w:val="24"/>
                <w:szCs w:val="24"/>
              </w:rPr>
              <w:t>规</w:t>
            </w:r>
            <w:proofErr w:type="gramEnd"/>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定，或芯片密码模块应符合GB/T</w:t>
            </w:r>
          </w:p>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37092或GM/T 0028的相关规定</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192</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安全物理锁</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支持安全物理锁</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193</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★信息安全基本要求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a) 应符合GB/T 39276的5.2的规定； b) 生产厂商应建立漏洞跟踪表，保证产品版本涉及到的漏洞(如驱动程序等)可查看； c) 不得包含已知的恶意代码或漏洞，不存在未声明的指令、功能、接口</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194</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★固件安全启动</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支持固件安全启动功能，固件启动过程中只有通过启动校验才能正常启动</w:t>
            </w:r>
          </w:p>
        </w:tc>
      </w:tr>
      <w:tr w:rsidR="00F85E67" w:rsidTr="00D97EB6">
        <w:trPr>
          <w:trHeight w:val="280"/>
          <w:jc w:val="center"/>
        </w:trPr>
        <w:tc>
          <w:tcPr>
            <w:tcW w:w="923"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195</w:t>
            </w:r>
          </w:p>
        </w:tc>
        <w:tc>
          <w:tcPr>
            <w:tcW w:w="1535"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安全要求</w:t>
            </w:r>
          </w:p>
        </w:tc>
        <w:tc>
          <w:tcPr>
            <w:tcW w:w="1103" w:type="dxa"/>
            <w:vMerge/>
          </w:tcPr>
          <w:p w:rsidR="00F85E67" w:rsidRDefault="00F85E67" w:rsidP="00D97EB6">
            <w:pPr>
              <w:widowControl/>
              <w:jc w:val="center"/>
              <w:rPr>
                <w:rFonts w:ascii="宋体" w:hAnsi="宋体" w:cs="宋体"/>
                <w:kern w:val="0"/>
                <w:sz w:val="24"/>
                <w:szCs w:val="24"/>
              </w:rPr>
            </w:pPr>
          </w:p>
        </w:tc>
        <w:tc>
          <w:tcPr>
            <w:tcW w:w="255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★限用物质的限量要求</w:t>
            </w:r>
          </w:p>
        </w:tc>
        <w:tc>
          <w:tcPr>
            <w:tcW w:w="4231" w:type="dxa"/>
          </w:tcPr>
          <w:p w:rsidR="00F85E67" w:rsidRDefault="00F85E67" w:rsidP="00D97EB6">
            <w:pPr>
              <w:widowControl/>
              <w:jc w:val="center"/>
              <w:rPr>
                <w:rFonts w:ascii="宋体" w:hAnsi="宋体" w:cs="宋体"/>
                <w:kern w:val="0"/>
                <w:sz w:val="24"/>
                <w:szCs w:val="24"/>
              </w:rPr>
            </w:pPr>
            <w:r>
              <w:rPr>
                <w:rFonts w:ascii="宋体" w:hAnsi="宋体" w:cs="宋体" w:hint="eastAsia"/>
                <w:kern w:val="0"/>
                <w:sz w:val="24"/>
                <w:szCs w:val="24"/>
              </w:rPr>
              <w:t>符合GB/T 26572中规定</w:t>
            </w:r>
          </w:p>
        </w:tc>
      </w:tr>
    </w:tbl>
    <w:p w:rsidR="00690E52" w:rsidRDefault="005676B3">
      <w:bookmarkStart w:id="4" w:name="_GoBack"/>
      <w:bookmarkEnd w:id="4"/>
    </w:p>
    <w:sectPr w:rsidR="00690E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6B3" w:rsidRDefault="005676B3" w:rsidP="007E6746">
      <w:r>
        <w:separator/>
      </w:r>
    </w:p>
  </w:endnote>
  <w:endnote w:type="continuationSeparator" w:id="0">
    <w:p w:rsidR="005676B3" w:rsidRDefault="005676B3" w:rsidP="007E6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ongolian Baiti">
    <w:panose1 w:val="03000500000000000000"/>
    <w:charset w:val="00"/>
    <w:family w:val="script"/>
    <w:pitch w:val="variable"/>
    <w:sig w:usb0="80000023" w:usb1="00000000" w:usb2="00020000" w:usb3="00000000" w:csb0="0000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6B3" w:rsidRDefault="005676B3" w:rsidP="007E6746">
      <w:r>
        <w:separator/>
      </w:r>
    </w:p>
  </w:footnote>
  <w:footnote w:type="continuationSeparator" w:id="0">
    <w:p w:rsidR="005676B3" w:rsidRDefault="005676B3" w:rsidP="007E674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decimal"/>
      <w:lvlText w:val="%1."/>
      <w:lvlJc w:val="left"/>
      <w:pPr>
        <w:ind w:left="425" w:hanging="425"/>
      </w:pPr>
    </w:lvl>
  </w:abstractNum>
  <w:abstractNum w:abstractNumId="1">
    <w:nsid w:val="00000002"/>
    <w:multiLevelType w:val="singleLevel"/>
    <w:tmpl w:val="00000002"/>
    <w:lvl w:ilvl="0">
      <w:start w:val="1"/>
      <w:numFmt w:val="decimal"/>
      <w:suff w:val="nothing"/>
      <w:lvlText w:val="%1、"/>
      <w:lvlJc w:val="left"/>
      <w:pPr>
        <w:ind w:left="0" w:firstLine="0"/>
      </w:pPr>
    </w:lvl>
  </w:abstractNum>
  <w:abstractNum w:abstractNumId="2">
    <w:nsid w:val="00000003"/>
    <w:multiLevelType w:val="singleLevel"/>
    <w:tmpl w:val="00000003"/>
    <w:lvl w:ilvl="0">
      <w:start w:val="1"/>
      <w:numFmt w:val="decimal"/>
      <w:lvlText w:val="%1."/>
      <w:lvlJc w:val="left"/>
      <w:pPr>
        <w:ind w:left="425" w:hanging="425"/>
      </w:pPr>
    </w:lvl>
  </w:abstractNum>
  <w:abstractNum w:abstractNumId="3">
    <w:nsid w:val="00000004"/>
    <w:multiLevelType w:val="singleLevel"/>
    <w:tmpl w:val="00000004"/>
    <w:lvl w:ilvl="0">
      <w:start w:val="1"/>
      <w:numFmt w:val="decimal"/>
      <w:suff w:val="nothing"/>
      <w:lvlText w:val="%1、"/>
      <w:lvlJc w:val="left"/>
      <w:pPr>
        <w:ind w:left="0" w:firstLine="0"/>
      </w:pPr>
    </w:lvl>
  </w:abstractNum>
  <w:abstractNum w:abstractNumId="4">
    <w:nsid w:val="00000005"/>
    <w:multiLevelType w:val="singleLevel"/>
    <w:tmpl w:val="00000005"/>
    <w:lvl w:ilvl="0">
      <w:start w:val="16"/>
      <w:numFmt w:val="decimal"/>
      <w:suff w:val="space"/>
      <w:lvlText w:val="%1."/>
      <w:lvlJc w:val="left"/>
      <w:pPr>
        <w:ind w:left="0" w:firstLine="0"/>
      </w:pPr>
    </w:lvl>
  </w:abstractNum>
  <w:abstractNum w:abstractNumId="5">
    <w:nsid w:val="00000006"/>
    <w:multiLevelType w:val="singleLevel"/>
    <w:tmpl w:val="00000006"/>
    <w:lvl w:ilvl="0">
      <w:start w:val="1"/>
      <w:numFmt w:val="decimal"/>
      <w:suff w:val="nothing"/>
      <w:lvlText w:val="（%1）"/>
      <w:lvlJc w:val="left"/>
      <w:pPr>
        <w:ind w:left="0" w:firstLine="0"/>
      </w:pPr>
    </w:lvl>
  </w:abstractNum>
  <w:abstractNum w:abstractNumId="6">
    <w:nsid w:val="00000007"/>
    <w:multiLevelType w:val="singleLevel"/>
    <w:tmpl w:val="00000007"/>
    <w:lvl w:ilvl="0">
      <w:start w:val="6"/>
      <w:numFmt w:val="decimal"/>
      <w:suff w:val="space"/>
      <w:lvlText w:val="%1."/>
      <w:lvlJc w:val="left"/>
      <w:pPr>
        <w:ind w:left="0" w:firstLine="0"/>
      </w:pPr>
    </w:lvl>
  </w:abstractNum>
  <w:abstractNum w:abstractNumId="7">
    <w:nsid w:val="00000008"/>
    <w:multiLevelType w:val="singleLevel"/>
    <w:tmpl w:val="00000008"/>
    <w:lvl w:ilvl="0">
      <w:start w:val="2"/>
      <w:numFmt w:val="decimal"/>
      <w:suff w:val="space"/>
      <w:lvlText w:val="%1."/>
      <w:lvlJc w:val="left"/>
      <w:pPr>
        <w:ind w:left="0" w:firstLine="0"/>
      </w:pPr>
    </w:lvl>
  </w:abstractNum>
  <w:abstractNum w:abstractNumId="8">
    <w:nsid w:val="00000009"/>
    <w:multiLevelType w:val="singleLevel"/>
    <w:tmpl w:val="00000009"/>
    <w:lvl w:ilvl="0">
      <w:start w:val="23"/>
      <w:numFmt w:val="decimal"/>
      <w:suff w:val="space"/>
      <w:lvlText w:val="%1."/>
      <w:lvlJc w:val="left"/>
      <w:pPr>
        <w:ind w:left="0" w:firstLine="0"/>
      </w:pPr>
    </w:lvl>
  </w:abstractNum>
  <w:abstractNum w:abstractNumId="9">
    <w:nsid w:val="0000000A"/>
    <w:multiLevelType w:val="singleLevel"/>
    <w:tmpl w:val="0000000A"/>
    <w:lvl w:ilvl="0">
      <w:start w:val="1"/>
      <w:numFmt w:val="decimal"/>
      <w:lvlText w:val="%1."/>
      <w:lvlJc w:val="left"/>
      <w:pPr>
        <w:ind w:left="425" w:hanging="425"/>
      </w:pPr>
    </w:lvl>
  </w:abstractNum>
  <w:abstractNum w:abstractNumId="10">
    <w:nsid w:val="0000000B"/>
    <w:multiLevelType w:val="singleLevel"/>
    <w:tmpl w:val="0000000B"/>
    <w:lvl w:ilvl="0">
      <w:start w:val="1"/>
      <w:numFmt w:val="decimal"/>
      <w:suff w:val="nothing"/>
      <w:lvlText w:val="%1、"/>
      <w:lvlJc w:val="left"/>
      <w:pPr>
        <w:ind w:left="0" w:firstLine="0"/>
      </w:pPr>
    </w:lvl>
  </w:abstractNum>
  <w:abstractNum w:abstractNumId="11">
    <w:nsid w:val="0000000C"/>
    <w:multiLevelType w:val="singleLevel"/>
    <w:tmpl w:val="0000000C"/>
    <w:lvl w:ilvl="0">
      <w:start w:val="1"/>
      <w:numFmt w:val="decimal"/>
      <w:suff w:val="nothing"/>
      <w:lvlText w:val="（%1）"/>
      <w:lvlJc w:val="left"/>
      <w:pPr>
        <w:ind w:left="0" w:firstLine="0"/>
      </w:pPr>
    </w:lvl>
  </w:abstractNum>
  <w:abstractNum w:abstractNumId="12">
    <w:nsid w:val="0000000D"/>
    <w:multiLevelType w:val="singleLevel"/>
    <w:tmpl w:val="0000000D"/>
    <w:lvl w:ilvl="0">
      <w:start w:val="1"/>
      <w:numFmt w:val="decimal"/>
      <w:lvlText w:val="%1."/>
      <w:lvlJc w:val="left"/>
      <w:pPr>
        <w:ind w:left="425" w:hanging="425"/>
      </w:pPr>
    </w:lvl>
  </w:abstractNum>
  <w:abstractNum w:abstractNumId="13">
    <w:nsid w:val="0000000E"/>
    <w:multiLevelType w:val="singleLevel"/>
    <w:tmpl w:val="0000000E"/>
    <w:lvl w:ilvl="0">
      <w:start w:val="1"/>
      <w:numFmt w:val="decimal"/>
      <w:lvlText w:val="%1."/>
      <w:lvlJc w:val="left"/>
      <w:pPr>
        <w:ind w:left="425" w:hanging="425"/>
      </w:pPr>
    </w:lvl>
  </w:abstractNum>
  <w:abstractNum w:abstractNumId="14">
    <w:nsid w:val="0000000F"/>
    <w:multiLevelType w:val="singleLevel"/>
    <w:tmpl w:val="0000000F"/>
    <w:lvl w:ilvl="0">
      <w:start w:val="1"/>
      <w:numFmt w:val="decimal"/>
      <w:lvlText w:val="%1."/>
      <w:lvlJc w:val="left"/>
      <w:pPr>
        <w:ind w:left="425" w:hanging="425"/>
      </w:pPr>
    </w:lvl>
  </w:abstractNum>
  <w:abstractNum w:abstractNumId="15">
    <w:nsid w:val="00000010"/>
    <w:multiLevelType w:val="singleLevel"/>
    <w:tmpl w:val="00000010"/>
    <w:lvl w:ilvl="0">
      <w:start w:val="1"/>
      <w:numFmt w:val="decimal"/>
      <w:lvlText w:val="%1."/>
      <w:lvlJc w:val="left"/>
      <w:pPr>
        <w:ind w:left="425" w:hanging="425"/>
      </w:pPr>
    </w:lvl>
  </w:abstractNum>
  <w:abstractNum w:abstractNumId="16">
    <w:nsid w:val="00000011"/>
    <w:multiLevelType w:val="singleLevel"/>
    <w:tmpl w:val="00000011"/>
    <w:lvl w:ilvl="0">
      <w:start w:val="1"/>
      <w:numFmt w:val="decimal"/>
      <w:suff w:val="space"/>
      <w:lvlText w:val="%1."/>
      <w:lvlJc w:val="left"/>
      <w:pPr>
        <w:ind w:left="0" w:firstLine="0"/>
      </w:pPr>
    </w:lvl>
  </w:abstractNum>
  <w:abstractNum w:abstractNumId="17">
    <w:nsid w:val="2A8F537B"/>
    <w:multiLevelType w:val="singleLevel"/>
    <w:tmpl w:val="2A8F537B"/>
    <w:lvl w:ilvl="0">
      <w:start w:val="7"/>
      <w:numFmt w:val="chineseCounting"/>
      <w:suff w:val="nothing"/>
      <w:lvlText w:val="（%1）"/>
      <w:lvlJc w:val="left"/>
      <w:rPr>
        <w:rFonts w:hint="eastAsia"/>
      </w:rPr>
    </w:lvl>
  </w:abstractNum>
  <w:num w:numId="1">
    <w:abstractNumId w:val="10"/>
    <w:lvlOverride w:ilvl="0">
      <w:startOverride w:val="1"/>
    </w:lvlOverride>
  </w:num>
  <w:num w:numId="2">
    <w:abstractNumId w:val="1"/>
    <w:lvlOverride w:ilvl="0">
      <w:startOverride w:val="1"/>
    </w:lvlOverride>
  </w:num>
  <w:num w:numId="3">
    <w:abstractNumId w:val="3"/>
    <w:lvlOverride w:ilvl="0">
      <w:startOverride w:val="1"/>
    </w:lvlOverride>
  </w:num>
  <w:num w:numId="4">
    <w:abstractNumId w:val="14"/>
    <w:lvlOverride w:ilvl="0">
      <w:startOverride w:val="1"/>
    </w:lvlOverride>
  </w:num>
  <w:num w:numId="5">
    <w:abstractNumId w:val="15"/>
    <w:lvlOverride w:ilvl="0">
      <w:startOverride w:val="1"/>
    </w:lvlOverride>
  </w:num>
  <w:num w:numId="6">
    <w:abstractNumId w:val="9"/>
    <w:lvlOverride w:ilvl="0">
      <w:startOverride w:val="1"/>
    </w:lvlOverride>
  </w:num>
  <w:num w:numId="7">
    <w:abstractNumId w:val="12"/>
    <w:lvlOverride w:ilvl="0">
      <w:startOverride w:val="1"/>
    </w:lvlOverride>
  </w:num>
  <w:num w:numId="8">
    <w:abstractNumId w:val="2"/>
    <w:lvlOverride w:ilvl="0">
      <w:startOverride w:val="1"/>
    </w:lvlOverride>
  </w:num>
  <w:num w:numId="9">
    <w:abstractNumId w:val="13"/>
    <w:lvlOverride w:ilvl="0">
      <w:startOverride w:val="1"/>
    </w:lvlOverride>
  </w:num>
  <w:num w:numId="10">
    <w:abstractNumId w:val="0"/>
    <w:lvlOverride w:ilvl="0">
      <w:startOverride w:val="1"/>
    </w:lvlOverride>
  </w:num>
  <w:num w:numId="11">
    <w:abstractNumId w:val="17"/>
  </w:num>
  <w:num w:numId="12">
    <w:abstractNumId w:val="16"/>
    <w:lvlOverride w:ilvl="0">
      <w:startOverride w:val="1"/>
    </w:lvlOverride>
  </w:num>
  <w:num w:numId="13">
    <w:abstractNumId w:val="5"/>
    <w:lvlOverride w:ilvl="0">
      <w:startOverride w:val="1"/>
    </w:lvlOverride>
  </w:num>
  <w:num w:numId="14">
    <w:abstractNumId w:val="11"/>
    <w:lvlOverride w:ilvl="0">
      <w:startOverride w:val="1"/>
    </w:lvlOverride>
  </w:num>
  <w:num w:numId="15">
    <w:abstractNumId w:val="7"/>
    <w:lvlOverride w:ilvl="0">
      <w:startOverride w:val="2"/>
    </w:lvlOverride>
  </w:num>
  <w:num w:numId="16">
    <w:abstractNumId w:val="6"/>
    <w:lvlOverride w:ilvl="0">
      <w:startOverride w:val="6"/>
    </w:lvlOverride>
  </w:num>
  <w:num w:numId="17">
    <w:abstractNumId w:val="4"/>
    <w:lvlOverride w:ilvl="0">
      <w:startOverride w:val="16"/>
    </w:lvlOverride>
  </w:num>
  <w:num w:numId="18">
    <w:abstractNumId w:val="8"/>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0AD"/>
    <w:rsid w:val="005676B3"/>
    <w:rsid w:val="005B69DA"/>
    <w:rsid w:val="006F60AD"/>
    <w:rsid w:val="007E6746"/>
    <w:rsid w:val="008F1306"/>
    <w:rsid w:val="00F85E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746"/>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7E6746"/>
    <w:pPr>
      <w:keepNext/>
      <w:keepLines/>
      <w:spacing w:before="340" w:after="330" w:line="578" w:lineRule="auto"/>
      <w:outlineLvl w:val="0"/>
    </w:pPr>
    <w:rPr>
      <w:rFonts w:ascii="Calibri" w:hAnsi="Calibri" w:cs="Mongolian Baiti"/>
      <w:b/>
      <w:bCs/>
      <w:kern w:val="44"/>
      <w:sz w:val="44"/>
      <w:szCs w:val="44"/>
    </w:rPr>
  </w:style>
  <w:style w:type="paragraph" w:styleId="2">
    <w:name w:val="heading 2"/>
    <w:basedOn w:val="a"/>
    <w:next w:val="a"/>
    <w:link w:val="2Char"/>
    <w:uiPriority w:val="9"/>
    <w:qFormat/>
    <w:rsid w:val="007E6746"/>
    <w:pPr>
      <w:keepNext/>
      <w:keepLines/>
      <w:spacing w:before="260" w:after="260" w:line="416" w:lineRule="auto"/>
      <w:outlineLvl w:val="1"/>
    </w:pPr>
    <w:rPr>
      <w:rFonts w:ascii="Cambria" w:hAnsi="Cambria" w:cs="Mongolian Baiti"/>
      <w:b/>
      <w:bCs/>
      <w:sz w:val="32"/>
      <w:szCs w:val="32"/>
    </w:rPr>
  </w:style>
  <w:style w:type="paragraph" w:styleId="3">
    <w:name w:val="heading 3"/>
    <w:basedOn w:val="a"/>
    <w:next w:val="a"/>
    <w:link w:val="3Char"/>
    <w:qFormat/>
    <w:rsid w:val="007E6746"/>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7E6746"/>
    <w:pPr>
      <w:keepNext/>
      <w:keepLines/>
      <w:spacing w:before="280" w:after="290" w:line="376" w:lineRule="auto"/>
      <w:outlineLvl w:val="3"/>
    </w:pPr>
    <w:rPr>
      <w:rFonts w:ascii="Cambria" w:hAnsi="Cambria" w:cs="Mongolian Bait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7E674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7E6746"/>
    <w:rPr>
      <w:sz w:val="18"/>
      <w:szCs w:val="18"/>
    </w:rPr>
  </w:style>
  <w:style w:type="paragraph" w:styleId="a4">
    <w:name w:val="footer"/>
    <w:basedOn w:val="a"/>
    <w:link w:val="Char0"/>
    <w:uiPriority w:val="99"/>
    <w:unhideWhenUsed/>
    <w:qFormat/>
    <w:rsid w:val="007E6746"/>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7E6746"/>
    <w:rPr>
      <w:sz w:val="18"/>
      <w:szCs w:val="18"/>
    </w:rPr>
  </w:style>
  <w:style w:type="character" w:customStyle="1" w:styleId="1Char">
    <w:name w:val="标题 1 Char"/>
    <w:basedOn w:val="a0"/>
    <w:link w:val="1"/>
    <w:uiPriority w:val="9"/>
    <w:qFormat/>
    <w:rsid w:val="007E6746"/>
    <w:rPr>
      <w:rFonts w:ascii="Calibri" w:eastAsia="宋体" w:hAnsi="Calibri" w:cs="Mongolian Baiti"/>
      <w:b/>
      <w:bCs/>
      <w:kern w:val="44"/>
      <w:sz w:val="44"/>
      <w:szCs w:val="44"/>
    </w:rPr>
  </w:style>
  <w:style w:type="character" w:customStyle="1" w:styleId="2Char">
    <w:name w:val="标题 2 Char"/>
    <w:basedOn w:val="a0"/>
    <w:link w:val="2"/>
    <w:uiPriority w:val="9"/>
    <w:qFormat/>
    <w:rsid w:val="007E6746"/>
    <w:rPr>
      <w:rFonts w:ascii="Cambria" w:eastAsia="宋体" w:hAnsi="Cambria" w:cs="Mongolian Baiti"/>
      <w:b/>
      <w:bCs/>
      <w:sz w:val="32"/>
      <w:szCs w:val="32"/>
    </w:rPr>
  </w:style>
  <w:style w:type="character" w:customStyle="1" w:styleId="3Char">
    <w:name w:val="标题 3 Char"/>
    <w:basedOn w:val="a0"/>
    <w:link w:val="3"/>
    <w:qFormat/>
    <w:rsid w:val="007E6746"/>
    <w:rPr>
      <w:rFonts w:ascii="Times New Roman" w:eastAsia="宋体" w:hAnsi="Times New Roman" w:cs="Times New Roman"/>
      <w:b/>
      <w:bCs/>
      <w:sz w:val="32"/>
      <w:szCs w:val="32"/>
    </w:rPr>
  </w:style>
  <w:style w:type="character" w:customStyle="1" w:styleId="4Char">
    <w:name w:val="标题 4 Char"/>
    <w:basedOn w:val="a0"/>
    <w:link w:val="4"/>
    <w:uiPriority w:val="9"/>
    <w:qFormat/>
    <w:rsid w:val="007E6746"/>
    <w:rPr>
      <w:rFonts w:ascii="Cambria" w:eastAsia="宋体" w:hAnsi="Cambria" w:cs="Mongolian Baiti"/>
      <w:b/>
      <w:bCs/>
      <w:sz w:val="28"/>
      <w:szCs w:val="28"/>
    </w:rPr>
  </w:style>
  <w:style w:type="paragraph" w:styleId="a5">
    <w:name w:val="annotation text"/>
    <w:basedOn w:val="a"/>
    <w:link w:val="Char1"/>
    <w:uiPriority w:val="99"/>
    <w:qFormat/>
    <w:rsid w:val="007E6746"/>
    <w:pPr>
      <w:jc w:val="left"/>
    </w:pPr>
  </w:style>
  <w:style w:type="character" w:customStyle="1" w:styleId="Char1">
    <w:name w:val="批注文字 Char"/>
    <w:basedOn w:val="a0"/>
    <w:link w:val="a5"/>
    <w:uiPriority w:val="99"/>
    <w:qFormat/>
    <w:rsid w:val="007E6746"/>
    <w:rPr>
      <w:rFonts w:ascii="Times New Roman" w:eastAsia="宋体" w:hAnsi="Times New Roman" w:cs="Times New Roman"/>
      <w:szCs w:val="20"/>
    </w:rPr>
  </w:style>
  <w:style w:type="paragraph" w:styleId="a6">
    <w:name w:val="Body Text"/>
    <w:basedOn w:val="a"/>
    <w:next w:val="a"/>
    <w:link w:val="Char2"/>
    <w:uiPriority w:val="99"/>
    <w:qFormat/>
    <w:rsid w:val="007E6746"/>
    <w:pPr>
      <w:spacing w:after="120"/>
    </w:pPr>
  </w:style>
  <w:style w:type="character" w:customStyle="1" w:styleId="Char2">
    <w:name w:val="正文文本 Char"/>
    <w:basedOn w:val="a0"/>
    <w:link w:val="a6"/>
    <w:uiPriority w:val="99"/>
    <w:qFormat/>
    <w:rsid w:val="007E6746"/>
    <w:rPr>
      <w:rFonts w:ascii="Times New Roman" w:eastAsia="宋体" w:hAnsi="Times New Roman" w:cs="Times New Roman"/>
      <w:szCs w:val="20"/>
    </w:rPr>
  </w:style>
  <w:style w:type="paragraph" w:styleId="a7">
    <w:name w:val="Body Text Indent"/>
    <w:basedOn w:val="a"/>
    <w:link w:val="Char3"/>
    <w:qFormat/>
    <w:rsid w:val="007E6746"/>
    <w:pPr>
      <w:tabs>
        <w:tab w:val="left" w:pos="480"/>
      </w:tabs>
      <w:spacing w:line="560" w:lineRule="exact"/>
      <w:ind w:firstLine="480"/>
      <w:jc w:val="left"/>
    </w:pPr>
    <w:rPr>
      <w:rFonts w:ascii="宋体" w:hAnsi="宋体"/>
      <w:sz w:val="24"/>
    </w:rPr>
  </w:style>
  <w:style w:type="character" w:customStyle="1" w:styleId="Char3">
    <w:name w:val="正文文本缩进 Char"/>
    <w:basedOn w:val="a0"/>
    <w:link w:val="a7"/>
    <w:qFormat/>
    <w:rsid w:val="007E6746"/>
    <w:rPr>
      <w:rFonts w:ascii="宋体" w:eastAsia="宋体" w:hAnsi="宋体" w:cs="Times New Roman"/>
      <w:sz w:val="24"/>
      <w:szCs w:val="20"/>
    </w:rPr>
  </w:style>
  <w:style w:type="paragraph" w:styleId="a8">
    <w:name w:val="Plain Text"/>
    <w:basedOn w:val="a"/>
    <w:link w:val="Char10"/>
    <w:qFormat/>
    <w:rsid w:val="007E6746"/>
    <w:rPr>
      <w:rFonts w:ascii="宋体" w:hAnsi="Courier New"/>
      <w:lang w:val="zh-CN"/>
    </w:rPr>
  </w:style>
  <w:style w:type="character" w:customStyle="1" w:styleId="Char4">
    <w:name w:val="纯文本 Char"/>
    <w:basedOn w:val="a0"/>
    <w:uiPriority w:val="99"/>
    <w:qFormat/>
    <w:rsid w:val="007E6746"/>
    <w:rPr>
      <w:rFonts w:ascii="宋体" w:eastAsia="宋体" w:hAnsi="Courier New" w:cs="Courier New"/>
      <w:szCs w:val="21"/>
    </w:rPr>
  </w:style>
  <w:style w:type="paragraph" w:styleId="a9">
    <w:name w:val="Date"/>
    <w:basedOn w:val="a"/>
    <w:next w:val="a"/>
    <w:link w:val="Char5"/>
    <w:qFormat/>
    <w:rsid w:val="007E6746"/>
    <w:pPr>
      <w:adjustRightInd w:val="0"/>
      <w:spacing w:line="360" w:lineRule="atLeast"/>
      <w:textAlignment w:val="baseline"/>
    </w:pPr>
    <w:rPr>
      <w:sz w:val="32"/>
    </w:rPr>
  </w:style>
  <w:style w:type="character" w:customStyle="1" w:styleId="Char5">
    <w:name w:val="日期 Char"/>
    <w:basedOn w:val="a0"/>
    <w:link w:val="a9"/>
    <w:qFormat/>
    <w:rsid w:val="007E6746"/>
    <w:rPr>
      <w:rFonts w:ascii="Times New Roman" w:eastAsia="宋体" w:hAnsi="Times New Roman" w:cs="Times New Roman"/>
      <w:sz w:val="32"/>
      <w:szCs w:val="20"/>
    </w:rPr>
  </w:style>
  <w:style w:type="paragraph" w:styleId="20">
    <w:name w:val="Body Text Indent 2"/>
    <w:basedOn w:val="a"/>
    <w:link w:val="2Char0"/>
    <w:uiPriority w:val="99"/>
    <w:qFormat/>
    <w:rsid w:val="007E6746"/>
    <w:pPr>
      <w:spacing w:after="120" w:line="480" w:lineRule="auto"/>
      <w:ind w:leftChars="200" w:left="420"/>
    </w:pPr>
  </w:style>
  <w:style w:type="character" w:customStyle="1" w:styleId="2Char0">
    <w:name w:val="正文文本缩进 2 Char"/>
    <w:basedOn w:val="a0"/>
    <w:link w:val="20"/>
    <w:uiPriority w:val="99"/>
    <w:qFormat/>
    <w:rsid w:val="007E6746"/>
    <w:rPr>
      <w:rFonts w:ascii="Times New Roman" w:eastAsia="宋体" w:hAnsi="Times New Roman" w:cs="Times New Roman"/>
      <w:szCs w:val="20"/>
    </w:rPr>
  </w:style>
  <w:style w:type="paragraph" w:styleId="aa">
    <w:name w:val="Balloon Text"/>
    <w:basedOn w:val="a"/>
    <w:link w:val="Char6"/>
    <w:uiPriority w:val="99"/>
    <w:qFormat/>
    <w:rsid w:val="007E6746"/>
    <w:rPr>
      <w:sz w:val="18"/>
      <w:szCs w:val="18"/>
    </w:rPr>
  </w:style>
  <w:style w:type="character" w:customStyle="1" w:styleId="Char6">
    <w:name w:val="批注框文本 Char"/>
    <w:basedOn w:val="a0"/>
    <w:link w:val="aa"/>
    <w:uiPriority w:val="99"/>
    <w:qFormat/>
    <w:rsid w:val="007E6746"/>
    <w:rPr>
      <w:rFonts w:ascii="Times New Roman" w:eastAsia="宋体" w:hAnsi="Times New Roman" w:cs="Times New Roman"/>
      <w:sz w:val="18"/>
      <w:szCs w:val="18"/>
    </w:rPr>
  </w:style>
  <w:style w:type="paragraph" w:styleId="ab">
    <w:name w:val="Subtitle"/>
    <w:basedOn w:val="a"/>
    <w:next w:val="a"/>
    <w:link w:val="Char7"/>
    <w:qFormat/>
    <w:rsid w:val="007E6746"/>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qFormat/>
    <w:rsid w:val="007E6746"/>
    <w:rPr>
      <w:rFonts w:ascii="Cambria" w:eastAsia="宋体" w:hAnsi="Cambria" w:cs="Times New Roman"/>
      <w:b/>
      <w:bCs/>
      <w:kern w:val="28"/>
      <w:sz w:val="32"/>
      <w:szCs w:val="32"/>
      <w:lang w:val="zh-CN"/>
    </w:rPr>
  </w:style>
  <w:style w:type="paragraph" w:styleId="30">
    <w:name w:val="Body Text Indent 3"/>
    <w:basedOn w:val="a"/>
    <w:link w:val="3Char0"/>
    <w:uiPriority w:val="99"/>
    <w:qFormat/>
    <w:rsid w:val="007E6746"/>
    <w:pPr>
      <w:spacing w:after="120"/>
      <w:ind w:leftChars="200" w:left="420"/>
    </w:pPr>
    <w:rPr>
      <w:sz w:val="16"/>
      <w:szCs w:val="16"/>
    </w:rPr>
  </w:style>
  <w:style w:type="character" w:customStyle="1" w:styleId="3Char0">
    <w:name w:val="正文文本缩进 3 Char"/>
    <w:basedOn w:val="a0"/>
    <w:link w:val="30"/>
    <w:uiPriority w:val="99"/>
    <w:qFormat/>
    <w:rsid w:val="007E6746"/>
    <w:rPr>
      <w:rFonts w:ascii="Times New Roman" w:eastAsia="宋体" w:hAnsi="Times New Roman" w:cs="Times New Roman"/>
      <w:sz w:val="16"/>
      <w:szCs w:val="16"/>
    </w:rPr>
  </w:style>
  <w:style w:type="paragraph" w:styleId="21">
    <w:name w:val="Body Text 2"/>
    <w:basedOn w:val="a"/>
    <w:link w:val="2Char1"/>
    <w:uiPriority w:val="99"/>
    <w:qFormat/>
    <w:rsid w:val="007E6746"/>
    <w:pPr>
      <w:spacing w:after="120" w:line="480" w:lineRule="auto"/>
    </w:pPr>
  </w:style>
  <w:style w:type="character" w:customStyle="1" w:styleId="2Char1">
    <w:name w:val="正文文本 2 Char"/>
    <w:basedOn w:val="a0"/>
    <w:link w:val="21"/>
    <w:uiPriority w:val="99"/>
    <w:qFormat/>
    <w:rsid w:val="007E6746"/>
    <w:rPr>
      <w:rFonts w:ascii="Times New Roman" w:eastAsia="宋体" w:hAnsi="Times New Roman" w:cs="Times New Roman"/>
      <w:szCs w:val="20"/>
    </w:rPr>
  </w:style>
  <w:style w:type="paragraph" w:styleId="ac">
    <w:name w:val="Normal (Web)"/>
    <w:basedOn w:val="a"/>
    <w:uiPriority w:val="99"/>
    <w:qFormat/>
    <w:rsid w:val="007E6746"/>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5"/>
    <w:next w:val="a5"/>
    <w:link w:val="Char8"/>
    <w:uiPriority w:val="99"/>
    <w:qFormat/>
    <w:rsid w:val="007E6746"/>
    <w:rPr>
      <w:b/>
      <w:bCs/>
    </w:rPr>
  </w:style>
  <w:style w:type="character" w:customStyle="1" w:styleId="Char8">
    <w:name w:val="批注主题 Char"/>
    <w:basedOn w:val="Char1"/>
    <w:link w:val="ad"/>
    <w:uiPriority w:val="99"/>
    <w:qFormat/>
    <w:rsid w:val="007E6746"/>
    <w:rPr>
      <w:rFonts w:ascii="Times New Roman" w:eastAsia="宋体" w:hAnsi="Times New Roman" w:cs="Times New Roman"/>
      <w:b/>
      <w:bCs/>
      <w:szCs w:val="20"/>
    </w:rPr>
  </w:style>
  <w:style w:type="table" w:styleId="ae">
    <w:name w:val="Table Grid"/>
    <w:basedOn w:val="a1"/>
    <w:uiPriority w:val="39"/>
    <w:qFormat/>
    <w:rsid w:val="007E6746"/>
    <w:rPr>
      <w:rFonts w:ascii="Calibri" w:eastAsia="宋体" w:hAnsi="Calibri" w:cs="Mongolian Bait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7E6746"/>
    <w:rPr>
      <w:b/>
      <w:bCs/>
    </w:rPr>
  </w:style>
  <w:style w:type="character" w:styleId="af0">
    <w:name w:val="Hyperlink"/>
    <w:basedOn w:val="a0"/>
    <w:uiPriority w:val="99"/>
    <w:qFormat/>
    <w:rsid w:val="007E6746"/>
    <w:rPr>
      <w:color w:val="0000FF"/>
      <w:u w:val="single"/>
    </w:rPr>
  </w:style>
  <w:style w:type="character" w:styleId="af1">
    <w:name w:val="annotation reference"/>
    <w:basedOn w:val="a0"/>
    <w:uiPriority w:val="99"/>
    <w:qFormat/>
    <w:rsid w:val="007E6746"/>
    <w:rPr>
      <w:sz w:val="21"/>
      <w:szCs w:val="21"/>
    </w:rPr>
  </w:style>
  <w:style w:type="paragraph" w:customStyle="1" w:styleId="Default">
    <w:name w:val="Default"/>
    <w:link w:val="DefaultChar"/>
    <w:qFormat/>
    <w:rsid w:val="007E6746"/>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rsid w:val="007E6746"/>
    <w:rPr>
      <w:rFonts w:ascii="......." w:eastAsia="......." w:hAnsi="Calibri" w:cs="......."/>
      <w:color w:val="000000"/>
      <w:kern w:val="0"/>
      <w:sz w:val="24"/>
      <w:szCs w:val="24"/>
    </w:rPr>
  </w:style>
  <w:style w:type="paragraph" w:styleId="af2">
    <w:name w:val="List Paragraph"/>
    <w:basedOn w:val="a"/>
    <w:link w:val="Char9"/>
    <w:uiPriority w:val="34"/>
    <w:qFormat/>
    <w:rsid w:val="007E6746"/>
    <w:pPr>
      <w:ind w:firstLineChars="200" w:firstLine="420"/>
    </w:pPr>
  </w:style>
  <w:style w:type="character" w:customStyle="1" w:styleId="Char9">
    <w:name w:val="列出段落 Char"/>
    <w:link w:val="af2"/>
    <w:uiPriority w:val="34"/>
    <w:qFormat/>
    <w:rsid w:val="007E6746"/>
    <w:rPr>
      <w:rFonts w:ascii="Times New Roman" w:eastAsia="宋体" w:hAnsi="Times New Roman" w:cs="Times New Roman"/>
      <w:szCs w:val="20"/>
    </w:rPr>
  </w:style>
  <w:style w:type="paragraph" w:customStyle="1" w:styleId="Chara">
    <w:name w:val="Char"/>
    <w:basedOn w:val="a"/>
    <w:qFormat/>
    <w:rsid w:val="007E6746"/>
    <w:pPr>
      <w:tabs>
        <w:tab w:val="left" w:pos="360"/>
      </w:tabs>
    </w:pPr>
    <w:rPr>
      <w:sz w:val="24"/>
      <w:szCs w:val="24"/>
    </w:rPr>
  </w:style>
  <w:style w:type="character" w:customStyle="1" w:styleId="Char10">
    <w:name w:val="纯文本 Char1"/>
    <w:link w:val="a8"/>
    <w:qFormat/>
    <w:rsid w:val="007E6746"/>
    <w:rPr>
      <w:rFonts w:ascii="宋体" w:eastAsia="宋体" w:hAnsi="Courier New" w:cs="Times New Roman"/>
      <w:szCs w:val="20"/>
      <w:lang w:val="zh-CN"/>
    </w:rPr>
  </w:style>
  <w:style w:type="paragraph" w:customStyle="1" w:styleId="13">
    <w:name w:val="正文_13"/>
    <w:qFormat/>
    <w:rsid w:val="007E6746"/>
    <w:pPr>
      <w:widowControl w:val="0"/>
      <w:jc w:val="both"/>
    </w:pPr>
    <w:rPr>
      <w:rFonts w:ascii="Times New Roman" w:eastAsia="宋体" w:hAnsi="Times New Roman" w:cs="Times New Roman"/>
      <w:szCs w:val="24"/>
    </w:rPr>
  </w:style>
  <w:style w:type="paragraph" w:customStyle="1" w:styleId="6">
    <w:name w:val="正文_6"/>
    <w:qFormat/>
    <w:rsid w:val="007E6746"/>
    <w:pPr>
      <w:widowControl w:val="0"/>
      <w:jc w:val="both"/>
    </w:pPr>
    <w:rPr>
      <w:rFonts w:ascii="Times New Roman" w:eastAsia="宋体" w:hAnsi="Times New Roman" w:cs="Times New Roman"/>
      <w:szCs w:val="24"/>
    </w:rPr>
  </w:style>
  <w:style w:type="paragraph" w:customStyle="1" w:styleId="7">
    <w:name w:val="正文_7"/>
    <w:qFormat/>
    <w:rsid w:val="007E6746"/>
    <w:pPr>
      <w:widowControl w:val="0"/>
      <w:jc w:val="both"/>
    </w:pPr>
    <w:rPr>
      <w:rFonts w:ascii="Times New Roman" w:eastAsia="宋体" w:hAnsi="Times New Roman" w:cs="Times New Roman"/>
      <w:szCs w:val="24"/>
    </w:rPr>
  </w:style>
  <w:style w:type="paragraph" w:customStyle="1" w:styleId="11">
    <w:name w:val="正文_11"/>
    <w:qFormat/>
    <w:rsid w:val="007E6746"/>
    <w:pPr>
      <w:widowControl w:val="0"/>
      <w:jc w:val="both"/>
    </w:pPr>
    <w:rPr>
      <w:rFonts w:ascii="Times New Roman" w:eastAsia="宋体" w:hAnsi="Times New Roman" w:cs="Times New Roman"/>
      <w:szCs w:val="24"/>
    </w:rPr>
  </w:style>
  <w:style w:type="paragraph" w:customStyle="1" w:styleId="10">
    <w:name w:val="列出段落1"/>
    <w:basedOn w:val="a"/>
    <w:qFormat/>
    <w:rsid w:val="007E6746"/>
    <w:pPr>
      <w:ind w:firstLineChars="200" w:firstLine="420"/>
    </w:pPr>
    <w:rPr>
      <w:rFonts w:ascii="Calibri" w:hAnsi="Calibri" w:cs="黑体"/>
      <w:szCs w:val="22"/>
    </w:rPr>
  </w:style>
  <w:style w:type="paragraph" w:customStyle="1" w:styleId="AONormal">
    <w:name w:val="AONormal"/>
    <w:qFormat/>
    <w:rsid w:val="007E674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p0">
    <w:name w:val="p0"/>
    <w:basedOn w:val="a"/>
    <w:qFormat/>
    <w:rsid w:val="007E6746"/>
    <w:pPr>
      <w:widowControl/>
    </w:pPr>
    <w:rPr>
      <w:rFonts w:ascii="Calibri" w:hAnsi="Calibri" w:cs="Mongolian Baiti"/>
      <w:kern w:val="0"/>
      <w:szCs w:val="21"/>
    </w:rPr>
  </w:style>
  <w:style w:type="paragraph" w:customStyle="1" w:styleId="12">
    <w:name w:val="修订1"/>
    <w:hidden/>
    <w:uiPriority w:val="99"/>
    <w:unhideWhenUsed/>
    <w:qFormat/>
    <w:rsid w:val="007E6746"/>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6746"/>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7E6746"/>
    <w:pPr>
      <w:keepNext/>
      <w:keepLines/>
      <w:spacing w:before="340" w:after="330" w:line="578" w:lineRule="auto"/>
      <w:outlineLvl w:val="0"/>
    </w:pPr>
    <w:rPr>
      <w:rFonts w:ascii="Calibri" w:hAnsi="Calibri" w:cs="Mongolian Baiti"/>
      <w:b/>
      <w:bCs/>
      <w:kern w:val="44"/>
      <w:sz w:val="44"/>
      <w:szCs w:val="44"/>
    </w:rPr>
  </w:style>
  <w:style w:type="paragraph" w:styleId="2">
    <w:name w:val="heading 2"/>
    <w:basedOn w:val="a"/>
    <w:next w:val="a"/>
    <w:link w:val="2Char"/>
    <w:uiPriority w:val="9"/>
    <w:qFormat/>
    <w:rsid w:val="007E6746"/>
    <w:pPr>
      <w:keepNext/>
      <w:keepLines/>
      <w:spacing w:before="260" w:after="260" w:line="416" w:lineRule="auto"/>
      <w:outlineLvl w:val="1"/>
    </w:pPr>
    <w:rPr>
      <w:rFonts w:ascii="Cambria" w:hAnsi="Cambria" w:cs="Mongolian Baiti"/>
      <w:b/>
      <w:bCs/>
      <w:sz w:val="32"/>
      <w:szCs w:val="32"/>
    </w:rPr>
  </w:style>
  <w:style w:type="paragraph" w:styleId="3">
    <w:name w:val="heading 3"/>
    <w:basedOn w:val="a"/>
    <w:next w:val="a"/>
    <w:link w:val="3Char"/>
    <w:qFormat/>
    <w:rsid w:val="007E6746"/>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7E6746"/>
    <w:pPr>
      <w:keepNext/>
      <w:keepLines/>
      <w:spacing w:before="280" w:after="290" w:line="376" w:lineRule="auto"/>
      <w:outlineLvl w:val="3"/>
    </w:pPr>
    <w:rPr>
      <w:rFonts w:ascii="Cambria" w:hAnsi="Cambria" w:cs="Mongolian Bait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7E674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7E6746"/>
    <w:rPr>
      <w:sz w:val="18"/>
      <w:szCs w:val="18"/>
    </w:rPr>
  </w:style>
  <w:style w:type="paragraph" w:styleId="a4">
    <w:name w:val="footer"/>
    <w:basedOn w:val="a"/>
    <w:link w:val="Char0"/>
    <w:uiPriority w:val="99"/>
    <w:unhideWhenUsed/>
    <w:qFormat/>
    <w:rsid w:val="007E6746"/>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7E6746"/>
    <w:rPr>
      <w:sz w:val="18"/>
      <w:szCs w:val="18"/>
    </w:rPr>
  </w:style>
  <w:style w:type="character" w:customStyle="1" w:styleId="1Char">
    <w:name w:val="标题 1 Char"/>
    <w:basedOn w:val="a0"/>
    <w:link w:val="1"/>
    <w:uiPriority w:val="9"/>
    <w:qFormat/>
    <w:rsid w:val="007E6746"/>
    <w:rPr>
      <w:rFonts w:ascii="Calibri" w:eastAsia="宋体" w:hAnsi="Calibri" w:cs="Mongolian Baiti"/>
      <w:b/>
      <w:bCs/>
      <w:kern w:val="44"/>
      <w:sz w:val="44"/>
      <w:szCs w:val="44"/>
    </w:rPr>
  </w:style>
  <w:style w:type="character" w:customStyle="1" w:styleId="2Char">
    <w:name w:val="标题 2 Char"/>
    <w:basedOn w:val="a0"/>
    <w:link w:val="2"/>
    <w:uiPriority w:val="9"/>
    <w:qFormat/>
    <w:rsid w:val="007E6746"/>
    <w:rPr>
      <w:rFonts w:ascii="Cambria" w:eastAsia="宋体" w:hAnsi="Cambria" w:cs="Mongolian Baiti"/>
      <w:b/>
      <w:bCs/>
      <w:sz w:val="32"/>
      <w:szCs w:val="32"/>
    </w:rPr>
  </w:style>
  <w:style w:type="character" w:customStyle="1" w:styleId="3Char">
    <w:name w:val="标题 3 Char"/>
    <w:basedOn w:val="a0"/>
    <w:link w:val="3"/>
    <w:qFormat/>
    <w:rsid w:val="007E6746"/>
    <w:rPr>
      <w:rFonts w:ascii="Times New Roman" w:eastAsia="宋体" w:hAnsi="Times New Roman" w:cs="Times New Roman"/>
      <w:b/>
      <w:bCs/>
      <w:sz w:val="32"/>
      <w:szCs w:val="32"/>
    </w:rPr>
  </w:style>
  <w:style w:type="character" w:customStyle="1" w:styleId="4Char">
    <w:name w:val="标题 4 Char"/>
    <w:basedOn w:val="a0"/>
    <w:link w:val="4"/>
    <w:uiPriority w:val="9"/>
    <w:qFormat/>
    <w:rsid w:val="007E6746"/>
    <w:rPr>
      <w:rFonts w:ascii="Cambria" w:eastAsia="宋体" w:hAnsi="Cambria" w:cs="Mongolian Baiti"/>
      <w:b/>
      <w:bCs/>
      <w:sz w:val="28"/>
      <w:szCs w:val="28"/>
    </w:rPr>
  </w:style>
  <w:style w:type="paragraph" w:styleId="a5">
    <w:name w:val="annotation text"/>
    <w:basedOn w:val="a"/>
    <w:link w:val="Char1"/>
    <w:uiPriority w:val="99"/>
    <w:qFormat/>
    <w:rsid w:val="007E6746"/>
    <w:pPr>
      <w:jc w:val="left"/>
    </w:pPr>
  </w:style>
  <w:style w:type="character" w:customStyle="1" w:styleId="Char1">
    <w:name w:val="批注文字 Char"/>
    <w:basedOn w:val="a0"/>
    <w:link w:val="a5"/>
    <w:uiPriority w:val="99"/>
    <w:qFormat/>
    <w:rsid w:val="007E6746"/>
    <w:rPr>
      <w:rFonts w:ascii="Times New Roman" w:eastAsia="宋体" w:hAnsi="Times New Roman" w:cs="Times New Roman"/>
      <w:szCs w:val="20"/>
    </w:rPr>
  </w:style>
  <w:style w:type="paragraph" w:styleId="a6">
    <w:name w:val="Body Text"/>
    <w:basedOn w:val="a"/>
    <w:next w:val="a"/>
    <w:link w:val="Char2"/>
    <w:uiPriority w:val="99"/>
    <w:qFormat/>
    <w:rsid w:val="007E6746"/>
    <w:pPr>
      <w:spacing w:after="120"/>
    </w:pPr>
  </w:style>
  <w:style w:type="character" w:customStyle="1" w:styleId="Char2">
    <w:name w:val="正文文本 Char"/>
    <w:basedOn w:val="a0"/>
    <w:link w:val="a6"/>
    <w:uiPriority w:val="99"/>
    <w:qFormat/>
    <w:rsid w:val="007E6746"/>
    <w:rPr>
      <w:rFonts w:ascii="Times New Roman" w:eastAsia="宋体" w:hAnsi="Times New Roman" w:cs="Times New Roman"/>
      <w:szCs w:val="20"/>
    </w:rPr>
  </w:style>
  <w:style w:type="paragraph" w:styleId="a7">
    <w:name w:val="Body Text Indent"/>
    <w:basedOn w:val="a"/>
    <w:link w:val="Char3"/>
    <w:qFormat/>
    <w:rsid w:val="007E6746"/>
    <w:pPr>
      <w:tabs>
        <w:tab w:val="left" w:pos="480"/>
      </w:tabs>
      <w:spacing w:line="560" w:lineRule="exact"/>
      <w:ind w:firstLine="480"/>
      <w:jc w:val="left"/>
    </w:pPr>
    <w:rPr>
      <w:rFonts w:ascii="宋体" w:hAnsi="宋体"/>
      <w:sz w:val="24"/>
    </w:rPr>
  </w:style>
  <w:style w:type="character" w:customStyle="1" w:styleId="Char3">
    <w:name w:val="正文文本缩进 Char"/>
    <w:basedOn w:val="a0"/>
    <w:link w:val="a7"/>
    <w:qFormat/>
    <w:rsid w:val="007E6746"/>
    <w:rPr>
      <w:rFonts w:ascii="宋体" w:eastAsia="宋体" w:hAnsi="宋体" w:cs="Times New Roman"/>
      <w:sz w:val="24"/>
      <w:szCs w:val="20"/>
    </w:rPr>
  </w:style>
  <w:style w:type="paragraph" w:styleId="a8">
    <w:name w:val="Plain Text"/>
    <w:basedOn w:val="a"/>
    <w:link w:val="Char10"/>
    <w:qFormat/>
    <w:rsid w:val="007E6746"/>
    <w:rPr>
      <w:rFonts w:ascii="宋体" w:hAnsi="Courier New"/>
      <w:lang w:val="zh-CN"/>
    </w:rPr>
  </w:style>
  <w:style w:type="character" w:customStyle="1" w:styleId="Char4">
    <w:name w:val="纯文本 Char"/>
    <w:basedOn w:val="a0"/>
    <w:uiPriority w:val="99"/>
    <w:qFormat/>
    <w:rsid w:val="007E6746"/>
    <w:rPr>
      <w:rFonts w:ascii="宋体" w:eastAsia="宋体" w:hAnsi="Courier New" w:cs="Courier New"/>
      <w:szCs w:val="21"/>
    </w:rPr>
  </w:style>
  <w:style w:type="paragraph" w:styleId="a9">
    <w:name w:val="Date"/>
    <w:basedOn w:val="a"/>
    <w:next w:val="a"/>
    <w:link w:val="Char5"/>
    <w:qFormat/>
    <w:rsid w:val="007E6746"/>
    <w:pPr>
      <w:adjustRightInd w:val="0"/>
      <w:spacing w:line="360" w:lineRule="atLeast"/>
      <w:textAlignment w:val="baseline"/>
    </w:pPr>
    <w:rPr>
      <w:sz w:val="32"/>
    </w:rPr>
  </w:style>
  <w:style w:type="character" w:customStyle="1" w:styleId="Char5">
    <w:name w:val="日期 Char"/>
    <w:basedOn w:val="a0"/>
    <w:link w:val="a9"/>
    <w:qFormat/>
    <w:rsid w:val="007E6746"/>
    <w:rPr>
      <w:rFonts w:ascii="Times New Roman" w:eastAsia="宋体" w:hAnsi="Times New Roman" w:cs="Times New Roman"/>
      <w:sz w:val="32"/>
      <w:szCs w:val="20"/>
    </w:rPr>
  </w:style>
  <w:style w:type="paragraph" w:styleId="20">
    <w:name w:val="Body Text Indent 2"/>
    <w:basedOn w:val="a"/>
    <w:link w:val="2Char0"/>
    <w:uiPriority w:val="99"/>
    <w:qFormat/>
    <w:rsid w:val="007E6746"/>
    <w:pPr>
      <w:spacing w:after="120" w:line="480" w:lineRule="auto"/>
      <w:ind w:leftChars="200" w:left="420"/>
    </w:pPr>
  </w:style>
  <w:style w:type="character" w:customStyle="1" w:styleId="2Char0">
    <w:name w:val="正文文本缩进 2 Char"/>
    <w:basedOn w:val="a0"/>
    <w:link w:val="20"/>
    <w:uiPriority w:val="99"/>
    <w:qFormat/>
    <w:rsid w:val="007E6746"/>
    <w:rPr>
      <w:rFonts w:ascii="Times New Roman" w:eastAsia="宋体" w:hAnsi="Times New Roman" w:cs="Times New Roman"/>
      <w:szCs w:val="20"/>
    </w:rPr>
  </w:style>
  <w:style w:type="paragraph" w:styleId="aa">
    <w:name w:val="Balloon Text"/>
    <w:basedOn w:val="a"/>
    <w:link w:val="Char6"/>
    <w:uiPriority w:val="99"/>
    <w:qFormat/>
    <w:rsid w:val="007E6746"/>
    <w:rPr>
      <w:sz w:val="18"/>
      <w:szCs w:val="18"/>
    </w:rPr>
  </w:style>
  <w:style w:type="character" w:customStyle="1" w:styleId="Char6">
    <w:name w:val="批注框文本 Char"/>
    <w:basedOn w:val="a0"/>
    <w:link w:val="aa"/>
    <w:uiPriority w:val="99"/>
    <w:qFormat/>
    <w:rsid w:val="007E6746"/>
    <w:rPr>
      <w:rFonts w:ascii="Times New Roman" w:eastAsia="宋体" w:hAnsi="Times New Roman" w:cs="Times New Roman"/>
      <w:sz w:val="18"/>
      <w:szCs w:val="18"/>
    </w:rPr>
  </w:style>
  <w:style w:type="paragraph" w:styleId="ab">
    <w:name w:val="Subtitle"/>
    <w:basedOn w:val="a"/>
    <w:next w:val="a"/>
    <w:link w:val="Char7"/>
    <w:qFormat/>
    <w:rsid w:val="007E6746"/>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qFormat/>
    <w:rsid w:val="007E6746"/>
    <w:rPr>
      <w:rFonts w:ascii="Cambria" w:eastAsia="宋体" w:hAnsi="Cambria" w:cs="Times New Roman"/>
      <w:b/>
      <w:bCs/>
      <w:kern w:val="28"/>
      <w:sz w:val="32"/>
      <w:szCs w:val="32"/>
      <w:lang w:val="zh-CN"/>
    </w:rPr>
  </w:style>
  <w:style w:type="paragraph" w:styleId="30">
    <w:name w:val="Body Text Indent 3"/>
    <w:basedOn w:val="a"/>
    <w:link w:val="3Char0"/>
    <w:uiPriority w:val="99"/>
    <w:qFormat/>
    <w:rsid w:val="007E6746"/>
    <w:pPr>
      <w:spacing w:after="120"/>
      <w:ind w:leftChars="200" w:left="420"/>
    </w:pPr>
    <w:rPr>
      <w:sz w:val="16"/>
      <w:szCs w:val="16"/>
    </w:rPr>
  </w:style>
  <w:style w:type="character" w:customStyle="1" w:styleId="3Char0">
    <w:name w:val="正文文本缩进 3 Char"/>
    <w:basedOn w:val="a0"/>
    <w:link w:val="30"/>
    <w:uiPriority w:val="99"/>
    <w:qFormat/>
    <w:rsid w:val="007E6746"/>
    <w:rPr>
      <w:rFonts w:ascii="Times New Roman" w:eastAsia="宋体" w:hAnsi="Times New Roman" w:cs="Times New Roman"/>
      <w:sz w:val="16"/>
      <w:szCs w:val="16"/>
    </w:rPr>
  </w:style>
  <w:style w:type="paragraph" w:styleId="21">
    <w:name w:val="Body Text 2"/>
    <w:basedOn w:val="a"/>
    <w:link w:val="2Char1"/>
    <w:uiPriority w:val="99"/>
    <w:qFormat/>
    <w:rsid w:val="007E6746"/>
    <w:pPr>
      <w:spacing w:after="120" w:line="480" w:lineRule="auto"/>
    </w:pPr>
  </w:style>
  <w:style w:type="character" w:customStyle="1" w:styleId="2Char1">
    <w:name w:val="正文文本 2 Char"/>
    <w:basedOn w:val="a0"/>
    <w:link w:val="21"/>
    <w:uiPriority w:val="99"/>
    <w:qFormat/>
    <w:rsid w:val="007E6746"/>
    <w:rPr>
      <w:rFonts w:ascii="Times New Roman" w:eastAsia="宋体" w:hAnsi="Times New Roman" w:cs="Times New Roman"/>
      <w:szCs w:val="20"/>
    </w:rPr>
  </w:style>
  <w:style w:type="paragraph" w:styleId="ac">
    <w:name w:val="Normal (Web)"/>
    <w:basedOn w:val="a"/>
    <w:uiPriority w:val="99"/>
    <w:qFormat/>
    <w:rsid w:val="007E6746"/>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5"/>
    <w:next w:val="a5"/>
    <w:link w:val="Char8"/>
    <w:uiPriority w:val="99"/>
    <w:qFormat/>
    <w:rsid w:val="007E6746"/>
    <w:rPr>
      <w:b/>
      <w:bCs/>
    </w:rPr>
  </w:style>
  <w:style w:type="character" w:customStyle="1" w:styleId="Char8">
    <w:name w:val="批注主题 Char"/>
    <w:basedOn w:val="Char1"/>
    <w:link w:val="ad"/>
    <w:uiPriority w:val="99"/>
    <w:qFormat/>
    <w:rsid w:val="007E6746"/>
    <w:rPr>
      <w:rFonts w:ascii="Times New Roman" w:eastAsia="宋体" w:hAnsi="Times New Roman" w:cs="Times New Roman"/>
      <w:b/>
      <w:bCs/>
      <w:szCs w:val="20"/>
    </w:rPr>
  </w:style>
  <w:style w:type="table" w:styleId="ae">
    <w:name w:val="Table Grid"/>
    <w:basedOn w:val="a1"/>
    <w:uiPriority w:val="39"/>
    <w:qFormat/>
    <w:rsid w:val="007E6746"/>
    <w:rPr>
      <w:rFonts w:ascii="Calibri" w:eastAsia="宋体" w:hAnsi="Calibri" w:cs="Mongolian Bait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7E6746"/>
    <w:rPr>
      <w:b/>
      <w:bCs/>
    </w:rPr>
  </w:style>
  <w:style w:type="character" w:styleId="af0">
    <w:name w:val="Hyperlink"/>
    <w:basedOn w:val="a0"/>
    <w:uiPriority w:val="99"/>
    <w:qFormat/>
    <w:rsid w:val="007E6746"/>
    <w:rPr>
      <w:color w:val="0000FF"/>
      <w:u w:val="single"/>
    </w:rPr>
  </w:style>
  <w:style w:type="character" w:styleId="af1">
    <w:name w:val="annotation reference"/>
    <w:basedOn w:val="a0"/>
    <w:uiPriority w:val="99"/>
    <w:qFormat/>
    <w:rsid w:val="007E6746"/>
    <w:rPr>
      <w:sz w:val="21"/>
      <w:szCs w:val="21"/>
    </w:rPr>
  </w:style>
  <w:style w:type="paragraph" w:customStyle="1" w:styleId="Default">
    <w:name w:val="Default"/>
    <w:link w:val="DefaultChar"/>
    <w:qFormat/>
    <w:rsid w:val="007E6746"/>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rsid w:val="007E6746"/>
    <w:rPr>
      <w:rFonts w:ascii="......." w:eastAsia="......." w:hAnsi="Calibri" w:cs="......."/>
      <w:color w:val="000000"/>
      <w:kern w:val="0"/>
      <w:sz w:val="24"/>
      <w:szCs w:val="24"/>
    </w:rPr>
  </w:style>
  <w:style w:type="paragraph" w:styleId="af2">
    <w:name w:val="List Paragraph"/>
    <w:basedOn w:val="a"/>
    <w:link w:val="Char9"/>
    <w:uiPriority w:val="34"/>
    <w:qFormat/>
    <w:rsid w:val="007E6746"/>
    <w:pPr>
      <w:ind w:firstLineChars="200" w:firstLine="420"/>
    </w:pPr>
  </w:style>
  <w:style w:type="character" w:customStyle="1" w:styleId="Char9">
    <w:name w:val="列出段落 Char"/>
    <w:link w:val="af2"/>
    <w:uiPriority w:val="34"/>
    <w:qFormat/>
    <w:rsid w:val="007E6746"/>
    <w:rPr>
      <w:rFonts w:ascii="Times New Roman" w:eastAsia="宋体" w:hAnsi="Times New Roman" w:cs="Times New Roman"/>
      <w:szCs w:val="20"/>
    </w:rPr>
  </w:style>
  <w:style w:type="paragraph" w:customStyle="1" w:styleId="Chara">
    <w:name w:val="Char"/>
    <w:basedOn w:val="a"/>
    <w:qFormat/>
    <w:rsid w:val="007E6746"/>
    <w:pPr>
      <w:tabs>
        <w:tab w:val="left" w:pos="360"/>
      </w:tabs>
    </w:pPr>
    <w:rPr>
      <w:sz w:val="24"/>
      <w:szCs w:val="24"/>
    </w:rPr>
  </w:style>
  <w:style w:type="character" w:customStyle="1" w:styleId="Char10">
    <w:name w:val="纯文本 Char1"/>
    <w:link w:val="a8"/>
    <w:qFormat/>
    <w:rsid w:val="007E6746"/>
    <w:rPr>
      <w:rFonts w:ascii="宋体" w:eastAsia="宋体" w:hAnsi="Courier New" w:cs="Times New Roman"/>
      <w:szCs w:val="20"/>
      <w:lang w:val="zh-CN"/>
    </w:rPr>
  </w:style>
  <w:style w:type="paragraph" w:customStyle="1" w:styleId="13">
    <w:name w:val="正文_13"/>
    <w:qFormat/>
    <w:rsid w:val="007E6746"/>
    <w:pPr>
      <w:widowControl w:val="0"/>
      <w:jc w:val="both"/>
    </w:pPr>
    <w:rPr>
      <w:rFonts w:ascii="Times New Roman" w:eastAsia="宋体" w:hAnsi="Times New Roman" w:cs="Times New Roman"/>
      <w:szCs w:val="24"/>
    </w:rPr>
  </w:style>
  <w:style w:type="paragraph" w:customStyle="1" w:styleId="6">
    <w:name w:val="正文_6"/>
    <w:qFormat/>
    <w:rsid w:val="007E6746"/>
    <w:pPr>
      <w:widowControl w:val="0"/>
      <w:jc w:val="both"/>
    </w:pPr>
    <w:rPr>
      <w:rFonts w:ascii="Times New Roman" w:eastAsia="宋体" w:hAnsi="Times New Roman" w:cs="Times New Roman"/>
      <w:szCs w:val="24"/>
    </w:rPr>
  </w:style>
  <w:style w:type="paragraph" w:customStyle="1" w:styleId="7">
    <w:name w:val="正文_7"/>
    <w:qFormat/>
    <w:rsid w:val="007E6746"/>
    <w:pPr>
      <w:widowControl w:val="0"/>
      <w:jc w:val="both"/>
    </w:pPr>
    <w:rPr>
      <w:rFonts w:ascii="Times New Roman" w:eastAsia="宋体" w:hAnsi="Times New Roman" w:cs="Times New Roman"/>
      <w:szCs w:val="24"/>
    </w:rPr>
  </w:style>
  <w:style w:type="paragraph" w:customStyle="1" w:styleId="11">
    <w:name w:val="正文_11"/>
    <w:qFormat/>
    <w:rsid w:val="007E6746"/>
    <w:pPr>
      <w:widowControl w:val="0"/>
      <w:jc w:val="both"/>
    </w:pPr>
    <w:rPr>
      <w:rFonts w:ascii="Times New Roman" w:eastAsia="宋体" w:hAnsi="Times New Roman" w:cs="Times New Roman"/>
      <w:szCs w:val="24"/>
    </w:rPr>
  </w:style>
  <w:style w:type="paragraph" w:customStyle="1" w:styleId="10">
    <w:name w:val="列出段落1"/>
    <w:basedOn w:val="a"/>
    <w:qFormat/>
    <w:rsid w:val="007E6746"/>
    <w:pPr>
      <w:ind w:firstLineChars="200" w:firstLine="420"/>
    </w:pPr>
    <w:rPr>
      <w:rFonts w:ascii="Calibri" w:hAnsi="Calibri" w:cs="黑体"/>
      <w:szCs w:val="22"/>
    </w:rPr>
  </w:style>
  <w:style w:type="paragraph" w:customStyle="1" w:styleId="AONormal">
    <w:name w:val="AONormal"/>
    <w:qFormat/>
    <w:rsid w:val="007E674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p0">
    <w:name w:val="p0"/>
    <w:basedOn w:val="a"/>
    <w:qFormat/>
    <w:rsid w:val="007E6746"/>
    <w:pPr>
      <w:widowControl/>
    </w:pPr>
    <w:rPr>
      <w:rFonts w:ascii="Calibri" w:hAnsi="Calibri" w:cs="Mongolian Baiti"/>
      <w:kern w:val="0"/>
      <w:szCs w:val="21"/>
    </w:rPr>
  </w:style>
  <w:style w:type="paragraph" w:customStyle="1" w:styleId="12">
    <w:name w:val="修订1"/>
    <w:hidden/>
    <w:uiPriority w:val="99"/>
    <w:unhideWhenUsed/>
    <w:qFormat/>
    <w:rsid w:val="007E6746"/>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2393</Words>
  <Characters>13644</Characters>
  <Application>Microsoft Office Word</Application>
  <DocSecurity>0</DocSecurity>
  <Lines>113</Lines>
  <Paragraphs>32</Paragraphs>
  <ScaleCrop>false</ScaleCrop>
  <Company>神州网信技术有限公司</Company>
  <LinksUpToDate>false</LinksUpToDate>
  <CharactersWithSpaces>16005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2025-12-02T06:06:00Z</dcterms:created>
  <dcterms:modified xsi:type="dcterms:W3CDTF">2025-12-02T06:09:00Z</dcterms:modified>
</cp:coreProperties>
</file>