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6C04D5">
      <w:pPr>
        <w:rPr>
          <w:rFonts w:hint="eastAsia"/>
          <w:lang w:val="en-US" w:eastAsia="zh-CN"/>
        </w:rPr>
      </w:pPr>
      <w:r>
        <w:rPr>
          <w:rFonts w:hint="eastAsia"/>
          <w:lang w:val="en-US" w:eastAsia="zh-CN"/>
        </w:rPr>
        <w:t>附件A</w:t>
      </w:r>
      <w:bookmarkStart w:id="0" w:name="_GoBack"/>
      <w:bookmarkEnd w:id="0"/>
    </w:p>
    <w:p w14:paraId="3786D87D">
      <w:pPr>
        <w:spacing w:line="360" w:lineRule="auto"/>
        <w:ind w:firstLine="480" w:firstLineChars="200"/>
        <w:outlineLvl w:val="0"/>
        <w:rPr>
          <w:sz w:val="24"/>
        </w:rPr>
      </w:pPr>
      <w:r>
        <w:rPr>
          <w:sz w:val="24"/>
        </w:rPr>
        <w:t>三、评分因素及评标标准</w:t>
      </w:r>
    </w:p>
    <w:tbl>
      <w:tblPr>
        <w:tblStyle w:val="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2A07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69D142E">
            <w:pPr>
              <w:widowControl/>
              <w:adjustRightInd w:val="0"/>
              <w:snapToGrid w:val="0"/>
              <w:jc w:val="center"/>
              <w:rPr>
                <w:color w:val="auto"/>
                <w:kern w:val="0"/>
                <w:sz w:val="24"/>
                <w:szCs w:val="24"/>
              </w:rPr>
            </w:pPr>
            <w:r>
              <w:rPr>
                <w:color w:val="auto"/>
                <w:kern w:val="0"/>
                <w:sz w:val="24"/>
                <w:szCs w:val="24"/>
              </w:rPr>
              <w:t>第一部分 价格（</w:t>
            </w:r>
            <w:r>
              <w:rPr>
                <w:rFonts w:hint="eastAsia"/>
                <w:color w:val="auto"/>
                <w:kern w:val="0"/>
                <w:sz w:val="24"/>
                <w:szCs w:val="24"/>
                <w:lang w:val="en-US" w:eastAsia="zh-CN"/>
              </w:rPr>
              <w:t>10</w:t>
            </w:r>
            <w:r>
              <w:rPr>
                <w:color w:val="auto"/>
                <w:kern w:val="0"/>
                <w:sz w:val="24"/>
                <w:szCs w:val="24"/>
              </w:rPr>
              <w:t>分）</w:t>
            </w:r>
          </w:p>
        </w:tc>
        <w:tc>
          <w:tcPr>
            <w:tcW w:w="1143" w:type="dxa"/>
            <w:shd w:val="clear" w:color="auto" w:fill="auto"/>
            <w:vAlign w:val="center"/>
          </w:tcPr>
          <w:p w14:paraId="256BD80C">
            <w:pPr>
              <w:widowControl/>
              <w:adjustRightInd w:val="0"/>
              <w:snapToGrid w:val="0"/>
              <w:jc w:val="center"/>
              <w:rPr>
                <w:color w:val="000000"/>
                <w:kern w:val="0"/>
                <w:sz w:val="24"/>
                <w:szCs w:val="24"/>
              </w:rPr>
            </w:pPr>
            <w:r>
              <w:rPr>
                <w:color w:val="000000"/>
                <w:kern w:val="0"/>
                <w:sz w:val="24"/>
                <w:szCs w:val="24"/>
              </w:rPr>
              <w:t>分值</w:t>
            </w:r>
          </w:p>
        </w:tc>
      </w:tr>
      <w:tr w14:paraId="74091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0312D58">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396DA4AA">
            <w:pPr>
              <w:widowControl/>
              <w:adjustRightInd w:val="0"/>
              <w:snapToGrid w:val="0"/>
              <w:jc w:val="center"/>
              <w:rPr>
                <w:color w:val="auto"/>
                <w:kern w:val="0"/>
                <w:sz w:val="24"/>
                <w:szCs w:val="24"/>
              </w:rPr>
            </w:pPr>
            <w:r>
              <w:rPr>
                <w:color w:val="auto"/>
                <w:kern w:val="0"/>
                <w:sz w:val="24"/>
                <w:szCs w:val="24"/>
              </w:rPr>
              <w:t>价格</w:t>
            </w:r>
          </w:p>
        </w:tc>
        <w:tc>
          <w:tcPr>
            <w:tcW w:w="7311" w:type="dxa"/>
            <w:shd w:val="clear" w:color="auto" w:fill="auto"/>
            <w:vAlign w:val="center"/>
          </w:tcPr>
          <w:p w14:paraId="428ED7F1">
            <w:pPr>
              <w:widowControl/>
              <w:adjustRightInd w:val="0"/>
              <w:snapToGrid w:val="0"/>
              <w:rPr>
                <w:color w:val="auto"/>
                <w:kern w:val="0"/>
                <w:sz w:val="24"/>
                <w:szCs w:val="24"/>
              </w:rPr>
            </w:pPr>
            <w:r>
              <w:rPr>
                <w:color w:val="auto"/>
                <w:kern w:val="0"/>
                <w:sz w:val="24"/>
                <w:szCs w:val="24"/>
              </w:rPr>
              <w:t>（1）投标报价超过采购预算的，投标无效，未超过采购预算的投标报价按以下公式进行计算。</w:t>
            </w:r>
          </w:p>
          <w:p w14:paraId="2B00A4E3">
            <w:pPr>
              <w:widowControl/>
              <w:adjustRightInd w:val="0"/>
              <w:snapToGrid w:val="0"/>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03A44955">
            <w:pPr>
              <w:widowControl/>
              <w:adjustRightInd w:val="0"/>
              <w:snapToGrid w:val="0"/>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4C5CD18C">
            <w:pPr>
              <w:widowControl/>
              <w:adjustRightInd w:val="0"/>
              <w:snapToGrid w:val="0"/>
              <w:jc w:val="center"/>
              <w:rPr>
                <w:rFonts w:hint="default" w:eastAsia="宋体"/>
                <w:color w:val="000000"/>
                <w:kern w:val="0"/>
                <w:sz w:val="24"/>
                <w:szCs w:val="24"/>
                <w:lang w:val="en-US" w:eastAsia="zh-CN"/>
              </w:rPr>
            </w:pPr>
            <w:r>
              <w:rPr>
                <w:rFonts w:hint="eastAsia"/>
                <w:color w:val="auto"/>
                <w:kern w:val="0"/>
                <w:sz w:val="24"/>
                <w:szCs w:val="24"/>
                <w:lang w:val="en-US" w:eastAsia="zh-CN"/>
              </w:rPr>
              <w:t>10</w:t>
            </w:r>
          </w:p>
        </w:tc>
      </w:tr>
      <w:tr w14:paraId="3242C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4EBA1E96">
            <w:pPr>
              <w:widowControl/>
              <w:adjustRightInd w:val="0"/>
              <w:snapToGrid w:val="0"/>
              <w:jc w:val="center"/>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32</w:t>
            </w:r>
            <w:r>
              <w:rPr>
                <w:color w:val="auto"/>
                <w:kern w:val="0"/>
                <w:sz w:val="24"/>
                <w:szCs w:val="24"/>
              </w:rPr>
              <w:t>分）</w:t>
            </w:r>
          </w:p>
        </w:tc>
        <w:tc>
          <w:tcPr>
            <w:tcW w:w="1143" w:type="dxa"/>
            <w:shd w:val="clear" w:color="auto" w:fill="auto"/>
            <w:vAlign w:val="center"/>
          </w:tcPr>
          <w:p w14:paraId="12A06C4C">
            <w:pPr>
              <w:widowControl/>
              <w:adjustRightInd w:val="0"/>
              <w:snapToGrid w:val="0"/>
              <w:jc w:val="center"/>
              <w:rPr>
                <w:color w:val="000000"/>
                <w:kern w:val="0"/>
                <w:sz w:val="24"/>
                <w:szCs w:val="24"/>
              </w:rPr>
            </w:pPr>
            <w:r>
              <w:rPr>
                <w:color w:val="000000"/>
                <w:kern w:val="0"/>
                <w:sz w:val="24"/>
                <w:szCs w:val="24"/>
              </w:rPr>
              <w:t>分值</w:t>
            </w:r>
          </w:p>
        </w:tc>
      </w:tr>
      <w:tr w14:paraId="07F97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D69E4BE">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w:t>
            </w:r>
          </w:p>
        </w:tc>
        <w:tc>
          <w:tcPr>
            <w:tcW w:w="1419" w:type="dxa"/>
            <w:shd w:val="clear" w:color="auto" w:fill="auto"/>
            <w:vAlign w:val="center"/>
          </w:tcPr>
          <w:p w14:paraId="618522AE">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投标人业绩</w:t>
            </w:r>
          </w:p>
        </w:tc>
        <w:tc>
          <w:tcPr>
            <w:tcW w:w="7311" w:type="dxa"/>
            <w:shd w:val="clear" w:color="auto" w:fill="auto"/>
            <w:vAlign w:val="center"/>
          </w:tcPr>
          <w:p w14:paraId="06818650">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完全按照以下要求提供</w:t>
            </w:r>
            <w:r>
              <w:rPr>
                <w:rFonts w:hint="eastAsia"/>
                <w:color w:val="000000" w:themeColor="text1"/>
                <w:kern w:val="0"/>
                <w:sz w:val="24"/>
                <w:szCs w:val="24"/>
                <w14:textFill>
                  <w14:solidFill>
                    <w14:schemeClr w14:val="tx1"/>
                  </w14:solidFill>
                </w14:textFill>
              </w:rPr>
              <w:t>投标人</w:t>
            </w:r>
            <w:r>
              <w:rPr>
                <w:color w:val="000000" w:themeColor="text1"/>
                <w:kern w:val="0"/>
                <w:sz w:val="24"/>
                <w:szCs w:val="24"/>
                <w14:textFill>
                  <w14:solidFill>
                    <w14:schemeClr w14:val="tx1"/>
                  </w14:solidFill>
                </w14:textFill>
              </w:rPr>
              <w:t>曾实施</w:t>
            </w:r>
            <w:r>
              <w:rPr>
                <w:rFonts w:hint="eastAsia"/>
                <w:color w:val="000000" w:themeColor="text1"/>
                <w:kern w:val="0"/>
                <w:sz w:val="24"/>
                <w:szCs w:val="24"/>
                <w14:textFill>
                  <w14:solidFill>
                    <w14:schemeClr w14:val="tx1"/>
                  </w14:solidFill>
                </w14:textFill>
              </w:rPr>
              <w:t>网络安全等级保护测评</w:t>
            </w:r>
            <w:r>
              <w:rPr>
                <w:color w:val="000000" w:themeColor="text1"/>
                <w:kern w:val="0"/>
                <w:sz w:val="24"/>
                <w:szCs w:val="24"/>
                <w14:textFill>
                  <w14:solidFill>
                    <w14:schemeClr w14:val="tx1"/>
                  </w14:solidFill>
                </w14:textFill>
              </w:rPr>
              <w:t>服务</w:t>
            </w:r>
            <w:r>
              <w:rPr>
                <w:rFonts w:hint="eastAsia"/>
                <w:color w:val="000000" w:themeColor="text1"/>
                <w:kern w:val="0"/>
                <w:sz w:val="24"/>
                <w:szCs w:val="24"/>
                <w14:textFill>
                  <w14:solidFill>
                    <w14:schemeClr w14:val="tx1"/>
                  </w14:solidFill>
                </w14:textFill>
              </w:rPr>
              <w:t>业绩</w:t>
            </w:r>
            <w:r>
              <w:rPr>
                <w:color w:val="000000" w:themeColor="text1"/>
                <w:kern w:val="0"/>
                <w:sz w:val="24"/>
                <w:szCs w:val="24"/>
                <w14:textFill>
                  <w14:solidFill>
                    <w14:schemeClr w14:val="tx1"/>
                  </w14:solidFill>
                </w14:textFill>
              </w:rPr>
              <w:t>，提供的证明材料均不得遮挡涂黑，否则不予认定加分。</w:t>
            </w:r>
          </w:p>
          <w:p w14:paraId="2025184D">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A</w:t>
            </w:r>
            <w:r>
              <w:rPr>
                <w:color w:val="000000" w:themeColor="text1"/>
                <w:kern w:val="0"/>
                <w:sz w:val="24"/>
                <w:szCs w:val="24"/>
                <w14:textFill>
                  <w14:solidFill>
                    <w14:schemeClr w14:val="tx1"/>
                  </w14:solidFill>
                </w14:textFill>
              </w:rPr>
              <w:t>. 合同</w:t>
            </w:r>
            <w:r>
              <w:rPr>
                <w:rFonts w:hint="eastAsia"/>
                <w:color w:val="000000" w:themeColor="text1"/>
                <w:kern w:val="0"/>
                <w:sz w:val="24"/>
                <w:szCs w:val="24"/>
                <w14:textFill>
                  <w14:solidFill>
                    <w14:schemeClr w14:val="tx1"/>
                  </w14:solidFill>
                </w14:textFill>
              </w:rPr>
              <w:t>原件</w:t>
            </w:r>
            <w:r>
              <w:rPr>
                <w:color w:val="000000" w:themeColor="text1"/>
                <w:kern w:val="0"/>
                <w:sz w:val="24"/>
                <w:szCs w:val="24"/>
                <w14:textFill>
                  <w14:solidFill>
                    <w14:schemeClr w14:val="tx1"/>
                  </w14:solidFill>
                </w14:textFill>
              </w:rPr>
              <w:t>扫描件。包括买卖双方名称及盖章、服务内容</w:t>
            </w:r>
            <w:r>
              <w:rPr>
                <w:rFonts w:hint="eastAsia"/>
                <w:color w:val="000000" w:themeColor="text1"/>
                <w:kern w:val="0"/>
                <w:sz w:val="24"/>
                <w:szCs w:val="24"/>
                <w14:textFill>
                  <w14:solidFill>
                    <w14:schemeClr w14:val="tx1"/>
                  </w14:solidFill>
                </w14:textFill>
              </w:rPr>
              <w:t>、合同签订日期（应为2021年1月1日或以后）</w:t>
            </w:r>
            <w:r>
              <w:rPr>
                <w:color w:val="000000" w:themeColor="text1"/>
                <w:kern w:val="0"/>
                <w:sz w:val="24"/>
                <w:szCs w:val="24"/>
                <w14:textFill>
                  <w14:solidFill>
                    <w14:schemeClr w14:val="tx1"/>
                  </w14:solidFill>
                </w14:textFill>
              </w:rPr>
              <w:t>。</w:t>
            </w:r>
          </w:p>
          <w:p w14:paraId="3F909807">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B.</w:t>
            </w:r>
            <w:r>
              <w:rPr>
                <w:rFonts w:hint="eastAsia"/>
                <w:color w:val="000000" w:themeColor="text1"/>
                <w:kern w:val="0"/>
                <w:sz w:val="24"/>
                <w:szCs w:val="24"/>
                <w14:textFill>
                  <w14:solidFill>
                    <w14:schemeClr w14:val="tx1"/>
                  </w14:solidFill>
                </w14:textFill>
              </w:rPr>
              <w:t xml:space="preserve"> 上述</w:t>
            </w:r>
            <w:r>
              <w:rPr>
                <w:color w:val="000000" w:themeColor="text1"/>
                <w:kern w:val="0"/>
                <w:sz w:val="24"/>
                <w:szCs w:val="24"/>
                <w14:textFill>
                  <w14:solidFill>
                    <w14:schemeClr w14:val="tx1"/>
                  </w14:solidFill>
                </w14:textFill>
              </w:rPr>
              <w:t>合同履行</w:t>
            </w:r>
            <w:r>
              <w:rPr>
                <w:rFonts w:hint="eastAsia"/>
                <w:color w:val="000000" w:themeColor="text1"/>
                <w:kern w:val="0"/>
                <w:sz w:val="24"/>
                <w:szCs w:val="24"/>
                <w14:textFill>
                  <w14:solidFill>
                    <w14:schemeClr w14:val="tx1"/>
                  </w14:solidFill>
                </w14:textFill>
              </w:rPr>
              <w:t>良好</w:t>
            </w:r>
            <w:r>
              <w:rPr>
                <w:color w:val="000000" w:themeColor="text1"/>
                <w:kern w:val="0"/>
                <w:sz w:val="24"/>
                <w:szCs w:val="24"/>
                <w14:textFill>
                  <w14:solidFill>
                    <w14:schemeClr w14:val="tx1"/>
                  </w14:solidFill>
                </w14:textFill>
              </w:rPr>
              <w:t>的相关证明材料</w:t>
            </w:r>
            <w:r>
              <w:rPr>
                <w:rFonts w:hint="eastAsia"/>
                <w:color w:val="000000" w:themeColor="text1"/>
                <w:kern w:val="0"/>
                <w:sz w:val="24"/>
                <w:szCs w:val="24"/>
                <w14:textFill>
                  <w14:solidFill>
                    <w14:schemeClr w14:val="tx1"/>
                  </w14:solidFill>
                </w14:textFill>
              </w:rPr>
              <w:t>原件</w:t>
            </w:r>
            <w:r>
              <w:rPr>
                <w:color w:val="000000" w:themeColor="text1"/>
                <w:kern w:val="0"/>
                <w:sz w:val="24"/>
                <w:szCs w:val="24"/>
                <w14:textFill>
                  <w14:solidFill>
                    <w14:schemeClr w14:val="tx1"/>
                  </w14:solidFill>
                </w14:textFill>
              </w:rPr>
              <w:t>扫描件</w:t>
            </w:r>
            <w:r>
              <w:rPr>
                <w:rFonts w:hint="eastAsia"/>
                <w:color w:val="000000" w:themeColor="text1"/>
                <w:kern w:val="0"/>
                <w:sz w:val="24"/>
                <w:szCs w:val="24"/>
                <w14:textFill>
                  <w14:solidFill>
                    <w14:schemeClr w14:val="tx1"/>
                  </w14:solidFill>
                </w14:textFill>
              </w:rPr>
              <w:t>（加盖上述合同甲方单位公章或上述合同中所盖的甲方印章）</w:t>
            </w:r>
            <w:r>
              <w:rPr>
                <w:color w:val="000000" w:themeColor="text1"/>
                <w:kern w:val="0"/>
                <w:sz w:val="24"/>
                <w:szCs w:val="24"/>
                <w14:textFill>
                  <w14:solidFill>
                    <w14:schemeClr w14:val="tx1"/>
                  </w14:solidFill>
                </w14:textFill>
              </w:rPr>
              <w:t>。</w:t>
            </w:r>
          </w:p>
          <w:p w14:paraId="4D566F39">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每个</w:t>
            </w:r>
            <w:r>
              <w:rPr>
                <w:rFonts w:hint="eastAsia"/>
                <w:color w:val="000000" w:themeColor="text1"/>
                <w:kern w:val="0"/>
                <w:sz w:val="24"/>
                <w:szCs w:val="24"/>
                <w14:textFill>
                  <w14:solidFill>
                    <w14:schemeClr w14:val="tx1"/>
                  </w14:solidFill>
                </w14:textFill>
              </w:rPr>
              <w:t>业绩2</w:t>
            </w:r>
            <w:r>
              <w:rPr>
                <w:color w:val="000000" w:themeColor="text1"/>
                <w:kern w:val="0"/>
                <w:sz w:val="24"/>
                <w:szCs w:val="24"/>
                <w14:textFill>
                  <w14:solidFill>
                    <w14:schemeClr w14:val="tx1"/>
                  </w14:solidFill>
                </w14:textFill>
              </w:rPr>
              <w:t>分，最多</w:t>
            </w:r>
            <w:r>
              <w:rPr>
                <w:rFonts w:hint="eastAsia"/>
                <w:color w:val="000000" w:themeColor="text1"/>
                <w:kern w:val="0"/>
                <w:sz w:val="24"/>
                <w:szCs w:val="24"/>
                <w14:textFill>
                  <w14:solidFill>
                    <w14:schemeClr w14:val="tx1"/>
                  </w14:solidFill>
                </w14:textFill>
              </w:rPr>
              <w:t>10</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179991F6">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10</w:t>
            </w:r>
          </w:p>
        </w:tc>
      </w:tr>
      <w:tr w14:paraId="17CEE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B811590">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2</w:t>
            </w:r>
          </w:p>
        </w:tc>
        <w:tc>
          <w:tcPr>
            <w:tcW w:w="1419" w:type="dxa"/>
            <w:shd w:val="clear" w:color="auto" w:fill="auto"/>
            <w:vAlign w:val="center"/>
          </w:tcPr>
          <w:p w14:paraId="140F21D6">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投标人相关证书</w:t>
            </w:r>
          </w:p>
        </w:tc>
        <w:tc>
          <w:tcPr>
            <w:tcW w:w="7311" w:type="dxa"/>
            <w:shd w:val="clear" w:color="auto" w:fill="auto"/>
            <w:vAlign w:val="center"/>
          </w:tcPr>
          <w:p w14:paraId="383FCA89">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投标人具备</w:t>
            </w:r>
            <w:r>
              <w:rPr>
                <w:rFonts w:hint="eastAsia"/>
                <w:color w:val="000000" w:themeColor="text1"/>
                <w:kern w:val="0"/>
                <w:sz w:val="24"/>
                <w:szCs w:val="24"/>
                <w:lang w:eastAsia="zh-CN"/>
                <w14:textFill>
                  <w14:solidFill>
                    <w14:schemeClr w14:val="tx1"/>
                  </w14:solidFill>
                </w14:textFill>
              </w:rPr>
              <w:t>公安部第三研究所认证发放的在有效期内的《网络安全等级测评与检测评估机构服务认证证书》</w:t>
            </w:r>
            <w:r>
              <w:rPr>
                <w:rFonts w:hint="eastAsia"/>
                <w:color w:val="000000" w:themeColor="text1"/>
                <w:kern w:val="0"/>
                <w:sz w:val="24"/>
                <w:szCs w:val="24"/>
                <w:lang w:val="en-US" w:eastAsia="zh-CN"/>
                <w14:textFill>
                  <w14:solidFill>
                    <w14:schemeClr w14:val="tx1"/>
                  </w14:solidFill>
                </w14:textFill>
              </w:rPr>
              <w:t>或</w:t>
            </w:r>
            <w:r>
              <w:rPr>
                <w:rFonts w:hint="eastAsia"/>
                <w:color w:val="000000" w:themeColor="text1"/>
                <w:kern w:val="0"/>
                <w:sz w:val="24"/>
                <w:szCs w:val="24"/>
                <w:lang w:eastAsia="zh-CN"/>
                <w14:textFill>
                  <w14:solidFill>
                    <w14:schemeClr w14:val="tx1"/>
                  </w14:solidFill>
                </w14:textFill>
              </w:rPr>
              <w:t>《网络安全服务认证证书等级保护测评服务认证》；如外地企业投标的，除以上证书外还须承诺在收到成交通知书之日起15日内完成天津市公安机关的备案</w:t>
            </w:r>
            <w:r>
              <w:rPr>
                <w:rFonts w:hint="eastAsia"/>
                <w:color w:val="000000" w:themeColor="text1"/>
                <w:kern w:val="0"/>
                <w:sz w:val="24"/>
                <w:szCs w:val="24"/>
                <w14:textFill>
                  <w14:solidFill>
                    <w14:schemeClr w14:val="tx1"/>
                  </w14:solidFill>
                </w14:textFill>
              </w:rPr>
              <w:t>。</w:t>
            </w:r>
          </w:p>
          <w:p w14:paraId="736D1C66">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有任意</w:t>
            </w:r>
            <w:r>
              <w:rPr>
                <w:color w:val="000000" w:themeColor="text1"/>
                <w:kern w:val="0"/>
                <w:sz w:val="24"/>
                <w:szCs w:val="24"/>
                <w14:textFill>
                  <w14:solidFill>
                    <w14:schemeClr w14:val="tx1"/>
                  </w14:solidFill>
                </w14:textFill>
              </w:rPr>
              <w:t>1个证书扫描件</w:t>
            </w:r>
            <w:r>
              <w:rPr>
                <w:rFonts w:hint="eastAsia"/>
                <w:color w:val="000000" w:themeColor="text1"/>
                <w:kern w:val="0"/>
                <w:sz w:val="24"/>
                <w:szCs w:val="24"/>
                <w:lang w:val="en-US" w:eastAsia="zh-CN"/>
                <w14:textFill>
                  <w14:solidFill>
                    <w14:schemeClr w14:val="tx1"/>
                  </w14:solidFill>
                </w14:textFill>
              </w:rPr>
              <w:t>2</w:t>
            </w:r>
            <w:r>
              <w:rPr>
                <w:color w:val="000000" w:themeColor="text1"/>
                <w:kern w:val="0"/>
                <w:sz w:val="24"/>
                <w:szCs w:val="24"/>
                <w14:textFill>
                  <w14:solidFill>
                    <w14:schemeClr w14:val="tx1"/>
                  </w14:solidFill>
                </w14:textFill>
              </w:rPr>
              <w:t>分，最高</w:t>
            </w:r>
            <w:r>
              <w:rPr>
                <w:rFonts w:hint="eastAsia"/>
                <w:color w:val="000000" w:themeColor="text1"/>
                <w:kern w:val="0"/>
                <w:sz w:val="24"/>
                <w:szCs w:val="24"/>
                <w:lang w:val="en-US" w:eastAsia="zh-CN"/>
                <w14:textFill>
                  <w14:solidFill>
                    <w14:schemeClr w14:val="tx1"/>
                  </w14:solidFill>
                </w14:textFill>
              </w:rPr>
              <w:t>2</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6794859C">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2</w:t>
            </w:r>
          </w:p>
        </w:tc>
      </w:tr>
      <w:tr w14:paraId="149AA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EDE9D48">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c>
          <w:tcPr>
            <w:tcW w:w="1419" w:type="dxa"/>
            <w:shd w:val="clear" w:color="auto" w:fill="auto"/>
            <w:vAlign w:val="center"/>
          </w:tcPr>
          <w:p w14:paraId="7BB61A9C">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投入</w:t>
            </w:r>
            <w:r>
              <w:rPr>
                <w:color w:val="000000" w:themeColor="text1"/>
                <w:sz w:val="24"/>
                <w14:textFill>
                  <w14:solidFill>
                    <w14:schemeClr w14:val="tx1"/>
                  </w14:solidFill>
                </w14:textFill>
              </w:rPr>
              <w:t>人员评价</w:t>
            </w:r>
          </w:p>
        </w:tc>
        <w:tc>
          <w:tcPr>
            <w:tcW w:w="7311" w:type="dxa"/>
            <w:shd w:val="clear" w:color="auto" w:fill="auto"/>
            <w:vAlign w:val="center"/>
          </w:tcPr>
          <w:p w14:paraId="03BA0C03">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投入的人员为投标单位正式员工，提供姓名、递交响应文件截止日前三个月的由投标单位为投入人员缴纳社会保险证明扫描件，否则不予认定加分。</w:t>
            </w:r>
          </w:p>
          <w:p w14:paraId="4957740D">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（1）项目经理。具备网络安全等级测评高级测评师证书、网信专业高级职称，提供1份证书扫描件得2分，最多4分；</w:t>
            </w:r>
          </w:p>
          <w:p w14:paraId="468B8C02">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（2）测评人员。具备网络安全等级测评中级测评师或以上证书</w:t>
            </w:r>
            <w:r>
              <w:rPr>
                <w:rFonts w:hint="eastAsia"/>
                <w:color w:val="000000" w:themeColor="text1"/>
                <w:kern w:val="0"/>
                <w:sz w:val="24"/>
                <w:szCs w:val="24"/>
                <w:lang w:eastAsia="zh-CN"/>
                <w14:textFill>
                  <w14:solidFill>
                    <w14:schemeClr w14:val="tx1"/>
                  </w14:solidFill>
                </w14:textFill>
              </w:rPr>
              <w:t>，</w:t>
            </w:r>
            <w:r>
              <w:rPr>
                <w:rFonts w:hint="eastAsia"/>
                <w:color w:val="000000" w:themeColor="text1"/>
                <w:kern w:val="0"/>
                <w:sz w:val="24"/>
                <w:szCs w:val="24"/>
                <w14:textFill>
                  <w14:solidFill>
                    <w14:schemeClr w14:val="tx1"/>
                  </w14:solidFill>
                </w14:textFill>
              </w:rPr>
              <w:t>提供1份证书扫描件得</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分，最多</w:t>
            </w:r>
            <w:r>
              <w:rPr>
                <w:rFonts w:hint="eastAsia"/>
                <w:color w:val="000000" w:themeColor="text1"/>
                <w:kern w:val="0"/>
                <w:sz w:val="24"/>
                <w:szCs w:val="24"/>
                <w:lang w:val="en-US" w:eastAsia="zh-CN"/>
                <w14:textFill>
                  <w14:solidFill>
                    <w14:schemeClr w14:val="tx1"/>
                  </w14:solidFill>
                </w14:textFill>
              </w:rPr>
              <w:t>6</w:t>
            </w:r>
            <w:r>
              <w:rPr>
                <w:rFonts w:hint="eastAsia"/>
                <w:color w:val="000000" w:themeColor="text1"/>
                <w:kern w:val="0"/>
                <w:sz w:val="24"/>
                <w:szCs w:val="24"/>
                <w14:textFill>
                  <w14:solidFill>
                    <w14:schemeClr w14:val="tx1"/>
                  </w14:solidFill>
                </w14:textFill>
              </w:rPr>
              <w:t>分；</w:t>
            </w:r>
          </w:p>
          <w:p w14:paraId="1D3FB507">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（3）定级备案咨询人员。具备等级测评初级测评师或以上证书、信息技术专业高级职称，提供</w:t>
            </w:r>
            <w:r>
              <w:rPr>
                <w:color w:val="000000" w:themeColor="text1"/>
                <w:kern w:val="0"/>
                <w:sz w:val="24"/>
                <w:szCs w:val="24"/>
                <w14:textFill>
                  <w14:solidFill>
                    <w14:schemeClr w14:val="tx1"/>
                  </w14:solidFill>
                </w14:textFill>
              </w:rPr>
              <w:t>证书扫描件</w:t>
            </w:r>
            <w:r>
              <w:rPr>
                <w:rFonts w:hint="eastAsia"/>
                <w:color w:val="000000" w:themeColor="text1"/>
                <w:kern w:val="0"/>
                <w:sz w:val="24"/>
                <w:szCs w:val="24"/>
                <w14:textFill>
                  <w14:solidFill>
                    <w14:schemeClr w14:val="tx1"/>
                  </w14:solidFill>
                </w14:textFill>
              </w:rPr>
              <w:t>得1人得</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分，最多</w:t>
            </w:r>
            <w:r>
              <w:rPr>
                <w:rFonts w:hint="eastAsia"/>
                <w:color w:val="000000" w:themeColor="text1"/>
                <w:kern w:val="0"/>
                <w:sz w:val="24"/>
                <w:szCs w:val="24"/>
                <w:lang w:val="en-US" w:eastAsia="zh-CN"/>
                <w14:textFill>
                  <w14:solidFill>
                    <w14:schemeClr w14:val="tx1"/>
                  </w14:solidFill>
                </w14:textFill>
              </w:rPr>
              <w:t>4</w:t>
            </w:r>
            <w:r>
              <w:rPr>
                <w:rFonts w:hint="eastAsia"/>
                <w:color w:val="000000" w:themeColor="text1"/>
                <w:kern w:val="0"/>
                <w:sz w:val="24"/>
                <w:szCs w:val="24"/>
                <w14:textFill>
                  <w14:solidFill>
                    <w14:schemeClr w14:val="tx1"/>
                  </w14:solidFill>
                </w14:textFill>
              </w:rPr>
              <w:t>分；</w:t>
            </w:r>
          </w:p>
        </w:tc>
        <w:tc>
          <w:tcPr>
            <w:tcW w:w="1143" w:type="dxa"/>
            <w:shd w:val="clear" w:color="auto" w:fill="auto"/>
            <w:vAlign w:val="center"/>
          </w:tcPr>
          <w:p w14:paraId="58A8EBE0">
            <w:pPr>
              <w:widowControl/>
              <w:adjustRightInd w:val="0"/>
              <w:snapToGrid w:val="0"/>
              <w:jc w:val="center"/>
              <w:rPr>
                <w:rFonts w:hint="default" w:eastAsia="宋体"/>
                <w:color w:val="000000" w:themeColor="text1"/>
                <w:kern w:val="0"/>
                <w:sz w:val="24"/>
                <w:szCs w:val="24"/>
                <w:lang w:val="en-US"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14</w:t>
            </w:r>
          </w:p>
        </w:tc>
      </w:tr>
      <w:tr w14:paraId="60706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152FDE4C">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4</w:t>
            </w:r>
          </w:p>
        </w:tc>
        <w:tc>
          <w:tcPr>
            <w:tcW w:w="1419" w:type="dxa"/>
            <w:shd w:val="clear" w:color="auto" w:fill="auto"/>
            <w:vAlign w:val="center"/>
          </w:tcPr>
          <w:p w14:paraId="4855F265">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4ACE515F">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承诺完全满足招标文件“报价要求”、“时间地点要求”、“付款方式要求”和技术要求中非“★”号要求的：</w:t>
            </w:r>
            <w:r>
              <w:rPr>
                <w:rFonts w:hint="eastAsia"/>
                <w:color w:val="000000" w:themeColor="text1"/>
                <w:kern w:val="0"/>
                <w:sz w:val="24"/>
                <w:szCs w:val="24"/>
                <w:lang w:val="en-US" w:eastAsia="zh-CN"/>
                <w14:textFill>
                  <w14:solidFill>
                    <w14:schemeClr w14:val="tx1"/>
                  </w14:solidFill>
                </w14:textFill>
              </w:rPr>
              <w:t>6</w:t>
            </w:r>
            <w:r>
              <w:rPr>
                <w:rFonts w:hint="eastAsia"/>
                <w:color w:val="000000" w:themeColor="text1"/>
                <w:kern w:val="0"/>
                <w:sz w:val="24"/>
                <w:szCs w:val="24"/>
                <w14:textFill>
                  <w14:solidFill>
                    <w14:schemeClr w14:val="tx1"/>
                  </w14:solidFill>
                </w14:textFill>
              </w:rPr>
              <w:t>分，其他0分。</w:t>
            </w:r>
          </w:p>
        </w:tc>
        <w:tc>
          <w:tcPr>
            <w:tcW w:w="1143" w:type="dxa"/>
            <w:shd w:val="clear" w:color="auto" w:fill="auto"/>
            <w:vAlign w:val="center"/>
          </w:tcPr>
          <w:p w14:paraId="047F4EC2">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6</w:t>
            </w:r>
          </w:p>
        </w:tc>
      </w:tr>
      <w:tr w14:paraId="446B7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3AA541C8">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第三部分 主观分（</w:t>
            </w:r>
            <w:r>
              <w:rPr>
                <w:rFonts w:hint="eastAsia"/>
                <w:color w:val="000000" w:themeColor="text1"/>
                <w:kern w:val="0"/>
                <w:sz w:val="24"/>
                <w:szCs w:val="24"/>
                <w:lang w:val="en-US" w:eastAsia="zh-CN"/>
                <w14:textFill>
                  <w14:solidFill>
                    <w14:schemeClr w14:val="tx1"/>
                  </w14:solidFill>
                </w14:textFill>
              </w:rPr>
              <w:t>58</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27189729">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32226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8F375D5">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w:t>
            </w:r>
          </w:p>
        </w:tc>
        <w:tc>
          <w:tcPr>
            <w:tcW w:w="1419" w:type="dxa"/>
            <w:shd w:val="clear" w:color="auto" w:fill="auto"/>
            <w:vAlign w:val="center"/>
          </w:tcPr>
          <w:p w14:paraId="320D50E0">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人员、岗位配置方案评价</w:t>
            </w:r>
          </w:p>
        </w:tc>
        <w:tc>
          <w:tcPr>
            <w:tcW w:w="7311" w:type="dxa"/>
            <w:shd w:val="clear" w:color="auto" w:fill="auto"/>
            <w:vAlign w:val="center"/>
          </w:tcPr>
          <w:p w14:paraId="2DB4DBC2">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至少包含各岗位投入人员数量、各岗位内部人员安排配置方案</w:t>
            </w:r>
          </w:p>
          <w:p w14:paraId="59491522">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lang w:val="en-US" w:eastAsia="zh-CN"/>
                <w14:textFill>
                  <w14:solidFill>
                    <w14:schemeClr w14:val="tx1"/>
                  </w14:solidFill>
                </w14:textFill>
              </w:rPr>
              <w:t>6</w:t>
            </w:r>
            <w:r>
              <w:rPr>
                <w:color w:val="000000" w:themeColor="text1"/>
                <w:kern w:val="0"/>
                <w:sz w:val="24"/>
                <w:szCs w:val="24"/>
                <w14:textFill>
                  <w14:solidFill>
                    <w14:schemeClr w14:val="tx1"/>
                  </w14:solidFill>
                </w14:textFill>
              </w:rPr>
              <w:t>分；</w:t>
            </w:r>
          </w:p>
          <w:p w14:paraId="6E589FCE">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4</w:t>
            </w:r>
            <w:r>
              <w:rPr>
                <w:color w:val="000000" w:themeColor="text1"/>
                <w:kern w:val="0"/>
                <w:sz w:val="24"/>
                <w:szCs w:val="24"/>
                <w14:textFill>
                  <w14:solidFill>
                    <w14:schemeClr w14:val="tx1"/>
                  </w14:solidFill>
                </w14:textFill>
              </w:rPr>
              <w:t>分；</w:t>
            </w:r>
          </w:p>
          <w:p w14:paraId="16606F30">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2</w:t>
            </w:r>
            <w:r>
              <w:rPr>
                <w:color w:val="000000" w:themeColor="text1"/>
                <w:kern w:val="0"/>
                <w:sz w:val="24"/>
                <w:szCs w:val="24"/>
                <w14:textFill>
                  <w14:solidFill>
                    <w14:schemeClr w14:val="tx1"/>
                  </w14:solidFill>
                </w14:textFill>
              </w:rPr>
              <w:t>分；</w:t>
            </w:r>
          </w:p>
          <w:p w14:paraId="11E9AE5C">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06084CC9">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1A23772">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8</w:t>
            </w:r>
          </w:p>
        </w:tc>
      </w:tr>
      <w:tr w14:paraId="0CD13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DD9730D">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2</w:t>
            </w:r>
          </w:p>
        </w:tc>
        <w:tc>
          <w:tcPr>
            <w:tcW w:w="1419" w:type="dxa"/>
            <w:shd w:val="clear" w:color="auto" w:fill="auto"/>
            <w:vAlign w:val="center"/>
          </w:tcPr>
          <w:p w14:paraId="2EBB5B2F">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针对本项目特点的专业化服务方案评价</w:t>
            </w:r>
          </w:p>
        </w:tc>
        <w:tc>
          <w:tcPr>
            <w:tcW w:w="7311" w:type="dxa"/>
            <w:shd w:val="clear" w:color="auto" w:fill="auto"/>
            <w:vAlign w:val="center"/>
          </w:tcPr>
          <w:p w14:paraId="33A5E95B">
            <w:pPr>
              <w:widowControl/>
              <w:adjustRightInd w:val="0"/>
              <w:snapToGrid w:val="0"/>
              <w:rPr>
                <w:rFonts w:hint="eastAsia"/>
                <w:color w:val="000000" w:themeColor="text1"/>
                <w:kern w:val="0"/>
                <w:sz w:val="24"/>
                <w:szCs w:val="24"/>
                <w:lang w:val="en-US" w:eastAsia="zh-CN"/>
                <w14:textFill>
                  <w14:solidFill>
                    <w14:schemeClr w14:val="tx1"/>
                  </w14:solidFill>
                </w14:textFill>
              </w:rPr>
            </w:pPr>
            <w:r>
              <w:rPr>
                <w:rFonts w:hint="eastAsia"/>
                <w:color w:val="000000" w:themeColor="text1"/>
                <w:kern w:val="0"/>
                <w:sz w:val="24"/>
                <w:szCs w:val="24"/>
                <w14:textFill>
                  <w14:solidFill>
                    <w14:schemeClr w14:val="tx1"/>
                  </w14:solidFill>
                </w14:textFill>
              </w:rPr>
              <w:t>至少</w:t>
            </w:r>
            <w:r>
              <w:rPr>
                <w:color w:val="000000" w:themeColor="text1"/>
                <w:kern w:val="0"/>
                <w:sz w:val="24"/>
                <w:szCs w:val="24"/>
                <w14:textFill>
                  <w14:solidFill>
                    <w14:schemeClr w14:val="tx1"/>
                  </w14:solidFill>
                </w14:textFill>
              </w:rPr>
              <w:t>包含针对本项目的</w:t>
            </w:r>
            <w:r>
              <w:rPr>
                <w:rFonts w:hint="eastAsia"/>
                <w:color w:val="000000" w:themeColor="text1"/>
                <w:kern w:val="0"/>
                <w:sz w:val="24"/>
                <w:szCs w:val="24"/>
                <w:lang w:val="en-US" w:eastAsia="zh-CN"/>
                <w14:textFill>
                  <w14:solidFill>
                    <w14:schemeClr w14:val="tx1"/>
                  </w14:solidFill>
                </w14:textFill>
              </w:rPr>
              <w:t>安全物理环境、安全通信网络、安全区域边界、安全计算环境、安全管理中心、安全管理制度、安全管理机构、安全管理人员、安全建设管理、安全运维管理等十个方面的安全测评。</w:t>
            </w:r>
          </w:p>
          <w:p w14:paraId="64A5E22B">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lang w:val="en-US" w:eastAsia="zh-CN"/>
                <w14:textFill>
                  <w14:solidFill>
                    <w14:schemeClr w14:val="tx1"/>
                  </w14:solidFill>
                </w14:textFill>
              </w:rPr>
              <w:t>8</w:t>
            </w:r>
            <w:r>
              <w:rPr>
                <w:color w:val="000000" w:themeColor="text1"/>
                <w:kern w:val="0"/>
                <w:sz w:val="24"/>
                <w:szCs w:val="24"/>
                <w14:textFill>
                  <w14:solidFill>
                    <w14:schemeClr w14:val="tx1"/>
                  </w14:solidFill>
                </w14:textFill>
              </w:rPr>
              <w:t>分；</w:t>
            </w:r>
          </w:p>
          <w:p w14:paraId="212F5CFA">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6</w:t>
            </w:r>
            <w:r>
              <w:rPr>
                <w:color w:val="000000" w:themeColor="text1"/>
                <w:kern w:val="0"/>
                <w:sz w:val="24"/>
                <w:szCs w:val="24"/>
                <w14:textFill>
                  <w14:solidFill>
                    <w14:schemeClr w14:val="tx1"/>
                  </w14:solidFill>
                </w14:textFill>
              </w:rPr>
              <w:t>分；</w:t>
            </w:r>
          </w:p>
          <w:p w14:paraId="2F3A3CE4">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4</w:t>
            </w:r>
            <w:r>
              <w:rPr>
                <w:color w:val="000000" w:themeColor="text1"/>
                <w:kern w:val="0"/>
                <w:sz w:val="24"/>
                <w:szCs w:val="24"/>
                <w14:textFill>
                  <w14:solidFill>
                    <w14:schemeClr w14:val="tx1"/>
                  </w14:solidFill>
                </w14:textFill>
              </w:rPr>
              <w:t>分；</w:t>
            </w:r>
          </w:p>
          <w:p w14:paraId="58ADC135">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lang w:val="en-US" w:eastAsia="zh-CN"/>
                <w14:textFill>
                  <w14:solidFill>
                    <w14:schemeClr w14:val="tx1"/>
                  </w14:solidFill>
                </w14:textFill>
              </w:rPr>
              <w:t>3</w:t>
            </w:r>
            <w:r>
              <w:rPr>
                <w:rFonts w:hint="eastAsia"/>
                <w:color w:val="000000" w:themeColor="text1"/>
                <w:kern w:val="0"/>
                <w:sz w:val="24"/>
                <w:szCs w:val="24"/>
                <w14:textFill>
                  <w14:solidFill>
                    <w14:schemeClr w14:val="tx1"/>
                  </w14:solidFill>
                </w14:textFill>
              </w:rPr>
              <w:t>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2</w:t>
            </w:r>
            <w:r>
              <w:rPr>
                <w:color w:val="000000" w:themeColor="text1"/>
                <w:kern w:val="0"/>
                <w:sz w:val="24"/>
                <w:szCs w:val="24"/>
                <w14:textFill>
                  <w14:solidFill>
                    <w14:schemeClr w14:val="tx1"/>
                  </w14:solidFill>
                </w14:textFill>
              </w:rPr>
              <w:t>分；</w:t>
            </w:r>
          </w:p>
          <w:p w14:paraId="16950A40">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lang w:val="en-US" w:eastAsia="zh-CN"/>
                <w14:textFill>
                  <w14:solidFill>
                    <w14:schemeClr w14:val="tx1"/>
                  </w14:solidFill>
                </w14:textFill>
              </w:rPr>
              <w:t>4</w:t>
            </w:r>
            <w:r>
              <w:rPr>
                <w:rFonts w:hint="eastAsia"/>
                <w:color w:val="000000" w:themeColor="text1"/>
                <w:kern w:val="0"/>
                <w:sz w:val="24"/>
                <w:szCs w:val="24"/>
                <w14:textFill>
                  <w14:solidFill>
                    <w14:schemeClr w14:val="tx1"/>
                  </w14:solidFill>
                </w14:textFill>
              </w:rPr>
              <w:t>处及以上瑕疵</w:t>
            </w:r>
            <w:r>
              <w:rPr>
                <w:color w:val="000000" w:themeColor="text1"/>
                <w:kern w:val="0"/>
                <w:sz w:val="24"/>
                <w:szCs w:val="24"/>
                <w14:textFill>
                  <w14:solidFill>
                    <w14:schemeClr w14:val="tx1"/>
                  </w14:solidFill>
                </w14:textFill>
              </w:rPr>
              <w:t>：0分；</w:t>
            </w:r>
          </w:p>
          <w:p w14:paraId="4B26B205">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98BD4B9">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8</w:t>
            </w:r>
          </w:p>
        </w:tc>
      </w:tr>
      <w:tr w14:paraId="4AE74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43FB515">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3</w:t>
            </w:r>
          </w:p>
        </w:tc>
        <w:tc>
          <w:tcPr>
            <w:tcW w:w="1419" w:type="dxa"/>
            <w:shd w:val="clear" w:color="auto" w:fill="auto"/>
            <w:vAlign w:val="center"/>
          </w:tcPr>
          <w:p w14:paraId="1A14EA5A">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lang w:val="en-US" w:eastAsia="zh-CN"/>
                <w14:textFill>
                  <w14:solidFill>
                    <w14:schemeClr w14:val="tx1"/>
                  </w14:solidFill>
                </w14:textFill>
              </w:rPr>
              <w:t>等保测评工作流程</w:t>
            </w:r>
          </w:p>
        </w:tc>
        <w:tc>
          <w:tcPr>
            <w:tcW w:w="7311" w:type="dxa"/>
            <w:shd w:val="clear" w:color="auto" w:fill="auto"/>
            <w:vAlign w:val="center"/>
          </w:tcPr>
          <w:p w14:paraId="1072AF8C">
            <w:pPr>
              <w:widowControl/>
              <w:adjustRightInd w:val="0"/>
              <w:snapToGrid w:val="0"/>
              <w:rPr>
                <w:color w:val="000000" w:themeColor="text1"/>
                <w:kern w:val="0"/>
                <w:sz w:val="24"/>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包含</w:t>
            </w:r>
            <w:r>
              <w:rPr>
                <w:rFonts w:hint="eastAsia"/>
                <w:color w:val="000000" w:themeColor="text1"/>
                <w:kern w:val="0"/>
                <w:sz w:val="24"/>
                <w:lang w:eastAsia="zh-CN"/>
                <w14:textFill>
                  <w14:solidFill>
                    <w14:schemeClr w14:val="tx1"/>
                  </w14:solidFill>
                </w14:textFill>
              </w:rPr>
              <w:t>完善的</w:t>
            </w:r>
            <w:r>
              <w:rPr>
                <w:rFonts w:hint="eastAsia"/>
                <w:color w:val="000000" w:themeColor="text1"/>
                <w:kern w:val="0"/>
                <w:sz w:val="24"/>
                <w:lang w:val="en-US" w:eastAsia="zh-CN"/>
                <w14:textFill>
                  <w14:solidFill>
                    <w14:schemeClr w14:val="tx1"/>
                  </w14:solidFill>
                </w14:textFill>
              </w:rPr>
              <w:t>等保测评工作流程</w:t>
            </w:r>
            <w:r>
              <w:rPr>
                <w:rFonts w:hint="eastAsia"/>
                <w:color w:val="000000" w:themeColor="text1"/>
                <w:kern w:val="0"/>
                <w:sz w:val="24"/>
                <w:lang w:eastAsia="zh-CN"/>
                <w14:textFill>
                  <w14:solidFill>
                    <w14:schemeClr w14:val="tx1"/>
                  </w14:solidFill>
                </w14:textFill>
              </w:rPr>
              <w:t>，测评</w:t>
            </w:r>
            <w:r>
              <w:rPr>
                <w:rFonts w:hint="eastAsia"/>
                <w:color w:val="000000" w:themeColor="text1"/>
                <w:kern w:val="0"/>
                <w:sz w:val="24"/>
                <w:lang w:val="en-US" w:eastAsia="zh-CN"/>
                <w14:textFill>
                  <w14:solidFill>
                    <w14:schemeClr w14:val="tx1"/>
                  </w14:solidFill>
                </w14:textFill>
              </w:rPr>
              <w:t>方案</w:t>
            </w:r>
            <w:r>
              <w:rPr>
                <w:rFonts w:hint="eastAsia"/>
                <w:color w:val="000000" w:themeColor="text1"/>
                <w:kern w:val="0"/>
                <w:sz w:val="24"/>
                <w:lang w:eastAsia="zh-CN"/>
                <w14:textFill>
                  <w14:solidFill>
                    <w14:schemeClr w14:val="tx1"/>
                  </w14:solidFill>
                </w14:textFill>
              </w:rPr>
              <w:t>包含测评准备过程、方案编制过程、现场测评过程、分析及报告编制过程</w:t>
            </w:r>
          </w:p>
          <w:p w14:paraId="1245AA0B">
            <w:pPr>
              <w:widowControl/>
              <w:adjustRightInd w:val="0"/>
              <w:snapToGrid w:val="0"/>
              <w:rPr>
                <w:color w:val="000000" w:themeColor="text1"/>
                <w:kern w:val="0"/>
                <w:sz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14:textFill>
                  <w14:solidFill>
                    <w14:schemeClr w14:val="tx1"/>
                  </w14:solidFill>
                </w14:textFill>
              </w:rPr>
              <w:t>12</w:t>
            </w:r>
            <w:r>
              <w:rPr>
                <w:color w:val="000000" w:themeColor="text1"/>
                <w:kern w:val="0"/>
                <w:sz w:val="24"/>
                <w:szCs w:val="24"/>
                <w14:textFill>
                  <w14:solidFill>
                    <w14:schemeClr w14:val="tx1"/>
                  </w14:solidFill>
                </w14:textFill>
              </w:rPr>
              <w:t>分；</w:t>
            </w:r>
          </w:p>
          <w:p w14:paraId="393CD899">
            <w:pPr>
              <w:widowControl/>
              <w:adjustRightInd w:val="0"/>
              <w:snapToGrid w:val="0"/>
              <w:rPr>
                <w:color w:val="000000" w:themeColor="text1"/>
                <w:kern w:val="0"/>
                <w:sz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9</w:t>
            </w:r>
            <w:r>
              <w:rPr>
                <w:color w:val="000000" w:themeColor="text1"/>
                <w:kern w:val="0"/>
                <w:sz w:val="24"/>
                <w:szCs w:val="24"/>
                <w14:textFill>
                  <w14:solidFill>
                    <w14:schemeClr w14:val="tx1"/>
                  </w14:solidFill>
                </w14:textFill>
              </w:rPr>
              <w:t>分；</w:t>
            </w:r>
          </w:p>
          <w:p w14:paraId="0F1DC31E">
            <w:pPr>
              <w:widowControl/>
              <w:adjustRightInd w:val="0"/>
              <w:snapToGrid w:val="0"/>
              <w:rPr>
                <w:color w:val="000000" w:themeColor="text1"/>
                <w:kern w:val="0"/>
                <w:sz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3FF03A6A">
            <w:pPr>
              <w:widowControl/>
              <w:adjustRightInd w:val="0"/>
              <w:snapToGrid w:val="0"/>
              <w:rPr>
                <w:color w:val="000000" w:themeColor="text1"/>
                <w:kern w:val="0"/>
                <w:sz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3处瑕疵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3</w:t>
            </w:r>
            <w:r>
              <w:rPr>
                <w:color w:val="000000" w:themeColor="text1"/>
                <w:kern w:val="0"/>
                <w:sz w:val="24"/>
                <w:szCs w:val="24"/>
                <w14:textFill>
                  <w14:solidFill>
                    <w14:schemeClr w14:val="tx1"/>
                  </w14:solidFill>
                </w14:textFill>
              </w:rPr>
              <w:t>分；</w:t>
            </w:r>
          </w:p>
          <w:p w14:paraId="7544BD71">
            <w:pPr>
              <w:widowControl/>
              <w:adjustRightInd w:val="0"/>
              <w:snapToGrid w:val="0"/>
              <w:rPr>
                <w:color w:val="000000" w:themeColor="text1"/>
                <w:kern w:val="0"/>
                <w:sz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14:textFill>
                  <w14:solidFill>
                    <w14:schemeClr w14:val="tx1"/>
                  </w14:solidFill>
                </w14:textFill>
              </w:rPr>
              <w:t>4处及以上瑕疵</w:t>
            </w:r>
            <w:r>
              <w:rPr>
                <w:color w:val="000000" w:themeColor="text1"/>
                <w:kern w:val="0"/>
                <w:sz w:val="24"/>
                <w:szCs w:val="24"/>
                <w14:textFill>
                  <w14:solidFill>
                    <w14:schemeClr w14:val="tx1"/>
                  </w14:solidFill>
                </w14:textFill>
              </w:rPr>
              <w:t>：0分；</w:t>
            </w:r>
          </w:p>
          <w:p w14:paraId="424FE29C">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3D4D0AD">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12</w:t>
            </w:r>
          </w:p>
        </w:tc>
      </w:tr>
      <w:tr w14:paraId="599C2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7BF839E">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4</w:t>
            </w:r>
          </w:p>
        </w:tc>
        <w:tc>
          <w:tcPr>
            <w:tcW w:w="1419" w:type="dxa"/>
            <w:shd w:val="clear" w:color="auto" w:fill="auto"/>
            <w:vAlign w:val="center"/>
          </w:tcPr>
          <w:p w14:paraId="21E03E82">
            <w:pPr>
              <w:widowControl/>
              <w:adjustRightInd w:val="0"/>
              <w:snapToGrid w:val="0"/>
              <w:jc w:val="center"/>
              <w:rPr>
                <w:color w:val="000000" w:themeColor="text1"/>
                <w:kern w:val="0"/>
                <w:sz w:val="24"/>
                <w:szCs w:val="24"/>
                <w14:textFill>
                  <w14:solidFill>
                    <w14:schemeClr w14:val="tx1"/>
                  </w14:solidFill>
                </w14:textFill>
              </w:rPr>
            </w:pPr>
            <w:r>
              <w:rPr>
                <w:color w:val="000000" w:themeColor="text1"/>
                <w:sz w:val="24"/>
                <w14:textFill>
                  <w14:solidFill>
                    <w14:schemeClr w14:val="tx1"/>
                  </w14:solidFill>
                </w14:textFill>
              </w:rPr>
              <w:t>保密管理方案评价</w:t>
            </w:r>
          </w:p>
        </w:tc>
        <w:tc>
          <w:tcPr>
            <w:tcW w:w="7311" w:type="dxa"/>
            <w:shd w:val="clear" w:color="auto" w:fill="auto"/>
            <w:vAlign w:val="center"/>
          </w:tcPr>
          <w:p w14:paraId="512426F8">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w:t>
            </w:r>
            <w:r>
              <w:rPr>
                <w:rFonts w:hint="eastAsia"/>
                <w:color w:val="000000" w:themeColor="text1"/>
                <w:sz w:val="24"/>
                <w:lang w:val="en-US" w:eastAsia="zh-CN"/>
                <w14:textFill>
                  <w14:solidFill>
                    <w14:schemeClr w14:val="tx1"/>
                  </w14:solidFill>
                </w14:textFill>
              </w:rPr>
              <w:t>签署保密协议、</w:t>
            </w:r>
            <w:r>
              <w:rPr>
                <w:rFonts w:hint="eastAsia"/>
                <w:color w:val="000000" w:themeColor="text1"/>
                <w:sz w:val="24"/>
                <w14:textFill>
                  <w14:solidFill>
                    <w14:schemeClr w14:val="tx1"/>
                  </w14:solidFill>
                </w14:textFill>
              </w:rPr>
              <w:t>服务人员保密培训、重点岗位双人服务、泄密惩罚办法。</w:t>
            </w:r>
          </w:p>
          <w:p w14:paraId="2D4405C1">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lang w:val="en-US" w:eastAsia="zh-CN"/>
                <w14:textFill>
                  <w14:solidFill>
                    <w14:schemeClr w14:val="tx1"/>
                  </w14:solidFill>
                </w14:textFill>
              </w:rPr>
              <w:t>6</w:t>
            </w:r>
            <w:r>
              <w:rPr>
                <w:color w:val="000000" w:themeColor="text1"/>
                <w:kern w:val="0"/>
                <w:sz w:val="24"/>
                <w:szCs w:val="24"/>
                <w14:textFill>
                  <w14:solidFill>
                    <w14:schemeClr w14:val="tx1"/>
                  </w14:solidFill>
                </w14:textFill>
              </w:rPr>
              <w:t>分；</w:t>
            </w:r>
          </w:p>
          <w:p w14:paraId="532C1B02">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4</w:t>
            </w:r>
            <w:r>
              <w:rPr>
                <w:color w:val="000000" w:themeColor="text1"/>
                <w:kern w:val="0"/>
                <w:sz w:val="24"/>
                <w:szCs w:val="24"/>
                <w14:textFill>
                  <w14:solidFill>
                    <w14:schemeClr w14:val="tx1"/>
                  </w14:solidFill>
                </w14:textFill>
              </w:rPr>
              <w:t>分；</w:t>
            </w:r>
          </w:p>
          <w:p w14:paraId="1BA776CF">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2</w:t>
            </w:r>
            <w:r>
              <w:rPr>
                <w:color w:val="000000" w:themeColor="text1"/>
                <w:kern w:val="0"/>
                <w:sz w:val="24"/>
                <w:szCs w:val="24"/>
                <w14:textFill>
                  <w14:solidFill>
                    <w14:schemeClr w14:val="tx1"/>
                  </w14:solidFill>
                </w14:textFill>
              </w:rPr>
              <w:t>分；</w:t>
            </w:r>
          </w:p>
          <w:p w14:paraId="3B891D42">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44C12C23">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FE6DEB9">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6</w:t>
            </w:r>
          </w:p>
        </w:tc>
      </w:tr>
      <w:tr w14:paraId="4FEB5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0423E44">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5</w:t>
            </w:r>
          </w:p>
        </w:tc>
        <w:tc>
          <w:tcPr>
            <w:tcW w:w="1419" w:type="dxa"/>
            <w:shd w:val="clear" w:color="auto" w:fill="auto"/>
            <w:vAlign w:val="center"/>
          </w:tcPr>
          <w:p w14:paraId="5FBB7F65">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进度安排评价</w:t>
            </w:r>
          </w:p>
        </w:tc>
        <w:tc>
          <w:tcPr>
            <w:tcW w:w="7311" w:type="dxa"/>
            <w:shd w:val="clear" w:color="auto" w:fill="auto"/>
            <w:vAlign w:val="center"/>
          </w:tcPr>
          <w:p w14:paraId="4454327D">
            <w:pPr>
              <w:widowControl/>
              <w:adjustRightInd w:val="0"/>
              <w:snapToGrid w:val="0"/>
              <w:rPr>
                <w:rFonts w:hint="eastAsia" w:eastAsia="宋体"/>
                <w:color w:val="000000" w:themeColor="text1"/>
                <w:kern w:val="0"/>
                <w:sz w:val="24"/>
                <w:szCs w:val="24"/>
                <w:lang w:val="en-US" w:eastAsia="zh-CN"/>
                <w14:textFill>
                  <w14:solidFill>
                    <w14:schemeClr w14:val="tx1"/>
                  </w14:solidFill>
                </w14:textFill>
              </w:rPr>
            </w:pPr>
            <w:r>
              <w:rPr>
                <w:rFonts w:hint="eastAsia"/>
                <w:color w:val="000000" w:themeColor="text1"/>
                <w:kern w:val="0"/>
                <w:sz w:val="24"/>
                <w:szCs w:val="24"/>
                <w14:textFill>
                  <w14:solidFill>
                    <w14:schemeClr w14:val="tx1"/>
                  </w14:solidFill>
                </w14:textFill>
              </w:rPr>
              <w:t>至少包含各阶段工作进度安排、按时限完成的保障措施、进度落后时的挽回措施等</w:t>
            </w:r>
            <w:r>
              <w:rPr>
                <w:rFonts w:hint="eastAsia"/>
                <w:color w:val="000000" w:themeColor="text1"/>
                <w:kern w:val="0"/>
                <w:sz w:val="24"/>
                <w:szCs w:val="24"/>
                <w:lang w:val="en-US" w:eastAsia="zh-CN"/>
                <w14:textFill>
                  <w14:solidFill>
                    <w14:schemeClr w14:val="tx1"/>
                  </w14:solidFill>
                </w14:textFill>
              </w:rPr>
              <w:t>.。</w:t>
            </w:r>
          </w:p>
          <w:p w14:paraId="44B858E0">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lang w:val="en-US" w:eastAsia="zh-CN"/>
                <w14:textFill>
                  <w14:solidFill>
                    <w14:schemeClr w14:val="tx1"/>
                  </w14:solidFill>
                </w14:textFill>
              </w:rPr>
              <w:t>6</w:t>
            </w:r>
            <w:r>
              <w:rPr>
                <w:color w:val="000000" w:themeColor="text1"/>
                <w:kern w:val="0"/>
                <w:sz w:val="24"/>
                <w:szCs w:val="24"/>
                <w14:textFill>
                  <w14:solidFill>
                    <w14:schemeClr w14:val="tx1"/>
                  </w14:solidFill>
                </w14:textFill>
              </w:rPr>
              <w:t>分；</w:t>
            </w:r>
          </w:p>
          <w:p w14:paraId="6EF27B87">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4</w:t>
            </w:r>
            <w:r>
              <w:rPr>
                <w:color w:val="000000" w:themeColor="text1"/>
                <w:kern w:val="0"/>
                <w:sz w:val="24"/>
                <w:szCs w:val="24"/>
                <w14:textFill>
                  <w14:solidFill>
                    <w14:schemeClr w14:val="tx1"/>
                  </w14:solidFill>
                </w14:textFill>
              </w:rPr>
              <w:t>分；</w:t>
            </w:r>
          </w:p>
          <w:p w14:paraId="6DA072F5">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2</w:t>
            </w:r>
            <w:r>
              <w:rPr>
                <w:color w:val="000000" w:themeColor="text1"/>
                <w:kern w:val="0"/>
                <w:sz w:val="24"/>
                <w:szCs w:val="24"/>
                <w14:textFill>
                  <w14:solidFill>
                    <w14:schemeClr w14:val="tx1"/>
                  </w14:solidFill>
                </w14:textFill>
              </w:rPr>
              <w:t>分；</w:t>
            </w:r>
          </w:p>
          <w:p w14:paraId="163515E6">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429342A6">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D09DEDF">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6</w:t>
            </w:r>
          </w:p>
        </w:tc>
      </w:tr>
      <w:tr w14:paraId="5BB74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A2316A8">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6</w:t>
            </w:r>
          </w:p>
        </w:tc>
        <w:tc>
          <w:tcPr>
            <w:tcW w:w="1419" w:type="dxa"/>
            <w:shd w:val="clear" w:color="auto" w:fill="auto"/>
            <w:vAlign w:val="center"/>
          </w:tcPr>
          <w:p w14:paraId="2F41604C">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在服务过程中，与采购人配合沟通方案评价</w:t>
            </w:r>
          </w:p>
        </w:tc>
        <w:tc>
          <w:tcPr>
            <w:tcW w:w="7311" w:type="dxa"/>
            <w:shd w:val="clear" w:color="auto" w:fill="auto"/>
            <w:vAlign w:val="center"/>
          </w:tcPr>
          <w:p w14:paraId="3B8C9247">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w:t>
            </w:r>
            <w:r>
              <w:rPr>
                <w:color w:val="000000" w:themeColor="text1"/>
                <w:kern w:val="0"/>
                <w:sz w:val="24"/>
                <w:szCs w:val="24"/>
                <w14:textFill>
                  <w14:solidFill>
                    <w14:schemeClr w14:val="tx1"/>
                  </w14:solidFill>
                </w14:textFill>
              </w:rPr>
              <w:t>指定专人为采购人服务</w:t>
            </w:r>
            <w:r>
              <w:rPr>
                <w:rFonts w:hint="eastAsia"/>
                <w:color w:val="000000" w:themeColor="text1"/>
                <w:kern w:val="0"/>
                <w:sz w:val="24"/>
                <w:szCs w:val="24"/>
                <w14:textFill>
                  <w14:solidFill>
                    <w14:schemeClr w14:val="tx1"/>
                  </w14:solidFill>
                </w14:textFill>
              </w:rPr>
              <w:t>、定期配合沟通频次、建立配合沟通内容记录台账、配合沟通效果反馈机制等方面内容</w:t>
            </w:r>
          </w:p>
          <w:p w14:paraId="5267BA17">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lang w:val="en-US" w:eastAsia="zh-CN"/>
                <w14:textFill>
                  <w14:solidFill>
                    <w14:schemeClr w14:val="tx1"/>
                  </w14:solidFill>
                </w14:textFill>
              </w:rPr>
              <w:t>6</w:t>
            </w:r>
            <w:r>
              <w:rPr>
                <w:color w:val="000000" w:themeColor="text1"/>
                <w:kern w:val="0"/>
                <w:sz w:val="24"/>
                <w:szCs w:val="24"/>
                <w14:textFill>
                  <w14:solidFill>
                    <w14:schemeClr w14:val="tx1"/>
                  </w14:solidFill>
                </w14:textFill>
              </w:rPr>
              <w:t>分；</w:t>
            </w:r>
          </w:p>
          <w:p w14:paraId="57F0A4E9">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4</w:t>
            </w:r>
            <w:r>
              <w:rPr>
                <w:color w:val="000000" w:themeColor="text1"/>
                <w:kern w:val="0"/>
                <w:sz w:val="24"/>
                <w:szCs w:val="24"/>
                <w14:textFill>
                  <w14:solidFill>
                    <w14:schemeClr w14:val="tx1"/>
                  </w14:solidFill>
                </w14:textFill>
              </w:rPr>
              <w:t>分；</w:t>
            </w:r>
          </w:p>
          <w:p w14:paraId="7C003FF6">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2</w:t>
            </w:r>
            <w:r>
              <w:rPr>
                <w:color w:val="000000" w:themeColor="text1"/>
                <w:kern w:val="0"/>
                <w:sz w:val="24"/>
                <w:szCs w:val="24"/>
                <w14:textFill>
                  <w14:solidFill>
                    <w14:schemeClr w14:val="tx1"/>
                  </w14:solidFill>
                </w14:textFill>
              </w:rPr>
              <w:t>分；</w:t>
            </w:r>
          </w:p>
          <w:p w14:paraId="345EB605">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lang w:val="en-US" w:eastAsia="zh-CN"/>
                <w14:textFill>
                  <w14:solidFill>
                    <w14:schemeClr w14:val="tx1"/>
                  </w14:solidFill>
                </w14:textFill>
              </w:rPr>
              <w:t>3</w:t>
            </w:r>
            <w:r>
              <w:rPr>
                <w:rFonts w:hint="eastAsia"/>
                <w:color w:val="000000" w:themeColor="text1"/>
                <w:kern w:val="0"/>
                <w:sz w:val="24"/>
                <w:szCs w:val="24"/>
                <w14:textFill>
                  <w14:solidFill>
                    <w14:schemeClr w14:val="tx1"/>
                  </w14:solidFill>
                </w14:textFill>
              </w:rPr>
              <w:t>处及以上瑕疵</w:t>
            </w:r>
            <w:r>
              <w:rPr>
                <w:color w:val="000000" w:themeColor="text1"/>
                <w:kern w:val="0"/>
                <w:sz w:val="24"/>
                <w:szCs w:val="24"/>
                <w14:textFill>
                  <w14:solidFill>
                    <w14:schemeClr w14:val="tx1"/>
                  </w14:solidFill>
                </w14:textFill>
              </w:rPr>
              <w:t>：0分；</w:t>
            </w:r>
          </w:p>
          <w:p w14:paraId="3F926E4B">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4E6F995">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6</w:t>
            </w:r>
          </w:p>
        </w:tc>
      </w:tr>
      <w:tr w14:paraId="79F2E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7A5AC97">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7</w:t>
            </w:r>
          </w:p>
        </w:tc>
        <w:tc>
          <w:tcPr>
            <w:tcW w:w="1419" w:type="dxa"/>
            <w:shd w:val="clear" w:color="auto" w:fill="auto"/>
            <w:vAlign w:val="center"/>
          </w:tcPr>
          <w:p w14:paraId="05C185FE">
            <w:pPr>
              <w:widowControl/>
              <w:adjustRightInd w:val="0"/>
              <w:snapToGrid w:val="0"/>
              <w:jc w:val="center"/>
              <w:rPr>
                <w:color w:val="000000" w:themeColor="text1"/>
                <w:sz w:val="24"/>
                <w14:textFill>
                  <w14:solidFill>
                    <w14:schemeClr w14:val="tx1"/>
                  </w14:solidFill>
                </w14:textFill>
              </w:rPr>
            </w:pPr>
            <w:r>
              <w:rPr>
                <w:color w:val="000000" w:themeColor="text1"/>
                <w:kern w:val="0"/>
                <w:sz w:val="24"/>
                <w:szCs w:val="24"/>
                <w14:textFill>
                  <w14:solidFill>
                    <w14:schemeClr w14:val="tx1"/>
                  </w14:solidFill>
                </w14:textFill>
              </w:rPr>
              <w:t>服务质量保证</w:t>
            </w: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评价</w:t>
            </w:r>
          </w:p>
        </w:tc>
        <w:tc>
          <w:tcPr>
            <w:tcW w:w="7311" w:type="dxa"/>
            <w:shd w:val="clear" w:color="auto" w:fill="auto"/>
            <w:vAlign w:val="center"/>
          </w:tcPr>
          <w:p w14:paraId="20E45DFA">
            <w:pPr>
              <w:widowControl/>
              <w:adjustRightInd w:val="0"/>
              <w:snapToGrid w:val="0"/>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14:textFill>
                  <w14:solidFill>
                    <w14:schemeClr w14:val="tx1"/>
                  </w14:solidFill>
                </w14:textFill>
              </w:rPr>
              <w:t>至少包含</w:t>
            </w:r>
            <w:r>
              <w:rPr>
                <w:color w:val="000000" w:themeColor="text1"/>
                <w:kern w:val="0"/>
                <w:sz w:val="24"/>
                <w:szCs w:val="24"/>
                <w14:textFill>
                  <w14:solidFill>
                    <w14:schemeClr w14:val="tx1"/>
                  </w14:solidFill>
                </w14:textFill>
              </w:rPr>
              <w:t>服务过程中保证服务质量的措施</w:t>
            </w:r>
            <w:r>
              <w:rPr>
                <w:rFonts w:hint="eastAsia"/>
                <w:color w:val="000000" w:themeColor="text1"/>
                <w:kern w:val="0"/>
                <w:sz w:val="24"/>
                <w:szCs w:val="24"/>
                <w14:textFill>
                  <w14:solidFill>
                    <w14:schemeClr w14:val="tx1"/>
                  </w14:solidFill>
                </w14:textFill>
              </w:rPr>
              <w:t>、对出现服务质量问题时如何挽回、人员服务态度保障、人员业务专业化水平保障等方面内容</w:t>
            </w:r>
            <w:r>
              <w:rPr>
                <w:rFonts w:hint="eastAsia"/>
                <w:color w:val="000000" w:themeColor="text1"/>
                <w:kern w:val="0"/>
                <w:sz w:val="24"/>
                <w:szCs w:val="24"/>
                <w:lang w:eastAsia="zh-CN"/>
                <w14:textFill>
                  <w14:solidFill>
                    <w14:schemeClr w14:val="tx1"/>
                  </w14:solidFill>
                </w14:textFill>
              </w:rPr>
              <w:t>。</w:t>
            </w:r>
          </w:p>
          <w:p w14:paraId="30A5951A">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招标文件要求，无瑕疵：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2A2FD763">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2F8C1ED8">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583F5EAA">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未提供方案或不满足招标文件要求或内容存在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2AE74389">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0C35900">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7A894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4B2CB0D">
            <w:pPr>
              <w:widowControl/>
              <w:adjustRightInd w:val="0"/>
              <w:snapToGrid w:val="0"/>
              <w:jc w:val="center"/>
              <w:rPr>
                <w:rFonts w:hint="eastAsia" w:ascii="Times New Roman" w:hAnsi="Times New Roman" w:eastAsia="宋体" w:cs="Times New Roman"/>
                <w:color w:val="000000" w:themeColor="text1"/>
                <w:kern w:val="0"/>
                <w:sz w:val="24"/>
                <w:szCs w:val="24"/>
                <w:lang w:val="en-US" w:eastAsia="zh-CN" w:bidi="ar-SA"/>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8</w:t>
            </w:r>
          </w:p>
        </w:tc>
        <w:tc>
          <w:tcPr>
            <w:tcW w:w="1419" w:type="dxa"/>
            <w:shd w:val="clear" w:color="auto" w:fill="auto"/>
            <w:vAlign w:val="center"/>
          </w:tcPr>
          <w:p w14:paraId="05EB7C52">
            <w:pPr>
              <w:keepNext w:val="0"/>
              <w:keepLines w:val="0"/>
              <w:pageBreakBefore w:val="0"/>
              <w:widowControl/>
              <w:suppressLineNumbers w:val="0"/>
              <w:kinsoku/>
              <w:wordWrap/>
              <w:overflowPunct/>
              <w:topLinePunct w:val="0"/>
              <w:autoSpaceDE/>
              <w:autoSpaceDN/>
              <w:bidi w:val="0"/>
              <w:adjustRightInd/>
              <w:snapToGrid w:val="0"/>
              <w:spacing w:beforeAutospacing="0" w:afterAutospacing="0" w:line="240" w:lineRule="auto"/>
              <w:ind w:left="0" w:leftChars="0" w:right="0" w:rightChars="0"/>
              <w:jc w:val="center"/>
              <w:textAlignment w:val="auto"/>
              <w:rPr>
                <w:rFonts w:ascii="Times New Roman" w:hAnsi="Times New Roman" w:eastAsia="宋体" w:cs="Times New Roman"/>
                <w:color w:val="000000" w:themeColor="text1"/>
                <w:kern w:val="2"/>
                <w:sz w:val="24"/>
                <w:szCs w:val="20"/>
                <w:lang w:val="en-US" w:eastAsia="zh-CN" w:bidi="ar-SA"/>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安全</w:t>
            </w:r>
            <w:r>
              <w:rPr>
                <w:rFonts w:hint="eastAsia"/>
                <w:color w:val="000000" w:themeColor="text1"/>
                <w:kern w:val="0"/>
                <w:sz w:val="24"/>
                <w:szCs w:val="24"/>
                <w:lang w:val="zh-TW" w:eastAsia="zh-CN"/>
                <w14:textFill>
                  <w14:solidFill>
                    <w14:schemeClr w14:val="tx1"/>
                  </w14:solidFill>
                </w14:textFill>
              </w:rPr>
              <w:t>应急预案</w:t>
            </w:r>
            <w:r>
              <w:rPr>
                <w:rFonts w:hint="eastAsia"/>
                <w:color w:val="000000" w:themeColor="text1"/>
                <w:kern w:val="0"/>
                <w:sz w:val="24"/>
                <w:szCs w:val="24"/>
                <w:lang w:val="zh-TW" w:eastAsia="zh-TW"/>
                <w14:textFill>
                  <w14:solidFill>
                    <w14:schemeClr w14:val="tx1"/>
                  </w14:solidFill>
                </w14:textFill>
              </w:rPr>
              <w:t>评价</w:t>
            </w:r>
          </w:p>
        </w:tc>
        <w:tc>
          <w:tcPr>
            <w:tcW w:w="7311" w:type="dxa"/>
            <w:shd w:val="clear" w:color="auto" w:fill="auto"/>
            <w:vAlign w:val="center"/>
          </w:tcPr>
          <w:p w14:paraId="06C00197">
            <w:pPr>
              <w:keepNext w:val="0"/>
              <w:keepLines w:val="0"/>
              <w:pageBreakBefore w:val="0"/>
              <w:widowControl w:val="0"/>
              <w:suppressLineNumbers w:val="0"/>
              <w:kinsoku/>
              <w:wordWrap/>
              <w:overflowPunct/>
              <w:topLinePunct w:val="0"/>
              <w:autoSpaceDE/>
              <w:autoSpaceDN/>
              <w:bidi w:val="0"/>
              <w:adjustRightInd/>
              <w:snapToGrid w:val="0"/>
              <w:spacing w:beforeAutospacing="0" w:afterAutospacing="0" w:line="240" w:lineRule="auto"/>
              <w:ind w:left="0" w:right="0"/>
              <w:jc w:val="both"/>
              <w:textAlignment w:val="auto"/>
              <w:rPr>
                <w:rFonts w:hint="eastAsia" w:ascii="宋体" w:hAnsi="宋体" w:eastAsia="宋体" w:cs="宋体"/>
                <w:color w:val="000000" w:themeColor="text1"/>
                <w:kern w:val="2"/>
                <w:sz w:val="24"/>
                <w:szCs w:val="24"/>
                <w:lang w:val="en-US" w:eastAsia="zh-CN" w:bidi="ar-SA"/>
                <w14:textFill>
                  <w14:solidFill>
                    <w14:schemeClr w14:val="tx1"/>
                  </w14:solidFill>
                </w14:textFill>
              </w:rPr>
            </w:pPr>
            <w:r>
              <w:rPr>
                <w:rFonts w:hint="eastAsia" w:ascii="宋体" w:hAnsi="宋体" w:eastAsia="宋体" w:cs="宋体"/>
                <w:color w:val="000000" w:themeColor="text1"/>
                <w:kern w:val="0"/>
                <w:sz w:val="24"/>
                <w:szCs w:val="24"/>
                <w:highlight w:val="none"/>
                <w:lang w:val="en-US" w:eastAsia="zh-CN"/>
                <w14:textFill>
                  <w14:solidFill>
                    <w14:schemeClr w14:val="tx1"/>
                  </w14:solidFill>
                </w14:textFill>
              </w:rPr>
              <w:t>至少包含</w:t>
            </w:r>
            <w:r>
              <w:rPr>
                <w:rFonts w:hint="eastAsia" w:ascii="宋体" w:hAnsi="宋体" w:eastAsia="宋体" w:cs="宋体"/>
                <w:color w:val="000000" w:themeColor="text1"/>
                <w:kern w:val="2"/>
                <w:sz w:val="24"/>
                <w:szCs w:val="24"/>
                <w:highlight w:val="none"/>
                <w:lang w:val="zh-TW" w:eastAsia="zh-TW" w:bidi="ar-SA"/>
                <w14:textFill>
                  <w14:solidFill>
                    <w14:schemeClr w14:val="tx1"/>
                  </w14:solidFill>
                </w14:textFill>
              </w:rPr>
              <w:t>对现场可能出现的所有问题的预判及对应的处理方式</w:t>
            </w:r>
            <w:r>
              <w:rPr>
                <w:rFonts w:hint="eastAsia" w:ascii="宋体" w:hAnsi="宋体" w:eastAsia="宋体" w:cs="宋体"/>
                <w:color w:val="000000" w:themeColor="text1"/>
                <w:kern w:val="2"/>
                <w:sz w:val="24"/>
                <w:szCs w:val="24"/>
                <w:highlight w:val="none"/>
                <w:lang w:val="zh-TW" w:eastAsia="zh-CN" w:bidi="ar-SA"/>
                <w14:textFill>
                  <w14:solidFill>
                    <w14:schemeClr w14:val="tx1"/>
                  </w14:solidFill>
                </w14:textFill>
              </w:rPr>
              <w:t>、</w:t>
            </w:r>
            <w:r>
              <w:rPr>
                <w:rFonts w:hint="eastAsia" w:ascii="宋体" w:hAnsi="宋体" w:eastAsia="宋体" w:cs="宋体"/>
                <w:color w:val="000000" w:themeColor="text1"/>
                <w:kern w:val="2"/>
                <w:sz w:val="24"/>
                <w:szCs w:val="24"/>
                <w:highlight w:val="none"/>
                <w:lang w:val="zh-TW" w:eastAsia="zh-TW" w:bidi="ar-SA"/>
                <w14:textFill>
                  <w14:solidFill>
                    <w14:schemeClr w14:val="tx1"/>
                  </w14:solidFill>
                </w14:textFill>
              </w:rPr>
              <w:t>应急预案处理机制、具体的响应时间、适用本项目的处理方式及其详细流程</w:t>
            </w:r>
            <w:r>
              <w:rPr>
                <w:rFonts w:hint="eastAsia" w:ascii="宋体" w:hAnsi="宋体" w:eastAsia="宋体" w:cs="宋体"/>
                <w:color w:val="000000" w:themeColor="text1"/>
                <w:kern w:val="2"/>
                <w:sz w:val="24"/>
                <w:szCs w:val="24"/>
                <w:lang w:val="en-US" w:eastAsia="zh-CN" w:bidi="ar-SA"/>
                <w14:textFill>
                  <w14:solidFill>
                    <w14:schemeClr w14:val="tx1"/>
                  </w14:solidFill>
                </w14:textFill>
              </w:rPr>
              <w:t>等。</w:t>
            </w:r>
          </w:p>
          <w:p w14:paraId="6C4B1B35">
            <w:pPr>
              <w:keepNext w:val="0"/>
              <w:keepLines w:val="0"/>
              <w:pageBreakBefore w:val="0"/>
              <w:widowControl/>
              <w:kinsoku/>
              <w:wordWrap/>
              <w:overflowPunct/>
              <w:topLinePunct w:val="0"/>
              <w:autoSpaceDE/>
              <w:autoSpaceDN/>
              <w:bidi w:val="0"/>
              <w:adjustRightInd w:val="0"/>
              <w:snapToGrid w:val="0"/>
              <w:spacing w:line="24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lang w:val="en-US" w:eastAsia="zh-CN"/>
                <w14:textFill>
                  <w14:solidFill>
                    <w14:schemeClr w14:val="tx1"/>
                  </w14:solidFill>
                </w14:textFill>
              </w:rPr>
              <w:t>6</w:t>
            </w:r>
            <w:r>
              <w:rPr>
                <w:color w:val="000000" w:themeColor="text1"/>
                <w:kern w:val="0"/>
                <w:sz w:val="24"/>
                <w:szCs w:val="24"/>
                <w14:textFill>
                  <w14:solidFill>
                    <w14:schemeClr w14:val="tx1"/>
                  </w14:solidFill>
                </w14:textFill>
              </w:rPr>
              <w:t>分；</w:t>
            </w:r>
          </w:p>
          <w:p w14:paraId="79E196D7">
            <w:pPr>
              <w:keepNext w:val="0"/>
              <w:keepLines w:val="0"/>
              <w:pageBreakBefore w:val="0"/>
              <w:widowControl/>
              <w:kinsoku/>
              <w:wordWrap/>
              <w:overflowPunct/>
              <w:topLinePunct w:val="0"/>
              <w:autoSpaceDE/>
              <w:autoSpaceDN/>
              <w:bidi w:val="0"/>
              <w:adjustRightInd w:val="0"/>
              <w:snapToGrid w:val="0"/>
              <w:spacing w:line="24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4</w:t>
            </w:r>
            <w:r>
              <w:rPr>
                <w:color w:val="000000" w:themeColor="text1"/>
                <w:kern w:val="0"/>
                <w:sz w:val="24"/>
                <w:szCs w:val="24"/>
                <w14:textFill>
                  <w14:solidFill>
                    <w14:schemeClr w14:val="tx1"/>
                  </w14:solidFill>
                </w14:textFill>
              </w:rPr>
              <w:t>分；</w:t>
            </w:r>
          </w:p>
          <w:p w14:paraId="0D7F2C34">
            <w:pPr>
              <w:keepNext w:val="0"/>
              <w:keepLines w:val="0"/>
              <w:pageBreakBefore w:val="0"/>
              <w:widowControl/>
              <w:kinsoku/>
              <w:wordWrap/>
              <w:overflowPunct/>
              <w:topLinePunct w:val="0"/>
              <w:autoSpaceDE/>
              <w:autoSpaceDN/>
              <w:bidi w:val="0"/>
              <w:adjustRightInd w:val="0"/>
              <w:snapToGrid w:val="0"/>
              <w:spacing w:line="24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lang w:val="en-US" w:eastAsia="zh-CN"/>
                <w14:textFill>
                  <w14:solidFill>
                    <w14:schemeClr w14:val="tx1"/>
                  </w14:solidFill>
                </w14:textFill>
              </w:rPr>
              <w:t>2</w:t>
            </w:r>
            <w:r>
              <w:rPr>
                <w:color w:val="000000" w:themeColor="text1"/>
                <w:kern w:val="0"/>
                <w:sz w:val="24"/>
                <w:szCs w:val="24"/>
                <w14:textFill>
                  <w14:solidFill>
                    <w14:schemeClr w14:val="tx1"/>
                  </w14:solidFill>
                </w14:textFill>
              </w:rPr>
              <w:t>分；</w:t>
            </w:r>
          </w:p>
          <w:p w14:paraId="34FA4E21">
            <w:pPr>
              <w:keepNext w:val="0"/>
              <w:keepLines w:val="0"/>
              <w:pageBreakBefore w:val="0"/>
              <w:widowControl/>
              <w:kinsoku/>
              <w:wordWrap/>
              <w:overflowPunct/>
              <w:topLinePunct w:val="0"/>
              <w:autoSpaceDE/>
              <w:autoSpaceDN/>
              <w:bidi w:val="0"/>
              <w:adjustRightInd w:val="0"/>
              <w:snapToGrid w:val="0"/>
              <w:spacing w:line="24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4DD22927">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jc w:val="both"/>
              <w:textAlignment w:val="auto"/>
              <w:rPr>
                <w:rFonts w:hint="eastAsia" w:ascii="Times New Roman" w:hAnsi="Times New Roman" w:eastAsia="宋体" w:cs="Times New Roman"/>
                <w:color w:val="000000" w:themeColor="text1"/>
                <w:kern w:val="0"/>
                <w:sz w:val="24"/>
                <w:szCs w:val="24"/>
                <w:lang w:val="en-US" w:eastAsia="zh-CN" w:bidi="ar-SA"/>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BC470AD">
            <w:pPr>
              <w:widowControl/>
              <w:adjustRightInd w:val="0"/>
              <w:snapToGrid w:val="0"/>
              <w:jc w:val="center"/>
              <w:rPr>
                <w:rFonts w:hint="eastAsia" w:eastAsia="宋体"/>
                <w:color w:val="000000" w:themeColor="text1"/>
                <w:kern w:val="0"/>
                <w:sz w:val="24"/>
                <w:szCs w:val="24"/>
                <w:lang w:val="en-US"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6</w:t>
            </w:r>
          </w:p>
        </w:tc>
      </w:tr>
      <w:tr w14:paraId="4F4CA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26C658F6">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796A660F">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100</w:t>
            </w:r>
          </w:p>
        </w:tc>
      </w:tr>
    </w:tbl>
    <w:p w14:paraId="5B7C82BD">
      <w:pPr>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5122A0"/>
    <w:rsid w:val="535122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1</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2025-11-24T07:32:00Z</dcterms:created>
  <dc:creator>FLy</dc:creator>
  <cp:lastModifiedBy>FLy</cp:lastModifiedBy>
  <dcterms:modified xsi:type="dcterms:W3CDTF">2025-11-24T07:34:28Z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CAE584A1B42548B08814F9EA49B80C98_11</vt:lpwstr>
  </property>
  <property fmtid="{D5CDD505-2E9C-101B-9397-08002B2CF9AE}" pid="4" name="KSOTemplateDocerSaveRecord">
    <vt:lpwstr>eyJoZGlkIjoiMTk4ZWQ5NzJjMmU2YjdjOTU5YjJjMDkzN2ZhOTMwZTAiLCJ1c2VySWQiOiI4NjE3OTM2MzgifQ==</vt:lpwstr>
  </property>
</Properties>
</file>