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550" w:rsidRPr="009B4587" w:rsidRDefault="00B175C3">
      <w:r w:rsidRPr="009B4587">
        <w:t>附件</w:t>
      </w:r>
      <w:r w:rsidRPr="009B4587">
        <w:rPr>
          <w:rFonts w:hint="eastAsia"/>
        </w:rPr>
        <w:t>2</w:t>
      </w:r>
      <w:r w:rsidRPr="009B4587">
        <w:rPr>
          <w:rFonts w:hint="eastAsia"/>
        </w:rPr>
        <w:t>：服务器</w:t>
      </w:r>
      <w:r w:rsidRPr="009B4587">
        <w:rPr>
          <w:rFonts w:hint="eastAsia"/>
        </w:rPr>
        <w:t>2</w:t>
      </w:r>
    </w:p>
    <w:tbl>
      <w:tblPr>
        <w:tblW w:w="0" w:type="auto"/>
        <w:tblInd w:w="93" w:type="dxa"/>
        <w:tblLook w:val="04A0" w:firstRow="1" w:lastRow="0" w:firstColumn="1" w:lastColumn="0" w:noHBand="0" w:noVBand="1"/>
      </w:tblPr>
      <w:tblGrid>
        <w:gridCol w:w="724"/>
        <w:gridCol w:w="1134"/>
        <w:gridCol w:w="1559"/>
        <w:gridCol w:w="2127"/>
        <w:gridCol w:w="2885"/>
      </w:tblGrid>
      <w:tr w:rsidR="00B175C3" w:rsidRPr="009B4587" w:rsidTr="005B06BB">
        <w:trPr>
          <w:trHeight w:val="285"/>
          <w:tblHeader/>
        </w:trPr>
        <w:tc>
          <w:tcPr>
            <w:tcW w:w="724" w:type="dxa"/>
            <w:tcBorders>
              <w:top w:val="single" w:sz="4" w:space="0" w:color="000000"/>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b/>
                <w:bCs/>
                <w:kern w:val="0"/>
                <w:sz w:val="20"/>
              </w:rPr>
            </w:pPr>
            <w:r w:rsidRPr="009B4587">
              <w:rPr>
                <w:rFonts w:ascii="宋体" w:hAnsi="宋体" w:cs="Arial" w:hint="eastAsia"/>
                <w:b/>
                <w:bCs/>
                <w:kern w:val="0"/>
                <w:sz w:val="20"/>
              </w:rPr>
              <w:t>序号</w:t>
            </w:r>
          </w:p>
        </w:tc>
        <w:tc>
          <w:tcPr>
            <w:tcW w:w="1134" w:type="dxa"/>
            <w:tcBorders>
              <w:top w:val="single" w:sz="4" w:space="0" w:color="000000"/>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b/>
                <w:bCs/>
                <w:kern w:val="0"/>
                <w:sz w:val="20"/>
              </w:rPr>
            </w:pPr>
            <w:r w:rsidRPr="009B4587">
              <w:rPr>
                <w:rFonts w:ascii="宋体" w:hAnsi="宋体" w:cs="Arial" w:hint="eastAsia"/>
                <w:b/>
                <w:bCs/>
                <w:kern w:val="0"/>
                <w:sz w:val="20"/>
              </w:rPr>
              <w:t>指标分类</w:t>
            </w:r>
          </w:p>
        </w:tc>
        <w:tc>
          <w:tcPr>
            <w:tcW w:w="1559" w:type="dxa"/>
            <w:tcBorders>
              <w:top w:val="single" w:sz="4" w:space="0" w:color="000000"/>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b/>
                <w:bCs/>
                <w:kern w:val="0"/>
                <w:sz w:val="20"/>
              </w:rPr>
            </w:pPr>
            <w:r w:rsidRPr="009B4587">
              <w:rPr>
                <w:rFonts w:ascii="宋体" w:hAnsi="宋体" w:cs="Arial" w:hint="eastAsia"/>
                <w:b/>
                <w:bCs/>
                <w:kern w:val="0"/>
                <w:sz w:val="20"/>
              </w:rPr>
              <w:t>一级指标1</w:t>
            </w:r>
          </w:p>
        </w:tc>
        <w:tc>
          <w:tcPr>
            <w:tcW w:w="2127" w:type="dxa"/>
            <w:tcBorders>
              <w:top w:val="single" w:sz="4" w:space="0" w:color="000000"/>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b/>
                <w:bCs/>
                <w:kern w:val="0"/>
                <w:sz w:val="20"/>
              </w:rPr>
            </w:pPr>
            <w:r w:rsidRPr="009B4587">
              <w:rPr>
                <w:rFonts w:ascii="宋体" w:hAnsi="宋体" w:cs="Arial" w:hint="eastAsia"/>
                <w:b/>
                <w:bCs/>
                <w:kern w:val="0"/>
                <w:sz w:val="20"/>
              </w:rPr>
              <w:t>二级指标</w:t>
            </w:r>
            <w:r w:rsidRPr="009B4587">
              <w:rPr>
                <w:rFonts w:ascii="宋体" w:hAnsi="宋体" w:cs="Arial" w:hint="eastAsia"/>
                <w:kern w:val="0"/>
                <w:sz w:val="20"/>
              </w:rPr>
              <w:t xml:space="preserve"> </w:t>
            </w:r>
            <w:r w:rsidRPr="009B4587">
              <w:rPr>
                <w:rFonts w:ascii="宋体" w:hAnsi="宋体" w:cs="Arial" w:hint="eastAsia"/>
                <w:b/>
                <w:bCs/>
                <w:kern w:val="0"/>
                <w:sz w:val="20"/>
              </w:rPr>
              <w:t>1</w:t>
            </w:r>
          </w:p>
        </w:tc>
        <w:tc>
          <w:tcPr>
            <w:tcW w:w="2885" w:type="dxa"/>
            <w:tcBorders>
              <w:top w:val="single" w:sz="4" w:space="0" w:color="000000"/>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b/>
                <w:bCs/>
                <w:kern w:val="0"/>
                <w:sz w:val="20"/>
              </w:rPr>
            </w:pPr>
            <w:r w:rsidRPr="009B4587">
              <w:rPr>
                <w:rFonts w:ascii="宋体" w:hAnsi="宋体" w:cs="Arial" w:hint="eastAsia"/>
                <w:b/>
                <w:bCs/>
                <w:kern w:val="0"/>
                <w:sz w:val="20"/>
              </w:rPr>
              <w:t>采购人技术要求</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★CPU信息</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配置≥2颗处理器，每颗CPU核心数≥16核，每颗CPU主频≥2.5GHz，每颗CPU三级缓存≥32MB</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★主板支持的CPU和内存情况</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支持1颗或2颗海光处理器；</w:t>
            </w:r>
            <w:bookmarkStart w:id="0" w:name="_GoBack"/>
            <w:bookmarkEnd w:id="0"/>
            <w:r w:rsidRPr="009B4587">
              <w:rPr>
                <w:rFonts w:ascii="宋体" w:hAnsi="宋体" w:cs="Arial" w:hint="eastAsia"/>
                <w:kern w:val="0"/>
                <w:sz w:val="20"/>
              </w:rPr>
              <w:t>支持≥16条DDR4内存</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★主板内存</w:t>
            </w:r>
            <w:proofErr w:type="gramStart"/>
            <w:r w:rsidRPr="009B4587">
              <w:rPr>
                <w:rFonts w:ascii="宋体" w:hAnsi="宋体" w:cs="Arial" w:hint="eastAsia"/>
                <w:kern w:val="0"/>
                <w:sz w:val="20"/>
              </w:rPr>
              <w:t>槽数量</w:t>
            </w:r>
            <w:proofErr w:type="gramEnd"/>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支持≥16条</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★主板存储接口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支持SAS/SATA</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★PCIe插槽接口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符合PCIe3.0 或以上的高速串行计算机扩展总线标准，PCIe 的接口速率</w:t>
            </w:r>
            <w:proofErr w:type="gramStart"/>
            <w:r w:rsidRPr="009B4587">
              <w:rPr>
                <w:rFonts w:ascii="宋体" w:hAnsi="宋体" w:cs="Arial" w:hint="eastAsia"/>
                <w:kern w:val="0"/>
                <w:sz w:val="20"/>
              </w:rPr>
              <w:t>与位宽需</w:t>
            </w:r>
            <w:proofErr w:type="gramEnd"/>
            <w:r w:rsidRPr="009B4587">
              <w:rPr>
                <w:rFonts w:ascii="宋体" w:hAnsi="宋体" w:cs="Arial" w:hint="eastAsia"/>
                <w:kern w:val="0"/>
                <w:sz w:val="20"/>
              </w:rPr>
              <w:t>保证向下兼容</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★主板PCIe插槽数量及规格</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PCIe扩展配置最大支持6个PCIe 4.0插槽</w:t>
            </w:r>
          </w:p>
        </w:tc>
      </w:tr>
      <w:tr w:rsidR="00B175C3" w:rsidRPr="009B4587" w:rsidTr="005B06BB">
        <w:trPr>
          <w:trHeight w:val="16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特殊孔位及接口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服务器机箱内主板可根据用户实际使用需求支持安装多功能导入装置板卡，机箱内需预留多功能导入装置板卡安装位置，容量不小于55mm×45mm×15mm（长×宽×高，单位毫米）；</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服务器主板可根据用户实际使用需求预留满足 USB2.0 或 USB3.0数据传输规范的接口，工作电压 5V，采用 USB2.0 时，最大过电流应不小于 0.5A，采用 USB3.0 时，最大过电流应不小于 1A</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板载网络</w:t>
            </w:r>
            <w:proofErr w:type="gramEnd"/>
            <w:r w:rsidRPr="009B4587">
              <w:rPr>
                <w:rFonts w:ascii="宋体" w:hAnsi="宋体" w:cs="Arial" w:hint="eastAsia"/>
                <w:kern w:val="0"/>
                <w:sz w:val="20"/>
              </w:rPr>
              <w:t>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持</w:t>
            </w:r>
            <w:proofErr w:type="gramStart"/>
            <w:r w:rsidRPr="009B4587">
              <w:rPr>
                <w:rFonts w:ascii="宋体" w:hAnsi="宋体" w:cs="Arial" w:hint="eastAsia"/>
                <w:kern w:val="0"/>
                <w:sz w:val="20"/>
              </w:rPr>
              <w:t>板载网络</w:t>
            </w:r>
            <w:proofErr w:type="gramEnd"/>
            <w:r w:rsidRPr="009B4587">
              <w:rPr>
                <w:rFonts w:ascii="宋体" w:hAnsi="宋体" w:cs="Arial" w:hint="eastAsia"/>
                <w:kern w:val="0"/>
                <w:sz w:val="20"/>
              </w:rPr>
              <w:t>接口应不少于1个1GE网口</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主板OCP插槽数量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支持OCP2.0及以上插槽的数量不少于1个</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≥4</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★内存规格</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≥DDR4，单条内存不低于32GB</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★内存通道</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存储规格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硬盘类型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至少支持3.5寸机械硬盘</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w:t>
            </w:r>
            <w:proofErr w:type="gramStart"/>
            <w:r w:rsidRPr="009B4587">
              <w:rPr>
                <w:rFonts w:ascii="宋体" w:hAnsi="宋体" w:cs="Arial" w:hint="eastAsia"/>
                <w:kern w:val="0"/>
                <w:sz w:val="20"/>
              </w:rPr>
              <w:t>硬磁盘实配容量</w:t>
            </w:r>
            <w:proofErr w:type="gramEnd"/>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≥2块480G SSD硬盘，≥3块2T SATA硬盘</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硬盘接口类型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至少支持SAS/SATA/U.2接口</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w:t>
            </w:r>
            <w:proofErr w:type="gramStart"/>
            <w:r w:rsidRPr="009B4587">
              <w:rPr>
                <w:rFonts w:ascii="宋体" w:hAnsi="宋体" w:cs="Arial" w:hint="eastAsia"/>
                <w:kern w:val="0"/>
                <w:sz w:val="20"/>
              </w:rPr>
              <w:t>实配数量</w:t>
            </w:r>
            <w:proofErr w:type="gramEnd"/>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≥5</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★硬盘插槽数量及规格</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支持≥12个前置热插拔3.5硬盘</w:t>
            </w:r>
          </w:p>
        </w:tc>
      </w:tr>
      <w:tr w:rsidR="00B175C3" w:rsidRPr="009B4587"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18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硬盘其他参数要求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机械硬盘准备时间应不大于30s；侧面固定螺丝孔数量可为4 孔或6孔；工作状态环境温度应满足5℃~55℃，其它参数应符合 GB/T 12628的相关规定；</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若服务器支持固态盘，固态盘符合SJ/T 11654 相关规定</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RAID卡规格（若支持RAID卡）</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 卡支持的SAS接口数</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≥8</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SAS直通卡规格(若支持SAS直通卡)</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SAS直通卡SAS接口数量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≥0</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HBA卡规格(若支持HBA直通卡)</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HBA卡端口数量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网络规格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★网口速率和数量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网络配置≥2口千兆网口，≥2口万兆网络（含光模块），≥2口16G HBA</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存储型服务器网口速率和数量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存储型服务器1GE 网口数量不少于2个，10GE 以</w:t>
            </w:r>
            <w:proofErr w:type="gramStart"/>
            <w:r w:rsidRPr="009B4587">
              <w:rPr>
                <w:rFonts w:ascii="宋体" w:hAnsi="宋体" w:cs="Arial" w:hint="eastAsia"/>
                <w:kern w:val="0"/>
                <w:sz w:val="20"/>
              </w:rPr>
              <w:t>上网口</w:t>
            </w:r>
            <w:proofErr w:type="gramEnd"/>
            <w:r w:rsidRPr="009B4587">
              <w:rPr>
                <w:rFonts w:ascii="宋体" w:hAnsi="宋体" w:cs="Arial" w:hint="eastAsia"/>
                <w:kern w:val="0"/>
                <w:sz w:val="20"/>
              </w:rPr>
              <w:t>数量不少于2个</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独立网卡网口数量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若配备独立网卡，独立网卡网口数量≥0</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独立网卡接口类型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支持RJ45/QSFP/SFP等</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板载网卡</w:t>
            </w:r>
            <w:proofErr w:type="gramEnd"/>
            <w:r w:rsidRPr="009B4587">
              <w:rPr>
                <w:rFonts w:ascii="宋体" w:hAnsi="宋体" w:cs="Arial" w:hint="eastAsia"/>
                <w:kern w:val="0"/>
                <w:sz w:val="20"/>
              </w:rPr>
              <w:t>接口类型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支持RJ45/QSFP/SFP等</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外部接口规格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★显示接口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支持≥1个VGA接口</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★USB接口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≥4个USB 接口</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29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特殊接口及孔位</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 xml:space="preserve">前面板预留1 </w:t>
            </w:r>
            <w:proofErr w:type="gramStart"/>
            <w:r w:rsidRPr="009B4587">
              <w:rPr>
                <w:rFonts w:ascii="宋体" w:hAnsi="宋体" w:cs="Arial" w:hint="eastAsia"/>
                <w:kern w:val="0"/>
                <w:sz w:val="20"/>
              </w:rPr>
              <w:t>个</w:t>
            </w:r>
            <w:proofErr w:type="gramEnd"/>
            <w:r w:rsidRPr="009B4587">
              <w:rPr>
                <w:rFonts w:ascii="宋体" w:hAnsi="宋体" w:cs="Arial" w:hint="eastAsia"/>
                <w:kern w:val="0"/>
                <w:sz w:val="20"/>
              </w:rPr>
              <w:t xml:space="preserve">专用USB </w:t>
            </w:r>
            <w:proofErr w:type="gramStart"/>
            <w:r w:rsidRPr="009B4587">
              <w:rPr>
                <w:rFonts w:ascii="宋体" w:hAnsi="宋体" w:cs="Arial" w:hint="eastAsia"/>
                <w:kern w:val="0"/>
                <w:sz w:val="20"/>
              </w:rPr>
              <w:t>母座接口</w:t>
            </w:r>
            <w:proofErr w:type="gramEnd"/>
            <w:r w:rsidRPr="009B4587">
              <w:rPr>
                <w:rFonts w:ascii="宋体" w:hAnsi="宋体" w:cs="Arial" w:hint="eastAsia"/>
                <w:kern w:val="0"/>
                <w:sz w:val="20"/>
              </w:rPr>
              <w:t>孔位</w:t>
            </w:r>
          </w:p>
        </w:tc>
      </w:tr>
      <w:tr w:rsidR="00B175C3" w:rsidRPr="009B4587"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其他接口</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串口数量不少于 1个，并可实现GB/T 6107 或 GB/T 26803.2 的相关功能；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 xml:space="preserve">b) 服务器主机前面板可根据用户实际使用需求预留1 </w:t>
            </w:r>
            <w:proofErr w:type="gramStart"/>
            <w:r w:rsidRPr="009B4587">
              <w:rPr>
                <w:rFonts w:ascii="宋体" w:hAnsi="宋体" w:cs="Arial" w:hint="eastAsia"/>
                <w:kern w:val="0"/>
                <w:sz w:val="20"/>
              </w:rPr>
              <w:t>个</w:t>
            </w:r>
            <w:proofErr w:type="gramEnd"/>
            <w:r w:rsidRPr="009B4587">
              <w:rPr>
                <w:rFonts w:ascii="宋体" w:hAnsi="宋体" w:cs="Arial" w:hint="eastAsia"/>
                <w:kern w:val="0"/>
                <w:sz w:val="20"/>
              </w:rPr>
              <w:t xml:space="preserve">专用USB </w:t>
            </w:r>
            <w:proofErr w:type="gramStart"/>
            <w:r w:rsidRPr="009B4587">
              <w:rPr>
                <w:rFonts w:ascii="宋体" w:hAnsi="宋体" w:cs="Arial" w:hint="eastAsia"/>
                <w:kern w:val="0"/>
                <w:sz w:val="20"/>
              </w:rPr>
              <w:t>母座接口</w:t>
            </w:r>
            <w:proofErr w:type="gramEnd"/>
            <w:r w:rsidRPr="009B4587">
              <w:rPr>
                <w:rFonts w:ascii="宋体" w:hAnsi="宋体" w:cs="Arial" w:hint="eastAsia"/>
                <w:kern w:val="0"/>
                <w:sz w:val="20"/>
              </w:rPr>
              <w:t>孔位</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电源冗余模式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整机电源模块按1+1 冗余或N+1 冗余配置</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★电源模块数量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★电源功率</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≥2个标准电源</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电源指示灯</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配备电源指示灯，指示待机、工作异常等状态</w:t>
            </w:r>
          </w:p>
        </w:tc>
      </w:tr>
      <w:tr w:rsidR="00B175C3" w:rsidRPr="009B4587" w:rsidTr="005B06BB">
        <w:trPr>
          <w:trHeight w:val="1229"/>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35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整机规格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★外观和结构</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a)服务器的零部件应紧固无松动，可插拔部件应可靠连接，开关、按钮和其它控制部件应灵活可靠，布局应方便使用；</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产品表面不应有明显的凹痕、划伤、裂缝、变形和污染等。表面涂层均匀，不应起泡、龟裂、脱落和磨损，金属零部件无锈蚀及其它机械损伤；</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产品表面说明功能的文字、符号和标志应清晰、端正且牢固；</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 应在服务器的显著位置提供运行状态的指示功能，并在随机文件中明确具体含义；</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e) 机架、机箱的尺寸应符合通用机柜的安装要求，插入总线插座的电路板接口外形尺寸应符合有关总线标准的规定，将机箱固定在机柜上，机箱底面最大下垂变形不得干涉相邻机体；</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f) 高密度服务器应给出CPU个数与机柜高度；</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g) 服务器尺寸具体要求在随机文件中明确</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★尺寸（高×宽×深）</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供应商提供所投产品尺寸，应满足42U标准机柜（600mm*1000mm）安装</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服务器导轨</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至少配置两条专用滑轨</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 个数与机柜高度单位(U)比</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CPU≥2，服务器高度≥2U</w:t>
            </w:r>
          </w:p>
        </w:tc>
      </w:tr>
      <w:tr w:rsidR="00B175C3" w:rsidRPr="009B4587"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39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★环境适应性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气候环境适应性应符合GB/T9813.3 的有关规定，工作温度10～35℃，贮存运输温度-40～55℃；工作相对湿度35%～80%，贮存运输相对湿度20％～93%（40℃）；大气压86～106kPa"</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特殊机型环境适应性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不限定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★机械环境适应性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机械环境适应性应符合GB/T9813.3 的有关规定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★噪声</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符合GB/T 9813.3 的有关规</w:t>
            </w:r>
            <w:r w:rsidRPr="009B4587">
              <w:rPr>
                <w:rFonts w:ascii="宋体" w:hAnsi="宋体" w:cs="Arial" w:hint="eastAsia"/>
                <w:kern w:val="0"/>
                <w:sz w:val="20"/>
              </w:rPr>
              <w:lastRenderedPageBreak/>
              <w:t>定，在产品说明中给出具体测试值</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43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AI计算单元规格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AI计算单元</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不限定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一键式迁移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不限定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机柜规格</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★机柜尺寸</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供应商所投产品应为标准机架</w:t>
            </w:r>
            <w:proofErr w:type="gramStart"/>
            <w:r w:rsidRPr="009B4587">
              <w:rPr>
                <w:rFonts w:ascii="宋体" w:hAnsi="宋体" w:cs="Arial" w:hint="eastAsia"/>
                <w:kern w:val="0"/>
                <w:sz w:val="20"/>
              </w:rPr>
              <w:t>式设备</w:t>
            </w:r>
            <w:proofErr w:type="gramEnd"/>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机柜管理板</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配备机柜管理板</w:t>
            </w:r>
          </w:p>
        </w:tc>
      </w:tr>
      <w:tr w:rsidR="00B175C3" w:rsidRPr="009B4587"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产品规格</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机柜电源规格</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 xml:space="preserve">a) 机柜电源支持集中供电，电源输入不少于2 </w:t>
            </w:r>
            <w:proofErr w:type="gramStart"/>
            <w:r w:rsidRPr="009B4587">
              <w:rPr>
                <w:rFonts w:ascii="宋体" w:hAnsi="宋体" w:cs="Arial" w:hint="eastAsia"/>
                <w:kern w:val="0"/>
                <w:sz w:val="20"/>
              </w:rPr>
              <w:t>路且支持</w:t>
            </w:r>
            <w:proofErr w:type="gramEnd"/>
            <w:r w:rsidRPr="009B4587">
              <w:rPr>
                <w:rFonts w:ascii="宋体" w:hAnsi="宋体" w:cs="Arial" w:hint="eastAsia"/>
                <w:kern w:val="0"/>
                <w:sz w:val="20"/>
              </w:rPr>
              <w:t>自动切换；</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机柜电源模块支持 N+1 冗余配置，电源模块可独立更换</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★主板外部接口种类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支持USB、显示、管理等接口</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49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主板防烧板设计</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支持主板防烧板设计，保证电源故障后不扩散</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扩展功能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实现至少一种扩展功能，如存储功能卡、显示功能卡、运算加速功能卡及网络功能卡等扩展功能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网络功能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★网络功能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支持网络连接、网络访问、数据交换和网络管</w:t>
            </w:r>
            <w:proofErr w:type="gramStart"/>
            <w:r w:rsidRPr="009B4587">
              <w:rPr>
                <w:rFonts w:ascii="宋体" w:hAnsi="宋体" w:cs="Arial" w:hint="eastAsia"/>
                <w:kern w:val="0"/>
                <w:sz w:val="20"/>
              </w:rPr>
              <w:t>控功能</w:t>
            </w:r>
            <w:proofErr w:type="gramEnd"/>
          </w:p>
        </w:tc>
      </w:tr>
      <w:tr w:rsidR="00B175C3" w:rsidRPr="009B4587"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★计算处理</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支持通用计算及虚拟化功能。处理器需集成整型计算单元、浮点计算单元、内存控制器、I/O 模块等，处理器与存储部件、网络部件、I/O部件等组成计算系统，提供数据处理、网络接入等计算相关功能</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★密码算法实现</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CPU 芯片应符合GM/T 0008 的相关规定，或芯片密码模块应符合GB/T37092 或GM/T 0028 的相关规定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存储功能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内存校验</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支持内存校验或内存增强型纠错功能</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SATA SSD NAND健康状态上报</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支持关键外部存储器（硬磁盘、SSD等）的健康状态上报并进行故障诊断</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SATA SSD单 die 故障隔离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支持SSD 关键外部存储器中单</w:t>
            </w:r>
            <w:proofErr w:type="gramStart"/>
            <w:r w:rsidRPr="009B4587">
              <w:rPr>
                <w:rFonts w:ascii="宋体" w:hAnsi="宋体" w:cs="Arial" w:hint="eastAsia"/>
                <w:kern w:val="0"/>
                <w:sz w:val="20"/>
              </w:rPr>
              <w:t>存储晶元故障隔离</w:t>
            </w:r>
            <w:proofErr w:type="gramEnd"/>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RAID卡功能（若支持RAID卡）</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 卡RAID 级别支持</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RAID模式支持 RAID 0/1/10/5，存储</w:t>
            </w:r>
            <w:proofErr w:type="gramStart"/>
            <w:r w:rsidRPr="009B4587">
              <w:rPr>
                <w:rFonts w:ascii="宋体" w:hAnsi="宋体" w:cs="Arial" w:hint="eastAsia"/>
                <w:kern w:val="0"/>
                <w:sz w:val="20"/>
              </w:rPr>
              <w:t>型支持</w:t>
            </w:r>
            <w:proofErr w:type="gramEnd"/>
            <w:r w:rsidRPr="009B4587">
              <w:rPr>
                <w:rFonts w:ascii="宋体" w:hAnsi="宋体" w:cs="Arial" w:hint="eastAsia"/>
                <w:kern w:val="0"/>
                <w:sz w:val="20"/>
              </w:rPr>
              <w:t>RAID 0/1/5/6/10/50/60</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58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 卡BBU 单元</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RAID卡支持电池或电容备份单元</w:t>
            </w:r>
          </w:p>
        </w:tc>
      </w:tr>
      <w:tr w:rsidR="00B175C3" w:rsidRPr="009B4587"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59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光驱</w:t>
            </w: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光驱类型（是否支持RW，以及光盘类型CD/DVD）</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若配备光驱，应提供光驱的安装形式（如内置、外置）、光驱读写类型（如只读、可刻录等）、光盘类型的兼容列表（如CD-ROM、CD-RW、 DVD±RW 等）</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★电源热插拔</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整机电源模块应具备热插拔功能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★电源过流保护</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支持过流及短路保护的功能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整机功能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★散热方式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支持风冷或液冷等散热方式</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其他功能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支持关键部件冗余（包括电源、风扇等）；</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支持熔断保护与恢复功能</w:t>
            </w:r>
          </w:p>
        </w:tc>
      </w:tr>
      <w:tr w:rsidR="00B175C3" w:rsidRPr="009B4587" w:rsidTr="005B06BB">
        <w:trPr>
          <w:trHeight w:val="4064"/>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管理系统功能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★BMC固件基础功能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 支持DHCP 设置网络功能；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2)支持静态IP 设置网络功能；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3)支持设备日志记录，包括但不限于登录日志、操作日志和报警日志等功能；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4)支持日志信息导出和记录删除功能；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5)支持通过管理接口向外输出准确的报警信息功能；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6)设备的BMC 管理软件应能够按报警的严重程度进行区分</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7) 支持IPMI2.0、SNMP 或Redfish等接口功能；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8) 支持键盘、鼠标和视频的重定向、文本控制台的重定向、远程虚拟媒体、高可靠的硬件监控和管理功能；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9) 支持基于网络开启、关闭和重</w:t>
            </w:r>
            <w:proofErr w:type="gramStart"/>
            <w:r w:rsidRPr="009B4587">
              <w:rPr>
                <w:rFonts w:ascii="宋体" w:hAnsi="宋体" w:cs="Arial" w:hint="eastAsia"/>
                <w:kern w:val="0"/>
                <w:sz w:val="20"/>
              </w:rPr>
              <w:t>启设备</w:t>
            </w:r>
            <w:proofErr w:type="gramEnd"/>
            <w:r w:rsidRPr="009B4587">
              <w:rPr>
                <w:rFonts w:ascii="宋体" w:hAnsi="宋体" w:cs="Arial" w:hint="eastAsia"/>
                <w:kern w:val="0"/>
                <w:sz w:val="20"/>
              </w:rPr>
              <w:t>的功能，并查询当前设备开机运行状态；</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10) 支持故障提示功能，并可通过接口读取服务器故障信息；</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11) 支持基于网络的固件更新功能，包括BMC 和BIOS 等；</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12) 支持基于网络安装操作系统的功能，并可通过网络控制台访问设备；</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13) 支持通过本地的硬盘或光</w:t>
            </w:r>
            <w:r w:rsidRPr="009B4587">
              <w:rPr>
                <w:rFonts w:ascii="宋体" w:hAnsi="宋体" w:cs="Arial" w:hint="eastAsia"/>
                <w:kern w:val="0"/>
                <w:sz w:val="20"/>
              </w:rPr>
              <w:lastRenderedPageBreak/>
              <w:t>驱等存储设备，基于网络完成设备的操作系统安装功能；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14) 支持通过浏览器打开管理界面并登录功能；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15) 支持设置口令策略功能；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16) 支持访问权限设置功能，并通过日志记录访问事件；</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17) 支持对出厂默认的用户名及口令进行安全保护功能，并提供默认口令修改提示；</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18) 支持读取设备主板的工作环境温度功能；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19) 支持读取服务器CPU等核心器件的温度功能；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20) 支持通过外部管理工具进行 BMC参数设置的功能，并可基于网络通过外部管理工具对BMC 进行管理；</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21) 应支持固件版本查询、固件升级</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22) 支持基于网络实现开关机和复位控制的功能；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23) BMC启动时间应不超过 180s，实现功能包括网络、IPMI、散热、传感器服务可用；</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24) 支持BMC固件设置的恢复出厂功能</w:t>
            </w:r>
          </w:p>
        </w:tc>
      </w:tr>
      <w:tr w:rsidR="00B175C3" w:rsidRPr="009B4587"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65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BMC固件增强功能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网络控制、安装提供图形访问界面网络；</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设备的BMC管理软件界面显示报警信息，且能够按报警的严重程度进行区分；</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Web GUI 采用 BMC 端口直连，平均响应时间为不大于1s</w:t>
            </w:r>
          </w:p>
        </w:tc>
      </w:tr>
      <w:tr w:rsidR="00B175C3" w:rsidRPr="009B4587" w:rsidTr="005B06BB">
        <w:trPr>
          <w:trHeight w:val="1512"/>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★BIOS固件基础功能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a）支持查看固件版本、内存信息、主板信息、处理器信息和系统时间信息功能；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b）支持上电初始化界面显示CPU 信息、内存信息、固件版本和部分快捷键信息功能；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c）支持设置界面中英文显示切换功能；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d）支持查看PCIe 设备信息，</w:t>
            </w:r>
            <w:r w:rsidRPr="009B4587">
              <w:rPr>
                <w:rFonts w:ascii="宋体" w:hAnsi="宋体" w:cs="Arial" w:hint="eastAsia"/>
                <w:kern w:val="0"/>
                <w:sz w:val="20"/>
              </w:rPr>
              <w:lastRenderedPageBreak/>
              <w:t>SATA设备信息功能；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e）支持操作系统安装和引导功能，应并向操作系统提供计算机主板信息和服务接口；</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f）支持设置启动顺序，并按照设置的启动顺序启动功能；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支持安全启动功能；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h）支持设置口令、修改口令、验证口令功能；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i）支持</w:t>
            </w:r>
            <w:proofErr w:type="gramStart"/>
            <w:r w:rsidRPr="009B4587">
              <w:rPr>
                <w:rFonts w:ascii="宋体" w:hAnsi="宋体" w:cs="Arial" w:hint="eastAsia"/>
                <w:kern w:val="0"/>
                <w:sz w:val="20"/>
              </w:rPr>
              <w:t>板载显示</w:t>
            </w:r>
            <w:proofErr w:type="gramEnd"/>
            <w:r w:rsidRPr="009B4587">
              <w:rPr>
                <w:rFonts w:ascii="宋体" w:hAnsi="宋体" w:cs="Arial" w:hint="eastAsia"/>
                <w:kern w:val="0"/>
                <w:sz w:val="20"/>
              </w:rPr>
              <w:t>控制或独立显卡的显示控制功能；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j） 支持 RAID 识别和启动功能；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k） 支持串口重定向功能；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l） 支持固件更新功能；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m） 支持 BIOS 固件设置的恢复出厂功能；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n） 支持网络引导启用和关闭功能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67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★远程控制</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支持远程关机和重新启动功能</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操作系统及驱动功能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★操作系统及驱动的升级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支持通过网络、闪存盘对操作系统、驱动进行升级</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69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操作系统及驱动的备份还原</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支持操作系统备份及还原功能</w:t>
            </w:r>
          </w:p>
        </w:tc>
      </w:tr>
      <w:tr w:rsidR="00B175C3" w:rsidRPr="009B4587"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★操作系统功能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支持访问控制、安全审计、网络接入鉴别等功能；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操作系统其他功能应满足操作系统政府采购需求标准中加*的指标要求</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中文信息处理功能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★中文信息处理</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符合GB 18030 的有关规定</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机柜功能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机柜管理功能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机柜管理系统包括服务器节点BMC管理系统、机柜管理系统或交换节点管理系统</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机柜通信方式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若配备机柜管理板可实现包括：资产管理、电源模块、功耗管理和液冷漏液检测等功能</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多集群作业管理</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支持多集群作业管理功能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关键部件安全要求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★关键部件安全要求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不限定</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固件安全要求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★故障检测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支持故障检测功能，可以检测到具体的FRU（内存、硬盘等）</w:t>
            </w:r>
            <w:r w:rsidRPr="009B4587">
              <w:rPr>
                <w:rFonts w:ascii="宋体" w:hAnsi="宋体" w:cs="Arial" w:hint="eastAsia"/>
                <w:kern w:val="0"/>
                <w:sz w:val="20"/>
              </w:rPr>
              <w:lastRenderedPageBreak/>
              <w:t>的故障并发出告警</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77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内存故障智能预测和自愈修复</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支持内存故障智能预测和自愈修复，提前自动硬隔离，避免内存故障引起的非预期</w:t>
            </w:r>
            <w:proofErr w:type="gramStart"/>
            <w:r w:rsidRPr="009B4587">
              <w:rPr>
                <w:rFonts w:ascii="宋体" w:hAnsi="宋体" w:cs="Arial" w:hint="eastAsia"/>
                <w:kern w:val="0"/>
                <w:sz w:val="20"/>
              </w:rPr>
              <w:t>宕</w:t>
            </w:r>
            <w:proofErr w:type="gramEnd"/>
            <w:r w:rsidRPr="009B4587">
              <w:rPr>
                <w:rFonts w:ascii="宋体" w:hAnsi="宋体" w:cs="Arial" w:hint="eastAsia"/>
                <w:kern w:val="0"/>
                <w:sz w:val="20"/>
              </w:rPr>
              <w:t>机以及内存寿命的降低</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硬盘故障智能预测</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支持硬盘故障智能预测，基于故障模型预测出硬盘的故障</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79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PCIe 链路故障智能诊断</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支持PCIe 链路故障智能诊断，判断出现故障的PCIe 链路</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内存故障隔离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支持内存故障隔离，在内存产生CE故障时，内存地址被隔离成功，服务器正常运行，业务系统不中断</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内存、PCIe卡的故障精准告警功能</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支持内存、PCIe卡的故障精准告警功能，触发告警并明确指示具体的故障位置</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异常下</w:t>
            </w:r>
            <w:proofErr w:type="gramStart"/>
            <w:r w:rsidRPr="009B4587">
              <w:rPr>
                <w:rFonts w:ascii="宋体" w:hAnsi="宋体" w:cs="Arial" w:hint="eastAsia"/>
                <w:kern w:val="0"/>
                <w:sz w:val="20"/>
              </w:rPr>
              <w:t>电关键</w:t>
            </w:r>
            <w:proofErr w:type="gramEnd"/>
            <w:r w:rsidRPr="009B4587">
              <w:rPr>
                <w:rFonts w:ascii="宋体" w:hAnsi="宋体" w:cs="Arial" w:hint="eastAsia"/>
                <w:kern w:val="0"/>
                <w:sz w:val="20"/>
              </w:rPr>
              <w:t>数据保护</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支持异常下</w:t>
            </w:r>
            <w:proofErr w:type="gramStart"/>
            <w:r w:rsidRPr="009B4587">
              <w:rPr>
                <w:rFonts w:ascii="宋体" w:hAnsi="宋体" w:cs="Arial" w:hint="eastAsia"/>
                <w:kern w:val="0"/>
                <w:sz w:val="20"/>
              </w:rPr>
              <w:t>电关键</w:t>
            </w:r>
            <w:proofErr w:type="gramEnd"/>
            <w:r w:rsidRPr="009B4587">
              <w:rPr>
                <w:rFonts w:ascii="宋体" w:hAnsi="宋体" w:cs="Arial" w:hint="eastAsia"/>
                <w:kern w:val="0"/>
                <w:sz w:val="20"/>
              </w:rPr>
              <w:t>数据保护，支持数据备份恢复机制，防止系统异常掉电导致的数据文件丢失</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BMC/BIOS</w:t>
            </w:r>
            <w:proofErr w:type="gramStart"/>
            <w:r w:rsidRPr="009B4587">
              <w:rPr>
                <w:rFonts w:ascii="宋体" w:hAnsi="宋体" w:cs="Arial" w:hint="eastAsia"/>
                <w:kern w:val="0"/>
                <w:sz w:val="20"/>
              </w:rPr>
              <w:t>固件双</w:t>
            </w:r>
            <w:proofErr w:type="gramEnd"/>
            <w:r w:rsidRPr="009B4587">
              <w:rPr>
                <w:rFonts w:ascii="宋体" w:hAnsi="宋体" w:cs="Arial" w:hint="eastAsia"/>
                <w:kern w:val="0"/>
                <w:sz w:val="20"/>
              </w:rPr>
              <w:t>镜像保护</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 xml:space="preserve">支持BMC/BIOS </w:t>
            </w:r>
            <w:proofErr w:type="gramStart"/>
            <w:r w:rsidRPr="009B4587">
              <w:rPr>
                <w:rFonts w:ascii="宋体" w:hAnsi="宋体" w:cs="Arial" w:hint="eastAsia"/>
                <w:kern w:val="0"/>
                <w:sz w:val="20"/>
              </w:rPr>
              <w:t>固件双</w:t>
            </w:r>
            <w:proofErr w:type="gramEnd"/>
            <w:r w:rsidRPr="009B4587">
              <w:rPr>
                <w:rFonts w:ascii="宋体" w:hAnsi="宋体" w:cs="Arial" w:hint="eastAsia"/>
                <w:kern w:val="0"/>
                <w:sz w:val="20"/>
              </w:rPr>
              <w:t>镜像保护，运行异常时自动切换到备份镜像运行，提升系统稳定性</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w:t>
            </w:r>
            <w:proofErr w:type="gramStart"/>
            <w:r w:rsidRPr="009B4587">
              <w:rPr>
                <w:rFonts w:ascii="宋体" w:hAnsi="宋体" w:cs="Arial" w:hint="eastAsia"/>
                <w:kern w:val="0"/>
                <w:sz w:val="20"/>
              </w:rPr>
              <w:t>核重启</w:t>
            </w:r>
            <w:proofErr w:type="gramEnd"/>
            <w:r w:rsidRPr="009B4587">
              <w:rPr>
                <w:rFonts w:ascii="宋体" w:hAnsi="宋体" w:cs="Arial" w:hint="eastAsia"/>
                <w:kern w:val="0"/>
                <w:sz w:val="20"/>
              </w:rPr>
              <w:t>隔离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支持CPU 核发生不可纠正故障后，重启后由BIOS 隔离该故障核，OS不可见，防止OS 再次使用导致系统异常，核0 除外</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内存地址隔离</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在硬件支持的情况下，支持故障内存地址重启后隔离</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内存存储阵列替换</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在硬件支持的情况下，支持故障内存存储阵列替换</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安全启动</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支持执行环境要求在整个系统启动的过程中，系统应提供一个机制来保护平台的完整性</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系统安全要求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syslog 双向鉴别</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支持系统日志双向鉴别，对服务器根证书和客户端根证书进行鉴别</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89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★弱口令字典检查</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支持弱口令字典检查功能，出现在弱口令字典中的字符串不能被设置为用户口令</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★白名单访问控制</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支持基于时间、IP 或MAC 白名单访问控制</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91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双因素</w:t>
            </w:r>
            <w:proofErr w:type="gramEnd"/>
            <w:r w:rsidRPr="009B4587">
              <w:rPr>
                <w:rFonts w:ascii="宋体" w:hAnsi="宋体" w:cs="Arial" w:hint="eastAsia"/>
                <w:kern w:val="0"/>
                <w:sz w:val="20"/>
              </w:rPr>
              <w:t>鉴别</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支持使用客户端证书和证书密码的</w:t>
            </w:r>
            <w:proofErr w:type="gramStart"/>
            <w:r w:rsidRPr="009B4587">
              <w:rPr>
                <w:rFonts w:ascii="宋体" w:hAnsi="宋体" w:cs="Arial" w:hint="eastAsia"/>
                <w:kern w:val="0"/>
                <w:sz w:val="20"/>
              </w:rPr>
              <w:t>双因素</w:t>
            </w:r>
            <w:proofErr w:type="gramEnd"/>
            <w:r w:rsidRPr="009B4587">
              <w:rPr>
                <w:rFonts w:ascii="宋体" w:hAnsi="宋体" w:cs="Arial" w:hint="eastAsia"/>
                <w:kern w:val="0"/>
                <w:sz w:val="20"/>
              </w:rPr>
              <w:t>鉴别方式登录管理系统</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★二次鉴别</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支持二次鉴别功能。对于用户配置、权限配置、公</w:t>
            </w:r>
            <w:proofErr w:type="gramStart"/>
            <w:r w:rsidRPr="009B4587">
              <w:rPr>
                <w:rFonts w:ascii="宋体" w:hAnsi="宋体" w:cs="Arial" w:hint="eastAsia"/>
                <w:kern w:val="0"/>
                <w:sz w:val="20"/>
              </w:rPr>
              <w:t>钥</w:t>
            </w:r>
            <w:proofErr w:type="gramEnd"/>
            <w:r w:rsidRPr="009B4587">
              <w:rPr>
                <w:rFonts w:ascii="宋体" w:hAnsi="宋体" w:cs="Arial" w:hint="eastAsia"/>
                <w:kern w:val="0"/>
                <w:sz w:val="20"/>
              </w:rPr>
              <w:t>导入等重要的管理操作，已登录用户应通过二次鉴别后，才能执行操作</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匿名</w:t>
            </w:r>
            <w:proofErr w:type="gramStart"/>
            <w:r w:rsidRPr="009B4587">
              <w:rPr>
                <w:rFonts w:ascii="宋体" w:hAnsi="宋体" w:cs="Arial" w:hint="eastAsia"/>
                <w:kern w:val="0"/>
                <w:sz w:val="20"/>
              </w:rPr>
              <w:t>化用户</w:t>
            </w:r>
            <w:proofErr w:type="gramEnd"/>
            <w:r w:rsidRPr="009B4587">
              <w:rPr>
                <w:rFonts w:ascii="宋体" w:hAnsi="宋体" w:cs="Arial" w:hint="eastAsia"/>
                <w:kern w:val="0"/>
                <w:sz w:val="20"/>
              </w:rPr>
              <w:t>告警接收邮箱</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支持带外管理系统中的用户告警接收邮箱进行匿名化处理</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★密码证书安全加密存储</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支持对带外管理系统中的用户口令和证书等敏感信息进行加密存储，禁止使用私有的和业界已知不安全的密码算法</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★敏感信息安全加密传输</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支持使用安全的传输加密协议（如SSH 或HTTPS 等）传输用户的敏感信息</w:t>
            </w:r>
          </w:p>
        </w:tc>
      </w:tr>
      <w:tr w:rsidR="00B175C3" w:rsidRPr="009B4587" w:rsidTr="005B06BB">
        <w:trPr>
          <w:trHeight w:val="96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信息安全要求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★研发过程安全</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供应商承诺，生产商已建立从需求、设计、开发、测试、维护端到端的开发流程管理机制，输出和保存开发流程中每个阶段的产品需求清单、设计文档、开发文档、测试记录等材料，保证各个流程可追溯</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漏洞管理</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供应商承诺，生产商已建立漏洞全量视图，保证产品版本涉及到的所有漏洞(如驱动程序、BMC 软件等)都可以查看</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网络关键设备服务器要求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作为网络关键设备的服务器应符合GB 40050 的相关规定</w:t>
            </w:r>
          </w:p>
        </w:tc>
      </w:tr>
      <w:tr w:rsidR="00B175C3" w:rsidRPr="009B4587"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99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增强要求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嵌入物理可信根，实现设备的信任链构建；</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支持可信平台控制模块(TPCM)；</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支持在固件系统（BMC、BIOS）启动前实现对固件度量的功能，支持物理可信根对BMC固件或BIOS固件进行完整性检测、更新和恢复；</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物理安全</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★物理安全</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安全要求应符合GB 4943.1 的规定</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安全要求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限用物质的限量要求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★限用物质的限量要求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限用物质的限量应符合GB/T 26572的要求</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102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★CPU主频</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≥2.5GHz</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★单CPU核数</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≥16</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★单CPU末级缓存容量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≥32MB</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单内存模块容量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≥32GB</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★内存速率</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≥3200MT/s</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存储性能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硬盘转速</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安装的硬磁盘转速不小于7200rpm</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RAID卡性能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 卡缓存容量大小</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 xml:space="preserve">若配备RAID </w:t>
            </w:r>
            <w:proofErr w:type="gramStart"/>
            <w:r w:rsidRPr="009B4587">
              <w:rPr>
                <w:rFonts w:ascii="宋体" w:hAnsi="宋体" w:cs="Arial" w:hint="eastAsia"/>
                <w:kern w:val="0"/>
                <w:sz w:val="20"/>
              </w:rPr>
              <w:t>卡且</w:t>
            </w:r>
            <w:proofErr w:type="gramEnd"/>
            <w:r w:rsidRPr="009B4587">
              <w:rPr>
                <w:rFonts w:ascii="宋体" w:hAnsi="宋体" w:cs="Arial" w:hint="eastAsia"/>
                <w:kern w:val="0"/>
                <w:sz w:val="20"/>
              </w:rPr>
              <w:t xml:space="preserve"> RAID 卡有缓存容量，容量不少于1GB</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109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FC HBA卡性能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FC HBA 卡速率</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若配备FC HBA 卡，单端口最大的连接速率不少于8Gb/s</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网络性能</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独立网卡速率</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≥10GE</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板载网卡</w:t>
            </w:r>
            <w:proofErr w:type="gramEnd"/>
            <w:r w:rsidRPr="009B4587">
              <w:rPr>
                <w:rFonts w:ascii="宋体" w:hAnsi="宋体" w:cs="Arial" w:hint="eastAsia"/>
                <w:kern w:val="0"/>
                <w:sz w:val="20"/>
              </w:rPr>
              <w:t>速率</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≥1GE</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电源能耗</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★电源能耗</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符合GB/T 9813.3 的有关规定</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部件兼容性要求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★内存兼容性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适配3 种及以上厂商的内存产品，且均不低于产品支持的内存规格</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★固态存储兼容性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适配3 种或以上厂商的固态存储产品，且均不低于产品支持的固态存储设备规格</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FC HBA 卡兼容性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FC HBA 应适配两种或以上厂商产品</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RAID 卡兼容性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RAID卡应适配两种或以上厂商产品</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★网卡兼容性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网卡应适配两种或以上厂商产品</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★功能卡兼容性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内置或适配符合PCIe 的功能卡，如：网络功能卡、存储功能卡及图形显示功能卡</w:t>
            </w:r>
          </w:p>
        </w:tc>
      </w:tr>
      <w:tr w:rsidR="00B175C3" w:rsidRPr="009B4587" w:rsidTr="005B06BB">
        <w:trPr>
          <w:trHeight w:val="236"/>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119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外设兼容性</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★外设兼容性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兼容多种主流生产商的外部设备，包括显示器、键盘、鼠标、闪存盘、移动硬盘、USB 光驱及KVM 等，要求使用不同厂商的外部设备时，系统均能正常识别和安装驱动</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软件兼容性</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★数据库兼容</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兼容3个及以上厂商的数据库产品</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★中间件兼容</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兼容3个及以上厂商的中间件产品</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★平台软件兼容</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兼容3个及以上厂商的大数据平台</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123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兼容要求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虚拟化软件兼容</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兼容2款及以上虚拟化软件</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可靠性要求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存储可靠性要求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SATA SSD可靠性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SSD 的 m1值（MTBF 的不可接受值）不低于200000h</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可靠性要求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整机可靠性要求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★整机可靠性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m1 值（MTBF 的不可接受值）不得低于30000h</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★风扇可靠性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风扇寿命应不低于40000h</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可靠性要求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★部件可靠性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支持硬盘、电源、风扇热插拔(内置风扇除外)</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包装及运输要求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包装及运输要求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★标志、包装、运输和贮存</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符合GB/T 9813.3 和商品包装政府采购需求标准的相关规定</w:t>
            </w:r>
          </w:p>
        </w:tc>
      </w:tr>
      <w:tr w:rsidR="00B175C3" w:rsidRPr="009B4587" w:rsidTr="005B06BB">
        <w:trPr>
          <w:trHeight w:val="16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129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服务响应</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★服务响应</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提供电话、电子邮件、远程连接等多种形式服务；</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提供同城 4h、异地 12h 技术响应服务，3个工作日解决问题，对于未能解决的问题和故障应提供可行的升级方案，并提供周转设备；</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建立全国技术服务体系和服务团体，符合专业服务体系标准要求，提供原厂中文服务；</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 服务周期内提供产品的维修、换件和升级服务</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★培训服务</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供应商提供培训材料、产品手册、培训视频等培训相关内容</w:t>
            </w:r>
          </w:p>
        </w:tc>
      </w:tr>
      <w:tr w:rsidR="00B175C3" w:rsidRPr="009B4587"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服务周期</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★服务周期</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产品免费服务周期（含换件和维修）应不小于3 年；</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设备停产后继续提供质量保障服务（含备品备件），服务终止时间与最后一批设备交付时间间隔不低于6 年；</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产品停止服务时间应提前1 年告知客户；</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 产品发布日期需在随机文件中明确</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服务工具要求</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★工具要求</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供应商提供设置服务器硬件、辅助操作系统安装等功能的辅助工具和管理软件。且随附软件应具有合法授权或版权</w:t>
            </w:r>
          </w:p>
        </w:tc>
      </w:tr>
      <w:tr w:rsidR="00B175C3" w:rsidRPr="009B4587" w:rsidTr="005B06BB">
        <w:trPr>
          <w:trHeight w:val="120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辅助工具</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支持如下功能：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a) 本地的数据备份和还原功能；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b) 网络的数据备份和还原功</w:t>
            </w:r>
            <w:r w:rsidRPr="009B4587">
              <w:rPr>
                <w:rFonts w:ascii="宋体" w:hAnsi="宋体" w:cs="Arial" w:hint="eastAsia"/>
                <w:kern w:val="0"/>
                <w:sz w:val="20"/>
              </w:rPr>
              <w:lastRenderedPageBreak/>
              <w:t>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 服务器操作系统的自动安装功能；</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d) 服务器所配硬件需要的驱动程序和系统补丁</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134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★驱动安装升级指引</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供应商提供出厂安装的配件所需的驱动程序，形式包括但不限于驱动光盘、驱动下载链接等。其他配件应提供指引</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随机附开盖工具</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随服务器打包提供开机</w:t>
            </w:r>
            <w:proofErr w:type="gramStart"/>
            <w:r w:rsidRPr="009B4587">
              <w:rPr>
                <w:rFonts w:ascii="宋体" w:hAnsi="宋体" w:cs="Arial" w:hint="eastAsia"/>
                <w:kern w:val="0"/>
                <w:sz w:val="20"/>
              </w:rPr>
              <w:t>箱工具</w:t>
            </w:r>
            <w:proofErr w:type="gramEnd"/>
          </w:p>
        </w:tc>
      </w:tr>
      <w:tr w:rsidR="00B175C3" w:rsidRPr="009B4587" w:rsidTr="005B06BB">
        <w:trPr>
          <w:trHeight w:val="144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136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代码迁移工具</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供应商提供从其他CPU 架构到当前服务器CPU 架构的软件迁移工具产品，支持软件包迁移评估，对满足产品重构要求的软件包，能重构为当前服务器CPU 架构的软件包。提供源码迁移功能，检查分析</w:t>
            </w:r>
          </w:p>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C/C++/Fortran/Go/解释型语言/汇编等源码文件，基于产品功能给出迁移指导</w:t>
            </w:r>
          </w:p>
        </w:tc>
      </w:tr>
      <w:tr w:rsidR="00B175C3" w:rsidRPr="009B4587" w:rsidTr="005B06BB">
        <w:trPr>
          <w:trHeight w:val="72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137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性能分析工具</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供应商提供支持当前服务器CPU 架构的性能分析工具产品，支持系统性能分析、Java性能分析和系统诊断，可分析系统或应用在 CPU、内存、 IO、网络等方面的性能，并给出优化建议</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138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跨架构平台应用兼容</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跨CPU 架构平台应用兼容工具，可兼容一种或者一种以上不同架构平台的应用</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139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★管理软件</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具备资源管理、系统管理、性能监控、健康监控、基于网络控制、报警设置功能</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140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增值服务</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★厂家升级产品软件与扩容服务</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供应商提供原厂级的部件/软件产品升级和扩容能力</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141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服务保障升级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供应商有偿提供远程技术支持、软件授权服务、备件更换服务、现场支承服务</w:t>
            </w:r>
          </w:p>
        </w:tc>
      </w:tr>
      <w:tr w:rsidR="00B175C3" w:rsidRPr="009B4587" w:rsidTr="005B06BB">
        <w:trPr>
          <w:trHeight w:val="285"/>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142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★提供上门服务</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供应商具备上门服务的能力</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143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服务要求</w:t>
            </w:r>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业务场景性能优化服务及整体架构升级服务</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供应商提供针对特定业务场景性能优化服务及整体架构升级服务</w:t>
            </w:r>
          </w:p>
        </w:tc>
      </w:tr>
      <w:tr w:rsidR="00B175C3" w:rsidRPr="009B4587"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lastRenderedPageBreak/>
              <w:t xml:space="preserve">144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供保要求</w:t>
            </w:r>
            <w:proofErr w:type="gramEnd"/>
          </w:p>
        </w:tc>
        <w:tc>
          <w:tcPr>
            <w:tcW w:w="1559" w:type="dxa"/>
            <w:vMerge w:val="restart"/>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供应链质量</w:t>
            </w: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★抗干扰性</w:t>
            </w:r>
          </w:p>
        </w:tc>
        <w:tc>
          <w:tcPr>
            <w:tcW w:w="2885" w:type="dxa"/>
            <w:tcBorders>
              <w:top w:val="nil"/>
              <w:left w:val="nil"/>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r w:rsidRPr="009B4587">
              <w:rPr>
                <w:rFonts w:ascii="宋体" w:hAnsi="宋体" w:cs="Arial" w:hint="eastAsia"/>
                <w:kern w:val="0"/>
                <w:sz w:val="20"/>
              </w:rPr>
              <w:t>当产品部件出现供应风险时，应通知采购人并提供风险应对方案确保产品的服务保障，必要时应停止相关受影响产品的销售</w:t>
            </w:r>
          </w:p>
        </w:tc>
      </w:tr>
      <w:tr w:rsidR="00B175C3" w:rsidTr="005B06BB">
        <w:trPr>
          <w:trHeight w:val="480"/>
        </w:trPr>
        <w:tc>
          <w:tcPr>
            <w:tcW w:w="724" w:type="dxa"/>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 xml:space="preserve">145 </w:t>
            </w:r>
          </w:p>
        </w:tc>
        <w:tc>
          <w:tcPr>
            <w:tcW w:w="1134"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proofErr w:type="gramStart"/>
            <w:r w:rsidRPr="009B4587">
              <w:rPr>
                <w:rFonts w:ascii="宋体" w:hAnsi="宋体" w:cs="Arial" w:hint="eastAsia"/>
                <w:kern w:val="0"/>
                <w:sz w:val="20"/>
              </w:rPr>
              <w:t>供保要求</w:t>
            </w:r>
            <w:proofErr w:type="gramEnd"/>
          </w:p>
        </w:tc>
        <w:tc>
          <w:tcPr>
            <w:tcW w:w="1559" w:type="dxa"/>
            <w:vMerge/>
            <w:tcBorders>
              <w:top w:val="nil"/>
              <w:left w:val="single" w:sz="4" w:space="0" w:color="000000"/>
              <w:bottom w:val="single" w:sz="4" w:space="0" w:color="000000"/>
              <w:right w:val="single" w:sz="4" w:space="0" w:color="000000"/>
            </w:tcBorders>
            <w:vAlign w:val="center"/>
          </w:tcPr>
          <w:p w:rsidR="00B175C3" w:rsidRPr="009B4587" w:rsidRDefault="00B175C3" w:rsidP="005B06BB">
            <w:pPr>
              <w:widowControl/>
              <w:jc w:val="left"/>
              <w:rPr>
                <w:rFonts w:ascii="宋体" w:hAnsi="宋体" w:cs="Arial"/>
                <w:kern w:val="0"/>
                <w:sz w:val="20"/>
              </w:rPr>
            </w:pPr>
          </w:p>
        </w:tc>
        <w:tc>
          <w:tcPr>
            <w:tcW w:w="2127" w:type="dxa"/>
            <w:tcBorders>
              <w:top w:val="nil"/>
              <w:left w:val="nil"/>
              <w:bottom w:val="single" w:sz="4" w:space="0" w:color="000000"/>
              <w:right w:val="single" w:sz="4" w:space="0" w:color="000000"/>
            </w:tcBorders>
            <w:vAlign w:val="center"/>
          </w:tcPr>
          <w:p w:rsidR="00B175C3" w:rsidRPr="009B4587" w:rsidRDefault="00B175C3" w:rsidP="005B06BB">
            <w:pPr>
              <w:widowControl/>
              <w:jc w:val="center"/>
              <w:rPr>
                <w:rFonts w:ascii="宋体" w:hAnsi="宋体" w:cs="Arial"/>
                <w:kern w:val="0"/>
                <w:sz w:val="20"/>
              </w:rPr>
            </w:pPr>
            <w:r w:rsidRPr="009B4587">
              <w:rPr>
                <w:rFonts w:ascii="宋体" w:hAnsi="宋体" w:cs="Arial" w:hint="eastAsia"/>
                <w:kern w:val="0"/>
                <w:sz w:val="20"/>
              </w:rPr>
              <w:t>★供应能力证明</w:t>
            </w:r>
          </w:p>
        </w:tc>
        <w:tc>
          <w:tcPr>
            <w:tcW w:w="2885" w:type="dxa"/>
            <w:tcBorders>
              <w:top w:val="nil"/>
              <w:left w:val="nil"/>
              <w:bottom w:val="single" w:sz="4" w:space="0" w:color="000000"/>
              <w:right w:val="single" w:sz="4" w:space="0" w:color="000000"/>
            </w:tcBorders>
            <w:vAlign w:val="center"/>
          </w:tcPr>
          <w:p w:rsidR="00B175C3" w:rsidRDefault="00B175C3" w:rsidP="005B06BB">
            <w:pPr>
              <w:widowControl/>
              <w:jc w:val="left"/>
              <w:rPr>
                <w:rFonts w:ascii="宋体" w:hAnsi="宋体" w:cs="Arial"/>
                <w:kern w:val="0"/>
                <w:sz w:val="20"/>
              </w:rPr>
            </w:pPr>
            <w:r w:rsidRPr="009B4587">
              <w:rPr>
                <w:rFonts w:ascii="宋体" w:hAnsi="宋体" w:cs="Arial" w:hint="eastAsia"/>
                <w:kern w:val="0"/>
                <w:sz w:val="20"/>
              </w:rPr>
              <w:t>供应商提供供应</w:t>
            </w:r>
            <w:proofErr w:type="gramStart"/>
            <w:r w:rsidRPr="009B4587">
              <w:rPr>
                <w:rFonts w:ascii="宋体" w:hAnsi="宋体" w:cs="Arial" w:hint="eastAsia"/>
                <w:kern w:val="0"/>
                <w:sz w:val="20"/>
              </w:rPr>
              <w:t>链稳定</w:t>
            </w:r>
            <w:proofErr w:type="gramEnd"/>
            <w:r w:rsidRPr="009B4587">
              <w:rPr>
                <w:rFonts w:ascii="宋体" w:hAnsi="宋体" w:cs="Arial" w:hint="eastAsia"/>
                <w:kern w:val="0"/>
                <w:sz w:val="20"/>
              </w:rPr>
              <w:t>承诺书，确保产品的部件在产品服务周期内稳定供货</w:t>
            </w:r>
          </w:p>
        </w:tc>
      </w:tr>
    </w:tbl>
    <w:p w:rsidR="00B175C3" w:rsidRPr="00B175C3" w:rsidRDefault="00B175C3"/>
    <w:sectPr w:rsidR="00B175C3" w:rsidRPr="00B175C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F63" w:rsidRDefault="00C43F63" w:rsidP="009B4587">
      <w:r>
        <w:separator/>
      </w:r>
    </w:p>
  </w:endnote>
  <w:endnote w:type="continuationSeparator" w:id="0">
    <w:p w:rsidR="00C43F63" w:rsidRDefault="00C43F63" w:rsidP="009B45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F63" w:rsidRDefault="00C43F63" w:rsidP="009B4587">
      <w:r>
        <w:separator/>
      </w:r>
    </w:p>
  </w:footnote>
  <w:footnote w:type="continuationSeparator" w:id="0">
    <w:p w:rsidR="00C43F63" w:rsidRDefault="00C43F63" w:rsidP="009B45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5C3"/>
    <w:rsid w:val="0000321D"/>
    <w:rsid w:val="000477DC"/>
    <w:rsid w:val="00055FC5"/>
    <w:rsid w:val="00083B86"/>
    <w:rsid w:val="000C7805"/>
    <w:rsid w:val="00114F5E"/>
    <w:rsid w:val="00253C9F"/>
    <w:rsid w:val="00271678"/>
    <w:rsid w:val="00285C6D"/>
    <w:rsid w:val="002A55F4"/>
    <w:rsid w:val="002E4E51"/>
    <w:rsid w:val="0034507E"/>
    <w:rsid w:val="003F2E84"/>
    <w:rsid w:val="00477095"/>
    <w:rsid w:val="004C4E8E"/>
    <w:rsid w:val="004E360A"/>
    <w:rsid w:val="00512E1B"/>
    <w:rsid w:val="00534D88"/>
    <w:rsid w:val="00567C21"/>
    <w:rsid w:val="00574939"/>
    <w:rsid w:val="005C7E3E"/>
    <w:rsid w:val="005D537B"/>
    <w:rsid w:val="006831D7"/>
    <w:rsid w:val="00793A62"/>
    <w:rsid w:val="008E6EB0"/>
    <w:rsid w:val="00917550"/>
    <w:rsid w:val="0099231C"/>
    <w:rsid w:val="0099787A"/>
    <w:rsid w:val="009B25CF"/>
    <w:rsid w:val="009B4587"/>
    <w:rsid w:val="00AA4D7E"/>
    <w:rsid w:val="00B175C3"/>
    <w:rsid w:val="00B47030"/>
    <w:rsid w:val="00BC3490"/>
    <w:rsid w:val="00BE42A8"/>
    <w:rsid w:val="00C43F63"/>
    <w:rsid w:val="00C50D27"/>
    <w:rsid w:val="00CE0E6A"/>
    <w:rsid w:val="00D23399"/>
    <w:rsid w:val="00D269C1"/>
    <w:rsid w:val="00DC40F3"/>
    <w:rsid w:val="00DF57B2"/>
    <w:rsid w:val="00E951FE"/>
    <w:rsid w:val="00F507F6"/>
    <w:rsid w:val="00FE6A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B175C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75C3"/>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B175C3"/>
    <w:rPr>
      <w:rFonts w:asciiTheme="majorHAnsi" w:eastAsiaTheme="majorEastAsia" w:hAnsiTheme="majorHAnsi" w:cstheme="majorBidi"/>
      <w:b/>
      <w:bCs/>
      <w:sz w:val="32"/>
      <w:szCs w:val="32"/>
    </w:rPr>
  </w:style>
  <w:style w:type="character" w:customStyle="1" w:styleId="3Char">
    <w:name w:val="标题 3 Char"/>
    <w:basedOn w:val="a0"/>
    <w:link w:val="3"/>
    <w:qFormat/>
    <w:rsid w:val="00B175C3"/>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B175C3"/>
    <w:pPr>
      <w:jc w:val="left"/>
    </w:pPr>
    <w:rPr>
      <w:rFonts w:ascii="Times New Roman" w:eastAsia="宋体" w:hAnsi="Times New Roman" w:cs="Times New Roman"/>
      <w:szCs w:val="20"/>
    </w:rPr>
  </w:style>
  <w:style w:type="character" w:customStyle="1" w:styleId="Char">
    <w:name w:val="批注文字 Char"/>
    <w:basedOn w:val="a0"/>
    <w:link w:val="a3"/>
    <w:uiPriority w:val="99"/>
    <w:semiHidden/>
    <w:qFormat/>
    <w:rsid w:val="00B175C3"/>
    <w:rPr>
      <w:rFonts w:ascii="Times New Roman" w:eastAsia="宋体" w:hAnsi="Times New Roman" w:cs="Times New Roman"/>
      <w:szCs w:val="20"/>
    </w:rPr>
  </w:style>
  <w:style w:type="paragraph" w:styleId="a4">
    <w:name w:val="Body Text"/>
    <w:basedOn w:val="a"/>
    <w:link w:val="Char0"/>
    <w:uiPriority w:val="99"/>
    <w:semiHidden/>
    <w:unhideWhenUsed/>
    <w:qFormat/>
    <w:rsid w:val="00B175C3"/>
    <w:pPr>
      <w:spacing w:after="120"/>
    </w:pPr>
    <w:rPr>
      <w:rFonts w:ascii="Times New Roman" w:eastAsia="宋体" w:hAnsi="Times New Roman" w:cs="Times New Roman"/>
      <w:szCs w:val="20"/>
    </w:rPr>
  </w:style>
  <w:style w:type="character" w:customStyle="1" w:styleId="Char0">
    <w:name w:val="正文文本 Char"/>
    <w:basedOn w:val="a0"/>
    <w:link w:val="a4"/>
    <w:uiPriority w:val="99"/>
    <w:semiHidden/>
    <w:rsid w:val="00B175C3"/>
    <w:rPr>
      <w:rFonts w:ascii="Times New Roman" w:eastAsia="宋体" w:hAnsi="Times New Roman" w:cs="Times New Roman"/>
      <w:szCs w:val="20"/>
    </w:rPr>
  </w:style>
  <w:style w:type="paragraph" w:styleId="a5">
    <w:name w:val="Body Text Indent"/>
    <w:basedOn w:val="a"/>
    <w:link w:val="Char1"/>
    <w:rsid w:val="00B175C3"/>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B175C3"/>
    <w:rPr>
      <w:rFonts w:ascii="宋体" w:eastAsia="宋体" w:hAnsi="宋体" w:cs="Times New Roman"/>
      <w:sz w:val="24"/>
      <w:szCs w:val="20"/>
    </w:rPr>
  </w:style>
  <w:style w:type="paragraph" w:styleId="a6">
    <w:name w:val="Plain Text"/>
    <w:basedOn w:val="a"/>
    <w:link w:val="Char10"/>
    <w:qFormat/>
    <w:rsid w:val="00B175C3"/>
    <w:rPr>
      <w:rFonts w:ascii="宋体" w:eastAsia="宋体" w:hAnsi="Courier New" w:cs="Times New Roman"/>
      <w:szCs w:val="20"/>
      <w:lang w:val="zh-CN"/>
    </w:rPr>
  </w:style>
  <w:style w:type="character" w:customStyle="1" w:styleId="Char2">
    <w:name w:val="纯文本 Char"/>
    <w:basedOn w:val="a0"/>
    <w:uiPriority w:val="99"/>
    <w:semiHidden/>
    <w:qFormat/>
    <w:rsid w:val="00B175C3"/>
    <w:rPr>
      <w:rFonts w:ascii="宋体" w:eastAsia="宋体" w:hAnsi="Courier New" w:cs="Courier New"/>
      <w:szCs w:val="21"/>
    </w:rPr>
  </w:style>
  <w:style w:type="paragraph" w:styleId="a7">
    <w:name w:val="Date"/>
    <w:basedOn w:val="a"/>
    <w:next w:val="a"/>
    <w:link w:val="Char3"/>
    <w:qFormat/>
    <w:rsid w:val="00B175C3"/>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B175C3"/>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B175C3"/>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qFormat/>
    <w:rsid w:val="00B175C3"/>
    <w:rPr>
      <w:rFonts w:ascii="Times New Roman" w:eastAsia="宋体" w:hAnsi="Times New Roman" w:cs="Times New Roman"/>
      <w:szCs w:val="20"/>
    </w:rPr>
  </w:style>
  <w:style w:type="paragraph" w:styleId="a8">
    <w:name w:val="Balloon Text"/>
    <w:basedOn w:val="a"/>
    <w:link w:val="Char4"/>
    <w:uiPriority w:val="99"/>
    <w:semiHidden/>
    <w:unhideWhenUsed/>
    <w:rsid w:val="00B175C3"/>
    <w:rPr>
      <w:rFonts w:ascii="Times New Roman" w:eastAsia="宋体" w:hAnsi="Times New Roman" w:cs="Times New Roman"/>
      <w:sz w:val="18"/>
      <w:szCs w:val="18"/>
    </w:rPr>
  </w:style>
  <w:style w:type="character" w:customStyle="1" w:styleId="Char4">
    <w:name w:val="批注框文本 Char"/>
    <w:basedOn w:val="a0"/>
    <w:link w:val="a8"/>
    <w:uiPriority w:val="99"/>
    <w:semiHidden/>
    <w:rsid w:val="00B175C3"/>
    <w:rPr>
      <w:rFonts w:ascii="Times New Roman" w:eastAsia="宋体" w:hAnsi="Times New Roman" w:cs="Times New Roman"/>
      <w:sz w:val="18"/>
      <w:szCs w:val="18"/>
    </w:rPr>
  </w:style>
  <w:style w:type="paragraph" w:styleId="a9">
    <w:name w:val="footer"/>
    <w:basedOn w:val="a"/>
    <w:link w:val="Char5"/>
    <w:uiPriority w:val="99"/>
    <w:unhideWhenUsed/>
    <w:rsid w:val="00B175C3"/>
    <w:pPr>
      <w:tabs>
        <w:tab w:val="center" w:pos="4153"/>
        <w:tab w:val="right" w:pos="8306"/>
      </w:tabs>
      <w:snapToGrid w:val="0"/>
      <w:jc w:val="left"/>
    </w:pPr>
    <w:rPr>
      <w:rFonts w:ascii="Times New Roman" w:eastAsia="宋体" w:hAnsi="Times New Roman" w:cs="Times New Roman"/>
      <w:sz w:val="18"/>
      <w:szCs w:val="18"/>
    </w:rPr>
  </w:style>
  <w:style w:type="character" w:customStyle="1" w:styleId="Char5">
    <w:name w:val="页脚 Char"/>
    <w:basedOn w:val="a0"/>
    <w:link w:val="a9"/>
    <w:uiPriority w:val="99"/>
    <w:qFormat/>
    <w:rsid w:val="00B175C3"/>
    <w:rPr>
      <w:rFonts w:ascii="Times New Roman" w:eastAsia="宋体" w:hAnsi="Times New Roman" w:cs="Times New Roman"/>
      <w:sz w:val="18"/>
      <w:szCs w:val="18"/>
    </w:rPr>
  </w:style>
  <w:style w:type="paragraph" w:styleId="aa">
    <w:name w:val="header"/>
    <w:basedOn w:val="a"/>
    <w:link w:val="Char6"/>
    <w:uiPriority w:val="99"/>
    <w:unhideWhenUsed/>
    <w:qFormat/>
    <w:rsid w:val="00B175C3"/>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6">
    <w:name w:val="页眉 Char"/>
    <w:basedOn w:val="a0"/>
    <w:link w:val="aa"/>
    <w:uiPriority w:val="99"/>
    <w:rsid w:val="00B175C3"/>
    <w:rPr>
      <w:rFonts w:ascii="Times New Roman" w:eastAsia="宋体" w:hAnsi="Times New Roman" w:cs="Times New Roman"/>
      <w:sz w:val="18"/>
      <w:szCs w:val="18"/>
    </w:rPr>
  </w:style>
  <w:style w:type="paragraph" w:styleId="ab">
    <w:name w:val="Subtitle"/>
    <w:basedOn w:val="a"/>
    <w:next w:val="a"/>
    <w:link w:val="Char7"/>
    <w:qFormat/>
    <w:rsid w:val="00B175C3"/>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7">
    <w:name w:val="副标题 Char"/>
    <w:basedOn w:val="a0"/>
    <w:link w:val="ab"/>
    <w:rsid w:val="00B175C3"/>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B175C3"/>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B175C3"/>
    <w:rPr>
      <w:rFonts w:ascii="Times New Roman" w:eastAsia="宋体" w:hAnsi="Times New Roman" w:cs="Times New Roman"/>
      <w:sz w:val="16"/>
      <w:szCs w:val="16"/>
    </w:rPr>
  </w:style>
  <w:style w:type="paragraph" w:styleId="21">
    <w:name w:val="Body Text 2"/>
    <w:basedOn w:val="a"/>
    <w:link w:val="2Char1"/>
    <w:uiPriority w:val="99"/>
    <w:semiHidden/>
    <w:unhideWhenUsed/>
    <w:rsid w:val="00B175C3"/>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B175C3"/>
    <w:rPr>
      <w:rFonts w:ascii="Times New Roman" w:eastAsia="宋体" w:hAnsi="Times New Roman" w:cs="Times New Roman"/>
      <w:szCs w:val="20"/>
    </w:rPr>
  </w:style>
  <w:style w:type="paragraph" w:styleId="ac">
    <w:name w:val="Normal (Web)"/>
    <w:basedOn w:val="a"/>
    <w:uiPriority w:val="99"/>
    <w:qFormat/>
    <w:rsid w:val="00B175C3"/>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3"/>
    <w:next w:val="a3"/>
    <w:link w:val="Char8"/>
    <w:uiPriority w:val="99"/>
    <w:semiHidden/>
    <w:unhideWhenUsed/>
    <w:qFormat/>
    <w:rsid w:val="00B175C3"/>
    <w:rPr>
      <w:b/>
      <w:bCs/>
    </w:rPr>
  </w:style>
  <w:style w:type="character" w:customStyle="1" w:styleId="Char8">
    <w:name w:val="批注主题 Char"/>
    <w:basedOn w:val="Char"/>
    <w:link w:val="ad"/>
    <w:uiPriority w:val="99"/>
    <w:semiHidden/>
    <w:qFormat/>
    <w:rsid w:val="00B175C3"/>
    <w:rPr>
      <w:rFonts w:ascii="Times New Roman" w:eastAsia="宋体" w:hAnsi="Times New Roman" w:cs="Times New Roman"/>
      <w:b/>
      <w:bCs/>
      <w:szCs w:val="20"/>
    </w:rPr>
  </w:style>
  <w:style w:type="table" w:styleId="ae">
    <w:name w:val="Table Grid"/>
    <w:basedOn w:val="a1"/>
    <w:uiPriority w:val="59"/>
    <w:rsid w:val="00B175C3"/>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B175C3"/>
    <w:rPr>
      <w:b/>
      <w:bCs/>
    </w:rPr>
  </w:style>
  <w:style w:type="character" w:styleId="af0">
    <w:name w:val="Hyperlink"/>
    <w:basedOn w:val="a0"/>
    <w:uiPriority w:val="99"/>
    <w:unhideWhenUsed/>
    <w:rsid w:val="00B175C3"/>
    <w:rPr>
      <w:color w:val="0000FF" w:themeColor="hyperlink"/>
      <w:u w:val="single"/>
    </w:rPr>
  </w:style>
  <w:style w:type="character" w:styleId="af1">
    <w:name w:val="annotation reference"/>
    <w:basedOn w:val="a0"/>
    <w:uiPriority w:val="99"/>
    <w:semiHidden/>
    <w:unhideWhenUsed/>
    <w:rsid w:val="00B175C3"/>
    <w:rPr>
      <w:sz w:val="21"/>
      <w:szCs w:val="21"/>
    </w:rPr>
  </w:style>
  <w:style w:type="paragraph" w:customStyle="1" w:styleId="Default">
    <w:name w:val="Default"/>
    <w:link w:val="DefaultChar"/>
    <w:qFormat/>
    <w:rsid w:val="00B175C3"/>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B175C3"/>
    <w:rPr>
      <w:rFonts w:ascii="......." w:eastAsia="......." w:hAnsi="Calibri" w:cs="......."/>
      <w:color w:val="000000"/>
      <w:kern w:val="0"/>
      <w:sz w:val="24"/>
      <w:szCs w:val="24"/>
    </w:rPr>
  </w:style>
  <w:style w:type="paragraph" w:styleId="af2">
    <w:name w:val="List Paragraph"/>
    <w:basedOn w:val="a"/>
    <w:link w:val="Char9"/>
    <w:uiPriority w:val="34"/>
    <w:qFormat/>
    <w:rsid w:val="00B175C3"/>
    <w:pPr>
      <w:ind w:firstLineChars="200" w:firstLine="420"/>
    </w:pPr>
    <w:rPr>
      <w:rFonts w:ascii="Times New Roman" w:eastAsia="宋体" w:hAnsi="Times New Roman" w:cs="Times New Roman"/>
      <w:szCs w:val="20"/>
    </w:rPr>
  </w:style>
  <w:style w:type="character" w:customStyle="1" w:styleId="Char9">
    <w:name w:val="列出段落 Char"/>
    <w:link w:val="af2"/>
    <w:uiPriority w:val="34"/>
    <w:qFormat/>
    <w:rsid w:val="00B175C3"/>
    <w:rPr>
      <w:rFonts w:ascii="Times New Roman" w:eastAsia="宋体" w:hAnsi="Times New Roman" w:cs="Times New Roman"/>
      <w:szCs w:val="20"/>
    </w:rPr>
  </w:style>
  <w:style w:type="paragraph" w:customStyle="1" w:styleId="Chara">
    <w:name w:val="Char"/>
    <w:basedOn w:val="a"/>
    <w:autoRedefine/>
    <w:qFormat/>
    <w:rsid w:val="00B175C3"/>
    <w:pPr>
      <w:tabs>
        <w:tab w:val="left" w:pos="360"/>
      </w:tabs>
    </w:pPr>
    <w:rPr>
      <w:rFonts w:ascii="Times New Roman" w:eastAsia="宋体" w:hAnsi="Times New Roman" w:cs="Times New Roman"/>
      <w:sz w:val="24"/>
      <w:szCs w:val="24"/>
    </w:rPr>
  </w:style>
  <w:style w:type="character" w:customStyle="1" w:styleId="Char10">
    <w:name w:val="纯文本 Char1"/>
    <w:link w:val="a6"/>
    <w:qFormat/>
    <w:locked/>
    <w:rsid w:val="00B175C3"/>
    <w:rPr>
      <w:rFonts w:ascii="宋体" w:eastAsia="宋体" w:hAnsi="Courier New" w:cs="Times New Roman"/>
      <w:szCs w:val="20"/>
      <w:lang w:val="zh-CN"/>
    </w:rPr>
  </w:style>
  <w:style w:type="paragraph" w:customStyle="1" w:styleId="13">
    <w:name w:val="正文_13"/>
    <w:qFormat/>
    <w:rsid w:val="00B175C3"/>
    <w:pPr>
      <w:widowControl w:val="0"/>
      <w:jc w:val="both"/>
    </w:pPr>
    <w:rPr>
      <w:rFonts w:ascii="Times New Roman" w:eastAsia="宋体" w:hAnsi="Times New Roman" w:cs="Times New Roman"/>
      <w:szCs w:val="24"/>
    </w:rPr>
  </w:style>
  <w:style w:type="paragraph" w:customStyle="1" w:styleId="6">
    <w:name w:val="正文_6"/>
    <w:qFormat/>
    <w:rsid w:val="00B175C3"/>
    <w:pPr>
      <w:widowControl w:val="0"/>
      <w:jc w:val="both"/>
    </w:pPr>
    <w:rPr>
      <w:rFonts w:ascii="Times New Roman" w:eastAsia="宋体" w:hAnsi="Times New Roman" w:cs="Times New Roman"/>
      <w:szCs w:val="24"/>
    </w:rPr>
  </w:style>
  <w:style w:type="paragraph" w:customStyle="1" w:styleId="7">
    <w:name w:val="正文_7"/>
    <w:qFormat/>
    <w:rsid w:val="00B175C3"/>
    <w:pPr>
      <w:widowControl w:val="0"/>
      <w:jc w:val="both"/>
    </w:pPr>
    <w:rPr>
      <w:rFonts w:ascii="Times New Roman" w:eastAsia="宋体" w:hAnsi="Times New Roman" w:cs="Times New Roman"/>
      <w:szCs w:val="24"/>
    </w:rPr>
  </w:style>
  <w:style w:type="paragraph" w:customStyle="1" w:styleId="11">
    <w:name w:val="正文_11"/>
    <w:qFormat/>
    <w:rsid w:val="00B175C3"/>
    <w:pPr>
      <w:widowControl w:val="0"/>
      <w:jc w:val="both"/>
    </w:pPr>
    <w:rPr>
      <w:rFonts w:ascii="Times New Roman" w:eastAsia="宋体" w:hAnsi="Times New Roman" w:cs="Times New Roman"/>
      <w:szCs w:val="24"/>
    </w:rPr>
  </w:style>
  <w:style w:type="paragraph" w:customStyle="1" w:styleId="1">
    <w:name w:val="列出段落1"/>
    <w:basedOn w:val="a"/>
    <w:qFormat/>
    <w:rsid w:val="00B175C3"/>
    <w:pPr>
      <w:ind w:firstLineChars="200" w:firstLine="420"/>
    </w:pPr>
    <w:rPr>
      <w:rFonts w:ascii="Calibri" w:eastAsia="宋体" w:hAnsi="Calibri" w:cs="黑体"/>
    </w:rPr>
  </w:style>
  <w:style w:type="paragraph" w:customStyle="1" w:styleId="AONormal">
    <w:name w:val="AONormal"/>
    <w:qFormat/>
    <w:rsid w:val="00B175C3"/>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B175C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75C3"/>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B175C3"/>
    <w:rPr>
      <w:rFonts w:asciiTheme="majorHAnsi" w:eastAsiaTheme="majorEastAsia" w:hAnsiTheme="majorHAnsi" w:cstheme="majorBidi"/>
      <w:b/>
      <w:bCs/>
      <w:sz w:val="32"/>
      <w:szCs w:val="32"/>
    </w:rPr>
  </w:style>
  <w:style w:type="character" w:customStyle="1" w:styleId="3Char">
    <w:name w:val="标题 3 Char"/>
    <w:basedOn w:val="a0"/>
    <w:link w:val="3"/>
    <w:qFormat/>
    <w:rsid w:val="00B175C3"/>
    <w:rPr>
      <w:rFonts w:ascii="Times New Roman" w:eastAsia="宋体" w:hAnsi="Times New Roman" w:cs="Times New Roman"/>
      <w:b/>
      <w:bCs/>
      <w:sz w:val="32"/>
      <w:szCs w:val="32"/>
    </w:rPr>
  </w:style>
  <w:style w:type="paragraph" w:styleId="a3">
    <w:name w:val="annotation text"/>
    <w:basedOn w:val="a"/>
    <w:link w:val="Char"/>
    <w:uiPriority w:val="99"/>
    <w:semiHidden/>
    <w:unhideWhenUsed/>
    <w:qFormat/>
    <w:rsid w:val="00B175C3"/>
    <w:pPr>
      <w:jc w:val="left"/>
    </w:pPr>
    <w:rPr>
      <w:rFonts w:ascii="Times New Roman" w:eastAsia="宋体" w:hAnsi="Times New Roman" w:cs="Times New Roman"/>
      <w:szCs w:val="20"/>
    </w:rPr>
  </w:style>
  <w:style w:type="character" w:customStyle="1" w:styleId="Char">
    <w:name w:val="批注文字 Char"/>
    <w:basedOn w:val="a0"/>
    <w:link w:val="a3"/>
    <w:uiPriority w:val="99"/>
    <w:semiHidden/>
    <w:qFormat/>
    <w:rsid w:val="00B175C3"/>
    <w:rPr>
      <w:rFonts w:ascii="Times New Roman" w:eastAsia="宋体" w:hAnsi="Times New Roman" w:cs="Times New Roman"/>
      <w:szCs w:val="20"/>
    </w:rPr>
  </w:style>
  <w:style w:type="paragraph" w:styleId="a4">
    <w:name w:val="Body Text"/>
    <w:basedOn w:val="a"/>
    <w:link w:val="Char0"/>
    <w:uiPriority w:val="99"/>
    <w:semiHidden/>
    <w:unhideWhenUsed/>
    <w:qFormat/>
    <w:rsid w:val="00B175C3"/>
    <w:pPr>
      <w:spacing w:after="120"/>
    </w:pPr>
    <w:rPr>
      <w:rFonts w:ascii="Times New Roman" w:eastAsia="宋体" w:hAnsi="Times New Roman" w:cs="Times New Roman"/>
      <w:szCs w:val="20"/>
    </w:rPr>
  </w:style>
  <w:style w:type="character" w:customStyle="1" w:styleId="Char0">
    <w:name w:val="正文文本 Char"/>
    <w:basedOn w:val="a0"/>
    <w:link w:val="a4"/>
    <w:uiPriority w:val="99"/>
    <w:semiHidden/>
    <w:rsid w:val="00B175C3"/>
    <w:rPr>
      <w:rFonts w:ascii="Times New Roman" w:eastAsia="宋体" w:hAnsi="Times New Roman" w:cs="Times New Roman"/>
      <w:szCs w:val="20"/>
    </w:rPr>
  </w:style>
  <w:style w:type="paragraph" w:styleId="a5">
    <w:name w:val="Body Text Indent"/>
    <w:basedOn w:val="a"/>
    <w:link w:val="Char1"/>
    <w:rsid w:val="00B175C3"/>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B175C3"/>
    <w:rPr>
      <w:rFonts w:ascii="宋体" w:eastAsia="宋体" w:hAnsi="宋体" w:cs="Times New Roman"/>
      <w:sz w:val="24"/>
      <w:szCs w:val="20"/>
    </w:rPr>
  </w:style>
  <w:style w:type="paragraph" w:styleId="a6">
    <w:name w:val="Plain Text"/>
    <w:basedOn w:val="a"/>
    <w:link w:val="Char10"/>
    <w:qFormat/>
    <w:rsid w:val="00B175C3"/>
    <w:rPr>
      <w:rFonts w:ascii="宋体" w:eastAsia="宋体" w:hAnsi="Courier New" w:cs="Times New Roman"/>
      <w:szCs w:val="20"/>
      <w:lang w:val="zh-CN"/>
    </w:rPr>
  </w:style>
  <w:style w:type="character" w:customStyle="1" w:styleId="Char2">
    <w:name w:val="纯文本 Char"/>
    <w:basedOn w:val="a0"/>
    <w:uiPriority w:val="99"/>
    <w:semiHidden/>
    <w:qFormat/>
    <w:rsid w:val="00B175C3"/>
    <w:rPr>
      <w:rFonts w:ascii="宋体" w:eastAsia="宋体" w:hAnsi="Courier New" w:cs="Courier New"/>
      <w:szCs w:val="21"/>
    </w:rPr>
  </w:style>
  <w:style w:type="paragraph" w:styleId="a7">
    <w:name w:val="Date"/>
    <w:basedOn w:val="a"/>
    <w:next w:val="a"/>
    <w:link w:val="Char3"/>
    <w:qFormat/>
    <w:rsid w:val="00B175C3"/>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B175C3"/>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B175C3"/>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qFormat/>
    <w:rsid w:val="00B175C3"/>
    <w:rPr>
      <w:rFonts w:ascii="Times New Roman" w:eastAsia="宋体" w:hAnsi="Times New Roman" w:cs="Times New Roman"/>
      <w:szCs w:val="20"/>
    </w:rPr>
  </w:style>
  <w:style w:type="paragraph" w:styleId="a8">
    <w:name w:val="Balloon Text"/>
    <w:basedOn w:val="a"/>
    <w:link w:val="Char4"/>
    <w:uiPriority w:val="99"/>
    <w:semiHidden/>
    <w:unhideWhenUsed/>
    <w:rsid w:val="00B175C3"/>
    <w:rPr>
      <w:rFonts w:ascii="Times New Roman" w:eastAsia="宋体" w:hAnsi="Times New Roman" w:cs="Times New Roman"/>
      <w:sz w:val="18"/>
      <w:szCs w:val="18"/>
    </w:rPr>
  </w:style>
  <w:style w:type="character" w:customStyle="1" w:styleId="Char4">
    <w:name w:val="批注框文本 Char"/>
    <w:basedOn w:val="a0"/>
    <w:link w:val="a8"/>
    <w:uiPriority w:val="99"/>
    <w:semiHidden/>
    <w:rsid w:val="00B175C3"/>
    <w:rPr>
      <w:rFonts w:ascii="Times New Roman" w:eastAsia="宋体" w:hAnsi="Times New Roman" w:cs="Times New Roman"/>
      <w:sz w:val="18"/>
      <w:szCs w:val="18"/>
    </w:rPr>
  </w:style>
  <w:style w:type="paragraph" w:styleId="a9">
    <w:name w:val="footer"/>
    <w:basedOn w:val="a"/>
    <w:link w:val="Char5"/>
    <w:uiPriority w:val="99"/>
    <w:unhideWhenUsed/>
    <w:rsid w:val="00B175C3"/>
    <w:pPr>
      <w:tabs>
        <w:tab w:val="center" w:pos="4153"/>
        <w:tab w:val="right" w:pos="8306"/>
      </w:tabs>
      <w:snapToGrid w:val="0"/>
      <w:jc w:val="left"/>
    </w:pPr>
    <w:rPr>
      <w:rFonts w:ascii="Times New Roman" w:eastAsia="宋体" w:hAnsi="Times New Roman" w:cs="Times New Roman"/>
      <w:sz w:val="18"/>
      <w:szCs w:val="18"/>
    </w:rPr>
  </w:style>
  <w:style w:type="character" w:customStyle="1" w:styleId="Char5">
    <w:name w:val="页脚 Char"/>
    <w:basedOn w:val="a0"/>
    <w:link w:val="a9"/>
    <w:uiPriority w:val="99"/>
    <w:qFormat/>
    <w:rsid w:val="00B175C3"/>
    <w:rPr>
      <w:rFonts w:ascii="Times New Roman" w:eastAsia="宋体" w:hAnsi="Times New Roman" w:cs="Times New Roman"/>
      <w:sz w:val="18"/>
      <w:szCs w:val="18"/>
    </w:rPr>
  </w:style>
  <w:style w:type="paragraph" w:styleId="aa">
    <w:name w:val="header"/>
    <w:basedOn w:val="a"/>
    <w:link w:val="Char6"/>
    <w:uiPriority w:val="99"/>
    <w:unhideWhenUsed/>
    <w:qFormat/>
    <w:rsid w:val="00B175C3"/>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6">
    <w:name w:val="页眉 Char"/>
    <w:basedOn w:val="a0"/>
    <w:link w:val="aa"/>
    <w:uiPriority w:val="99"/>
    <w:rsid w:val="00B175C3"/>
    <w:rPr>
      <w:rFonts w:ascii="Times New Roman" w:eastAsia="宋体" w:hAnsi="Times New Roman" w:cs="Times New Roman"/>
      <w:sz w:val="18"/>
      <w:szCs w:val="18"/>
    </w:rPr>
  </w:style>
  <w:style w:type="paragraph" w:styleId="ab">
    <w:name w:val="Subtitle"/>
    <w:basedOn w:val="a"/>
    <w:next w:val="a"/>
    <w:link w:val="Char7"/>
    <w:qFormat/>
    <w:rsid w:val="00B175C3"/>
    <w:pPr>
      <w:spacing w:before="240" w:after="60" w:line="312" w:lineRule="auto"/>
      <w:jc w:val="center"/>
      <w:outlineLvl w:val="1"/>
    </w:pPr>
    <w:rPr>
      <w:rFonts w:ascii="Cambria" w:eastAsia="宋体" w:hAnsi="Cambria" w:cs="Times New Roman"/>
      <w:b/>
      <w:bCs/>
      <w:kern w:val="28"/>
      <w:sz w:val="32"/>
      <w:szCs w:val="32"/>
      <w:lang w:val="zh-CN"/>
    </w:rPr>
  </w:style>
  <w:style w:type="character" w:customStyle="1" w:styleId="Char7">
    <w:name w:val="副标题 Char"/>
    <w:basedOn w:val="a0"/>
    <w:link w:val="ab"/>
    <w:rsid w:val="00B175C3"/>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B175C3"/>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B175C3"/>
    <w:rPr>
      <w:rFonts w:ascii="Times New Roman" w:eastAsia="宋体" w:hAnsi="Times New Roman" w:cs="Times New Roman"/>
      <w:sz w:val="16"/>
      <w:szCs w:val="16"/>
    </w:rPr>
  </w:style>
  <w:style w:type="paragraph" w:styleId="21">
    <w:name w:val="Body Text 2"/>
    <w:basedOn w:val="a"/>
    <w:link w:val="2Char1"/>
    <w:uiPriority w:val="99"/>
    <w:semiHidden/>
    <w:unhideWhenUsed/>
    <w:rsid w:val="00B175C3"/>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B175C3"/>
    <w:rPr>
      <w:rFonts w:ascii="Times New Roman" w:eastAsia="宋体" w:hAnsi="Times New Roman" w:cs="Times New Roman"/>
      <w:szCs w:val="20"/>
    </w:rPr>
  </w:style>
  <w:style w:type="paragraph" w:styleId="ac">
    <w:name w:val="Normal (Web)"/>
    <w:basedOn w:val="a"/>
    <w:uiPriority w:val="99"/>
    <w:qFormat/>
    <w:rsid w:val="00B175C3"/>
    <w:pPr>
      <w:widowControl/>
      <w:spacing w:before="100" w:beforeAutospacing="1" w:after="100" w:afterAutospacing="1"/>
      <w:jc w:val="left"/>
    </w:pPr>
    <w:rPr>
      <w:rFonts w:ascii="宋体" w:eastAsia="宋体" w:hAnsi="宋体" w:cs="宋体"/>
      <w:kern w:val="0"/>
      <w:sz w:val="24"/>
      <w:szCs w:val="24"/>
    </w:rPr>
  </w:style>
  <w:style w:type="paragraph" w:styleId="ad">
    <w:name w:val="annotation subject"/>
    <w:basedOn w:val="a3"/>
    <w:next w:val="a3"/>
    <w:link w:val="Char8"/>
    <w:uiPriority w:val="99"/>
    <w:semiHidden/>
    <w:unhideWhenUsed/>
    <w:qFormat/>
    <w:rsid w:val="00B175C3"/>
    <w:rPr>
      <w:b/>
      <w:bCs/>
    </w:rPr>
  </w:style>
  <w:style w:type="character" w:customStyle="1" w:styleId="Char8">
    <w:name w:val="批注主题 Char"/>
    <w:basedOn w:val="Char"/>
    <w:link w:val="ad"/>
    <w:uiPriority w:val="99"/>
    <w:semiHidden/>
    <w:qFormat/>
    <w:rsid w:val="00B175C3"/>
    <w:rPr>
      <w:rFonts w:ascii="Times New Roman" w:eastAsia="宋体" w:hAnsi="Times New Roman" w:cs="Times New Roman"/>
      <w:b/>
      <w:bCs/>
      <w:szCs w:val="20"/>
    </w:rPr>
  </w:style>
  <w:style w:type="table" w:styleId="ae">
    <w:name w:val="Table Grid"/>
    <w:basedOn w:val="a1"/>
    <w:uiPriority w:val="59"/>
    <w:rsid w:val="00B175C3"/>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B175C3"/>
    <w:rPr>
      <w:b/>
      <w:bCs/>
    </w:rPr>
  </w:style>
  <w:style w:type="character" w:styleId="af0">
    <w:name w:val="Hyperlink"/>
    <w:basedOn w:val="a0"/>
    <w:uiPriority w:val="99"/>
    <w:unhideWhenUsed/>
    <w:rsid w:val="00B175C3"/>
    <w:rPr>
      <w:color w:val="0000FF" w:themeColor="hyperlink"/>
      <w:u w:val="single"/>
    </w:rPr>
  </w:style>
  <w:style w:type="character" w:styleId="af1">
    <w:name w:val="annotation reference"/>
    <w:basedOn w:val="a0"/>
    <w:uiPriority w:val="99"/>
    <w:semiHidden/>
    <w:unhideWhenUsed/>
    <w:rsid w:val="00B175C3"/>
    <w:rPr>
      <w:sz w:val="21"/>
      <w:szCs w:val="21"/>
    </w:rPr>
  </w:style>
  <w:style w:type="paragraph" w:customStyle="1" w:styleId="Default">
    <w:name w:val="Default"/>
    <w:link w:val="DefaultChar"/>
    <w:qFormat/>
    <w:rsid w:val="00B175C3"/>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B175C3"/>
    <w:rPr>
      <w:rFonts w:ascii="......." w:eastAsia="......." w:hAnsi="Calibri" w:cs="......."/>
      <w:color w:val="000000"/>
      <w:kern w:val="0"/>
      <w:sz w:val="24"/>
      <w:szCs w:val="24"/>
    </w:rPr>
  </w:style>
  <w:style w:type="paragraph" w:styleId="af2">
    <w:name w:val="List Paragraph"/>
    <w:basedOn w:val="a"/>
    <w:link w:val="Char9"/>
    <w:uiPriority w:val="34"/>
    <w:qFormat/>
    <w:rsid w:val="00B175C3"/>
    <w:pPr>
      <w:ind w:firstLineChars="200" w:firstLine="420"/>
    </w:pPr>
    <w:rPr>
      <w:rFonts w:ascii="Times New Roman" w:eastAsia="宋体" w:hAnsi="Times New Roman" w:cs="Times New Roman"/>
      <w:szCs w:val="20"/>
    </w:rPr>
  </w:style>
  <w:style w:type="character" w:customStyle="1" w:styleId="Char9">
    <w:name w:val="列出段落 Char"/>
    <w:link w:val="af2"/>
    <w:uiPriority w:val="34"/>
    <w:qFormat/>
    <w:rsid w:val="00B175C3"/>
    <w:rPr>
      <w:rFonts w:ascii="Times New Roman" w:eastAsia="宋体" w:hAnsi="Times New Roman" w:cs="Times New Roman"/>
      <w:szCs w:val="20"/>
    </w:rPr>
  </w:style>
  <w:style w:type="paragraph" w:customStyle="1" w:styleId="Chara">
    <w:name w:val="Char"/>
    <w:basedOn w:val="a"/>
    <w:autoRedefine/>
    <w:qFormat/>
    <w:rsid w:val="00B175C3"/>
    <w:pPr>
      <w:tabs>
        <w:tab w:val="left" w:pos="360"/>
      </w:tabs>
    </w:pPr>
    <w:rPr>
      <w:rFonts w:ascii="Times New Roman" w:eastAsia="宋体" w:hAnsi="Times New Roman" w:cs="Times New Roman"/>
      <w:sz w:val="24"/>
      <w:szCs w:val="24"/>
    </w:rPr>
  </w:style>
  <w:style w:type="character" w:customStyle="1" w:styleId="Char10">
    <w:name w:val="纯文本 Char1"/>
    <w:link w:val="a6"/>
    <w:qFormat/>
    <w:locked/>
    <w:rsid w:val="00B175C3"/>
    <w:rPr>
      <w:rFonts w:ascii="宋体" w:eastAsia="宋体" w:hAnsi="Courier New" w:cs="Times New Roman"/>
      <w:szCs w:val="20"/>
      <w:lang w:val="zh-CN"/>
    </w:rPr>
  </w:style>
  <w:style w:type="paragraph" w:customStyle="1" w:styleId="13">
    <w:name w:val="正文_13"/>
    <w:qFormat/>
    <w:rsid w:val="00B175C3"/>
    <w:pPr>
      <w:widowControl w:val="0"/>
      <w:jc w:val="both"/>
    </w:pPr>
    <w:rPr>
      <w:rFonts w:ascii="Times New Roman" w:eastAsia="宋体" w:hAnsi="Times New Roman" w:cs="Times New Roman"/>
      <w:szCs w:val="24"/>
    </w:rPr>
  </w:style>
  <w:style w:type="paragraph" w:customStyle="1" w:styleId="6">
    <w:name w:val="正文_6"/>
    <w:qFormat/>
    <w:rsid w:val="00B175C3"/>
    <w:pPr>
      <w:widowControl w:val="0"/>
      <w:jc w:val="both"/>
    </w:pPr>
    <w:rPr>
      <w:rFonts w:ascii="Times New Roman" w:eastAsia="宋体" w:hAnsi="Times New Roman" w:cs="Times New Roman"/>
      <w:szCs w:val="24"/>
    </w:rPr>
  </w:style>
  <w:style w:type="paragraph" w:customStyle="1" w:styleId="7">
    <w:name w:val="正文_7"/>
    <w:qFormat/>
    <w:rsid w:val="00B175C3"/>
    <w:pPr>
      <w:widowControl w:val="0"/>
      <w:jc w:val="both"/>
    </w:pPr>
    <w:rPr>
      <w:rFonts w:ascii="Times New Roman" w:eastAsia="宋体" w:hAnsi="Times New Roman" w:cs="Times New Roman"/>
      <w:szCs w:val="24"/>
    </w:rPr>
  </w:style>
  <w:style w:type="paragraph" w:customStyle="1" w:styleId="11">
    <w:name w:val="正文_11"/>
    <w:qFormat/>
    <w:rsid w:val="00B175C3"/>
    <w:pPr>
      <w:widowControl w:val="0"/>
      <w:jc w:val="both"/>
    </w:pPr>
    <w:rPr>
      <w:rFonts w:ascii="Times New Roman" w:eastAsia="宋体" w:hAnsi="Times New Roman" w:cs="Times New Roman"/>
      <w:szCs w:val="24"/>
    </w:rPr>
  </w:style>
  <w:style w:type="paragraph" w:customStyle="1" w:styleId="1">
    <w:name w:val="列出段落1"/>
    <w:basedOn w:val="a"/>
    <w:qFormat/>
    <w:rsid w:val="00B175C3"/>
    <w:pPr>
      <w:ind w:firstLineChars="200" w:firstLine="420"/>
    </w:pPr>
    <w:rPr>
      <w:rFonts w:ascii="Calibri" w:eastAsia="宋体" w:hAnsi="Calibri" w:cs="黑体"/>
    </w:rPr>
  </w:style>
  <w:style w:type="paragraph" w:customStyle="1" w:styleId="AONormal">
    <w:name w:val="AONormal"/>
    <w:qFormat/>
    <w:rsid w:val="00B175C3"/>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1415</Words>
  <Characters>8067</Characters>
  <Application>Microsoft Office Word</Application>
  <DocSecurity>0</DocSecurity>
  <Lines>67</Lines>
  <Paragraphs>18</Paragraphs>
  <ScaleCrop>false</ScaleCrop>
  <Company>神州网信技术有限公司</Company>
  <LinksUpToDate>false</LinksUpToDate>
  <CharactersWithSpaces>9464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ggzy</cp:lastModifiedBy>
  <cp:revision>2</cp:revision>
  <dcterms:created xsi:type="dcterms:W3CDTF">2025-09-28T08:16:00Z</dcterms:created>
  <dcterms:modified xsi:type="dcterms:W3CDTF">2025-09-28T08:23:00Z</dcterms:modified>
</cp:coreProperties>
</file>