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CB849D">
      <w:pPr>
        <w:pStyle w:val="8"/>
        <w:spacing w:line="360" w:lineRule="auto"/>
        <w:ind w:firstLine="480" w:firstLineChars="200"/>
        <w:jc w:val="both"/>
        <w:rPr>
          <w:rFonts w:ascii="Times New Roman" w:hAnsi="Times New Roman" w:eastAsia="宋体" w:cs="Times New Roman"/>
          <w:color w:val="auto"/>
        </w:rPr>
      </w:pPr>
      <w:bookmarkStart w:id="0" w:name="_GoBack"/>
      <w:bookmarkEnd w:id="0"/>
      <w:r>
        <w:rPr>
          <w:rFonts w:ascii="Times New Roman" w:hAnsi="Times New Roman" w:eastAsia="宋体" w:cs="Times New Roman"/>
          <w:color w:val="auto"/>
        </w:rPr>
        <w:t>十</w:t>
      </w:r>
      <w:r>
        <w:rPr>
          <w:rFonts w:hint="eastAsia" w:ascii="Times New Roman" w:hAnsi="Times New Roman" w:eastAsia="宋体" w:cs="Times New Roman"/>
          <w:color w:val="auto"/>
        </w:rPr>
        <w:t>一</w:t>
      </w:r>
      <w:r>
        <w:rPr>
          <w:rFonts w:ascii="Times New Roman" w:hAnsi="Times New Roman" w:eastAsia="宋体" w:cs="Times New Roman"/>
          <w:color w:val="auto"/>
        </w:rPr>
        <w:t>、招标代理服务费</w:t>
      </w:r>
    </w:p>
    <w:p w14:paraId="00FF4ED6">
      <w:pPr>
        <w:pStyle w:val="8"/>
        <w:spacing w:line="360" w:lineRule="auto"/>
        <w:ind w:firstLine="480" w:firstLineChars="200"/>
        <w:jc w:val="both"/>
        <w:rPr>
          <w:rFonts w:ascii="Times New Roman" w:hAnsi="Times New Roman" w:eastAsia="宋体" w:cs="Times New Roman"/>
          <w:color w:val="auto"/>
        </w:rPr>
      </w:pPr>
      <w:r>
        <w:rPr>
          <w:rFonts w:ascii="Times New Roman" w:hAnsi="Times New Roman" w:eastAsia="宋体" w:cs="Times New Roman"/>
          <w:color w:val="auto"/>
        </w:rPr>
        <w:t>本项目按以下比例向中标供应商收取招标代理服务费</w:t>
      </w:r>
      <w:r>
        <w:rPr>
          <w:rFonts w:hint="eastAsia" w:ascii="Times New Roman" w:hAnsi="Times New Roman" w:eastAsia="宋体" w:cs="Times New Roman"/>
          <w:color w:val="auto"/>
        </w:rPr>
        <w:t>：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56"/>
        <w:gridCol w:w="3657"/>
      </w:tblGrid>
      <w:tr w14:paraId="5371B3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tblHeader/>
          <w:jc w:val="center"/>
        </w:trPr>
        <w:tc>
          <w:tcPr>
            <w:tcW w:w="3656" w:type="dxa"/>
            <w:vAlign w:val="center"/>
          </w:tcPr>
          <w:p w14:paraId="0AE18B29">
            <w:pPr>
              <w:tabs>
                <w:tab w:val="left" w:pos="750"/>
                <w:tab w:val="left" w:pos="840"/>
              </w:tabs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中标金额</w:t>
            </w:r>
            <w:r>
              <w:rPr>
                <w:rFonts w:hint="eastAsia"/>
                <w:sz w:val="24"/>
              </w:rPr>
              <w:t>（万元）</w:t>
            </w:r>
          </w:p>
        </w:tc>
        <w:tc>
          <w:tcPr>
            <w:tcW w:w="3657" w:type="dxa"/>
            <w:vAlign w:val="center"/>
          </w:tcPr>
          <w:p w14:paraId="687D1971">
            <w:pPr>
              <w:tabs>
                <w:tab w:val="left" w:pos="750"/>
                <w:tab w:val="left" w:pos="840"/>
              </w:tabs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费率</w:t>
            </w:r>
          </w:p>
        </w:tc>
      </w:tr>
      <w:tr w14:paraId="662B49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3656" w:type="dxa"/>
            <w:vAlign w:val="center"/>
          </w:tcPr>
          <w:p w14:paraId="2543B2E7">
            <w:pPr>
              <w:tabs>
                <w:tab w:val="left" w:pos="750"/>
                <w:tab w:val="left" w:pos="840"/>
              </w:tabs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100以下</w:t>
            </w:r>
          </w:p>
        </w:tc>
        <w:tc>
          <w:tcPr>
            <w:tcW w:w="3657" w:type="dxa"/>
            <w:vAlign w:val="center"/>
          </w:tcPr>
          <w:p w14:paraId="79C325C6">
            <w:pPr>
              <w:tabs>
                <w:tab w:val="left" w:pos="750"/>
                <w:tab w:val="left" w:pos="840"/>
              </w:tabs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rFonts w:hint="eastAsia"/>
                <w:sz w:val="24"/>
              </w:rPr>
              <w:t>0</w:t>
            </w:r>
            <w:r>
              <w:rPr>
                <w:sz w:val="24"/>
              </w:rPr>
              <w:t>%</w:t>
            </w:r>
          </w:p>
        </w:tc>
      </w:tr>
      <w:tr w14:paraId="784894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3656" w:type="dxa"/>
            <w:vAlign w:val="center"/>
          </w:tcPr>
          <w:p w14:paraId="267281AF">
            <w:pPr>
              <w:tabs>
                <w:tab w:val="left" w:pos="750"/>
                <w:tab w:val="left" w:pos="840"/>
              </w:tabs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100-500</w:t>
            </w:r>
          </w:p>
        </w:tc>
        <w:tc>
          <w:tcPr>
            <w:tcW w:w="3657" w:type="dxa"/>
            <w:vAlign w:val="center"/>
          </w:tcPr>
          <w:p w14:paraId="4719620D">
            <w:pPr>
              <w:tabs>
                <w:tab w:val="left" w:pos="750"/>
                <w:tab w:val="left" w:pos="840"/>
              </w:tabs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0</w:t>
            </w:r>
            <w:r>
              <w:rPr>
                <w:sz w:val="24"/>
              </w:rPr>
              <w:t>.</w:t>
            </w:r>
            <w:r>
              <w:rPr>
                <w:rFonts w:hint="eastAsia"/>
                <w:sz w:val="24"/>
              </w:rPr>
              <w:t>8</w:t>
            </w:r>
            <w:r>
              <w:rPr>
                <w:sz w:val="24"/>
              </w:rPr>
              <w:t>%</w:t>
            </w:r>
          </w:p>
        </w:tc>
      </w:tr>
      <w:tr w14:paraId="44FEA2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3656" w:type="dxa"/>
            <w:vAlign w:val="center"/>
          </w:tcPr>
          <w:p w14:paraId="53D0CB47">
            <w:pPr>
              <w:tabs>
                <w:tab w:val="left" w:pos="750"/>
                <w:tab w:val="left" w:pos="840"/>
              </w:tabs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500-1000</w:t>
            </w:r>
          </w:p>
        </w:tc>
        <w:tc>
          <w:tcPr>
            <w:tcW w:w="3657" w:type="dxa"/>
            <w:vAlign w:val="center"/>
          </w:tcPr>
          <w:p w14:paraId="4EDFD745">
            <w:pPr>
              <w:tabs>
                <w:tab w:val="left" w:pos="750"/>
                <w:tab w:val="left" w:pos="840"/>
              </w:tabs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0.</w:t>
            </w:r>
            <w:r>
              <w:rPr>
                <w:rFonts w:hint="eastAsia"/>
                <w:sz w:val="24"/>
              </w:rPr>
              <w:t>65</w:t>
            </w:r>
            <w:r>
              <w:rPr>
                <w:sz w:val="24"/>
              </w:rPr>
              <w:t>%</w:t>
            </w:r>
          </w:p>
        </w:tc>
      </w:tr>
      <w:tr w14:paraId="396856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3656" w:type="dxa"/>
            <w:vAlign w:val="center"/>
          </w:tcPr>
          <w:p w14:paraId="4E6A3FD2">
            <w:pPr>
              <w:tabs>
                <w:tab w:val="left" w:pos="750"/>
                <w:tab w:val="left" w:pos="840"/>
              </w:tabs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1000</w:t>
            </w:r>
            <w:r>
              <w:rPr>
                <w:rFonts w:hint="eastAsia"/>
                <w:sz w:val="24"/>
              </w:rPr>
              <w:t>-5000</w:t>
            </w:r>
          </w:p>
        </w:tc>
        <w:tc>
          <w:tcPr>
            <w:tcW w:w="3657" w:type="dxa"/>
            <w:vAlign w:val="center"/>
          </w:tcPr>
          <w:p w14:paraId="45B6117B">
            <w:pPr>
              <w:tabs>
                <w:tab w:val="left" w:pos="750"/>
                <w:tab w:val="left" w:pos="840"/>
              </w:tabs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0.5%</w:t>
            </w:r>
          </w:p>
        </w:tc>
      </w:tr>
      <w:tr w14:paraId="6809E6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3656" w:type="dxa"/>
            <w:vAlign w:val="center"/>
          </w:tcPr>
          <w:p w14:paraId="72548F1A">
            <w:pPr>
              <w:tabs>
                <w:tab w:val="left" w:pos="750"/>
                <w:tab w:val="left" w:pos="840"/>
              </w:tabs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5000-10000</w:t>
            </w:r>
          </w:p>
        </w:tc>
        <w:tc>
          <w:tcPr>
            <w:tcW w:w="3657" w:type="dxa"/>
            <w:vAlign w:val="center"/>
          </w:tcPr>
          <w:p w14:paraId="7E8941D3">
            <w:pPr>
              <w:tabs>
                <w:tab w:val="left" w:pos="750"/>
                <w:tab w:val="left" w:pos="840"/>
              </w:tabs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0.25%</w:t>
            </w:r>
          </w:p>
        </w:tc>
      </w:tr>
      <w:tr w14:paraId="77C18F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3656" w:type="dxa"/>
            <w:vAlign w:val="center"/>
          </w:tcPr>
          <w:p w14:paraId="55C7AC7E">
            <w:pPr>
              <w:tabs>
                <w:tab w:val="left" w:pos="750"/>
                <w:tab w:val="left" w:pos="840"/>
              </w:tabs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10000-100000</w:t>
            </w:r>
          </w:p>
        </w:tc>
        <w:tc>
          <w:tcPr>
            <w:tcW w:w="3657" w:type="dxa"/>
            <w:vAlign w:val="center"/>
          </w:tcPr>
          <w:p w14:paraId="084E95AE">
            <w:pPr>
              <w:tabs>
                <w:tab w:val="left" w:pos="750"/>
                <w:tab w:val="left" w:pos="840"/>
              </w:tabs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0.05%</w:t>
            </w:r>
          </w:p>
        </w:tc>
      </w:tr>
    </w:tbl>
    <w:p w14:paraId="5B3277E7">
      <w:pPr>
        <w:tabs>
          <w:tab w:val="left" w:pos="700"/>
        </w:tabs>
        <w:autoSpaceDE w:val="0"/>
        <w:autoSpaceDN w:val="0"/>
        <w:adjustRightInd w:val="0"/>
        <w:spacing w:line="360" w:lineRule="auto"/>
        <w:ind w:firstLine="480" w:firstLineChars="200"/>
        <w:rPr>
          <w:sz w:val="24"/>
          <w:lang w:val="zh-CN"/>
        </w:rPr>
      </w:pPr>
      <w:r>
        <w:rPr>
          <w:sz w:val="24"/>
          <w:lang w:val="zh-CN"/>
        </w:rPr>
        <w:t>服务费按差额定率累进法计算</w:t>
      </w:r>
      <w:r>
        <w:rPr>
          <w:rFonts w:hint="eastAsia"/>
          <w:sz w:val="24"/>
          <w:lang w:val="zh-CN"/>
        </w:rPr>
        <w:t>，向下取整，精确到元。</w:t>
      </w:r>
      <w:r>
        <w:rPr>
          <w:sz w:val="24"/>
          <w:lang w:val="zh-CN"/>
        </w:rPr>
        <w:t>例如</w:t>
      </w:r>
      <w:r>
        <w:rPr>
          <w:sz w:val="24"/>
        </w:rPr>
        <w:t>中标</w:t>
      </w:r>
      <w:r>
        <w:rPr>
          <w:sz w:val="24"/>
          <w:lang w:val="zh-CN"/>
        </w:rPr>
        <w:t>金额为680</w:t>
      </w:r>
      <w:r>
        <w:rPr>
          <w:rFonts w:hint="eastAsia"/>
          <w:sz w:val="24"/>
          <w:lang w:val="zh-CN"/>
        </w:rPr>
        <w:t>5000</w:t>
      </w:r>
      <w:r>
        <w:rPr>
          <w:sz w:val="24"/>
          <w:lang w:val="zh-CN"/>
        </w:rPr>
        <w:t>元，服务费</w:t>
      </w:r>
      <w:r>
        <w:rPr>
          <w:rFonts w:hint="eastAsia"/>
          <w:sz w:val="24"/>
          <w:lang w:val="zh-CN"/>
        </w:rPr>
        <w:t>=</w:t>
      </w:r>
      <w:r>
        <w:rPr>
          <w:sz w:val="24"/>
          <w:lang w:val="zh-CN"/>
        </w:rPr>
        <w:t>100</w:t>
      </w:r>
      <w:r>
        <w:rPr>
          <w:rFonts w:hint="eastAsia"/>
          <w:sz w:val="24"/>
          <w:lang w:val="zh-CN"/>
        </w:rPr>
        <w:t>0000</w:t>
      </w:r>
      <w:r>
        <w:rPr>
          <w:sz w:val="24"/>
          <w:lang w:val="zh-CN"/>
        </w:rPr>
        <w:t>×1%+</w:t>
      </w:r>
      <w:r>
        <w:rPr>
          <w:rFonts w:hint="eastAsia"/>
          <w:sz w:val="24"/>
          <w:lang w:val="zh-CN"/>
        </w:rPr>
        <w:t>（</w:t>
      </w:r>
      <w:r>
        <w:rPr>
          <w:sz w:val="24"/>
          <w:lang w:val="zh-CN"/>
        </w:rPr>
        <w:t>500</w:t>
      </w:r>
      <w:r>
        <w:rPr>
          <w:rFonts w:hint="eastAsia"/>
          <w:sz w:val="24"/>
          <w:lang w:val="zh-CN"/>
        </w:rPr>
        <w:t>0000</w:t>
      </w:r>
      <w:r>
        <w:rPr>
          <w:sz w:val="24"/>
          <w:lang w:val="zh-CN"/>
        </w:rPr>
        <w:t>-100</w:t>
      </w:r>
      <w:r>
        <w:rPr>
          <w:rFonts w:hint="eastAsia"/>
          <w:sz w:val="24"/>
          <w:lang w:val="zh-CN"/>
        </w:rPr>
        <w:t>0000）</w:t>
      </w:r>
      <w:r>
        <w:rPr>
          <w:sz w:val="24"/>
          <w:lang w:val="zh-CN"/>
        </w:rPr>
        <w:t>×</w:t>
      </w:r>
      <w:r>
        <w:rPr>
          <w:rFonts w:hint="eastAsia"/>
          <w:sz w:val="24"/>
          <w:lang w:val="zh-CN"/>
        </w:rPr>
        <w:t>0.8</w:t>
      </w:r>
      <w:r>
        <w:rPr>
          <w:sz w:val="24"/>
          <w:lang w:val="zh-CN"/>
        </w:rPr>
        <w:t>%+</w:t>
      </w:r>
      <w:r>
        <w:rPr>
          <w:rFonts w:hint="eastAsia"/>
          <w:sz w:val="24"/>
          <w:lang w:val="zh-CN"/>
        </w:rPr>
        <w:t>（</w:t>
      </w:r>
      <w:r>
        <w:rPr>
          <w:sz w:val="24"/>
          <w:lang w:val="zh-CN"/>
        </w:rPr>
        <w:t>680</w:t>
      </w:r>
      <w:r>
        <w:rPr>
          <w:rFonts w:hint="eastAsia"/>
          <w:sz w:val="24"/>
          <w:lang w:val="zh-CN"/>
        </w:rPr>
        <w:t>5000</w:t>
      </w:r>
      <w:r>
        <w:rPr>
          <w:sz w:val="24"/>
          <w:lang w:val="zh-CN"/>
        </w:rPr>
        <w:t>-500</w:t>
      </w:r>
      <w:r>
        <w:rPr>
          <w:rFonts w:hint="eastAsia"/>
          <w:sz w:val="24"/>
          <w:lang w:val="zh-CN"/>
        </w:rPr>
        <w:t>0000）</w:t>
      </w:r>
      <w:r>
        <w:rPr>
          <w:sz w:val="24"/>
          <w:lang w:val="zh-CN"/>
        </w:rPr>
        <w:t>×0.</w:t>
      </w:r>
      <w:r>
        <w:rPr>
          <w:rFonts w:hint="eastAsia"/>
          <w:sz w:val="24"/>
          <w:lang w:val="zh-CN"/>
        </w:rPr>
        <w:t>65</w:t>
      </w:r>
      <w:r>
        <w:rPr>
          <w:sz w:val="24"/>
          <w:lang w:val="zh-CN"/>
        </w:rPr>
        <w:t>%=</w:t>
      </w:r>
      <w:r>
        <w:rPr>
          <w:rFonts w:hint="eastAsia"/>
          <w:sz w:val="24"/>
          <w:lang w:val="zh-CN"/>
        </w:rPr>
        <w:t>53732.5</w:t>
      </w:r>
      <w:r>
        <w:rPr>
          <w:sz w:val="24"/>
          <w:lang w:val="zh-CN"/>
        </w:rPr>
        <w:t>元，服务费</w:t>
      </w:r>
      <w:r>
        <w:rPr>
          <w:rFonts w:hint="eastAsia"/>
          <w:sz w:val="24"/>
          <w:lang w:val="zh-CN"/>
        </w:rPr>
        <w:t>缴纳53732元。</w:t>
      </w:r>
      <w:r>
        <w:rPr>
          <w:sz w:val="24"/>
          <w:lang w:val="zh-CN"/>
        </w:rPr>
        <w:t>其中中标金额以《中标通知书》为准。</w:t>
      </w:r>
    </w:p>
    <w:p w14:paraId="35E5E2DB">
      <w:pPr>
        <w:tabs>
          <w:tab w:val="left" w:pos="700"/>
        </w:tabs>
        <w:autoSpaceDE w:val="0"/>
        <w:autoSpaceDN w:val="0"/>
        <w:adjustRightInd w:val="0"/>
        <w:spacing w:line="360" w:lineRule="auto"/>
        <w:ind w:firstLine="480" w:firstLineChars="200"/>
        <w:rPr>
          <w:sz w:val="24"/>
          <w:szCs w:val="24"/>
          <w:lang w:val="zh-CN"/>
        </w:rPr>
      </w:pPr>
      <w:r>
        <w:rPr>
          <w:rFonts w:hint="eastAsia"/>
          <w:sz w:val="24"/>
          <w:szCs w:val="24"/>
        </w:rPr>
        <w:t>中标供应商应于中标公告发布之日起5个工作日内缴纳</w:t>
      </w:r>
      <w:r>
        <w:rPr>
          <w:rFonts w:hint="eastAsia"/>
          <w:sz w:val="24"/>
          <w:szCs w:val="24"/>
          <w:lang w:val="zh-CN"/>
        </w:rPr>
        <w:t>招标代理服务费，缴费单位名称须与投标单位名称一致，缴费时请注明项目编号及中标包号。</w:t>
      </w:r>
    </w:p>
    <w:p w14:paraId="3610E83E">
      <w:pPr>
        <w:pStyle w:val="8"/>
        <w:spacing w:line="360" w:lineRule="auto"/>
        <w:ind w:firstLine="480" w:firstLineChars="200"/>
        <w:rPr>
          <w:rFonts w:ascii="Times New Roman" w:hAnsi="Times New Roman" w:eastAsia="宋体" w:cs="Times New Roman"/>
          <w:color w:val="auto"/>
        </w:rPr>
      </w:pPr>
      <w:r>
        <w:rPr>
          <w:rFonts w:hint="eastAsia" w:ascii="Times New Roman" w:hAnsi="Times New Roman" w:eastAsia="宋体" w:cs="Times New Roman"/>
          <w:color w:val="auto"/>
        </w:rPr>
        <w:t>名        称：天津市公共资源交易中心</w:t>
      </w:r>
    </w:p>
    <w:p w14:paraId="66D9F8FA">
      <w:pPr>
        <w:pStyle w:val="8"/>
        <w:spacing w:line="360" w:lineRule="auto"/>
        <w:ind w:firstLine="480" w:firstLineChars="200"/>
        <w:rPr>
          <w:rFonts w:ascii="Times New Roman" w:hAnsi="Times New Roman" w:eastAsia="宋体" w:cs="Times New Roman"/>
          <w:color w:val="auto"/>
        </w:rPr>
      </w:pPr>
      <w:r>
        <w:rPr>
          <w:rFonts w:hint="eastAsia" w:ascii="Times New Roman" w:hAnsi="Times New Roman" w:eastAsia="宋体" w:cs="Times New Roman"/>
          <w:color w:val="auto"/>
        </w:rPr>
        <w:t xml:space="preserve">开户行及账号：中国建设银行股份有限公司天津明华支行 </w:t>
      </w:r>
    </w:p>
    <w:p w14:paraId="7F29C5C9">
      <w:pPr>
        <w:pStyle w:val="8"/>
        <w:spacing w:line="360" w:lineRule="auto"/>
        <w:ind w:firstLine="2152" w:firstLineChars="897"/>
        <w:rPr>
          <w:rFonts w:ascii="Times New Roman" w:hAnsi="Times New Roman" w:eastAsia="宋体" w:cs="Times New Roman"/>
          <w:color w:val="auto"/>
        </w:rPr>
      </w:pPr>
      <w:r>
        <w:rPr>
          <w:rFonts w:ascii="Times New Roman" w:hAnsi="Times New Roman" w:eastAsia="宋体" w:cs="Times New Roman"/>
          <w:color w:val="auto"/>
        </w:rPr>
        <w:t>1205 0162 4900 0000 0675</w:t>
      </w:r>
    </w:p>
    <w:p w14:paraId="7B7B7BB2">
      <w:pPr>
        <w:pStyle w:val="8"/>
        <w:spacing w:line="360" w:lineRule="auto"/>
        <w:ind w:firstLine="480" w:firstLineChars="200"/>
        <w:rPr>
          <w:rFonts w:ascii="Times New Roman" w:hAnsi="Times New Roman" w:eastAsia="宋体" w:cs="Times New Roman"/>
          <w:color w:val="auto"/>
        </w:rPr>
      </w:pPr>
      <w:r>
        <w:rPr>
          <w:rFonts w:hint="eastAsia" w:ascii="Times New Roman" w:hAnsi="Times New Roman" w:eastAsia="宋体" w:cs="Times New Roman"/>
          <w:color w:val="auto"/>
        </w:rPr>
        <w:t>银行联行号：  105110039436</w:t>
      </w:r>
    </w:p>
    <w:p w14:paraId="05C7DF91">
      <w:pPr>
        <w:pStyle w:val="8"/>
        <w:spacing w:line="360" w:lineRule="auto"/>
        <w:ind w:firstLine="480" w:firstLineChars="200"/>
        <w:rPr>
          <w:rFonts w:ascii="Times New Roman" w:hAnsi="Times New Roman" w:eastAsia="宋体" w:cs="Times New Roman"/>
          <w:color w:val="auto"/>
        </w:rPr>
      </w:pPr>
      <w:r>
        <w:rPr>
          <w:rFonts w:hint="eastAsia" w:ascii="Times New Roman" w:hAnsi="Times New Roman" w:eastAsia="宋体" w:cs="Times New Roman"/>
          <w:color w:val="auto"/>
        </w:rPr>
        <w:t>纳税人识别号：1212 0000 MB1E 44809C</w:t>
      </w:r>
    </w:p>
    <w:p w14:paraId="142F9955">
      <w:pPr>
        <w:pStyle w:val="8"/>
        <w:spacing w:line="360" w:lineRule="auto"/>
        <w:ind w:firstLine="480" w:firstLineChars="200"/>
        <w:jc w:val="both"/>
        <w:rPr>
          <w:rFonts w:ascii="Times New Roman" w:hAnsi="Times New Roman" w:eastAsia="宋体" w:cs="Times New Roman"/>
          <w:color w:val="auto"/>
        </w:rPr>
      </w:pPr>
      <w:r>
        <w:rPr>
          <w:rFonts w:hint="eastAsia" w:ascii="Times New Roman" w:hAnsi="Times New Roman" w:eastAsia="宋体" w:cs="Times New Roman"/>
          <w:color w:val="auto"/>
        </w:rPr>
        <w:t>地址：天津市河东区红星路79号</w:t>
      </w:r>
    </w:p>
    <w:p w14:paraId="016140D1">
      <w:pPr>
        <w:pStyle w:val="8"/>
        <w:spacing w:line="360" w:lineRule="auto"/>
        <w:ind w:firstLine="480" w:firstLineChars="200"/>
        <w:jc w:val="both"/>
        <w:rPr>
          <w:rFonts w:ascii="Times New Roman" w:hAnsi="Times New Roman" w:eastAsia="宋体" w:cs="Times New Roman"/>
          <w:color w:val="auto"/>
        </w:rPr>
      </w:pPr>
      <w:r>
        <w:rPr>
          <w:rFonts w:hint="eastAsia" w:ascii="Times New Roman" w:hAnsi="Times New Roman" w:eastAsia="宋体" w:cs="Times New Roman"/>
          <w:color w:val="auto"/>
        </w:rPr>
        <w:t>缴费及申请开票系统：http://pay.tjggzy.cn/</w:t>
      </w:r>
    </w:p>
    <w:p w14:paraId="1F59BDF8">
      <w:pPr>
        <w:ind w:firstLine="420" w:firstLineChars="200"/>
      </w:pPr>
      <w:r>
        <w:rPr>
          <w:rFonts w:hint="eastAsia"/>
          <w:lang w:val="zh-CN"/>
        </w:rPr>
        <w:t>缴费及开票咨询电话：022-24532012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Wingdings">
    <w:altName w:val="Kingsoft Confetti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Kingsoft Confetti">
    <w:panose1 w:val="05000100010000000000"/>
    <w:charset w:val="00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.......">
    <w:altName w:val="汉仪中黑KW"/>
    <w:panose1 w:val="00000000000000000000"/>
    <w:charset w:val="86"/>
    <w:family w:val="roma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7EED"/>
    <w:rsid w:val="00077476"/>
    <w:rsid w:val="00085D13"/>
    <w:rsid w:val="000C4D67"/>
    <w:rsid w:val="000C5039"/>
    <w:rsid w:val="000F2679"/>
    <w:rsid w:val="00117EED"/>
    <w:rsid w:val="00120BAA"/>
    <w:rsid w:val="00121109"/>
    <w:rsid w:val="00127D08"/>
    <w:rsid w:val="00127E36"/>
    <w:rsid w:val="0013454F"/>
    <w:rsid w:val="00174B13"/>
    <w:rsid w:val="00194C67"/>
    <w:rsid w:val="001B7B95"/>
    <w:rsid w:val="001C7FA7"/>
    <w:rsid w:val="001E2436"/>
    <w:rsid w:val="001F465D"/>
    <w:rsid w:val="0030343D"/>
    <w:rsid w:val="0030545F"/>
    <w:rsid w:val="00316D9D"/>
    <w:rsid w:val="003C563F"/>
    <w:rsid w:val="003E6F23"/>
    <w:rsid w:val="003F1F9B"/>
    <w:rsid w:val="0040248B"/>
    <w:rsid w:val="00416A33"/>
    <w:rsid w:val="00422949"/>
    <w:rsid w:val="0048267E"/>
    <w:rsid w:val="004E64D8"/>
    <w:rsid w:val="004F2CE9"/>
    <w:rsid w:val="005E3AFD"/>
    <w:rsid w:val="005F0913"/>
    <w:rsid w:val="0061198E"/>
    <w:rsid w:val="006138E2"/>
    <w:rsid w:val="00620853"/>
    <w:rsid w:val="006415E9"/>
    <w:rsid w:val="00642D8F"/>
    <w:rsid w:val="00645CE8"/>
    <w:rsid w:val="00657160"/>
    <w:rsid w:val="00674126"/>
    <w:rsid w:val="00716E03"/>
    <w:rsid w:val="00746FE2"/>
    <w:rsid w:val="007A70FD"/>
    <w:rsid w:val="007C0A91"/>
    <w:rsid w:val="007D35B7"/>
    <w:rsid w:val="00834ECB"/>
    <w:rsid w:val="00853A07"/>
    <w:rsid w:val="00860C62"/>
    <w:rsid w:val="00882AA1"/>
    <w:rsid w:val="00883441"/>
    <w:rsid w:val="008A1735"/>
    <w:rsid w:val="008C0EA0"/>
    <w:rsid w:val="008D4729"/>
    <w:rsid w:val="008E4B51"/>
    <w:rsid w:val="009022EA"/>
    <w:rsid w:val="009164E0"/>
    <w:rsid w:val="00993BD8"/>
    <w:rsid w:val="00A30B92"/>
    <w:rsid w:val="00A5343E"/>
    <w:rsid w:val="00A66062"/>
    <w:rsid w:val="00A7194B"/>
    <w:rsid w:val="00AB46F7"/>
    <w:rsid w:val="00B03B0A"/>
    <w:rsid w:val="00B1343A"/>
    <w:rsid w:val="00B141A6"/>
    <w:rsid w:val="00B83A0F"/>
    <w:rsid w:val="00BB03D4"/>
    <w:rsid w:val="00BE0C36"/>
    <w:rsid w:val="00BE279A"/>
    <w:rsid w:val="00BF11D9"/>
    <w:rsid w:val="00C149E6"/>
    <w:rsid w:val="00C157BE"/>
    <w:rsid w:val="00C51A1F"/>
    <w:rsid w:val="00CE1B76"/>
    <w:rsid w:val="00D06D02"/>
    <w:rsid w:val="00D24133"/>
    <w:rsid w:val="00D55287"/>
    <w:rsid w:val="00D8476C"/>
    <w:rsid w:val="00D852F1"/>
    <w:rsid w:val="00D9085A"/>
    <w:rsid w:val="00DF175B"/>
    <w:rsid w:val="00E54230"/>
    <w:rsid w:val="00E65F31"/>
    <w:rsid w:val="00E85861"/>
    <w:rsid w:val="00E85DFA"/>
    <w:rsid w:val="00EA027A"/>
    <w:rsid w:val="00EB538D"/>
    <w:rsid w:val="00EB7FAC"/>
    <w:rsid w:val="00F228DE"/>
    <w:rsid w:val="00F85C3E"/>
    <w:rsid w:val="00FB0030"/>
    <w:rsid w:val="00FD5462"/>
    <w:rsid w:val="5FCF42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Default"/>
    <w:link w:val="9"/>
    <w:qFormat/>
    <w:uiPriority w:val="0"/>
    <w:pPr>
      <w:widowControl w:val="0"/>
      <w:autoSpaceDE w:val="0"/>
      <w:autoSpaceDN w:val="0"/>
      <w:adjustRightInd w:val="0"/>
    </w:pPr>
    <w:rPr>
      <w:rFonts w:ascii="......." w:hAnsi="Calibri" w:eastAsia="......." w:cs="......."/>
      <w:color w:val="000000"/>
      <w:kern w:val="0"/>
      <w:sz w:val="24"/>
      <w:szCs w:val="24"/>
      <w:lang w:val="en-US" w:eastAsia="zh-CN" w:bidi="ar-SA"/>
    </w:rPr>
  </w:style>
  <w:style w:type="character" w:customStyle="1" w:styleId="9">
    <w:name w:val="Default Char"/>
    <w:link w:val="8"/>
    <w:qFormat/>
    <w:locked/>
    <w:uiPriority w:val="0"/>
    <w:rPr>
      <w:rFonts w:ascii="......." w:hAnsi="Calibri" w:eastAsia="......." w:cs="......."/>
      <w:color w:val="000000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Company>神州网信技术有限公司</Company>
  <Pages>1</Pages>
  <Words>81</Words>
  <Characters>467</Characters>
  <Lines>3</Lines>
  <Paragraphs>1</Paragraphs>
  <TotalTime>0</TotalTime>
  <ScaleCrop>false</ScaleCrop>
  <LinksUpToDate>false</LinksUpToDate>
  <CharactersWithSpaces>547</CharactersWithSpaces>
  <Application>WPS Office WWO_wpscloud_20250116195353-13c312bd48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2026-04-13T09:53:00Z</dcterms:created>
  <dc:creator>未定义</dc:creator>
  <cp:lastModifiedBy>未定义</cp:lastModifiedBy>
  <dcterms:modified xsi:type="dcterms:W3CDTF">2026-04-13T10:07:07Z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  <property fmtid="{D5CDD505-2E9C-101B-9397-08002B2CF9AE}" pid="3" name="ICV">
    <vt:lpwstr>70E38609CD8BAFBECB4FDC69481ED2FC_43</vt:lpwstr>
  </property>
</Properties>
</file>