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482" w:firstLineChars="200"/>
        <w:rPr>
          <w:rFonts w:hint="eastAsia" w:ascii="宋体" w:hAnsi="宋体"/>
          <w:b/>
          <w:sz w:val="24"/>
        </w:rPr>
      </w:pPr>
      <w:r>
        <w:rPr>
          <w:rFonts w:hint="eastAsia" w:ascii="宋体" w:hAnsi="宋体"/>
          <w:b/>
          <w:sz w:val="24"/>
        </w:rPr>
        <w:t>资格要求</w:t>
      </w:r>
      <w:bookmarkStart w:id="0" w:name="_GoBack"/>
      <w:bookmarkEnd w:id="0"/>
    </w:p>
    <w:p>
      <w:pPr>
        <w:spacing w:line="360" w:lineRule="auto"/>
        <w:ind w:firstLine="480" w:firstLineChars="200"/>
        <w:rPr>
          <w:rFonts w:hint="eastAsia" w:ascii="宋体" w:hAnsi="宋体"/>
          <w:sz w:val="24"/>
        </w:rPr>
      </w:pPr>
      <w:r>
        <w:rPr>
          <w:rFonts w:hint="eastAsia" w:ascii="宋体" w:hAnsi="宋体"/>
          <w:sz w:val="24"/>
        </w:rPr>
        <w:t>（一）</w:t>
      </w:r>
      <w:r>
        <w:rPr>
          <w:rFonts w:hint="eastAsia" w:ascii="宋体" w:hAnsi="宋体"/>
          <w:color w:val="FF0000"/>
          <w:sz w:val="24"/>
        </w:rPr>
        <w:t>根据现行法律法规的要求，设置供应商投标的特定资格条件</w:t>
      </w:r>
      <w:r>
        <w:rPr>
          <w:rFonts w:hint="eastAsia" w:ascii="宋体" w:hAnsi="宋体"/>
          <w:sz w:val="24"/>
        </w:rPr>
        <w:t>。</w:t>
      </w:r>
    </w:p>
    <w:p>
      <w:pPr>
        <w:spacing w:line="360" w:lineRule="auto"/>
        <w:ind w:firstLine="480" w:firstLineChars="200"/>
        <w:rPr>
          <w:rFonts w:hint="eastAsia" w:ascii="宋体" w:hAnsi="宋体"/>
          <w:sz w:val="24"/>
        </w:rPr>
      </w:pPr>
      <w:r>
        <w:rPr>
          <w:rFonts w:hint="eastAsia" w:ascii="宋体" w:hAnsi="宋体"/>
          <w:sz w:val="24"/>
        </w:rPr>
        <w:t xml:space="preserve"> 1.投标人须提供营业执照副本或事业单位法人证书或民办非企业单位登记证书或社会团体法人登记证书或基金会法人登记证书复印件并加盖公章。</w:t>
      </w:r>
    </w:p>
    <w:p>
      <w:pPr>
        <w:spacing w:line="360" w:lineRule="auto"/>
        <w:ind w:firstLine="480" w:firstLineChars="200"/>
        <w:rPr>
          <w:rFonts w:hint="eastAsia" w:ascii="宋体" w:hAnsi="宋体"/>
          <w:sz w:val="24"/>
        </w:rPr>
      </w:pPr>
      <w:r>
        <w:rPr>
          <w:rFonts w:hint="eastAsia" w:ascii="宋体" w:hAnsi="宋体"/>
          <w:sz w:val="24"/>
        </w:rPr>
        <w:t>2.财务状况报告等相关材料：投标人须提供经第三方会计师事务所审计的2024年度企业财务报告扫描件（应包括完整的审计报告和财务报表）或提交投标文件截止日期前近3个月银行出具的资信证明复印件并加盖公章。</w:t>
      </w:r>
    </w:p>
    <w:p>
      <w:pPr>
        <w:spacing w:line="360" w:lineRule="auto"/>
        <w:ind w:firstLine="480" w:firstLineChars="200"/>
        <w:rPr>
          <w:rFonts w:hint="eastAsia" w:ascii="宋体" w:hAnsi="宋体"/>
          <w:sz w:val="24"/>
        </w:rPr>
      </w:pPr>
      <w:r>
        <w:rPr>
          <w:rFonts w:hint="eastAsia" w:ascii="宋体" w:hAnsi="宋体"/>
          <w:sz w:val="24"/>
        </w:rPr>
        <w:t>3.投标人须提交2024年至投标截止日任意1个月的依法缴纳税收和社会保险费的相关证明材料复印件并加盖公章；依法免税的，应提供相应文件证明其依法免税；依法不需要缴纳社会保险的，应提供相应文件证明其依法不需要缴纳社会保险。</w:t>
      </w:r>
    </w:p>
    <w:p>
      <w:pPr>
        <w:spacing w:line="360" w:lineRule="auto"/>
        <w:ind w:firstLine="480" w:firstLineChars="200"/>
        <w:rPr>
          <w:rFonts w:hint="eastAsia" w:ascii="宋体" w:hAnsi="宋体"/>
          <w:sz w:val="24"/>
        </w:rPr>
      </w:pPr>
      <w:r>
        <w:rPr>
          <w:rFonts w:hint="eastAsia" w:ascii="宋体" w:hAnsi="宋体"/>
          <w:sz w:val="24"/>
        </w:rPr>
        <w:t>4.投标人须提供投标截止日前3年在经营活动中没有重大违法记录的书面声明（截至开标日成立不足3年的投标人可提供自成立以来无重大违法记录的书面声明）。</w:t>
      </w:r>
    </w:p>
    <w:p>
      <w:pPr>
        <w:spacing w:line="360" w:lineRule="auto"/>
        <w:ind w:firstLine="480" w:firstLineChars="200"/>
        <w:rPr>
          <w:rFonts w:hint="eastAsia" w:ascii="宋体" w:hAnsi="宋体"/>
          <w:sz w:val="24"/>
        </w:rPr>
      </w:pPr>
      <w:r>
        <w:rPr>
          <w:rFonts w:hint="eastAsia" w:ascii="宋体" w:hAnsi="宋体"/>
          <w:sz w:val="24"/>
        </w:rPr>
        <w:t>5.投标人须由法定代表人或其授权的委托代理人参加投标。投标人若为法定代表人投标，需提供法定代表人资格证明书（须加盖投标单位公章）和法定代表人身份证原件；投标人若为投标人代表投标，须提供法定代表人授权书（须由法定代表人签字或盖章）和投标人代表身份证原件。</w:t>
      </w:r>
    </w:p>
    <w:p>
      <w:pPr>
        <w:spacing w:line="360" w:lineRule="auto"/>
        <w:ind w:firstLine="480" w:firstLineChars="200"/>
        <w:rPr>
          <w:rFonts w:hint="default" w:ascii="宋体" w:hAnsi="宋体" w:eastAsia="宋体"/>
          <w:sz w:val="24"/>
          <w:lang w:val="en-US" w:eastAsia="zh-CN"/>
        </w:rPr>
      </w:pPr>
      <w:r>
        <w:rPr>
          <w:rFonts w:hint="eastAsia" w:ascii="宋体" w:hAnsi="宋体"/>
          <w:sz w:val="24"/>
          <w:lang w:val="en-US" w:eastAsia="zh-CN"/>
        </w:rPr>
        <w:t>6.近三年内未发生侵害实用新型专利权纠纷及劳务纠纷、行政处罚。</w:t>
      </w:r>
    </w:p>
    <w:p>
      <w:pPr>
        <w:spacing w:line="360" w:lineRule="auto"/>
        <w:ind w:firstLine="480" w:firstLineChars="200"/>
        <w:rPr>
          <w:sz w:val="24"/>
        </w:rPr>
      </w:pPr>
      <w:r>
        <w:rPr>
          <w:rFonts w:hint="eastAsia"/>
          <w:sz w:val="24"/>
        </w:rPr>
        <w:t>（二）投标人须具备《中华人民共和国政府采购法》第二十二条第一款规定的条件。</w:t>
      </w:r>
    </w:p>
    <w:p>
      <w:pPr>
        <w:spacing w:line="360" w:lineRule="auto"/>
        <w:ind w:firstLine="480" w:firstLineChars="200"/>
        <w:rPr>
          <w:sz w:val="24"/>
        </w:rPr>
      </w:pPr>
      <w:r>
        <w:rPr>
          <w:rFonts w:hint="eastAsia"/>
          <w:sz w:val="24"/>
        </w:rPr>
        <w:t>（三）本项目</w:t>
      </w:r>
      <w:r>
        <w:rPr>
          <w:rFonts w:hint="eastAsia"/>
          <w:color w:val="FF0000"/>
          <w:sz w:val="24"/>
        </w:rPr>
        <w:t>不接受</w:t>
      </w:r>
      <w:r>
        <w:rPr>
          <w:rFonts w:hint="eastAsia"/>
          <w:sz w:val="24"/>
        </w:rPr>
        <w:t>联合体。</w:t>
      </w:r>
    </w:p>
    <w:p>
      <w:pPr>
        <w:spacing w:line="360" w:lineRule="auto"/>
        <w:ind w:firstLine="482" w:firstLineChars="200"/>
        <w:rPr>
          <w:rFonts w:hint="eastAsia" w:ascii="宋体" w:hAnsi="宋体"/>
          <w:b/>
          <w:sz w:val="24"/>
        </w:rPr>
      </w:pPr>
    </w:p>
    <w:p>
      <w:pPr>
        <w:spacing w:line="360" w:lineRule="auto"/>
        <w:ind w:firstLine="482" w:firstLineChars="200"/>
        <w:rPr>
          <w:rFonts w:hint="eastAsia" w:ascii="宋体" w:hAnsi="宋体"/>
          <w:b/>
          <w:sz w:val="24"/>
        </w:rPr>
      </w:pPr>
      <w:r>
        <w:rPr>
          <w:rFonts w:hint="eastAsia" w:ascii="宋体" w:hAnsi="宋体"/>
          <w:b/>
          <w:sz w:val="24"/>
        </w:rPr>
        <w:t>技术要求</w:t>
      </w:r>
    </w:p>
    <w:tbl>
      <w:tblPr>
        <w:tblStyle w:val="10"/>
        <w:tblW w:w="8916" w:type="dxa"/>
        <w:tblInd w:w="-39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41"/>
        <w:gridCol w:w="1432"/>
        <w:gridCol w:w="2185"/>
        <w:gridCol w:w="665"/>
        <w:gridCol w:w="600"/>
        <w:gridCol w:w="853"/>
        <w:gridCol w:w="1076"/>
        <w:gridCol w:w="14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5"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货物名称</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技术要求</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单价</w:t>
            </w:r>
          </w:p>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（万元）</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总额</w:t>
            </w:r>
          </w:p>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（万元）</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实质性技术条款原因说明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定制异形沙发A</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定制</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1、覆面：选用布绒覆面，布质细腻、光泽度好、透气性强、柔软且富有韧性、坐感舒适等特点。</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2、海绵：选用阻燃级海绵，反复坐压不变形、不塌陷，透气性强，软硬适中，回弹性能好，不老化及对人体无害等特点。</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3、水性喷胶：选用环保安全水性喷胶，无刺激性气味。</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4、内架：选用多层实木生态板实木龙骨内架，高硬度强粘合力，具有阻燃、透气、吸音、抗收缩特性，长久使用不变形、不塌陷。</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6、绷带：沙发内框架采用绷带加强拉结，延长使用寿命。</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定制异形沙发B</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定制</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技术要求同</w:t>
            </w:r>
            <w:r>
              <w:rPr>
                <w:rFonts w:hint="eastAsia" w:ascii="宋体" w:hAnsi="宋体" w:eastAsia="宋体" w:cs="宋体"/>
                <w:i w:val="0"/>
                <w:iCs w:val="0"/>
                <w:color w:val="000000"/>
                <w:kern w:val="0"/>
                <w:sz w:val="18"/>
                <w:szCs w:val="18"/>
                <w:u w:val="none"/>
                <w:lang w:val="en-US" w:eastAsia="zh-CN" w:bidi="ar"/>
              </w:rPr>
              <w:t>定制异形沙发A</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茶几（大）</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定制</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1、饰面：采用优质木皮，依据</w:t>
            </w:r>
            <w:r>
              <w:rPr>
                <w:rFonts w:hint="eastAsia" w:ascii="宋体" w:hAnsi="宋体" w:cs="宋体"/>
                <w:i w:val="0"/>
                <w:iCs w:val="0"/>
                <w:color w:val="000000"/>
                <w:kern w:val="0"/>
                <w:sz w:val="18"/>
                <w:szCs w:val="18"/>
                <w:u w:val="none"/>
                <w:lang w:val="en-US" w:eastAsia="zh-CN" w:bidi="ar"/>
              </w:rPr>
              <w:t>35601-2024</w:t>
            </w:r>
            <w:r>
              <w:rPr>
                <w:rFonts w:hint="eastAsia" w:ascii="宋体" w:hAnsi="宋体" w:eastAsia="宋体" w:cs="宋体"/>
                <w:i w:val="0"/>
                <w:iCs w:val="0"/>
                <w:color w:val="000000"/>
                <w:kern w:val="0"/>
                <w:sz w:val="18"/>
                <w:szCs w:val="18"/>
                <w:u w:val="none"/>
                <w:lang w:val="en-US" w:eastAsia="zh-CN" w:bidi="ar"/>
              </w:rPr>
              <w:t>《绿色产品评价人造板和木质地板》；GB 18584-2001《室内装饰装修材料木家具中有害物质限量》；GB/T 13010-2020《木材工业用单板》；</w:t>
            </w:r>
            <w:r>
              <w:rPr>
                <w:rFonts w:hint="eastAsia" w:ascii="宋体" w:hAnsi="宋体" w:cs="宋体"/>
                <w:i w:val="0"/>
                <w:iCs w:val="0"/>
                <w:color w:val="000000"/>
                <w:kern w:val="0"/>
                <w:sz w:val="18"/>
                <w:szCs w:val="18"/>
                <w:u w:val="none"/>
                <w:lang w:val="en-US" w:eastAsia="zh-CN" w:bidi="ar"/>
              </w:rPr>
              <w:t>GB/T 3324-2024</w:t>
            </w:r>
            <w:r>
              <w:rPr>
                <w:rFonts w:hint="eastAsia" w:ascii="宋体" w:hAnsi="宋体" w:eastAsia="宋体" w:cs="宋体"/>
                <w:i w:val="0"/>
                <w:iCs w:val="0"/>
                <w:color w:val="000000"/>
                <w:kern w:val="0"/>
                <w:sz w:val="18"/>
                <w:szCs w:val="18"/>
                <w:u w:val="none"/>
                <w:lang w:val="en-US" w:eastAsia="zh-CN" w:bidi="ar"/>
              </w:rPr>
              <w:t>《木家具通用技术条件》标准；厚度≥0.6mm，总挥发性有机化合物≤20㎍/m³，甲醛释放量≤0.5mg/L，单板含水率3%～8%，无贯通裂缝、无虫蛀现象，无腐朽材。</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2、基材：采用优质不低于E1级高密度纤维板，依据GB/T 31765-2015《高密度纤维板》；GB/T 17657-2022《人造板及饰面人造板理化性能试验方法》；GB/T 39600-2021《人造板及其制品甲醛释放量分级》；GB 18580-2017《室内装饰装修材料人造板及其制品中甲醛释放限量》；</w:t>
            </w:r>
            <w:r>
              <w:rPr>
                <w:rFonts w:hint="eastAsia" w:ascii="宋体" w:hAnsi="宋体" w:cs="宋体"/>
                <w:i w:val="0"/>
                <w:iCs w:val="0"/>
                <w:color w:val="000000"/>
                <w:kern w:val="0"/>
                <w:sz w:val="18"/>
                <w:szCs w:val="18"/>
                <w:u w:val="none"/>
                <w:lang w:val="en-US" w:eastAsia="zh-CN" w:bidi="ar"/>
              </w:rPr>
              <w:t>35601-2024</w:t>
            </w:r>
            <w:r>
              <w:rPr>
                <w:rFonts w:hint="eastAsia" w:ascii="宋体" w:hAnsi="宋体" w:eastAsia="宋体" w:cs="宋体"/>
                <w:i w:val="0"/>
                <w:iCs w:val="0"/>
                <w:color w:val="000000"/>
                <w:kern w:val="0"/>
                <w:sz w:val="18"/>
                <w:szCs w:val="18"/>
                <w:u w:val="none"/>
                <w:lang w:val="en-US" w:eastAsia="zh-CN" w:bidi="ar"/>
              </w:rPr>
              <w:t>《绿色产品评价人造板和木质地板》；JC/T 2039-2010《抗菌防霉木质装饰板》标准；无油污、斑点或异物，无边角缺损，内结合强度，表面结合强度均符合要求，密度≥0.85g/cm³，含水率3%～8%，弹性模量≥4000MPa，吸水厚度膨胀率≤3%，垂直板面握螺钉力板边≥1300N，垂直板面握螺钉力板面≥1500N，甲醛释放量≤0.03mg/m³，总挥发性有机化合物≤20㎍/m³，防霉菌等级0级或1级。</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3、封边：采用优质实木封边条，依据QB/T 4463-2013《家具用封边条技术要求》、QB/T 4371-2012《家具抗菌性能的评价》检测标准；厚度≥3mm，含水率8%～11%，甲醛释放量≤0.5mg/L，抗菌性能（抗细菌率）≥99.5%。</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4、油漆：采用优质环保油漆，依据GB 18581-2020《木器涂料中有害物质限量》；GB/T 21866-2008《抗菌涂料（漆膜）抗菌性测定法和抗菌效果》；</w:t>
            </w:r>
            <w:r>
              <w:rPr>
                <w:rFonts w:hint="eastAsia" w:ascii="宋体" w:hAnsi="宋体" w:cs="宋体"/>
                <w:i w:val="0"/>
                <w:iCs w:val="0"/>
                <w:color w:val="000000"/>
                <w:kern w:val="0"/>
                <w:sz w:val="18"/>
                <w:szCs w:val="18"/>
                <w:u w:val="none"/>
                <w:lang w:val="en-US" w:eastAsia="zh-CN" w:bidi="ar"/>
              </w:rPr>
              <w:t>GB/T 6739-2022</w:t>
            </w:r>
            <w:r>
              <w:rPr>
                <w:rFonts w:hint="eastAsia" w:ascii="宋体" w:hAnsi="宋体" w:eastAsia="宋体" w:cs="宋体"/>
                <w:i w:val="0"/>
                <w:iCs w:val="0"/>
                <w:color w:val="000000"/>
                <w:kern w:val="0"/>
                <w:sz w:val="18"/>
                <w:szCs w:val="18"/>
                <w:u w:val="none"/>
                <w:lang w:val="en-US" w:eastAsia="zh-CN" w:bidi="ar"/>
              </w:rPr>
              <w:t>《色漆和清漆铅笔法测定漆膜硬度》﹔GB/T 23997-2009《室内装饰装修用溶剂型聚氨酯木器涂料》；HJ/T 414-2007《环境标志产品技术要求 室内装饰装修用溶剂型木器涂料》标准；VOC含量≤5g/L，总铅含量≤2mg/kg，镉含量≤2mg/kg，铬含量≤2mg/kg，汞含量≤2mg/kg，乙二醇醚及醚酯总和含量（限乙二醇甲醚、乙二醇甲醚醋酸酯、乙二醇乙醚、乙二醇乙醚醋酸酯、乙二醇二甲醚、乙二醇二乙醚、二乙二醇二甲醚、三乙二醇二甲醚)≤20mg/kg，苯含量≤0.1%，甲醛含量≤10mg/kg，甲苯与二甲苯（含乙苯）总和含量≤5%，多环芳烃总和含量≤1mg/kg，抗菌性能（抗细菌率）≥99.5%，附着力1级。</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5、水性胶粘剂：选用优质环保胶，依据GB 18583-2008《室内装饰装修材料胶粘剂中有害物质限量》；HJ 2541-2016《环境标志产品技术要求胶粘剂》标准；游离甲醛≤0.5g/kg，总挥发性有机物≤5g/L，卤代烃≤0.1g/kg。</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6、五金配件：采用优质品牌五金配件，导轨依据GB/T 10125-2021《人造气氛腐蚀试验盐雾试验》；QB/T 3832- 1999《轻工产品金属镀层腐蚀试验结果的评价》； </w:t>
            </w:r>
            <w:r>
              <w:rPr>
                <w:rFonts w:hint="eastAsia" w:ascii="宋体" w:hAnsi="宋体" w:cs="宋体"/>
                <w:i w:val="0"/>
                <w:iCs w:val="0"/>
                <w:color w:val="000000"/>
                <w:kern w:val="0"/>
                <w:sz w:val="18"/>
                <w:szCs w:val="18"/>
                <w:u w:val="none"/>
                <w:lang w:val="en-US" w:eastAsia="zh-CN" w:bidi="ar"/>
              </w:rPr>
              <w:t>GB/T 24170.1-2023</w:t>
            </w:r>
            <w:r>
              <w:rPr>
                <w:rFonts w:hint="eastAsia" w:ascii="宋体" w:hAnsi="宋体" w:eastAsia="宋体" w:cs="宋体"/>
                <w:i w:val="0"/>
                <w:iCs w:val="0"/>
                <w:color w:val="000000"/>
                <w:kern w:val="0"/>
                <w:sz w:val="18"/>
                <w:szCs w:val="18"/>
                <w:u w:val="none"/>
                <w:lang w:val="en-US" w:eastAsia="zh-CN" w:bidi="ar"/>
              </w:rPr>
              <w:t>《表面抗菌不锈钢第1部分:电化学法》； QB/T 2454-2013《家具五金抽屉导轨》检测标准；中性盐雾试验≥500h，镀层本身的耐腐蚀等级≥10级，镀层对基体的保护等级≥10级；乙酸盐雾试验≥250h，镀层本身的耐腐蚀等级≥10级，镀层对基体的保护等级≥10级；耐久性≥12万次检测合格，抗菌性能（抗菌率）≥99%。铰链依据QB/T 2189-2013《家具五金杯状暗铰链》；GB/T 10125 -2021《人造气氛腐蚀试验盐雾 试验》； QB/T 3832-1999 《轻工产品金属镀层腐蚀试验结果的评价》；</w:t>
            </w:r>
            <w:r>
              <w:rPr>
                <w:rFonts w:hint="eastAsia" w:ascii="宋体" w:hAnsi="宋体" w:cs="宋体"/>
                <w:i w:val="0"/>
                <w:iCs w:val="0"/>
                <w:color w:val="000000"/>
                <w:kern w:val="0"/>
                <w:sz w:val="18"/>
                <w:szCs w:val="18"/>
                <w:u w:val="none"/>
                <w:lang w:val="en-US" w:eastAsia="zh-CN" w:bidi="ar"/>
              </w:rPr>
              <w:t>GB/T 24170.1-2023</w:t>
            </w:r>
            <w:r>
              <w:rPr>
                <w:rFonts w:hint="eastAsia" w:ascii="宋体" w:hAnsi="宋体" w:eastAsia="宋体" w:cs="宋体"/>
                <w:i w:val="0"/>
                <w:iCs w:val="0"/>
                <w:color w:val="000000"/>
                <w:kern w:val="0"/>
                <w:sz w:val="18"/>
                <w:szCs w:val="18"/>
                <w:u w:val="none"/>
                <w:lang w:val="en-US" w:eastAsia="zh-CN" w:bidi="ar"/>
              </w:rPr>
              <w:t xml:space="preserve"> 《表面抗菌不锈钢第1部分:电化学法》检测标准；中性盐雾试验≥500h，镀层本身的耐腐蚀等级≥10级，镀层对基体的保护等级≥10级；乙酸盐雾试验≥250h，镀层本身的耐腐蚀等级≥10级，镀层对基体的保护等级≥10级；耐久性≥12万次检测合格，安装B型试验门时，下沉量不大于1.5mm，抗菌性能（抗菌率）≥99%。</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0.6</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吧椅</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常规</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0.0700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办公椅</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常规</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1、面料：选用优质网布，依据GB 18401-2010《国家纺织产品基本安全技术规范》；GB/T 31713-2015《抗菌纺织品安全性卫生要求》；GB/T 24346-2009《纺织品 防霉性能的评价》﹔</w:t>
            </w:r>
            <w:r>
              <w:rPr>
                <w:rFonts w:hint="eastAsia" w:ascii="宋体" w:hAnsi="宋体" w:cs="宋体"/>
                <w:i w:val="0"/>
                <w:iCs w:val="0"/>
                <w:color w:val="000000"/>
                <w:kern w:val="0"/>
                <w:sz w:val="18"/>
                <w:szCs w:val="18"/>
                <w:u w:val="none"/>
                <w:lang w:val="en-US" w:eastAsia="zh-CN" w:bidi="ar"/>
              </w:rPr>
              <w:t>GB 17927-2024《家具阻燃性能安全技术规范》</w:t>
            </w:r>
            <w:r>
              <w:rPr>
                <w:rFonts w:hint="eastAsia" w:ascii="宋体" w:hAnsi="宋体" w:eastAsia="宋体" w:cs="宋体"/>
                <w:i w:val="0"/>
                <w:iCs w:val="0"/>
                <w:color w:val="000000"/>
                <w:kern w:val="0"/>
                <w:sz w:val="18"/>
                <w:szCs w:val="18"/>
                <w:u w:val="none"/>
                <w:lang w:val="en-US" w:eastAsia="zh-CN" w:bidi="ar"/>
              </w:rPr>
              <w:t>﹔</w:t>
            </w:r>
            <w:r>
              <w:rPr>
                <w:rFonts w:hint="eastAsia" w:ascii="宋体" w:hAnsi="宋体" w:cs="宋体"/>
                <w:i w:val="0"/>
                <w:iCs w:val="0"/>
                <w:color w:val="000000"/>
                <w:kern w:val="0"/>
                <w:sz w:val="18"/>
                <w:szCs w:val="18"/>
                <w:u w:val="none"/>
                <w:lang w:val="en-US" w:eastAsia="zh-CN" w:bidi="ar"/>
              </w:rPr>
              <w:t>GB/T 35607-2024</w:t>
            </w:r>
            <w:r>
              <w:rPr>
                <w:rFonts w:hint="eastAsia" w:ascii="宋体" w:hAnsi="宋体" w:eastAsia="宋体" w:cs="宋体"/>
                <w:i w:val="0"/>
                <w:iCs w:val="0"/>
                <w:color w:val="000000"/>
                <w:kern w:val="0"/>
                <w:sz w:val="18"/>
                <w:szCs w:val="18"/>
                <w:u w:val="none"/>
                <w:lang w:val="en-US" w:eastAsia="zh-CN" w:bidi="ar"/>
              </w:rPr>
              <w:t>《绿色产品评价 家具》；FZ/T 62011.3-2016《布艺类产品 第3部分:家具用纺织品》标准；甲醛含量≤20mg/kg，可分解致癌芳香胺染料未检出，抗菌性能（抑菌率）≥99%，防霉等级0级或1级，产品有害物质（纺织品、皮革中五氯苯酚（PCP））≤0.5mg/kg，沾色-聚酯纤维≥4级。</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2、海绵：采用优质阻燃高弹海绵，依据QB/T 2280-2016《办公家具 办公椅》、GB/T 6343-2009《泡沫塑料及橡胶 表观密度的测定》、GB 17927.1-2011《软体家具 床垫和沙发抗引燃特性的 评定第1部分：阴燃的香烟》、HJ 2547-2016《环境标志产品技术要求 家具》、QB/T 4371-2012《家具抗菌性能的评价》标准；长度、宽度极限偏差检测合格，厚度极限偏差检测合格，感官要求至少5项检测，物理力学性能（至少包含回弹率≥50%，拉伸强度≥150KPa，伸长率≥168%，撕裂强度≥4.5N/cm，干热老化后拉伸强度≥145KPa），密度≥50kg/m³，甲醛释放量≤0.03mg/m²h，TVOC≤0.05mg/m²h，抗引燃特性阻燃Ⅰ级，抗菌性能（抑菌率）≥95%。</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3、气压棒：采用优质气压棒，依据GB/T 29525-2013《座椅升降气弹簧 技术条件》；QB/T 2280-2016《办公家具办公椅》标准；金属件镀层应无烧焦、起泡、针孔、裂纹、毛刺、花斑（不包括镀彩锌）和划痕。气弹簧的启动力应小于1.5F3，气弹簧锁定在任意位置，经72h常温储存后，活塞杆不应产生位移。气弹簧经-30℃和60℃高低温储存后，公称力Fa衰减量应不大于5%。行程100mm，公称力Fa的总衰减量应不大于5%。</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4、脚架：优质尼龙五星脚架。</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5、脚轮：采用优质脚轮， 依据QB/T 4765-2014《家具用脚轮》； </w:t>
            </w:r>
            <w:r>
              <w:rPr>
                <w:rFonts w:hint="eastAsia" w:ascii="宋体" w:hAnsi="宋体" w:cs="宋体"/>
                <w:i w:val="0"/>
                <w:iCs w:val="0"/>
                <w:color w:val="000000"/>
                <w:kern w:val="0"/>
                <w:sz w:val="18"/>
                <w:szCs w:val="18"/>
                <w:u w:val="none"/>
                <w:lang w:val="en-US" w:eastAsia="zh-CN" w:bidi="ar"/>
              </w:rPr>
              <w:t>GB 18584-2024《家具中有害物质限量》</w:t>
            </w:r>
            <w:r>
              <w:rPr>
                <w:rFonts w:hint="eastAsia" w:ascii="宋体" w:hAnsi="宋体" w:eastAsia="宋体" w:cs="宋体"/>
                <w:i w:val="0"/>
                <w:iCs w:val="0"/>
                <w:color w:val="000000"/>
                <w:kern w:val="0"/>
                <w:sz w:val="18"/>
                <w:szCs w:val="18"/>
                <w:u w:val="none"/>
                <w:lang w:val="en-US" w:eastAsia="zh-CN" w:bidi="ar"/>
              </w:rPr>
              <w:t>；</w:t>
            </w:r>
            <w:r>
              <w:rPr>
                <w:rFonts w:hint="eastAsia" w:ascii="宋体" w:hAnsi="宋体" w:cs="宋体"/>
                <w:i w:val="0"/>
                <w:iCs w:val="0"/>
                <w:color w:val="000000"/>
                <w:kern w:val="0"/>
                <w:sz w:val="18"/>
                <w:szCs w:val="18"/>
                <w:u w:val="none"/>
                <w:lang w:val="en-US" w:eastAsia="zh-CN" w:bidi="ar"/>
              </w:rPr>
              <w:t>GB/T 3325-2024</w:t>
            </w:r>
            <w:r>
              <w:rPr>
                <w:rFonts w:hint="eastAsia" w:ascii="宋体" w:hAnsi="宋体" w:eastAsia="宋体" w:cs="宋体"/>
                <w:i w:val="0"/>
                <w:iCs w:val="0"/>
                <w:color w:val="000000"/>
                <w:kern w:val="0"/>
                <w:sz w:val="18"/>
                <w:szCs w:val="18"/>
                <w:u w:val="none"/>
                <w:lang w:val="en-US" w:eastAsia="zh-CN" w:bidi="ar"/>
              </w:rPr>
              <w:t>《金属家具通用技术条件》；GB/T 16422.3-2022《塑料 实验室光源暴露试验方法 第3部分:荧光紫外灯》；</w:t>
            </w:r>
            <w:r>
              <w:rPr>
                <w:rFonts w:hint="eastAsia" w:ascii="宋体" w:hAnsi="宋体" w:cs="宋体"/>
                <w:i w:val="0"/>
                <w:iCs w:val="0"/>
                <w:color w:val="000000"/>
                <w:kern w:val="0"/>
                <w:sz w:val="18"/>
                <w:szCs w:val="18"/>
                <w:u w:val="none"/>
                <w:lang w:val="en-US" w:eastAsia="zh-CN" w:bidi="ar"/>
              </w:rPr>
              <w:t>GB/T 35607-2024</w:t>
            </w:r>
            <w:r>
              <w:rPr>
                <w:rFonts w:hint="eastAsia" w:ascii="宋体" w:hAnsi="宋体" w:eastAsia="宋体" w:cs="宋体"/>
                <w:i w:val="0"/>
                <w:iCs w:val="0"/>
                <w:color w:val="000000"/>
                <w:kern w:val="0"/>
                <w:sz w:val="18"/>
                <w:szCs w:val="18"/>
                <w:u w:val="none"/>
                <w:lang w:val="en-US" w:eastAsia="zh-CN" w:bidi="ar"/>
              </w:rPr>
              <w:t xml:space="preserve">《绿色产品评价 家具》标准；脚轮的轮面光洁，无裂纹、伤痕、毛边等缺陷。抗冲击性、导电性、动载荷、滚动阻力检测合格，实验室光源暴露试验：荧光紫外灯4-5级。产品有害物质（铅、汞）≤1mg/kg。 </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把</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5.76</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sz w:val="18"/>
                <w:szCs w:val="18"/>
              </w:rPr>
              <w:t>▲</w:t>
            </w:r>
            <w:r>
              <w:rPr>
                <w:rFonts w:hint="eastAsia" w:ascii="宋体" w:hAnsi="宋体" w:eastAsia="宋体" w:cs="宋体"/>
                <w:i w:val="0"/>
                <w:iCs w:val="0"/>
                <w:color w:val="000000"/>
                <w:kern w:val="0"/>
                <w:sz w:val="18"/>
                <w:szCs w:val="18"/>
                <w:u w:val="none"/>
                <w:lang w:val="en-US" w:eastAsia="zh-CN" w:bidi="ar"/>
              </w:rPr>
              <w:t>办公桌</w:t>
            </w:r>
            <w:r>
              <w:rPr>
                <w:rFonts w:hint="eastAsia" w:ascii="宋体" w:hAnsi="宋体" w:cs="宋体"/>
                <w:i w:val="0"/>
                <w:iCs w:val="0"/>
                <w:color w:val="000000"/>
                <w:kern w:val="0"/>
                <w:sz w:val="18"/>
                <w:szCs w:val="18"/>
                <w:u w:val="none"/>
                <w:lang w:val="en-US" w:eastAsia="zh-CN" w:bidi="ar"/>
              </w:rPr>
              <w:t>A</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1400*1500*1200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1、台面：厚度25mm</w:t>
            </w:r>
            <w:r>
              <w:rPr>
                <w:rFonts w:hint="eastAsia" w:ascii="宋体" w:hAnsi="宋体" w:cs="宋体"/>
                <w:i w:val="0"/>
                <w:iCs w:val="0"/>
                <w:color w:val="000000"/>
                <w:kern w:val="0"/>
                <w:sz w:val="18"/>
                <w:szCs w:val="18"/>
                <w:u w:val="none"/>
                <w:lang w:val="en-US" w:eastAsia="zh-CN" w:bidi="ar"/>
              </w:rPr>
              <w:t>E0级板材</w:t>
            </w:r>
            <w:r>
              <w:rPr>
                <w:rFonts w:hint="eastAsia" w:ascii="宋体" w:hAnsi="宋体" w:eastAsia="宋体" w:cs="宋体"/>
                <w:i w:val="0"/>
                <w:iCs w:val="0"/>
                <w:color w:val="000000"/>
                <w:kern w:val="0"/>
                <w:sz w:val="18"/>
                <w:szCs w:val="18"/>
                <w:u w:val="none"/>
                <w:lang w:val="en-US" w:eastAsia="zh-CN" w:bidi="ar"/>
              </w:rPr>
              <w:t>。符合HJ 571-2010 《环境标志产品认证技术要求 人造板及其制品》、GB 18580-2017 《室内装饰装修材料 人造板及其制品中的甲醛释放限量》、GB/T 4897-2015《刨花板》标准；</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2、激光封边：采用厚度2mmPVC，色封边，符合QB/T 4463-2013 《家具用封边条技术要求》标准；</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3、屏风：屏风厚度为≥40mm全铝合金制框架，屏风框架、封边条使用铝合金型材，高度为1200H,铝材厚度2mm，</w:t>
            </w:r>
            <w:r>
              <w:rPr>
                <w:rFonts w:hint="eastAsia" w:ascii="宋体" w:hAnsi="宋体" w:cs="宋体"/>
                <w:i w:val="0"/>
                <w:iCs w:val="0"/>
                <w:color w:val="000000"/>
                <w:kern w:val="0"/>
                <w:sz w:val="18"/>
                <w:szCs w:val="18"/>
                <w:u w:val="none"/>
                <w:lang w:val="en-US" w:eastAsia="zh-CN" w:bidi="ar"/>
              </w:rPr>
              <w:t>辅材采用</w:t>
            </w:r>
            <w:r>
              <w:rPr>
                <w:rFonts w:hint="eastAsia" w:ascii="宋体" w:hAnsi="宋体" w:eastAsia="宋体" w:cs="宋体"/>
                <w:i w:val="0"/>
                <w:iCs w:val="0"/>
                <w:color w:val="000000"/>
                <w:kern w:val="0"/>
                <w:sz w:val="18"/>
                <w:szCs w:val="18"/>
                <w:u w:val="none"/>
                <w:lang w:val="en-US" w:eastAsia="zh-CN" w:bidi="ar"/>
              </w:rPr>
              <w:t>6063铝合金标准，框架采用优质铝材挤压成型，铝合金阳极处理、外观采用直线方形，具有耐磨及防锈、抗腐蚀性能组装简约灵活，连接牢固。屏风内置有走线孔，强弱电分离走线86型强、弱电面板；以供出线。方便多次拆组，屏风铝型材不接受尖头螺丝连接。两面屏风，屏风顶部预留挂件槽，走线屏风预留四行挂件槽，可用于屏风配件悬挂。</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4、要求：走线屏风40mm厚。走线屏风为两级屏风，上、下为波音软片饰面，非走线屏风为三级屏风，上为钢化磨砂玻璃材质，钢化磨砂玻璃上要进行喷涂，中、下为波音软片饰面。</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5、颜色：走线屏风上为蓝色、下为白色。非走线屏风上为磨砂玻璃、中为蓝色、下为白色。</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21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6.3</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办公桌</w:t>
            </w:r>
            <w:r>
              <w:rPr>
                <w:rFonts w:hint="eastAsia" w:ascii="宋体" w:hAnsi="宋体" w:cs="宋体"/>
                <w:i w:val="0"/>
                <w:iCs w:val="0"/>
                <w:color w:val="000000"/>
                <w:kern w:val="0"/>
                <w:sz w:val="18"/>
                <w:szCs w:val="18"/>
                <w:u w:val="none"/>
                <w:lang w:val="en-US" w:eastAsia="zh-CN" w:bidi="ar"/>
              </w:rPr>
              <w:t>B</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1800*1600*750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 xml:space="preserve">技术要求同办公桌A </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办公桌侧副柜</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基材：参考选用“露水河”“福人”“大亚”品牌及同等档次E1级优质环保三聚氰胺板,游离甲醛释放量≤0.05mg/m³，经防潮、防虫、防腐处理，强度高、刚性好、不变形，各种物理、化学性能指标均达到国家相关标准。</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台面工艺：所有板件均双贴面、封四边（隐蔽部位均封闭处理），走线孔内缘和隐蔽部位全部封边处理。所有外部封边采用与板件颜色、纹理配套的2mm厚参考选用“兄奕”“塑泰”“瑞杰”品牌。</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1600*400*650</w:t>
            </w:r>
            <w:r>
              <w:rPr>
                <w:rFonts w:hint="eastAsia" w:ascii="宋体" w:hAnsi="宋体" w:cs="宋体"/>
                <w:i w:val="0"/>
                <w:iCs w:val="0"/>
                <w:color w:val="000000"/>
                <w:kern w:val="0"/>
                <w:sz w:val="18"/>
                <w:szCs w:val="18"/>
                <w:u w:val="none"/>
                <w:lang w:val="en-US" w:eastAsia="zh-CN" w:bidi="ar"/>
              </w:rPr>
              <w:t>mm</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0.12</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不锈钢移动操作台A</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框架材料:主体承重框架必须采用高强度</w:t>
            </w:r>
            <w:r>
              <w:rPr>
                <w:rFonts w:hint="eastAsia" w:ascii="宋体" w:hAnsi="宋体" w:cs="宋体"/>
                <w:i w:val="0"/>
                <w:iCs w:val="0"/>
                <w:color w:val="000000"/>
                <w:kern w:val="0"/>
                <w:sz w:val="18"/>
                <w:szCs w:val="18"/>
                <w:u w:val="none"/>
                <w:lang w:val="en-US" w:eastAsia="zh-CN" w:bidi="ar"/>
              </w:rPr>
              <w:t>奥氏体</w:t>
            </w:r>
            <w:r>
              <w:rPr>
                <w:rFonts w:hint="default" w:ascii="宋体" w:hAnsi="宋体" w:cs="宋体"/>
                <w:i w:val="0"/>
                <w:iCs w:val="0"/>
                <w:color w:val="000000"/>
                <w:kern w:val="0"/>
                <w:sz w:val="18"/>
                <w:szCs w:val="18"/>
                <w:u w:val="none"/>
                <w:lang w:val="en-US" w:eastAsia="zh-CN" w:bidi="ar"/>
              </w:rPr>
              <w:t>不锈钢</w:t>
            </w:r>
            <w:r>
              <w:rPr>
                <w:rFonts w:hint="eastAsia" w:ascii="宋体" w:hAnsi="宋体" w:cs="宋体"/>
                <w:i w:val="0"/>
                <w:iCs w:val="0"/>
                <w:color w:val="000000"/>
                <w:kern w:val="0"/>
                <w:sz w:val="18"/>
                <w:szCs w:val="18"/>
                <w:u w:val="none"/>
                <w:lang w:val="en-US" w:eastAsia="zh-CN" w:bidi="ar"/>
              </w:rPr>
              <w:t>制作，经</w:t>
            </w:r>
            <w:r>
              <w:rPr>
                <w:rFonts w:hint="default" w:ascii="宋体" w:hAnsi="宋体" w:cs="宋体"/>
                <w:i w:val="0"/>
                <w:iCs w:val="0"/>
                <w:color w:val="000000"/>
                <w:kern w:val="0"/>
                <w:sz w:val="18"/>
                <w:szCs w:val="18"/>
                <w:u w:val="none"/>
                <w:lang w:val="en-US" w:eastAsia="zh-CN" w:bidi="ar"/>
              </w:rPr>
              <w:t>精密</w:t>
            </w:r>
            <w:r>
              <w:rPr>
                <w:rFonts w:hint="eastAsia" w:ascii="宋体" w:hAnsi="宋体" w:cs="宋体"/>
                <w:i w:val="0"/>
                <w:iCs w:val="0"/>
                <w:color w:val="000000"/>
                <w:kern w:val="0"/>
                <w:sz w:val="18"/>
                <w:szCs w:val="18"/>
                <w:u w:val="none"/>
                <w:lang w:val="en-US" w:eastAsia="zh-CN" w:bidi="ar"/>
              </w:rPr>
              <w:t>加工</w:t>
            </w:r>
            <w:r>
              <w:rPr>
                <w:rFonts w:hint="default" w:ascii="宋体" w:hAnsi="宋体" w:cs="宋体"/>
                <w:i w:val="0"/>
                <w:iCs w:val="0"/>
                <w:color w:val="000000"/>
                <w:kern w:val="0"/>
                <w:sz w:val="18"/>
                <w:szCs w:val="18"/>
                <w:u w:val="none"/>
                <w:lang w:val="en-US" w:eastAsia="zh-CN" w:bidi="ar"/>
              </w:rPr>
              <w:t>冷拉矩形</w:t>
            </w:r>
            <w:r>
              <w:rPr>
                <w:rFonts w:hint="eastAsia" w:ascii="宋体" w:hAnsi="宋体" w:cs="宋体"/>
                <w:i w:val="0"/>
                <w:iCs w:val="0"/>
                <w:color w:val="000000"/>
                <w:kern w:val="0"/>
                <w:sz w:val="18"/>
                <w:szCs w:val="18"/>
                <w:u w:val="none"/>
                <w:lang w:val="en-US" w:eastAsia="zh-CN" w:bidi="ar"/>
              </w:rPr>
              <w:t>处理</w:t>
            </w:r>
            <w:r>
              <w:rPr>
                <w:rFonts w:hint="default" w:ascii="宋体" w:hAnsi="宋体" w:cs="宋体"/>
                <w:i w:val="0"/>
                <w:iCs w:val="0"/>
                <w:color w:val="000000"/>
                <w:kern w:val="0"/>
                <w:sz w:val="18"/>
                <w:szCs w:val="18"/>
                <w:u w:val="none"/>
                <w:lang w:val="en-US" w:eastAsia="zh-CN" w:bidi="ar"/>
              </w:rPr>
              <w:t>。</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 xml:space="preserve"> 50mmx50mm，壁厚不低于1.5mm。横向加强筋可采用30mmx30mm，壁厚1.5mm。所有型材需为实心正材，杜绝压延管。</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台面:</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台面:采用 1.0mm厚度的</w:t>
            </w:r>
            <w:r>
              <w:rPr>
                <w:rFonts w:hint="eastAsia" w:ascii="宋体" w:hAnsi="宋体" w:cs="宋体"/>
                <w:i w:val="0"/>
                <w:iCs w:val="0"/>
                <w:color w:val="000000"/>
                <w:kern w:val="0"/>
                <w:sz w:val="18"/>
                <w:szCs w:val="18"/>
                <w:u w:val="none"/>
                <w:lang w:val="en-US" w:eastAsia="zh-CN" w:bidi="ar"/>
              </w:rPr>
              <w:t>奥氏体不锈钢制作</w:t>
            </w:r>
            <w:r>
              <w:rPr>
                <w:rFonts w:hint="default" w:ascii="宋体" w:hAnsi="宋体" w:cs="宋体"/>
                <w:i w:val="0"/>
                <w:iCs w:val="0"/>
                <w:color w:val="000000"/>
                <w:kern w:val="0"/>
                <w:sz w:val="18"/>
                <w:szCs w:val="18"/>
                <w:u w:val="none"/>
                <w:lang w:val="en-US" w:eastAsia="zh-CN" w:bidi="ar"/>
              </w:rPr>
              <w:t>。台面需与下方框架通过专业方式固定，确保无震颤</w:t>
            </w:r>
            <w:r>
              <w:rPr>
                <w:rFonts w:hint="eastAsia" w:ascii="宋体" w:hAnsi="宋体" w:cs="宋体"/>
                <w:i w:val="0"/>
                <w:iCs w:val="0"/>
                <w:color w:val="000000"/>
                <w:kern w:val="0"/>
                <w:sz w:val="18"/>
                <w:szCs w:val="18"/>
                <w:u w:val="none"/>
                <w:lang w:val="en-US" w:eastAsia="zh-CN" w:bidi="ar"/>
              </w:rPr>
              <w:t>，</w:t>
            </w:r>
            <w:r>
              <w:rPr>
                <w:rFonts w:hint="default" w:ascii="宋体" w:hAnsi="宋体" w:cs="宋体"/>
                <w:i w:val="0"/>
                <w:iCs w:val="0"/>
                <w:color w:val="000000"/>
                <w:kern w:val="0"/>
                <w:sz w:val="18"/>
                <w:szCs w:val="18"/>
                <w:u w:val="none"/>
                <w:lang w:val="en-US" w:eastAsia="zh-CN" w:bidi="ar"/>
              </w:rPr>
              <w:t>表面处理</w:t>
            </w:r>
            <w:r>
              <w:rPr>
                <w:rFonts w:hint="eastAsia" w:ascii="宋体" w:hAnsi="宋体" w:cs="宋体"/>
                <w:i w:val="0"/>
                <w:iCs w:val="0"/>
                <w:color w:val="000000"/>
                <w:kern w:val="0"/>
                <w:sz w:val="18"/>
                <w:szCs w:val="18"/>
                <w:u w:val="none"/>
                <w:lang w:val="en-US" w:eastAsia="zh-CN" w:bidi="ar"/>
              </w:rPr>
              <w:t>奥氏体</w:t>
            </w:r>
            <w:r>
              <w:rPr>
                <w:rFonts w:hint="default" w:ascii="宋体" w:hAnsi="宋体" w:cs="宋体"/>
                <w:i w:val="0"/>
                <w:iCs w:val="0"/>
                <w:color w:val="000000"/>
                <w:kern w:val="0"/>
                <w:sz w:val="18"/>
                <w:szCs w:val="18"/>
                <w:u w:val="none"/>
                <w:lang w:val="en-US" w:eastAsia="zh-CN" w:bidi="ar"/>
              </w:rPr>
              <w:t>不锈钢板，实现视觉统一。</w:t>
            </w:r>
          </w:p>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1500*750*850</w:t>
            </w:r>
            <w:r>
              <w:rPr>
                <w:rFonts w:hint="eastAsia" w:ascii="宋体" w:hAnsi="宋体" w:cs="宋体"/>
                <w:i w:val="0"/>
                <w:iCs w:val="0"/>
                <w:color w:val="000000"/>
                <w:kern w:val="0"/>
                <w:sz w:val="18"/>
                <w:szCs w:val="18"/>
                <w:u w:val="none"/>
                <w:lang w:val="en-US" w:eastAsia="zh-CN" w:bidi="ar"/>
              </w:rPr>
              <w:t>mm</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0.6500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不锈钢移动工作台B</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1200*750*850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技术要求同</w:t>
            </w:r>
            <w:r>
              <w:rPr>
                <w:rFonts w:hint="eastAsia" w:ascii="宋体" w:hAnsi="宋体" w:eastAsia="宋体" w:cs="宋体"/>
                <w:i w:val="0"/>
                <w:iCs w:val="0"/>
                <w:color w:val="000000"/>
                <w:kern w:val="0"/>
                <w:sz w:val="18"/>
                <w:szCs w:val="18"/>
                <w:u w:val="none"/>
                <w:lang w:val="en-US" w:eastAsia="zh-CN" w:bidi="ar"/>
              </w:rPr>
              <w:t>不锈钢移动操作台A</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0.5200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4.16</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茶几</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定制</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技术要求同茶几（大）</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0.0800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0.24</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单人沙发</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常规</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1、覆面：选用布绒覆面，布质细腻、光泽度好、透气性强、柔软且富有韧性、坐感舒适等特点。</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2、海绵：选用阻燃级海绵，反复坐压不变形、不塌陷，透气性强，软硬适中，回弹性能好，不老化及对人体无害等特点。</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3、水性喷胶：选用环保安全水性喷胶，无刺激性气味。</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4、内架：选用多层实木生态板实木龙骨内架，高硬度强粘合力，具有阻燃、透气、吸音、抗收缩特性，长久使用不变形、不塌陷。</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6、绷带：沙发内框架采用绷带加强拉结，延长使用寿命。</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0.15</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0.15</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定制异形沙发</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0.3000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多功能会议桌</w:t>
            </w:r>
            <w:r>
              <w:rPr>
                <w:rFonts w:hint="eastAsia" w:ascii="宋体" w:hAnsi="宋体" w:cs="宋体"/>
                <w:i w:val="0"/>
                <w:iCs w:val="0"/>
                <w:color w:val="000000"/>
                <w:kern w:val="0"/>
                <w:sz w:val="18"/>
                <w:szCs w:val="18"/>
                <w:u w:val="none"/>
                <w:lang w:val="en-US" w:eastAsia="zh-CN" w:bidi="ar"/>
              </w:rPr>
              <w:t>A</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基材：参考选用“露水河”“福人”“大亚”品牌及同等档次板材制作,游离甲醛释放量≤0.05mg/m³，经防潮、防虫、防腐处理，强度高、刚性好、不变形，各种物理、化学性能指标均达到国家相关标准。</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具有灵活多样化，可拓展、多样性，支持局部调节功能，可根据会议室空间进行临时自由变换</w:t>
            </w:r>
            <w:r>
              <w:rPr>
                <w:rFonts w:hint="eastAsia" w:ascii="宋体" w:hAnsi="宋体" w:cs="宋体"/>
                <w:lang w:val="en-US" w:eastAsia="zh-CN"/>
              </w:rPr>
              <w:t>。</w:t>
            </w:r>
          </w:p>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3200*1200*7</w:t>
            </w:r>
            <w:r>
              <w:rPr>
                <w:rFonts w:hint="eastAsia" w:ascii="宋体" w:hAnsi="宋体" w:cs="宋体"/>
                <w:i w:val="0"/>
                <w:iCs w:val="0"/>
                <w:color w:val="000000"/>
                <w:kern w:val="0"/>
                <w:sz w:val="18"/>
                <w:szCs w:val="18"/>
                <w:u w:val="none"/>
                <w:lang w:val="en-US" w:eastAsia="zh-CN" w:bidi="ar"/>
              </w:rPr>
              <w:t>5</w:t>
            </w:r>
            <w:r>
              <w:rPr>
                <w:rFonts w:hint="eastAsia" w:ascii="宋体" w:hAnsi="宋体" w:eastAsia="宋体" w:cs="宋体"/>
                <w:i w:val="0"/>
                <w:iCs w:val="0"/>
                <w:color w:val="000000"/>
                <w:kern w:val="0"/>
                <w:sz w:val="18"/>
                <w:szCs w:val="18"/>
                <w:u w:val="none"/>
                <w:lang w:val="en-US" w:eastAsia="zh-CN" w:bidi="ar"/>
              </w:rPr>
              <w:t>0</w:t>
            </w:r>
            <w:r>
              <w:rPr>
                <w:rFonts w:hint="eastAsia" w:ascii="宋体" w:hAnsi="宋体" w:cs="宋体"/>
                <w:i w:val="0"/>
                <w:iCs w:val="0"/>
                <w:color w:val="000000"/>
                <w:kern w:val="0"/>
                <w:sz w:val="18"/>
                <w:szCs w:val="18"/>
                <w:u w:val="none"/>
                <w:lang w:val="en-US" w:eastAsia="zh-CN" w:bidi="ar"/>
              </w:rPr>
              <w:t>mm</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1.2500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多功能会议桌</w:t>
            </w:r>
            <w:r>
              <w:rPr>
                <w:rFonts w:hint="eastAsia" w:ascii="宋体" w:hAnsi="宋体" w:cs="宋体"/>
                <w:i w:val="0"/>
                <w:iCs w:val="0"/>
                <w:color w:val="000000"/>
                <w:kern w:val="0"/>
                <w:sz w:val="18"/>
                <w:szCs w:val="18"/>
                <w:u w:val="none"/>
                <w:lang w:val="en-US" w:eastAsia="zh-CN" w:bidi="ar"/>
              </w:rPr>
              <w:t>B</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3600*1200*7</w:t>
            </w:r>
            <w:r>
              <w:rPr>
                <w:rFonts w:hint="eastAsia" w:ascii="宋体" w:hAnsi="宋体" w:cs="宋体"/>
                <w:i w:val="0"/>
                <w:iCs w:val="0"/>
                <w:color w:val="000000"/>
                <w:kern w:val="0"/>
                <w:sz w:val="18"/>
                <w:szCs w:val="18"/>
                <w:u w:val="none"/>
                <w:lang w:val="en-US" w:eastAsia="zh-CN" w:bidi="ar"/>
              </w:rPr>
              <w:t>5</w:t>
            </w:r>
            <w:r>
              <w:rPr>
                <w:rFonts w:hint="eastAsia" w:ascii="宋体" w:hAnsi="宋体" w:eastAsia="宋体" w:cs="宋体"/>
                <w:i w:val="0"/>
                <w:iCs w:val="0"/>
                <w:color w:val="000000"/>
                <w:kern w:val="0"/>
                <w:sz w:val="18"/>
                <w:szCs w:val="18"/>
                <w:u w:val="none"/>
                <w:lang w:val="en-US" w:eastAsia="zh-CN" w:bidi="ar"/>
              </w:rPr>
              <w:t>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技术要求同</w:t>
            </w:r>
            <w:r>
              <w:rPr>
                <w:rFonts w:hint="eastAsia" w:ascii="宋体" w:hAnsi="宋体" w:eastAsia="宋体" w:cs="宋体"/>
                <w:i w:val="0"/>
                <w:iCs w:val="0"/>
                <w:color w:val="000000"/>
                <w:kern w:val="0"/>
                <w:sz w:val="18"/>
                <w:szCs w:val="18"/>
                <w:u w:val="none"/>
                <w:lang w:val="en-US" w:eastAsia="zh-CN" w:bidi="ar"/>
              </w:rPr>
              <w:t>多功能会议桌</w:t>
            </w:r>
            <w:r>
              <w:rPr>
                <w:rFonts w:hint="eastAsia" w:ascii="宋体" w:hAnsi="宋体" w:cs="宋体"/>
                <w:i w:val="0"/>
                <w:iCs w:val="0"/>
                <w:color w:val="000000"/>
                <w:kern w:val="0"/>
                <w:sz w:val="18"/>
                <w:szCs w:val="18"/>
                <w:u w:val="none"/>
                <w:lang w:val="en-US" w:eastAsia="zh-CN" w:bidi="ar"/>
              </w:rPr>
              <w:t>A</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1.5000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多功能会议桌</w:t>
            </w:r>
            <w:r>
              <w:rPr>
                <w:rFonts w:hint="eastAsia" w:ascii="宋体" w:hAnsi="宋体" w:cs="宋体"/>
                <w:i w:val="0"/>
                <w:iCs w:val="0"/>
                <w:color w:val="000000"/>
                <w:kern w:val="0"/>
                <w:sz w:val="18"/>
                <w:szCs w:val="18"/>
                <w:u w:val="none"/>
                <w:lang w:val="en-US" w:eastAsia="zh-CN" w:bidi="ar"/>
              </w:rPr>
              <w:t>C</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6800*2800*750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技术要求同</w:t>
            </w:r>
            <w:r>
              <w:rPr>
                <w:rFonts w:hint="eastAsia" w:ascii="宋体" w:hAnsi="宋体" w:eastAsia="宋体" w:cs="宋体"/>
                <w:i w:val="0"/>
                <w:iCs w:val="0"/>
                <w:color w:val="000000"/>
                <w:kern w:val="0"/>
                <w:sz w:val="18"/>
                <w:szCs w:val="18"/>
                <w:u w:val="none"/>
                <w:lang w:val="en-US" w:eastAsia="zh-CN" w:bidi="ar"/>
              </w:rPr>
              <w:t>多功能会议桌</w:t>
            </w:r>
            <w:r>
              <w:rPr>
                <w:rFonts w:hint="eastAsia" w:ascii="宋体" w:hAnsi="宋体" w:cs="宋体"/>
                <w:i w:val="0"/>
                <w:iCs w:val="0"/>
                <w:color w:val="000000"/>
                <w:kern w:val="0"/>
                <w:sz w:val="18"/>
                <w:szCs w:val="18"/>
                <w:u w:val="none"/>
                <w:lang w:val="en-US" w:eastAsia="zh-CN" w:bidi="ar"/>
              </w:rPr>
              <w:t>A</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4.5000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13.5</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多功能桌</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left"/>
              <w:textAlignment w:val="bottom"/>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1200*400*760</w:t>
            </w:r>
            <w:r>
              <w:rPr>
                <w:rFonts w:hint="eastAsia" w:ascii="宋体" w:hAnsi="宋体" w:cs="宋体"/>
                <w:i w:val="0"/>
                <w:iCs w:val="0"/>
                <w:color w:val="000000"/>
                <w:kern w:val="0"/>
                <w:sz w:val="18"/>
                <w:szCs w:val="18"/>
                <w:u w:val="none"/>
                <w:lang w:val="en-US" w:eastAsia="zh-CN" w:bidi="ar"/>
              </w:rPr>
              <w:t>mm</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left"/>
              <w:textAlignment w:val="bottom"/>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36</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0.1832</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6.5952</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多功能桌</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1400*500*760</w:t>
            </w:r>
            <w:r>
              <w:rPr>
                <w:rFonts w:hint="eastAsia" w:ascii="宋体" w:hAnsi="宋体" w:cs="宋体"/>
                <w:i w:val="0"/>
                <w:iCs w:val="0"/>
                <w:color w:val="000000"/>
                <w:kern w:val="0"/>
                <w:sz w:val="18"/>
                <w:szCs w:val="18"/>
                <w:u w:val="none"/>
                <w:lang w:val="en-US" w:eastAsia="zh-CN" w:bidi="ar"/>
              </w:rPr>
              <w:t>mm</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0.3000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高吧桌</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定制</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0.0700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0.14</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更衣柜</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1、基材：采用国标一级冷轧钢板，厚度≥0.7mm。 2、五金：内嵌式拉手，带锁具等五金配件。 3、工艺：所有钢件采用符合国家标准的冷轧钢材，全部钢件必需表面经除油、除锈、脱脂、脱酸、脱硫，达到酸洗、磷化效果后，各钢件表面采用优质环保静电喷塑，钢件焊接处采用二氧化碳保护焊，焊接处要求无夹渣、气孔、焊瘤，焊丝咬边和飞溅，无脱焊、虚焊和焊空的现象。</w:t>
            </w:r>
            <w:r>
              <w:rPr>
                <w:rFonts w:hint="eastAsia" w:ascii="宋体" w:hAnsi="宋体" w:cs="宋体"/>
                <w:i w:val="0"/>
                <w:iCs w:val="0"/>
                <w:color w:val="000000"/>
                <w:kern w:val="0"/>
                <w:sz w:val="18"/>
                <w:szCs w:val="18"/>
                <w:u w:val="none"/>
                <w:lang w:val="en-US" w:eastAsia="zh-CN" w:bidi="ar"/>
              </w:rPr>
              <w:t>12</w:t>
            </w:r>
            <w:r>
              <w:rPr>
                <w:rFonts w:hint="eastAsia" w:ascii="宋体" w:hAnsi="宋体" w:eastAsia="宋体" w:cs="宋体"/>
                <w:i w:val="0"/>
                <w:iCs w:val="0"/>
                <w:color w:val="000000"/>
                <w:kern w:val="0"/>
                <w:sz w:val="18"/>
                <w:szCs w:val="18"/>
                <w:u w:val="none"/>
                <w:lang w:val="en-US" w:eastAsia="zh-CN" w:bidi="ar"/>
              </w:rPr>
              <w:t>00*400*1950</w:t>
            </w:r>
            <w:r>
              <w:rPr>
                <w:rFonts w:hint="eastAsia" w:ascii="宋体" w:hAnsi="宋体" w:cs="宋体"/>
                <w:i w:val="0"/>
                <w:iCs w:val="0"/>
                <w:color w:val="000000"/>
                <w:kern w:val="0"/>
                <w:sz w:val="18"/>
                <w:szCs w:val="18"/>
                <w:u w:val="none"/>
                <w:lang w:val="en-US" w:eastAsia="zh-CN" w:bidi="ar"/>
              </w:rPr>
              <w:t>mm</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0.1000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功能柜A</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定制</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基材: 采用高强度复合型木质基材，其构成单元为遴选自北纬40°-50°温带阔叶林木种的可持续林业供应源之纤维束，经多段热磨及定向铺装工艺，并以三聚氰胺-尿素-甲醛共缩聚树脂为界面耦合剂，在特定热力学条件（温度：T ≥ 185°C ± 5°C；压强：P ≥ 28 MPa）下实施阶段性压合成型。</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功能柜B</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定制</w:t>
            </w:r>
          </w:p>
          <w:p>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技术要求同</w:t>
            </w:r>
            <w:r>
              <w:rPr>
                <w:rFonts w:hint="eastAsia" w:ascii="宋体" w:hAnsi="宋体" w:eastAsia="宋体" w:cs="宋体"/>
                <w:i w:val="0"/>
                <w:iCs w:val="0"/>
                <w:color w:val="000000"/>
                <w:kern w:val="0"/>
                <w:sz w:val="18"/>
                <w:szCs w:val="18"/>
                <w:u w:val="none"/>
                <w:lang w:val="en-US" w:eastAsia="zh-CN" w:bidi="ar"/>
              </w:rPr>
              <w:t>功能柜A</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功能椅</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常规</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椅背：背框PP+玻纤材质，提供背部舒适支撑，拉力符合BIFMA测试标准。</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椅座：采用4CM高弹力舒适海绵，高弹力优质透气座布，座板为定制多层弯曲板，座垫可翻转。</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扶手：优质 PP+玻纤材质，为固定款式扶手。</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椅架：32.5*20.5*T1.5mm优质钢管脚架，横梁1.8厚，表面喷涂烤漆工艺，尼龙材质防滑脚垫。                                                                                                                        脚轮：Φ55mm黑色PU静音轮，便于搬动到不同使用场地。                                                                                                                                                                  写字板：采用优质PP+玻纤加厚板面，连接件铝合金压铸，板面可以旋转收放使用                                                                                                                                            功能：整椅可折叠收纳，节省摆放空间。1、面料：选用优质网布，依据GB 18401-2010《国家纺织产品基本安全技术规范》；GB/T 31713-2015《抗菌纺织品安全性卫生要求》；GB/T 24346-2009《纺织品 防霉性能的评价》﹔</w:t>
            </w:r>
            <w:r>
              <w:rPr>
                <w:rFonts w:hint="eastAsia" w:ascii="宋体" w:hAnsi="宋体" w:cs="宋体"/>
                <w:i w:val="0"/>
                <w:iCs w:val="0"/>
                <w:color w:val="000000"/>
                <w:kern w:val="0"/>
                <w:sz w:val="18"/>
                <w:szCs w:val="18"/>
                <w:u w:val="none"/>
                <w:lang w:val="en-US" w:eastAsia="zh-CN" w:bidi="ar"/>
              </w:rPr>
              <w:t>GB 17927-2024《家具阻燃性能安全技术规范》</w:t>
            </w:r>
            <w:r>
              <w:rPr>
                <w:rFonts w:hint="eastAsia" w:ascii="宋体" w:hAnsi="宋体" w:eastAsia="宋体" w:cs="宋体"/>
                <w:i w:val="0"/>
                <w:iCs w:val="0"/>
                <w:color w:val="000000"/>
                <w:kern w:val="0"/>
                <w:sz w:val="18"/>
                <w:szCs w:val="18"/>
                <w:u w:val="none"/>
                <w:lang w:val="en-US" w:eastAsia="zh-CN" w:bidi="ar"/>
              </w:rPr>
              <w:t>﹔</w:t>
            </w:r>
            <w:r>
              <w:rPr>
                <w:rFonts w:hint="eastAsia" w:ascii="宋体" w:hAnsi="宋体" w:cs="宋体"/>
                <w:i w:val="0"/>
                <w:iCs w:val="0"/>
                <w:color w:val="000000"/>
                <w:kern w:val="0"/>
                <w:sz w:val="18"/>
                <w:szCs w:val="18"/>
                <w:u w:val="none"/>
                <w:lang w:val="en-US" w:eastAsia="zh-CN" w:bidi="ar"/>
              </w:rPr>
              <w:t>GB/T 35607-2024</w:t>
            </w:r>
            <w:r>
              <w:rPr>
                <w:rFonts w:hint="eastAsia" w:ascii="宋体" w:hAnsi="宋体" w:eastAsia="宋体" w:cs="宋体"/>
                <w:i w:val="0"/>
                <w:iCs w:val="0"/>
                <w:color w:val="000000"/>
                <w:kern w:val="0"/>
                <w:sz w:val="18"/>
                <w:szCs w:val="18"/>
                <w:u w:val="none"/>
                <w:lang w:val="en-US" w:eastAsia="zh-CN" w:bidi="ar"/>
              </w:rPr>
              <w:t>《绿色产品评价 家具》；FZ/T 62011.3-2016《布艺类产品 第3部分:家具用纺织品》标准；甲醛含量≤20mg/kg，可分解致癌芳香胺染料未检出，抗菌性能（抑菌率）≥99%，防霉等级0级或1级，产品有害物质（纺织品、皮革中五氯苯酚（PCP））≤0.5mg/kg，沾色-聚酯纤维≥4级。</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2、海绵：采用优质阻燃高弹海绵，依据QB/T 2280-2016《办公家具 办公椅》、GB/T 6343-2009《泡沫塑料及橡胶 表观密度的测定》、GB 17927.1-2011《软体家具 床垫和沙发抗引燃特性的 评定第1部分：阴燃的香烟》、HJ 2547-2016《环境标志产品技术要求 家具》、QB/T 4371-2012《家具抗菌性能的评价》标准；长度、宽度极限偏差检测合格，厚度极限偏差检测合格，感官要求至少5项检测，物理力学性能（至少包含回弹率≥50%，拉伸强度≥150KPa，伸长率≥168%，撕裂强度≥4.5N/cm，干热老化后拉伸强度≥145KPa），密度≥50kg/m³，甲醛释放量≤0.03mg/m²h，TVOC≤0.05mg/m²h，抗引燃特性阻燃Ⅰ级，抗菌性能（抑菌率）≥95%。</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3、气压棒：采用优质气压棒，依据GB/T 29525-2013《座椅升降气弹簧 技术条件》；QB/T 2280-2016《办公家具办公椅》标准；金属件镀层应无烧焦、起泡、针孔、裂纹、毛刺、花斑（不包括镀彩锌）和划痕。气弹簧的启动力应小于1.5F3，气弹簧锁定在任意位置，经72h常温储存后，活塞杆不应产生位移。气弹簧经-30℃和60℃高低温储存后，公称力Fa衰减量应不大于5%。行程100mm，公称力Fa的总衰减量应不大于5%。</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4、脚轮：采用优质脚轮， 依据QB/T 4765-2014《家具用脚轮》； </w:t>
            </w:r>
            <w:r>
              <w:rPr>
                <w:rFonts w:hint="eastAsia" w:ascii="宋体" w:hAnsi="宋体" w:cs="宋体"/>
                <w:i w:val="0"/>
                <w:iCs w:val="0"/>
                <w:color w:val="000000"/>
                <w:kern w:val="0"/>
                <w:sz w:val="18"/>
                <w:szCs w:val="18"/>
                <w:u w:val="none"/>
                <w:lang w:val="en-US" w:eastAsia="zh-CN" w:bidi="ar"/>
              </w:rPr>
              <w:t>GB 18584-2024《家具中有害物质限量》</w:t>
            </w:r>
            <w:r>
              <w:rPr>
                <w:rFonts w:hint="eastAsia" w:ascii="宋体" w:hAnsi="宋体" w:eastAsia="宋体" w:cs="宋体"/>
                <w:i w:val="0"/>
                <w:iCs w:val="0"/>
                <w:color w:val="000000"/>
                <w:kern w:val="0"/>
                <w:sz w:val="18"/>
                <w:szCs w:val="18"/>
                <w:u w:val="none"/>
                <w:lang w:val="en-US" w:eastAsia="zh-CN" w:bidi="ar"/>
              </w:rPr>
              <w:t>；</w:t>
            </w:r>
            <w:r>
              <w:rPr>
                <w:rFonts w:hint="eastAsia" w:ascii="宋体" w:hAnsi="宋体" w:cs="宋体"/>
                <w:i w:val="0"/>
                <w:iCs w:val="0"/>
                <w:color w:val="000000"/>
                <w:kern w:val="0"/>
                <w:sz w:val="18"/>
                <w:szCs w:val="18"/>
                <w:u w:val="none"/>
                <w:lang w:val="en-US" w:eastAsia="zh-CN" w:bidi="ar"/>
              </w:rPr>
              <w:t>GB/T 3325-2024</w:t>
            </w:r>
            <w:r>
              <w:rPr>
                <w:rFonts w:hint="eastAsia" w:ascii="宋体" w:hAnsi="宋体" w:eastAsia="宋体" w:cs="宋体"/>
                <w:i w:val="0"/>
                <w:iCs w:val="0"/>
                <w:color w:val="000000"/>
                <w:kern w:val="0"/>
                <w:sz w:val="18"/>
                <w:szCs w:val="18"/>
                <w:u w:val="none"/>
                <w:lang w:val="en-US" w:eastAsia="zh-CN" w:bidi="ar"/>
              </w:rPr>
              <w:t>《金属家具通用技术条件》；GB/T 16422.3-2022《塑料 实验室光源暴露试验方法 第3部分:荧光紫外灯》；</w:t>
            </w:r>
            <w:r>
              <w:rPr>
                <w:rFonts w:hint="eastAsia" w:ascii="宋体" w:hAnsi="宋体" w:cs="宋体"/>
                <w:i w:val="0"/>
                <w:iCs w:val="0"/>
                <w:color w:val="000000"/>
                <w:kern w:val="0"/>
                <w:sz w:val="18"/>
                <w:szCs w:val="18"/>
                <w:u w:val="none"/>
                <w:lang w:val="en-US" w:eastAsia="zh-CN" w:bidi="ar"/>
              </w:rPr>
              <w:t>GB/T 35607-2024</w:t>
            </w:r>
            <w:r>
              <w:rPr>
                <w:rFonts w:hint="eastAsia" w:ascii="宋体" w:hAnsi="宋体" w:eastAsia="宋体" w:cs="宋体"/>
                <w:i w:val="0"/>
                <w:iCs w:val="0"/>
                <w:color w:val="000000"/>
                <w:kern w:val="0"/>
                <w:sz w:val="18"/>
                <w:szCs w:val="18"/>
                <w:u w:val="none"/>
                <w:lang w:val="en-US" w:eastAsia="zh-CN" w:bidi="ar"/>
              </w:rPr>
              <w:t>《绿色产品评价 家具》标准；脚轮的轮面光洁，无裂纹、伤痕、毛边等缺陷。抗冲击性、导电性、动载荷、滚动阻力检测合格，实验室光源暴露试验：荧光紫外灯4-5级。产品有害物质（铅、汞）≤1mg/kg。</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把</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2.72</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会议椅</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常规</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把</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0.0800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7.52</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讲桌</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w:t>
            </w:r>
            <w:r>
              <w:rPr>
                <w:rFonts w:hint="eastAsia" w:ascii="宋体" w:hAnsi="宋体" w:cs="宋体"/>
                <w:i w:val="0"/>
                <w:iCs w:val="0"/>
                <w:color w:val="000000"/>
                <w:kern w:val="0"/>
                <w:sz w:val="18"/>
                <w:szCs w:val="18"/>
                <w:u w:val="none"/>
                <w:lang w:val="en-US" w:eastAsia="zh-CN" w:bidi="ar"/>
              </w:rPr>
              <w:t>400*600</w:t>
            </w:r>
            <w:r>
              <w:rPr>
                <w:rFonts w:hint="eastAsia" w:ascii="宋体" w:hAnsi="宋体" w:eastAsia="宋体" w:cs="宋体"/>
                <w:i w:val="0"/>
                <w:iCs w:val="0"/>
                <w:color w:val="000000"/>
                <w:kern w:val="0"/>
                <w:sz w:val="18"/>
                <w:szCs w:val="18"/>
                <w:u w:val="none"/>
                <w:lang w:val="en-US" w:eastAsia="zh-CN" w:bidi="ar"/>
              </w:rPr>
              <w:t>*750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材：参考选用“露水河”“福人”“大亚”品牌及同等档次E1级优质环保三聚氰胺板,游离甲醛释放量≤0.05mg/m³，经防潮、防虫、防腐处理，强度高、刚性好、不变形，各种物理、化学性能指标均达到国家相关标准。                                                                                台面工艺：所有板件均双贴面、封四边（隐蔽部位均封闭处理），走线孔内缘和隐蔽部位全部封边处理。所有外部封边采用与板件颜色、纹理配套的2mm厚参考选用“兄奕”“塑泰”“瑞杰”品牌及同等档次优质PVC封边。                                                                        五金：参考选用“海福乐”“海蒂诗”“BMB”品牌及同等档次优质三节阻尼滑轨、锁具、铰链及连接件。                                                                                腿架：优质电镀五金压铸桌架，黑色ABS塑料2.5英寸PU脚轮参考选用“艾格玛”“阿克苏”“老虎”品牌及同等档次静电喷涂、壁厚≥1.5mm，可折叠功能。</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0.1823</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0.9115</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三人沙发</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2020*880*850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技术要求同单人沙发</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文件柜</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900*400*1850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箱体采用拆装落地结构，主体采用1.0mm鞍钢冷轧钢板经数控冲切、折弯成型，有工件外露部分用满缝焊接经打磨抛光处理，表面光滑不刮手。所用钢板金属喷漆涂层硬度、冲击强度、耐腐蚀、附着力等理化性能满足GB/T 3325-2024《金属家具通用技术条件》标准要求，避免因水份或者试剂渗漏进接缝后出现腐蚀生锈。</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2、侧板采用1.0mm厚冷轧钢板焊接制作，表面喷涂环氧树脂粉末处理，可固定铰链、滑轨及层板挂钩，前后设有排孔可上下调整层板。</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3、柜门：门板采用1.0mm厚冷轧钢板冲折焊接制作，表面酸洗磷化再经环氧树脂静电粉末喷涂，结构稳定，不变形，门面板内侧设防缓冲减震装置。结构为双层中空加泡沫。</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4、层板：层板采用1.0mm厚冷轧钢板冲折焊接制作，表面酸洗磷化再经环氧树脂静电粉末喷涂，结构稳定，不变形，配模具成形层板托。</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5、拉手：隐藏式拉手。</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6、合页：阻尼式不锈钢合页，防腐蚀，无噪音，强度好，不折断，柜门开启角度可达180度。</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7、高低调整脚：采用M8螺丝压模成型，底衬防水黑色PVC六角套环，保证可以在柜门打开的情况下，进行钢柜体的水平调节。</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文件柜</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800*400*1950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技术要求同上</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20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0.1000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2</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小茶几</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常规</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技术要求同茶几（大）</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写字椅</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常规</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椅背：背框PP+玻纤材质，提供背部舒适支撑，拉力符合BIFMA测试标准。</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椅座：采用4CM高弹力舒适海绵，高弹力优质透气座布，座板为定制多层弯曲板，座垫可翻转。</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扶手：优质 PP+玻纤材质，为固定款式扶手。</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椅架：32.5*20.5*T1.5mm优质钢管脚架，横梁1.8厚，表面喷涂烤漆工艺，尼龙材质防滑脚垫。。                                                                                                                                             脚轮：Φ55mm黑色PU静音轮，便于搬动到不同使用场地。                                                                                                                                                                  写字板：采用优质PP+玻纤加厚板面，连接件铝合金压铸，板面可以旋转收放使用                                                                                                                                            功能：整椅可折叠收纳，节省摆放空间。1、面料：选用优质网布，依据GB 18401-2010《国家纺织产品基本安全技术规范》；GB/T 31713-2015《抗菌纺织品安全性卫生要求》；GB/T 24346-2009《纺织品 防霉性能的评价》﹔</w:t>
            </w:r>
            <w:r>
              <w:rPr>
                <w:rFonts w:hint="eastAsia" w:ascii="宋体" w:hAnsi="宋体" w:cs="宋体"/>
                <w:i w:val="0"/>
                <w:iCs w:val="0"/>
                <w:color w:val="000000"/>
                <w:kern w:val="0"/>
                <w:sz w:val="18"/>
                <w:szCs w:val="18"/>
                <w:u w:val="none"/>
                <w:lang w:val="en-US" w:eastAsia="zh-CN" w:bidi="ar"/>
              </w:rPr>
              <w:t>GB 17927-2024《家具阻燃性能安全技术规范》</w:t>
            </w:r>
            <w:r>
              <w:rPr>
                <w:rFonts w:hint="eastAsia" w:ascii="宋体" w:hAnsi="宋体" w:eastAsia="宋体" w:cs="宋体"/>
                <w:i w:val="0"/>
                <w:iCs w:val="0"/>
                <w:color w:val="000000"/>
                <w:kern w:val="0"/>
                <w:sz w:val="18"/>
                <w:szCs w:val="18"/>
                <w:u w:val="none"/>
                <w:lang w:val="en-US" w:eastAsia="zh-CN" w:bidi="ar"/>
              </w:rPr>
              <w:t>﹔</w:t>
            </w:r>
            <w:r>
              <w:rPr>
                <w:rFonts w:hint="eastAsia" w:ascii="宋体" w:hAnsi="宋体" w:cs="宋体"/>
                <w:i w:val="0"/>
                <w:iCs w:val="0"/>
                <w:color w:val="000000"/>
                <w:kern w:val="0"/>
                <w:sz w:val="18"/>
                <w:szCs w:val="18"/>
                <w:u w:val="none"/>
                <w:lang w:val="en-US" w:eastAsia="zh-CN" w:bidi="ar"/>
              </w:rPr>
              <w:t>GB/T 35607-2024</w:t>
            </w:r>
            <w:r>
              <w:rPr>
                <w:rFonts w:hint="eastAsia" w:ascii="宋体" w:hAnsi="宋体" w:eastAsia="宋体" w:cs="宋体"/>
                <w:i w:val="0"/>
                <w:iCs w:val="0"/>
                <w:color w:val="000000"/>
                <w:kern w:val="0"/>
                <w:sz w:val="18"/>
                <w:szCs w:val="18"/>
                <w:u w:val="none"/>
                <w:lang w:val="en-US" w:eastAsia="zh-CN" w:bidi="ar"/>
              </w:rPr>
              <w:t>《绿色产品评价 家具》；FZ/T 62011.3-2016《布艺类产品 第3部分:家具用纺织品》标准；甲醛含量≤20mg/kg，可分解致癌芳香胺染料未检出，抗菌性能（抑菌率）≥99%，防霉等级0级或1级，产品有害物质（纺织品、皮革中五氯苯酚（PCP））≤0.5mg/kg，沾色-聚酯纤维≥4级。</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2、海绵：采用优质阻燃高弹海绵，依据QB/T 2280-2016《办公家具 办公椅》、GB/T 6343-2009《泡沫塑料及橡胶 表观密度的测定》、GB 17927.1-2011《软体家具 床垫和沙发抗引燃特性的 评定第1部分：阴燃的香烟》、HJ 2547-2016《环境标志产品技术要求 家具》、QB/T 4371-2012《家具抗菌性能的评价》标准；长度、宽度极限偏差检测合格，厚度极限偏差检测合格，感官要求至少5项检测，物理力学性能（至少包含回弹率≥50%，拉伸强度≥150KPa，伸长率≥168%，撕裂强度≥4.5N/cm，干热老化后拉伸强度≥145KPa），密度≥50kg/m³，甲醛释放量≤0.03mg/m²h，TVOC≤0.05mg/m²h，抗引燃特性阻燃Ⅰ级，抗菌性能（抑菌率）≥95%。</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3、气压棒：采用优质气压棒，依据GB/T 29525-2013《座椅升降气弹簧 技术条件》；QB/T 2280-2016《办公家具办公椅》标准；金属件镀层应无烧焦、起泡、针孔、裂纹、毛刺、花斑（不包括镀彩锌）和划痕。气弹簧的启动力应小于1.5F3，气弹簧锁定在任意位置，经72h常温储存后，活塞杆不应产生位移。气弹簧经-30℃和60℃高低温储存后，公称力Fa衰减量应不大于5%。行程100mm，公称力Fa的总衰减量应不大于5%。</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4、脚轮：采用优质脚轮， 依据QB/T 4765-2014《家具用脚轮》； </w:t>
            </w:r>
            <w:r>
              <w:rPr>
                <w:rFonts w:hint="eastAsia" w:ascii="宋体" w:hAnsi="宋体" w:cs="宋体"/>
                <w:i w:val="0"/>
                <w:iCs w:val="0"/>
                <w:color w:val="000000"/>
                <w:kern w:val="0"/>
                <w:sz w:val="18"/>
                <w:szCs w:val="18"/>
                <w:u w:val="none"/>
                <w:lang w:val="en-US" w:eastAsia="zh-CN" w:bidi="ar"/>
              </w:rPr>
              <w:t>GB 18584-2024《家具中有害物质限量》</w:t>
            </w:r>
            <w:r>
              <w:rPr>
                <w:rFonts w:hint="eastAsia" w:ascii="宋体" w:hAnsi="宋体" w:eastAsia="宋体" w:cs="宋体"/>
                <w:i w:val="0"/>
                <w:iCs w:val="0"/>
                <w:color w:val="000000"/>
                <w:kern w:val="0"/>
                <w:sz w:val="18"/>
                <w:szCs w:val="18"/>
                <w:u w:val="none"/>
                <w:lang w:val="en-US" w:eastAsia="zh-CN" w:bidi="ar"/>
              </w:rPr>
              <w:t>；</w:t>
            </w:r>
            <w:r>
              <w:rPr>
                <w:rFonts w:hint="eastAsia" w:ascii="宋体" w:hAnsi="宋体" w:cs="宋体"/>
                <w:i w:val="0"/>
                <w:iCs w:val="0"/>
                <w:color w:val="000000"/>
                <w:kern w:val="0"/>
                <w:sz w:val="18"/>
                <w:szCs w:val="18"/>
                <w:u w:val="none"/>
                <w:lang w:val="en-US" w:eastAsia="zh-CN" w:bidi="ar"/>
              </w:rPr>
              <w:t>GB/T 3325-2024</w:t>
            </w:r>
            <w:r>
              <w:rPr>
                <w:rFonts w:hint="eastAsia" w:ascii="宋体" w:hAnsi="宋体" w:eastAsia="宋体" w:cs="宋体"/>
                <w:i w:val="0"/>
                <w:iCs w:val="0"/>
                <w:color w:val="000000"/>
                <w:kern w:val="0"/>
                <w:sz w:val="18"/>
                <w:szCs w:val="18"/>
                <w:u w:val="none"/>
                <w:lang w:val="en-US" w:eastAsia="zh-CN" w:bidi="ar"/>
              </w:rPr>
              <w:t>《金属家具通用技术条件》；GB/T 16422.3-2022《塑料 实验室光源暴露试验方法 第3部分:荧光紫外灯》；</w:t>
            </w:r>
            <w:r>
              <w:rPr>
                <w:rFonts w:hint="eastAsia" w:ascii="宋体" w:hAnsi="宋体" w:cs="宋体"/>
                <w:i w:val="0"/>
                <w:iCs w:val="0"/>
                <w:color w:val="000000"/>
                <w:kern w:val="0"/>
                <w:sz w:val="18"/>
                <w:szCs w:val="18"/>
                <w:u w:val="none"/>
                <w:lang w:val="en-US" w:eastAsia="zh-CN" w:bidi="ar"/>
              </w:rPr>
              <w:t>GB/T 35607-2024</w:t>
            </w:r>
            <w:r>
              <w:rPr>
                <w:rFonts w:hint="eastAsia" w:ascii="宋体" w:hAnsi="宋体" w:eastAsia="宋体" w:cs="宋体"/>
                <w:i w:val="0"/>
                <w:iCs w:val="0"/>
                <w:color w:val="000000"/>
                <w:kern w:val="0"/>
                <w:sz w:val="18"/>
                <w:szCs w:val="18"/>
                <w:u w:val="none"/>
                <w:lang w:val="en-US" w:eastAsia="zh-CN" w:bidi="ar"/>
              </w:rPr>
              <w:t>《绿色产品评价 家具》标准；脚轮的轮面光洁，无裂纹、伤痕、毛边等缺陷。抗冲击性、导电性、动载荷、滚动阻力检测合格，实验室光源暴露试验：荧光紫外灯4-5级。产品有害物质（铅、汞）≤1mg/kg。</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把</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18.4</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学生办公平台A</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定制</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模块化自适应办公桌面单元</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 1.基材复合体系</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高级复合饰面材，系采用硬阔叶材（占比≥70%）与针叶材（占比≤30%）混合原木为基材核心层，经梯度干燥、双组分胶黏剂施胶、定向铺装、多层热压固化成型后，表面复合经三聚氰胺甲醛树脂（MF）与酚醛树脂（PF）梯度浸渍的钛白粉改性胶膜纸制作而成</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2.分区组合式结构</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2.1底部采用硬木纤维（占比≥85%）与针叶木纤维（占比≤15%）为核心基材，经纳米级纤维细化、双组分改性胶黏剂施胶、多层定向铺装、真空热压固化及超精密砂光处理而成。</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2.2上部部采用 99.999% 高纯度熔融石英砂（SiO₂含量≥99.999%，金属杂质总含量≤5ppm）为基础原料，经等离子体熔融、分子级掺杂、梯度淬火强化及磁控溅射功能膜层复合而成的高端无机非金属材料。</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3附属功能模块</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集成式线盒采用ABS+PC合金材料，内置3组AC220V五孔插座（额定电流10A，温升≤45K）、2组USB-A接口（输出5V/2.4A）及1组USB-C接口（支持PD 20W快充）。</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0.25</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学生办公平台B</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定制</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技术要求同</w:t>
            </w:r>
            <w:r>
              <w:rPr>
                <w:rFonts w:hint="eastAsia" w:ascii="宋体" w:hAnsi="宋体" w:eastAsia="宋体" w:cs="宋体"/>
                <w:i w:val="0"/>
                <w:iCs w:val="0"/>
                <w:color w:val="000000"/>
                <w:kern w:val="0"/>
                <w:sz w:val="18"/>
                <w:szCs w:val="18"/>
                <w:u w:val="none"/>
                <w:lang w:val="en-US" w:eastAsia="zh-CN" w:bidi="ar"/>
              </w:rPr>
              <w:t>学生办公平台</w:t>
            </w:r>
            <w:r>
              <w:rPr>
                <w:rFonts w:hint="eastAsia" w:ascii="宋体" w:hAnsi="宋体" w:cs="宋体"/>
                <w:i w:val="0"/>
                <w:iCs w:val="0"/>
                <w:color w:val="000000"/>
                <w:kern w:val="0"/>
                <w:sz w:val="18"/>
                <w:szCs w:val="18"/>
                <w:u w:val="none"/>
                <w:lang w:val="en-US" w:eastAsia="zh-CN" w:bidi="ar"/>
              </w:rPr>
              <w:t>A</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0.25</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5.25</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学生椅</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常规</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把</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204</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0.08</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16.32</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移动操作台</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1500*750*850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1、主体采用高强度连续热浸镀锌冷弯矩形空心型钢制作， 所有主要承力节点均采用气体保护金属极电弧焊（GMAW）进行全熔透焊接或指定尺寸之角焊缝。焊接工序须采用与母材强度相匹配的低氢型焊丝。</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2.台面采用≥20mm一体实芯黑色坯体实验室专用平光面单边凹槽陶瓷台面，陶瓷台面采用一体高温煅烧而成，釉面和坯体结合后不脱落、不脱层，耐磨、耐高温、耐强腐蚀，黑色坯体可避免台面侧面因二次低温上釉易脱落现象的发生。</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★2.1耐化学性能要求：依据GB/T 17657-2022标准，对台面进行化学试剂进行测试，包括四氯化碳（纯品）、二氯丙烷98%、环己酮99%、苯甲醛98%，氯化钙饱和溶液等，要求至少60种以上试剂检测结果为5级，并提供具有CMA、CNAS认证的第三方权威机构出具的检测报告并加盖品牌厂家鲜章。</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2.2燃烧性能要求：为降低实验室火灾风险，试验台材质燃性性能需达到A1级不燃，炉内温升≤30℃,持续燃烧时间为0s,质量损失率≤0.5%,总热值≤0.2MJ/kg。并提供具有CMA、CNAS认证的第三方权威机构出具的检测报告并加盖品牌厂家鲜章。</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★2.3荷载性能要求：参照T/SLEA0021-2023的标准，载荷重量900KG，保载时间≥890H，检测结果为：样品未损坏，投标时须提供第三方检测机构出具的带有CMA或CNAS认证认可的测试报告复印件并加盖生产厂家公章。</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2.4抗冲击性能：参照GB/T 17657-2022.4.53的标准，冲击高度不低于1m,落球冲击试验中，板面凹痕直径不超过4.2mm且板面无裂痕。</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★2.</w:t>
            </w:r>
            <w:r>
              <w:rPr>
                <w:rFonts w:hint="eastAsia" w:ascii="宋体" w:hAnsi="宋体" w:cs="宋体"/>
                <w:i w:val="0"/>
                <w:iCs w:val="0"/>
                <w:color w:val="000000"/>
                <w:kern w:val="0"/>
                <w:sz w:val="18"/>
                <w:szCs w:val="18"/>
                <w:u w:val="none"/>
                <w:lang w:val="en-US" w:eastAsia="zh-CN" w:bidi="ar"/>
              </w:rPr>
              <w:t>5</w:t>
            </w:r>
            <w:r>
              <w:rPr>
                <w:rFonts w:hint="default" w:ascii="宋体" w:hAnsi="宋体" w:cs="宋体"/>
                <w:i w:val="0"/>
                <w:iCs w:val="0"/>
                <w:color w:val="000000"/>
                <w:kern w:val="0"/>
                <w:sz w:val="18"/>
                <w:szCs w:val="18"/>
                <w:u w:val="none"/>
                <w:lang w:val="en-US" w:eastAsia="zh-CN" w:bidi="ar"/>
              </w:rPr>
              <w:t>弯曲强度要求：参照GB/T14390-2008检测标准，对台面进行弯曲强度测试，检测，结果为平均值≥82，标准差 ≥6。投标时须提供省级以上机构出具的带有CMA或CNAS认证认可的测试报告复印件并加盖生产厂家公章。</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★2.6平均线膨胀系数：依据GJB 332A-2004检测，需满足温度范围RT-1000℃条件下，测试数据包含2租有效测试值，第一组：6.54、第二组：6.67。</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宋体" w:hAnsi="宋体" w:cs="宋体"/>
                <w:i w:val="0"/>
                <w:iCs w:val="0"/>
                <w:color w:val="000000"/>
                <w:kern w:val="0"/>
                <w:sz w:val="18"/>
                <w:szCs w:val="18"/>
                <w:u w:val="none"/>
                <w:lang w:val="en-US" w:eastAsia="zh-CN" w:bidi="ar"/>
              </w:rPr>
              <w:t>★2.7防霉性能要求：参照GB/T1741-2020的标准,陶瓷台面可抑制霉菌滋生，须提供国家建筑装修材料质量检验检测中心机构出具的测试项目为“耐霉菌性等级”检测报告，测试结果值0（霉种包括出芽短梗霉等）。</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0.5400 </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w:t>
            </w:r>
            <w:r>
              <w:rPr>
                <w:rFonts w:hint="eastAsia" w:ascii="宋体" w:hAnsi="宋体" w:cs="宋体"/>
                <w:i w:val="0"/>
                <w:iCs w:val="0"/>
                <w:color w:val="000000"/>
                <w:kern w:val="0"/>
                <w:sz w:val="18"/>
                <w:szCs w:val="18"/>
                <w:u w:val="none"/>
                <w:lang w:val="en-US" w:eastAsia="zh-CN" w:bidi="ar"/>
              </w:rPr>
              <w:t>1</w:t>
            </w:r>
            <w:r>
              <w:rPr>
                <w:rFonts w:hint="default" w:ascii="宋体" w:hAnsi="宋体" w:cs="宋体"/>
                <w:i w:val="0"/>
                <w:iCs w:val="0"/>
                <w:color w:val="000000"/>
                <w:kern w:val="0"/>
                <w:sz w:val="18"/>
                <w:szCs w:val="18"/>
                <w:u w:val="none"/>
                <w:lang w:val="en-US" w:eastAsia="zh-CN" w:bidi="ar"/>
              </w:rPr>
              <w:t>原因：</w:t>
            </w:r>
          </w:p>
          <w:p>
            <w:pPr>
              <w:jc w:val="left"/>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高耐化学性意味着产品使用寿命更长，维护成本更低。提供CMA和CNAS认证的检测报告是为了确保测试结果的权威性和可信度。</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w:t>
            </w:r>
            <w:r>
              <w:rPr>
                <w:rFonts w:hint="eastAsia" w:ascii="宋体" w:hAnsi="宋体" w:cs="宋体"/>
                <w:i w:val="0"/>
                <w:iCs w:val="0"/>
                <w:color w:val="000000"/>
                <w:kern w:val="0"/>
                <w:sz w:val="18"/>
                <w:szCs w:val="18"/>
                <w:u w:val="none"/>
                <w:lang w:val="en-US" w:eastAsia="zh-CN" w:bidi="ar"/>
              </w:rPr>
              <w:t>2</w:t>
            </w:r>
            <w:r>
              <w:rPr>
                <w:rFonts w:hint="default" w:ascii="宋体" w:hAnsi="宋体" w:cs="宋体"/>
                <w:i w:val="0"/>
                <w:iCs w:val="0"/>
                <w:color w:val="000000"/>
                <w:kern w:val="0"/>
                <w:sz w:val="18"/>
                <w:szCs w:val="18"/>
                <w:u w:val="none"/>
                <w:lang w:val="en-US" w:eastAsia="zh-CN" w:bidi="ar"/>
              </w:rPr>
              <w:t>原因：</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执行国家标准能确保台面抗弯承重达标，防止实验设备重压下变形断裂，保障操作安全与长期稳定，获国家建筑材料测试中心出具的检测报告是为了确保测试结果的权威性和可信度。</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w:t>
            </w:r>
            <w:r>
              <w:rPr>
                <w:rFonts w:hint="eastAsia" w:ascii="宋体" w:hAnsi="宋体" w:cs="宋体"/>
                <w:i w:val="0"/>
                <w:iCs w:val="0"/>
                <w:color w:val="000000"/>
                <w:kern w:val="0"/>
                <w:sz w:val="18"/>
                <w:szCs w:val="18"/>
                <w:u w:val="none"/>
                <w:lang w:val="en-US" w:eastAsia="zh-CN" w:bidi="ar"/>
              </w:rPr>
              <w:t>3</w:t>
            </w:r>
            <w:r>
              <w:rPr>
                <w:rFonts w:hint="default" w:ascii="宋体" w:hAnsi="宋体" w:cs="宋体"/>
                <w:i w:val="0"/>
                <w:iCs w:val="0"/>
                <w:color w:val="000000"/>
                <w:kern w:val="0"/>
                <w:sz w:val="18"/>
                <w:szCs w:val="18"/>
                <w:u w:val="none"/>
                <w:lang w:val="en-US" w:eastAsia="zh-CN" w:bidi="ar"/>
              </w:rPr>
              <w:t>原因：</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执行该参数确保台面在长期重载下无变形破损，保障实验室设备安全运行。提供CMA和CNAS认证的检测报告是为了确保测试结果的权威性和可信度。</w:t>
            </w:r>
          </w:p>
          <w:p>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default" w:ascii="宋体" w:hAnsi="宋体" w:cs="宋体"/>
                <w:i w:val="0"/>
                <w:iCs w:val="0"/>
                <w:color w:val="000000"/>
                <w:kern w:val="0"/>
                <w:sz w:val="18"/>
                <w:szCs w:val="18"/>
                <w:u w:val="none"/>
                <w:lang w:val="en-US" w:eastAsia="zh-CN" w:bidi="ar"/>
              </w:rPr>
              <w:t>★</w:t>
            </w:r>
            <w:r>
              <w:rPr>
                <w:rFonts w:hint="eastAsia" w:ascii="宋体" w:hAnsi="宋体" w:cs="宋体"/>
                <w:i w:val="0"/>
                <w:iCs w:val="0"/>
                <w:color w:val="000000"/>
                <w:kern w:val="0"/>
                <w:sz w:val="18"/>
                <w:szCs w:val="18"/>
                <w:u w:val="none"/>
                <w:lang w:val="en-US" w:eastAsia="zh-CN" w:bidi="ar"/>
              </w:rPr>
              <w:t>4</w:t>
            </w:r>
            <w:r>
              <w:rPr>
                <w:rFonts w:hint="default" w:ascii="宋体" w:hAnsi="宋体" w:cs="宋体"/>
                <w:i w:val="0"/>
                <w:iCs w:val="0"/>
                <w:color w:val="000000"/>
                <w:kern w:val="0"/>
                <w:sz w:val="18"/>
                <w:szCs w:val="18"/>
                <w:u w:val="none"/>
                <w:lang w:val="en-US" w:eastAsia="zh-CN" w:bidi="ar"/>
              </w:rPr>
              <w:t>原因：</w:t>
            </w:r>
          </w:p>
          <w:p>
            <w:pPr>
              <w:jc w:val="left"/>
              <w:rPr>
                <w:rFonts w:hint="eastAsia" w:ascii="宋体" w:hAnsi="宋体" w:eastAsia="宋体" w:cs="宋体"/>
                <w:i w:val="0"/>
                <w:iCs w:val="0"/>
                <w:color w:val="000000"/>
                <w:kern w:val="2"/>
                <w:sz w:val="18"/>
                <w:szCs w:val="18"/>
                <w:u w:val="none"/>
                <w:lang w:val="en-US" w:eastAsia="zh-CN" w:bidi="ar-SA"/>
              </w:rPr>
            </w:pPr>
            <w:r>
              <w:rPr>
                <w:rFonts w:hint="default" w:ascii="宋体" w:hAnsi="宋体" w:cs="宋体"/>
                <w:i w:val="0"/>
                <w:iCs w:val="0"/>
                <w:color w:val="000000"/>
                <w:kern w:val="0"/>
                <w:sz w:val="18"/>
                <w:szCs w:val="18"/>
                <w:u w:val="none"/>
                <w:lang w:val="en-US" w:eastAsia="zh-CN" w:bidi="ar"/>
              </w:rPr>
              <w:t>执行该参数确保台面在潮湿环境中杜绝霉菌污染，保障实验数据精准性与人员健康，符合国标洁净要求，权威检测确保测试结果的权威性和可信度。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移动柜</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400*450*600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基材：参考选用“露水河”“福人”“大亚”品牌及同等档次E1级优质环保三聚氰胺板,游离甲醛释放量≤0.05mg/m³，经防潮、防虫、防腐处理，强度高、刚性好、不变形，各种物理、化学性能指标均达到国家相关标准。</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 xml:space="preserve">台面工艺：所有板件均双贴面、封四边（隐蔽部位均封闭处理），走线孔内缘和隐蔽部位全部封边处理。所有外部封边采用与板件颜色、纹理配套的2mm厚参考选用“兄奕”“塑泰”“瑞杰”品牌。 </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22</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2.2</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资料柜</w:t>
            </w:r>
          </w:p>
        </w:tc>
        <w:tc>
          <w:tcPr>
            <w:tcW w:w="2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900*400*1850</w:t>
            </w:r>
            <w:r>
              <w:rPr>
                <w:rFonts w:hint="eastAsia" w:ascii="宋体" w:hAnsi="宋体" w:cs="宋体"/>
                <w:i w:val="0"/>
                <w:iCs w:val="0"/>
                <w:color w:val="000000"/>
                <w:kern w:val="0"/>
                <w:sz w:val="18"/>
                <w:szCs w:val="18"/>
                <w:u w:val="none"/>
                <w:lang w:val="en-US" w:eastAsia="zh-CN" w:bidi="ar"/>
              </w:rPr>
              <w:t>mm</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箱体采用拆装落地结构，主体采用1.0mm鞍钢冷轧钢板经数控冲切、折弯成型，有工件外露部分用满缝焊接经打磨抛光处理，表面光滑不刮手。所用钢板金属喷漆涂层硬度、冲击强度、耐腐蚀、附着力等理化性能满足GB/T 3325-2024《金属家具通用技术条件》标准要求，避免因水份或者试剂渗漏进接缝后出现腐蚀生锈。</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2、侧板采用1.0mm厚冷轧钢板焊接制作，表面喷涂环氧树脂粉末处理，可固定铰链、滑轨及层板挂钩，前后设有排孔可上下调整层板。</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3、柜门：门板采用1.0mm厚冷轧钢板冲折焊接制作，表面酸洗磷化再经环氧树脂静电粉末喷涂，结构稳定，不变形，门面板内侧设防缓冲减震装置。结构为双层中空加泡沫。</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4、层板：层板采用1.0mm厚冷轧钢板冲折焊接制作，表面酸洗磷化再经环氧树脂静电粉末喷涂，结构稳定，不变形，配模具成形层板托。</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5、拉手：隐藏式拉手。</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6、合页：阻尼式不锈钢合页，防腐蚀，无噪音，强度好，不折断，柜门开启角度可达180度。</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7、高低调整脚：采用M8螺丝压模成型，底衬防水黑色PVC六角套环，保证可以在柜门打开的情况下，进行钢柜体的水平调节。</w:t>
            </w:r>
          </w:p>
        </w:tc>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bl>
    <w:p>
      <w:pPr>
        <w:spacing w:line="360" w:lineRule="auto"/>
        <w:ind w:firstLine="480" w:firstLineChars="200"/>
        <w:rPr>
          <w:rFonts w:hint="eastAsia" w:ascii="宋体" w:hAnsi="宋体"/>
          <w:sz w:val="24"/>
        </w:rPr>
      </w:pPr>
    </w:p>
    <w:p>
      <w:pPr>
        <w:spacing w:line="360" w:lineRule="auto"/>
        <w:ind w:firstLine="480" w:firstLineChars="200"/>
        <w:rPr>
          <w:rFonts w:hint="eastAsia" w:ascii="宋体" w:hAnsi="宋体"/>
          <w:b/>
          <w:sz w:val="24"/>
        </w:rPr>
      </w:pPr>
      <w:r>
        <w:rPr>
          <w:rFonts w:hint="eastAsia" w:ascii="宋体" w:hAnsi="宋体"/>
          <w:sz w:val="24"/>
        </w:rPr>
        <w:t>第一包：家具等购置项目</w:t>
      </w:r>
    </w:p>
    <w:p>
      <w:pPr>
        <w:spacing w:line="360" w:lineRule="auto"/>
        <w:ind w:firstLine="480" w:firstLineChars="200"/>
        <w:outlineLvl w:val="0"/>
        <w:rPr>
          <w:sz w:val="24"/>
        </w:rPr>
      </w:pPr>
      <w:r>
        <w:rPr>
          <w:rFonts w:hint="eastAsia"/>
          <w:sz w:val="24"/>
        </w:rPr>
        <w:t>注：</w:t>
      </w:r>
    </w:p>
    <w:p>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pPr>
        <w:spacing w:line="360" w:lineRule="auto"/>
        <w:ind w:firstLine="480" w:firstLineChars="200"/>
        <w:outlineLvl w:val="0"/>
        <w:rPr>
          <w:sz w:val="24"/>
        </w:rPr>
      </w:pPr>
      <w:r>
        <w:rPr>
          <w:rFonts w:hint="eastAsia"/>
          <w:sz w:val="24"/>
        </w:rPr>
        <w:t>加注“▲”号的产品为核心产品（如项目需求书中未明确核心产品，则视为全部产品均为核心产品）。</w:t>
      </w:r>
    </w:p>
    <w:p>
      <w:pPr>
        <w:spacing w:line="360" w:lineRule="auto"/>
        <w:ind w:firstLine="482" w:firstLineChars="200"/>
        <w:rPr>
          <w:rFonts w:hint="eastAsia" w:ascii="宋体" w:hAnsi="宋体"/>
          <w:b/>
          <w:sz w:val="24"/>
        </w:rPr>
      </w:pPr>
    </w:p>
    <w:p>
      <w:pPr>
        <w:spacing w:line="360" w:lineRule="auto"/>
        <w:ind w:firstLine="482" w:firstLineChars="200"/>
        <w:rPr>
          <w:rFonts w:hint="eastAsia" w:ascii="宋体" w:hAnsi="宋体"/>
          <w:b/>
          <w:sz w:val="24"/>
        </w:rPr>
      </w:pPr>
      <w:r>
        <w:rPr>
          <w:rFonts w:hint="eastAsia" w:ascii="宋体" w:hAnsi="宋体"/>
          <w:b/>
          <w:sz w:val="24"/>
        </w:rPr>
        <w:t>商务要求</w:t>
      </w:r>
    </w:p>
    <w:p>
      <w:pPr>
        <w:spacing w:line="360" w:lineRule="auto"/>
        <w:ind w:firstLine="480" w:firstLineChars="200"/>
        <w:outlineLvl w:val="0"/>
        <w:rPr>
          <w:sz w:val="24"/>
        </w:rPr>
      </w:pPr>
      <w:r>
        <w:rPr>
          <w:rFonts w:hint="eastAsia"/>
          <w:sz w:val="24"/>
        </w:rPr>
        <w:t>1. 提供所投产品3年的免费上门保修。</w:t>
      </w:r>
    </w:p>
    <w:p>
      <w:pPr>
        <w:spacing w:line="360" w:lineRule="auto"/>
        <w:ind w:firstLine="480" w:firstLineChars="200"/>
        <w:outlineLvl w:val="0"/>
        <w:rPr>
          <w:sz w:val="24"/>
        </w:rPr>
      </w:pPr>
      <w:r>
        <w:rPr>
          <w:rFonts w:hint="eastAsia"/>
          <w:sz w:val="24"/>
        </w:rPr>
        <w:t>2. 货到：签订合同之日起20日内（特殊情况以合同为准）。</w:t>
      </w:r>
    </w:p>
    <w:p>
      <w:pPr>
        <w:spacing w:line="360" w:lineRule="auto"/>
        <w:ind w:firstLine="480" w:firstLineChars="200"/>
        <w:outlineLvl w:val="0"/>
        <w:rPr>
          <w:sz w:val="24"/>
        </w:rPr>
      </w:pPr>
      <w:r>
        <w:rPr>
          <w:rFonts w:hint="eastAsia"/>
          <w:sz w:val="24"/>
        </w:rPr>
        <w:t>安装（施工）完成：货到之日起30日内（特殊情况以合同为准）。</w:t>
      </w:r>
    </w:p>
    <w:p>
      <w:pPr>
        <w:wordWrap w:val="0"/>
        <w:autoSpaceDE w:val="0"/>
        <w:autoSpaceDN w:val="0"/>
        <w:adjustRightInd w:val="0"/>
        <w:snapToGrid w:val="0"/>
        <w:spacing w:line="360" w:lineRule="auto"/>
        <w:ind w:firstLine="480" w:firstLineChars="200"/>
        <w:rPr>
          <w:sz w:val="24"/>
        </w:rPr>
      </w:pPr>
      <w:r>
        <w:rPr>
          <w:rFonts w:hint="eastAsia"/>
          <w:sz w:val="24"/>
        </w:rPr>
        <w:t>3.付款方式：货到安装调试完成验收合格之日起30日内支付合同总额的100%（特殊情况以合同为准）</w:t>
      </w:r>
    </w:p>
    <w:p>
      <w:pPr>
        <w:spacing w:line="312" w:lineRule="auto"/>
        <w:rPr>
          <w:rFonts w:hint="eastAsia" w:ascii="宋体" w:hAnsi="宋体" w:cs="宋体"/>
          <w:color w:val="FF0000"/>
          <w:szCs w:val="21"/>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Dotum">
    <w:altName w:val="Malgun Gothic"/>
    <w:panose1 w:val="020B0600000101010101"/>
    <w:charset w:val="81"/>
    <w:family w:val="swiss"/>
    <w:pitch w:val="default"/>
    <w:sig w:usb0="00000000" w:usb1="00000000" w:usb2="00000030" w:usb3="00000000" w:csb0="0008009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902"/>
    <w:rsid w:val="0000135E"/>
    <w:rsid w:val="000247DC"/>
    <w:rsid w:val="00045631"/>
    <w:rsid w:val="00071693"/>
    <w:rsid w:val="000749FF"/>
    <w:rsid w:val="000A2D6B"/>
    <w:rsid w:val="000A6FE9"/>
    <w:rsid w:val="000A7CD6"/>
    <w:rsid w:val="000C184F"/>
    <w:rsid w:val="000E2EAA"/>
    <w:rsid w:val="000F738D"/>
    <w:rsid w:val="00111F73"/>
    <w:rsid w:val="001335EE"/>
    <w:rsid w:val="001400A9"/>
    <w:rsid w:val="00170C09"/>
    <w:rsid w:val="001960C1"/>
    <w:rsid w:val="001A4C59"/>
    <w:rsid w:val="001B4EC9"/>
    <w:rsid w:val="001D0C0D"/>
    <w:rsid w:val="001E7CF5"/>
    <w:rsid w:val="001F60D5"/>
    <w:rsid w:val="00201493"/>
    <w:rsid w:val="002053EF"/>
    <w:rsid w:val="00224B89"/>
    <w:rsid w:val="002362BB"/>
    <w:rsid w:val="00240264"/>
    <w:rsid w:val="00244BBF"/>
    <w:rsid w:val="002538CF"/>
    <w:rsid w:val="00270221"/>
    <w:rsid w:val="002964AE"/>
    <w:rsid w:val="002B4BEF"/>
    <w:rsid w:val="002E2E16"/>
    <w:rsid w:val="002E519C"/>
    <w:rsid w:val="00305686"/>
    <w:rsid w:val="00306C12"/>
    <w:rsid w:val="00315235"/>
    <w:rsid w:val="00330E0D"/>
    <w:rsid w:val="0033397A"/>
    <w:rsid w:val="003545AA"/>
    <w:rsid w:val="003A0037"/>
    <w:rsid w:val="003D6EFB"/>
    <w:rsid w:val="003E7311"/>
    <w:rsid w:val="003F429C"/>
    <w:rsid w:val="00410F83"/>
    <w:rsid w:val="00412918"/>
    <w:rsid w:val="004459D2"/>
    <w:rsid w:val="0045575F"/>
    <w:rsid w:val="00477959"/>
    <w:rsid w:val="00483C3E"/>
    <w:rsid w:val="004A1DD6"/>
    <w:rsid w:val="004C2E5E"/>
    <w:rsid w:val="004E5CED"/>
    <w:rsid w:val="004F0C45"/>
    <w:rsid w:val="005204C1"/>
    <w:rsid w:val="0057138B"/>
    <w:rsid w:val="0057313B"/>
    <w:rsid w:val="00574287"/>
    <w:rsid w:val="00584AB5"/>
    <w:rsid w:val="005C0E7E"/>
    <w:rsid w:val="005C780E"/>
    <w:rsid w:val="005D55EA"/>
    <w:rsid w:val="00616E51"/>
    <w:rsid w:val="0062621F"/>
    <w:rsid w:val="006322E8"/>
    <w:rsid w:val="00634D3F"/>
    <w:rsid w:val="00645A07"/>
    <w:rsid w:val="00680419"/>
    <w:rsid w:val="00682E4E"/>
    <w:rsid w:val="006B06EF"/>
    <w:rsid w:val="006B0B20"/>
    <w:rsid w:val="006D17C5"/>
    <w:rsid w:val="006D263F"/>
    <w:rsid w:val="007135F6"/>
    <w:rsid w:val="0072437C"/>
    <w:rsid w:val="007433F3"/>
    <w:rsid w:val="00746194"/>
    <w:rsid w:val="007749F5"/>
    <w:rsid w:val="00785041"/>
    <w:rsid w:val="007A45E1"/>
    <w:rsid w:val="007B6678"/>
    <w:rsid w:val="007C515A"/>
    <w:rsid w:val="007F1CB9"/>
    <w:rsid w:val="00843A83"/>
    <w:rsid w:val="00845E60"/>
    <w:rsid w:val="00861373"/>
    <w:rsid w:val="00861EA9"/>
    <w:rsid w:val="008662DD"/>
    <w:rsid w:val="008969EB"/>
    <w:rsid w:val="008A6D81"/>
    <w:rsid w:val="008C68C8"/>
    <w:rsid w:val="009161CD"/>
    <w:rsid w:val="0091671E"/>
    <w:rsid w:val="00922E8E"/>
    <w:rsid w:val="00930995"/>
    <w:rsid w:val="009356EC"/>
    <w:rsid w:val="00944537"/>
    <w:rsid w:val="00945B13"/>
    <w:rsid w:val="0094738D"/>
    <w:rsid w:val="009712E5"/>
    <w:rsid w:val="00973637"/>
    <w:rsid w:val="00990B50"/>
    <w:rsid w:val="009A114C"/>
    <w:rsid w:val="009D6ECB"/>
    <w:rsid w:val="009E14A0"/>
    <w:rsid w:val="00A21C5C"/>
    <w:rsid w:val="00A27F3F"/>
    <w:rsid w:val="00A41912"/>
    <w:rsid w:val="00A71C25"/>
    <w:rsid w:val="00A772E5"/>
    <w:rsid w:val="00AA0AF1"/>
    <w:rsid w:val="00AA137D"/>
    <w:rsid w:val="00AB1AAA"/>
    <w:rsid w:val="00AB683B"/>
    <w:rsid w:val="00AC1733"/>
    <w:rsid w:val="00AE2D62"/>
    <w:rsid w:val="00AE58B7"/>
    <w:rsid w:val="00AF0F74"/>
    <w:rsid w:val="00B15766"/>
    <w:rsid w:val="00B15F5E"/>
    <w:rsid w:val="00B169E3"/>
    <w:rsid w:val="00B462D8"/>
    <w:rsid w:val="00B965D1"/>
    <w:rsid w:val="00BA394C"/>
    <w:rsid w:val="00BE503F"/>
    <w:rsid w:val="00BF4747"/>
    <w:rsid w:val="00C17BFA"/>
    <w:rsid w:val="00C560F1"/>
    <w:rsid w:val="00C60BAE"/>
    <w:rsid w:val="00C75C8E"/>
    <w:rsid w:val="00C82EF1"/>
    <w:rsid w:val="00CB1A31"/>
    <w:rsid w:val="00CC180E"/>
    <w:rsid w:val="00CC29E1"/>
    <w:rsid w:val="00CE1F46"/>
    <w:rsid w:val="00CE576F"/>
    <w:rsid w:val="00D17989"/>
    <w:rsid w:val="00D440D3"/>
    <w:rsid w:val="00D5625F"/>
    <w:rsid w:val="00D655A7"/>
    <w:rsid w:val="00D701E4"/>
    <w:rsid w:val="00D874CD"/>
    <w:rsid w:val="00D96549"/>
    <w:rsid w:val="00DA58DC"/>
    <w:rsid w:val="00DB3902"/>
    <w:rsid w:val="00DD2EC1"/>
    <w:rsid w:val="00DE48FB"/>
    <w:rsid w:val="00DE6C4C"/>
    <w:rsid w:val="00E00018"/>
    <w:rsid w:val="00E268BE"/>
    <w:rsid w:val="00E425EF"/>
    <w:rsid w:val="00E55C1F"/>
    <w:rsid w:val="00E57285"/>
    <w:rsid w:val="00E8364E"/>
    <w:rsid w:val="00EA4C82"/>
    <w:rsid w:val="00EC4AE3"/>
    <w:rsid w:val="00ED4738"/>
    <w:rsid w:val="00EF0A57"/>
    <w:rsid w:val="00F11972"/>
    <w:rsid w:val="00F12DFA"/>
    <w:rsid w:val="00F40AFD"/>
    <w:rsid w:val="00F435AC"/>
    <w:rsid w:val="00F50D93"/>
    <w:rsid w:val="00F73D28"/>
    <w:rsid w:val="00F873E2"/>
    <w:rsid w:val="00F87F9F"/>
    <w:rsid w:val="00FB491C"/>
    <w:rsid w:val="00FC126E"/>
    <w:rsid w:val="01E7687A"/>
    <w:rsid w:val="03FD0E3E"/>
    <w:rsid w:val="04794225"/>
    <w:rsid w:val="049A7BD3"/>
    <w:rsid w:val="06495802"/>
    <w:rsid w:val="065B5A88"/>
    <w:rsid w:val="07100621"/>
    <w:rsid w:val="088309E8"/>
    <w:rsid w:val="09A80857"/>
    <w:rsid w:val="0B316DB7"/>
    <w:rsid w:val="0B7A7CC3"/>
    <w:rsid w:val="0C3D2609"/>
    <w:rsid w:val="0E72396F"/>
    <w:rsid w:val="0F5C0B51"/>
    <w:rsid w:val="10926DBF"/>
    <w:rsid w:val="11BF4D40"/>
    <w:rsid w:val="13550080"/>
    <w:rsid w:val="1587357C"/>
    <w:rsid w:val="1D764824"/>
    <w:rsid w:val="1F1C712A"/>
    <w:rsid w:val="1F6A4ADE"/>
    <w:rsid w:val="20954321"/>
    <w:rsid w:val="21401A3F"/>
    <w:rsid w:val="22A266DE"/>
    <w:rsid w:val="22EA5AA1"/>
    <w:rsid w:val="235F193C"/>
    <w:rsid w:val="23760F5B"/>
    <w:rsid w:val="24132CA6"/>
    <w:rsid w:val="24AA4DDC"/>
    <w:rsid w:val="2590711C"/>
    <w:rsid w:val="26234D89"/>
    <w:rsid w:val="28D40B66"/>
    <w:rsid w:val="29010F39"/>
    <w:rsid w:val="29957631"/>
    <w:rsid w:val="2C4133C1"/>
    <w:rsid w:val="2D2F1BB0"/>
    <w:rsid w:val="2D537F2F"/>
    <w:rsid w:val="2FEF6776"/>
    <w:rsid w:val="32220E91"/>
    <w:rsid w:val="34083F6D"/>
    <w:rsid w:val="34262A8D"/>
    <w:rsid w:val="35767811"/>
    <w:rsid w:val="35DA1C76"/>
    <w:rsid w:val="36625EF3"/>
    <w:rsid w:val="3795172C"/>
    <w:rsid w:val="379B6047"/>
    <w:rsid w:val="3B697D24"/>
    <w:rsid w:val="3CF14232"/>
    <w:rsid w:val="3D6407A3"/>
    <w:rsid w:val="3D8175A7"/>
    <w:rsid w:val="412D70FE"/>
    <w:rsid w:val="42767986"/>
    <w:rsid w:val="42BA0E65"/>
    <w:rsid w:val="45EF19CA"/>
    <w:rsid w:val="4A3D2AA8"/>
    <w:rsid w:val="4B9F6E1F"/>
    <w:rsid w:val="4C3811C6"/>
    <w:rsid w:val="50033CEF"/>
    <w:rsid w:val="531E2FF2"/>
    <w:rsid w:val="55AE3C0E"/>
    <w:rsid w:val="55FB6096"/>
    <w:rsid w:val="56885586"/>
    <w:rsid w:val="56B658DB"/>
    <w:rsid w:val="57BC2C0A"/>
    <w:rsid w:val="58192EDB"/>
    <w:rsid w:val="58D85002"/>
    <w:rsid w:val="598C7B89"/>
    <w:rsid w:val="59A1148A"/>
    <w:rsid w:val="5A581238"/>
    <w:rsid w:val="5DE20E9D"/>
    <w:rsid w:val="5F01496B"/>
    <w:rsid w:val="61451322"/>
    <w:rsid w:val="61A5698F"/>
    <w:rsid w:val="61B63590"/>
    <w:rsid w:val="62D0444C"/>
    <w:rsid w:val="6372539B"/>
    <w:rsid w:val="63E80DAE"/>
    <w:rsid w:val="643876B9"/>
    <w:rsid w:val="66EB763C"/>
    <w:rsid w:val="67210FDD"/>
    <w:rsid w:val="69E32EF9"/>
    <w:rsid w:val="6AB11176"/>
    <w:rsid w:val="6B2807B2"/>
    <w:rsid w:val="6BC758CE"/>
    <w:rsid w:val="6C8D2FC3"/>
    <w:rsid w:val="70577F0C"/>
    <w:rsid w:val="718705A3"/>
    <w:rsid w:val="72C264DB"/>
    <w:rsid w:val="73A82490"/>
    <w:rsid w:val="74B26A80"/>
    <w:rsid w:val="76FD0D45"/>
    <w:rsid w:val="77C67628"/>
    <w:rsid w:val="7AFC4573"/>
    <w:rsid w:val="7BD13B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10">
    <w:name w:val="Normal Table"/>
    <w:semiHidden/>
    <w:unhideWhenUsed/>
    <w:qFormat/>
    <w:uiPriority w:val="99"/>
    <w:tblPr>
      <w:tblLayout w:type="fixed"/>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3">
    <w:name w:val="Balloon Text"/>
    <w:basedOn w:val="1"/>
    <w:semiHidden/>
    <w:qFormat/>
    <w:uiPriority w:val="0"/>
    <w:rPr>
      <w:sz w:val="18"/>
      <w:szCs w:val="18"/>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6">
    <w:name w:val="Title"/>
    <w:basedOn w:val="1"/>
    <w:next w:val="1"/>
    <w:link w:val="14"/>
    <w:qFormat/>
    <w:uiPriority w:val="10"/>
    <w:pPr>
      <w:spacing w:before="240" w:after="60"/>
      <w:jc w:val="center"/>
      <w:outlineLvl w:val="0"/>
    </w:pPr>
    <w:rPr>
      <w:rFonts w:ascii="Cambria" w:hAnsi="Cambria"/>
      <w:b/>
      <w:bCs/>
      <w:sz w:val="32"/>
      <w:szCs w:val="32"/>
    </w:rPr>
  </w:style>
  <w:style w:type="character" w:styleId="8">
    <w:name w:val="page number"/>
    <w:basedOn w:val="7"/>
    <w:semiHidden/>
    <w:qFormat/>
    <w:uiPriority w:val="0"/>
  </w:style>
  <w:style w:type="character" w:styleId="9">
    <w:name w:val="Hyperlink"/>
    <w:unhideWhenUsed/>
    <w:qFormat/>
    <w:uiPriority w:val="99"/>
    <w:rPr>
      <w:color w:val="0000FF"/>
      <w:u w:val="single"/>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2">
    <w:name w:val="页脚 字符"/>
    <w:link w:val="4"/>
    <w:qFormat/>
    <w:uiPriority w:val="0"/>
    <w:rPr>
      <w:kern w:val="2"/>
      <w:sz w:val="18"/>
      <w:szCs w:val="18"/>
    </w:rPr>
  </w:style>
  <w:style w:type="character" w:customStyle="1" w:styleId="13">
    <w:name w:val="页眉 字符"/>
    <w:link w:val="5"/>
    <w:qFormat/>
    <w:uiPriority w:val="0"/>
    <w:rPr>
      <w:kern w:val="2"/>
      <w:sz w:val="18"/>
      <w:szCs w:val="18"/>
    </w:rPr>
  </w:style>
  <w:style w:type="character" w:customStyle="1" w:styleId="14">
    <w:name w:val="标题 字符"/>
    <w:link w:val="6"/>
    <w:qFormat/>
    <w:uiPriority w:val="10"/>
    <w:rPr>
      <w:rFonts w:ascii="Cambria" w:hAnsi="Cambria"/>
      <w:b/>
      <w:bCs/>
      <w:kern w:val="2"/>
      <w:sz w:val="32"/>
      <w:szCs w:val="32"/>
    </w:rPr>
  </w:style>
  <w:style w:type="paragraph" w:customStyle="1" w:styleId="15">
    <w:name w:val="Char Char1 Char Char Char Char Char Char 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character" w:customStyle="1" w:styleId="16">
    <w:name w:val="font41"/>
    <w:basedOn w:val="7"/>
    <w:qFormat/>
    <w:uiPriority w:val="0"/>
    <w:rPr>
      <w:rFonts w:hint="eastAsia" w:ascii="宋体" w:hAnsi="宋体" w:eastAsia="宋体" w:cs="宋体"/>
      <w:color w:val="000000"/>
      <w:sz w:val="24"/>
      <w:szCs w:val="24"/>
      <w:u w:val="none"/>
    </w:rPr>
  </w:style>
  <w:style w:type="character" w:customStyle="1" w:styleId="17">
    <w:name w:val="font51"/>
    <w:basedOn w:val="7"/>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35</Pages>
  <Words>10702</Words>
  <Characters>13161</Characters>
  <Lines>1242</Lines>
  <Paragraphs>1306</Paragraphs>
  <TotalTime>1019</TotalTime>
  <ScaleCrop>false</ScaleCrop>
  <LinksUpToDate>false</LinksUpToDate>
  <CharactersWithSpaces>14559</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2021-06-28T02:53:00Z</dcterms:created>
  <dc:creator>薛昊</dc:creator>
  <cp:lastModifiedBy>jgkxhq</cp:lastModifiedBy>
  <cp:lastPrinted>2025-03-24T03:13:00Z</cp:lastPrinted>
  <dcterms:modified xsi:type="dcterms:W3CDTF">2025-10-16T06:06:50Z</dcterms:modified>
  <dc:title>项目需求书</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ICV">
    <vt:lpwstr>EADE8EE321654D158913F421F03D40C2_13</vt:lpwstr>
  </property>
  <property fmtid="{D5CDD505-2E9C-101B-9397-08002B2CF9AE}" pid="4" name="KSOTemplateDocerSaveRecord">
    <vt:lpwstr>eyJoZGlkIjoiNDNiNGI3YzU2OGI1ZGI1ZDNmNTZhNWZmZDIyNTI5MmYiLCJ1c2VySWQiOiIxNjg4MzQ4MTc4In0=</vt:lpwstr>
  </property>
</Properties>
</file>