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7AAAC7">
      <w:pPr>
        <w:pStyle w:val="13"/>
        <w:rPr>
          <w:rFonts w:ascii="Times New Roman" w:hAnsi="Times New Roman"/>
        </w:rPr>
      </w:pPr>
      <w:bookmarkStart w:id="0" w:name="_Toc412903615"/>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0"/>
    </w:p>
    <w:p w14:paraId="57DA4D34">
      <w:pPr>
        <w:tabs>
          <w:tab w:val="left" w:pos="210"/>
        </w:tabs>
        <w:autoSpaceDE w:val="0"/>
        <w:autoSpaceDN w:val="0"/>
        <w:adjustRightInd w:val="0"/>
        <w:spacing w:line="360" w:lineRule="auto"/>
        <w:ind w:firstLine="448" w:firstLineChars="200"/>
        <w:outlineLvl w:val="0"/>
        <w:rPr>
          <w:rFonts w:cs="宋体"/>
          <w:kern w:val="0"/>
          <w:sz w:val="24"/>
          <w:szCs w:val="24"/>
        </w:rPr>
      </w:pPr>
      <w:r>
        <w:rPr>
          <w:rFonts w:hint="eastAsia"/>
          <w:sz w:val="24"/>
        </w:rPr>
        <w:t>加注“★”号条款为实质性条款，不得出现负偏离，发生负偏离即做无效标处理。</w:t>
      </w:r>
    </w:p>
    <w:p w14:paraId="11E7AF16">
      <w:pPr>
        <w:spacing w:line="360" w:lineRule="auto"/>
        <w:ind w:firstLine="448" w:firstLineChars="200"/>
        <w:outlineLvl w:val="0"/>
        <w:rPr>
          <w:sz w:val="24"/>
        </w:rPr>
      </w:pPr>
      <w:r>
        <w:rPr>
          <w:rFonts w:hint="eastAsia"/>
          <w:sz w:val="24"/>
        </w:rPr>
        <w:t>一、项目背景</w:t>
      </w:r>
    </w:p>
    <w:p w14:paraId="1486D6E2">
      <w:pPr>
        <w:spacing w:line="360" w:lineRule="auto"/>
        <w:ind w:firstLine="448" w:firstLineChars="200"/>
        <w:outlineLvl w:val="0"/>
        <w:rPr>
          <w:sz w:val="24"/>
        </w:rPr>
      </w:pPr>
      <w:r>
        <w:rPr>
          <w:rFonts w:hint="eastAsia"/>
          <w:sz w:val="24"/>
        </w:rPr>
        <w:t>本项目属于工业。</w:t>
      </w:r>
    </w:p>
    <w:p w14:paraId="29EBCD7B">
      <w:pPr>
        <w:spacing w:line="360" w:lineRule="auto"/>
        <w:ind w:firstLine="448" w:firstLineChars="200"/>
        <w:outlineLvl w:val="0"/>
        <w:rPr>
          <w:sz w:val="24"/>
        </w:rPr>
      </w:pPr>
      <w:r>
        <w:rPr>
          <w:rFonts w:hint="eastAsia"/>
          <w:sz w:val="24"/>
        </w:rPr>
        <w:t>二、技术要求</w:t>
      </w:r>
    </w:p>
    <w:p w14:paraId="62F588F1">
      <w:pPr>
        <w:spacing w:line="360" w:lineRule="auto"/>
        <w:ind w:firstLine="448" w:firstLineChars="200"/>
        <w:outlineLvl w:val="0"/>
        <w:rPr>
          <w:sz w:val="24"/>
        </w:rPr>
      </w:pPr>
      <w:r>
        <w:rPr>
          <w:rFonts w:hint="eastAsia" w:cs="宋体"/>
          <w:kern w:val="0"/>
          <w:sz w:val="24"/>
          <w:szCs w:val="24"/>
        </w:rPr>
        <w:t>★</w:t>
      </w:r>
      <w:r>
        <w:rPr>
          <w:rFonts w:hint="eastAsia"/>
          <w:sz w:val="24"/>
        </w:rPr>
        <w:t>（一）投标人须承诺所投产品和服务符合相关强制性规定。交货时采购人有权要求投标人出具所投产品、服务符合上述规定的证明文件。</w:t>
      </w:r>
    </w:p>
    <w:p w14:paraId="0B989AE1">
      <w:pPr>
        <w:spacing w:line="360" w:lineRule="auto"/>
        <w:ind w:firstLine="448" w:firstLineChars="200"/>
        <w:outlineLvl w:val="0"/>
        <w:rPr>
          <w:sz w:val="24"/>
        </w:rPr>
      </w:pPr>
      <w:r>
        <w:rPr>
          <w:rFonts w:hint="eastAsia"/>
          <w:sz w:val="24"/>
        </w:rPr>
        <w:t>（二）</w:t>
      </w:r>
      <w:r>
        <w:rPr>
          <w:sz w:val="24"/>
        </w:rPr>
        <w:t>采购清单</w:t>
      </w:r>
    </w:p>
    <w:p w14:paraId="4AFBA856">
      <w:pPr>
        <w:pStyle w:val="25"/>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p w14:paraId="48A3361A">
      <w:pPr>
        <w:pStyle w:val="25"/>
        <w:spacing w:line="360" w:lineRule="auto"/>
        <w:ind w:firstLine="448"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6CF37143">
      <w:pPr>
        <w:pStyle w:val="25"/>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所投产品须按照《医疗器械注册与备案管理办法》（国家市场监督管理总局令第47号）的规定，提供医疗器械备案证明材料或医疗器械注册证扫描件。</w:t>
      </w:r>
    </w:p>
    <w:p w14:paraId="62C83F4D">
      <w:pPr>
        <w:spacing w:line="360" w:lineRule="auto"/>
        <w:ind w:firstLine="448" w:firstLineChars="200"/>
        <w:outlineLvl w:val="0"/>
        <w:rPr>
          <w:sz w:val="24"/>
        </w:rPr>
      </w:pPr>
      <w:r>
        <w:rPr>
          <w:rFonts w:hint="eastAsia"/>
          <w:sz w:val="24"/>
        </w:rPr>
        <w:t>2. 技术参数</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9"/>
        <w:gridCol w:w="1317"/>
        <w:gridCol w:w="1264"/>
        <w:gridCol w:w="5158"/>
      </w:tblGrid>
      <w:tr w14:paraId="1787F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63" w:type="pct"/>
            <w:tcBorders>
              <w:top w:val="single" w:color="auto" w:sz="4" w:space="0"/>
              <w:left w:val="single" w:color="auto" w:sz="4" w:space="0"/>
              <w:bottom w:val="single" w:color="auto" w:sz="4" w:space="0"/>
              <w:right w:val="single" w:color="auto" w:sz="4" w:space="0"/>
            </w:tcBorders>
            <w:vAlign w:val="center"/>
          </w:tcPr>
          <w:p w14:paraId="78BAB7E5">
            <w:pPr>
              <w:widowControl/>
              <w:spacing w:line="0" w:lineRule="atLeast"/>
              <w:jc w:val="center"/>
              <w:rPr>
                <w:rFonts w:cs="宋体" w:asciiTheme="majorEastAsia" w:hAnsiTheme="majorEastAsia" w:eastAsiaTheme="majorEastAsia"/>
                <w:kern w:val="0"/>
                <w:sz w:val="24"/>
                <w:szCs w:val="24"/>
              </w:rPr>
            </w:pPr>
            <w:r>
              <w:rPr>
                <w:rFonts w:hint="eastAsia" w:cs="宋体" w:asciiTheme="majorEastAsia" w:hAnsiTheme="majorEastAsia" w:eastAsiaTheme="majorEastAsia"/>
                <w:kern w:val="0"/>
                <w:sz w:val="24"/>
              </w:rPr>
              <w:t>序号</w:t>
            </w:r>
          </w:p>
        </w:tc>
        <w:tc>
          <w:tcPr>
            <w:tcW w:w="772" w:type="pct"/>
            <w:tcBorders>
              <w:top w:val="single" w:color="auto" w:sz="4" w:space="0"/>
              <w:left w:val="single" w:color="auto" w:sz="4" w:space="0"/>
              <w:bottom w:val="single" w:color="auto" w:sz="4" w:space="0"/>
              <w:right w:val="single" w:color="auto" w:sz="4" w:space="0"/>
            </w:tcBorders>
            <w:vAlign w:val="center"/>
          </w:tcPr>
          <w:p w14:paraId="3479C886">
            <w:pPr>
              <w:widowControl/>
              <w:spacing w:line="0" w:lineRule="atLeast"/>
              <w:jc w:val="center"/>
              <w:rPr>
                <w:rFonts w:cs="宋体" w:asciiTheme="majorEastAsia" w:hAnsiTheme="majorEastAsia" w:eastAsiaTheme="majorEastAsia"/>
                <w:kern w:val="0"/>
                <w:sz w:val="24"/>
                <w:szCs w:val="24"/>
              </w:rPr>
            </w:pPr>
            <w:r>
              <w:rPr>
                <w:rFonts w:hint="eastAsia" w:cs="宋体" w:asciiTheme="majorEastAsia" w:hAnsiTheme="majorEastAsia" w:eastAsiaTheme="majorEastAsia"/>
                <w:kern w:val="0"/>
                <w:sz w:val="24"/>
              </w:rPr>
              <w:t>标的名称</w:t>
            </w:r>
          </w:p>
        </w:tc>
        <w:tc>
          <w:tcPr>
            <w:tcW w:w="741" w:type="pct"/>
            <w:tcBorders>
              <w:top w:val="single" w:color="auto" w:sz="4" w:space="0"/>
              <w:left w:val="single" w:color="auto" w:sz="4" w:space="0"/>
              <w:bottom w:val="single" w:color="auto" w:sz="4" w:space="0"/>
              <w:right w:val="single" w:color="auto" w:sz="4" w:space="0"/>
            </w:tcBorders>
            <w:vAlign w:val="center"/>
          </w:tcPr>
          <w:p w14:paraId="73F1B0A7">
            <w:pPr>
              <w:widowControl/>
              <w:spacing w:line="0" w:lineRule="atLeast"/>
              <w:jc w:val="center"/>
              <w:rPr>
                <w:rFonts w:cs="宋体" w:asciiTheme="majorEastAsia" w:hAnsiTheme="majorEastAsia" w:eastAsiaTheme="majorEastAsia"/>
                <w:kern w:val="0"/>
                <w:sz w:val="24"/>
                <w:szCs w:val="24"/>
              </w:rPr>
            </w:pPr>
            <w:r>
              <w:rPr>
                <w:rFonts w:hint="eastAsia" w:cs="宋体" w:asciiTheme="majorEastAsia" w:hAnsiTheme="majorEastAsia" w:eastAsiaTheme="majorEastAsia"/>
                <w:kern w:val="0"/>
                <w:sz w:val="24"/>
              </w:rPr>
              <w:t>数量</w:t>
            </w:r>
          </w:p>
        </w:tc>
        <w:tc>
          <w:tcPr>
            <w:tcW w:w="3024" w:type="pct"/>
            <w:tcBorders>
              <w:top w:val="single" w:color="auto" w:sz="4" w:space="0"/>
              <w:left w:val="single" w:color="auto" w:sz="4" w:space="0"/>
              <w:bottom w:val="single" w:color="auto" w:sz="4" w:space="0"/>
              <w:right w:val="single" w:color="auto" w:sz="4" w:space="0"/>
            </w:tcBorders>
            <w:vAlign w:val="center"/>
          </w:tcPr>
          <w:p w14:paraId="426DAF73">
            <w:pPr>
              <w:widowControl/>
              <w:spacing w:line="0" w:lineRule="atLeast"/>
              <w:jc w:val="center"/>
              <w:rPr>
                <w:rFonts w:cs="宋体" w:asciiTheme="majorEastAsia" w:hAnsiTheme="majorEastAsia" w:eastAsiaTheme="majorEastAsia"/>
                <w:kern w:val="0"/>
                <w:sz w:val="24"/>
                <w:szCs w:val="24"/>
              </w:rPr>
            </w:pPr>
            <w:r>
              <w:rPr>
                <w:rFonts w:hint="eastAsia" w:cs="宋体" w:asciiTheme="majorEastAsia" w:hAnsiTheme="majorEastAsia" w:eastAsiaTheme="majorEastAsia"/>
                <w:kern w:val="0"/>
                <w:sz w:val="24"/>
              </w:rPr>
              <w:t>需求条款</w:t>
            </w:r>
          </w:p>
        </w:tc>
      </w:tr>
      <w:tr w14:paraId="709B3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3" w:type="pct"/>
            <w:tcBorders>
              <w:top w:val="single" w:color="auto" w:sz="4" w:space="0"/>
              <w:left w:val="single" w:color="auto" w:sz="4" w:space="0"/>
              <w:bottom w:val="single" w:color="auto" w:sz="4" w:space="0"/>
              <w:right w:val="single" w:color="auto" w:sz="4" w:space="0"/>
            </w:tcBorders>
            <w:vAlign w:val="center"/>
          </w:tcPr>
          <w:p w14:paraId="095B23DF">
            <w:pPr>
              <w:widowControl/>
              <w:spacing w:line="0" w:lineRule="atLeast"/>
              <w:jc w:val="center"/>
              <w:rPr>
                <w:rFonts w:cs="宋体" w:asciiTheme="majorEastAsia" w:hAnsiTheme="majorEastAsia" w:eastAsiaTheme="majorEastAsia"/>
                <w:kern w:val="0"/>
                <w:sz w:val="24"/>
                <w:szCs w:val="21"/>
              </w:rPr>
            </w:pPr>
            <w:r>
              <w:rPr>
                <w:rFonts w:hint="eastAsia" w:cs="宋体" w:asciiTheme="majorEastAsia" w:hAnsiTheme="majorEastAsia" w:eastAsiaTheme="majorEastAsia"/>
                <w:kern w:val="0"/>
                <w:sz w:val="24"/>
                <w:szCs w:val="21"/>
              </w:rPr>
              <w:t>1</w:t>
            </w:r>
          </w:p>
        </w:tc>
        <w:tc>
          <w:tcPr>
            <w:tcW w:w="772" w:type="pct"/>
            <w:tcBorders>
              <w:top w:val="single" w:color="auto" w:sz="4" w:space="0"/>
              <w:left w:val="single" w:color="auto" w:sz="4" w:space="0"/>
              <w:bottom w:val="single" w:color="auto" w:sz="4" w:space="0"/>
              <w:right w:val="single" w:color="auto" w:sz="4" w:space="0"/>
            </w:tcBorders>
            <w:vAlign w:val="center"/>
          </w:tcPr>
          <w:p w14:paraId="2CBDADA2">
            <w:pPr>
              <w:widowControl/>
              <w:spacing w:line="0" w:lineRule="atLeast"/>
              <w:jc w:val="center"/>
              <w:rPr>
                <w:rFonts w:cs="宋体" w:asciiTheme="majorEastAsia" w:hAnsiTheme="majorEastAsia" w:eastAsiaTheme="majorEastAsia"/>
                <w:kern w:val="0"/>
                <w:sz w:val="24"/>
                <w:szCs w:val="21"/>
              </w:rPr>
            </w:pPr>
            <w:r>
              <w:rPr>
                <w:rFonts w:hint="eastAsia"/>
                <w:sz w:val="24"/>
              </w:rPr>
              <w:t>▲</w:t>
            </w:r>
            <w:r>
              <w:rPr>
                <w:rFonts w:hint="eastAsia" w:cs="宋体" w:asciiTheme="majorEastAsia" w:hAnsiTheme="majorEastAsia" w:eastAsiaTheme="majorEastAsia"/>
                <w:kern w:val="0"/>
                <w:sz w:val="24"/>
                <w:szCs w:val="21"/>
              </w:rPr>
              <w:t>血红蛋白样本收集卡</w:t>
            </w:r>
          </w:p>
        </w:tc>
        <w:tc>
          <w:tcPr>
            <w:tcW w:w="741" w:type="pct"/>
            <w:tcBorders>
              <w:top w:val="single" w:color="auto" w:sz="4" w:space="0"/>
              <w:left w:val="single" w:color="auto" w:sz="4" w:space="0"/>
              <w:bottom w:val="single" w:color="auto" w:sz="4" w:space="0"/>
              <w:right w:val="single" w:color="auto" w:sz="4" w:space="0"/>
            </w:tcBorders>
            <w:vAlign w:val="center"/>
          </w:tcPr>
          <w:p w14:paraId="625FD0C1">
            <w:pPr>
              <w:spacing w:line="0" w:lineRule="atLeast"/>
              <w:jc w:val="center"/>
              <w:rPr>
                <w:rFonts w:cs="宋体" w:asciiTheme="majorEastAsia" w:hAnsiTheme="majorEastAsia" w:eastAsiaTheme="majorEastAsia"/>
                <w:kern w:val="0"/>
                <w:sz w:val="24"/>
                <w:szCs w:val="21"/>
              </w:rPr>
            </w:pPr>
            <w:r>
              <w:rPr>
                <w:rFonts w:cs="宋体" w:asciiTheme="majorEastAsia" w:hAnsiTheme="majorEastAsia" w:eastAsiaTheme="majorEastAsia"/>
                <w:color w:val="FF0000"/>
                <w:kern w:val="0"/>
                <w:sz w:val="24"/>
                <w:szCs w:val="21"/>
              </w:rPr>
              <w:t>1</w:t>
            </w:r>
            <w:r>
              <w:rPr>
                <w:rFonts w:hint="eastAsia" w:cs="宋体" w:asciiTheme="majorEastAsia" w:hAnsiTheme="majorEastAsia" w:eastAsiaTheme="majorEastAsia"/>
                <w:color w:val="FF0000"/>
                <w:kern w:val="0"/>
                <w:sz w:val="24"/>
                <w:szCs w:val="21"/>
                <w:lang w:val="en-US" w:eastAsia="zh-CN"/>
              </w:rPr>
              <w:t>50</w:t>
            </w:r>
            <w:r>
              <w:rPr>
                <w:rFonts w:cs="宋体" w:asciiTheme="majorEastAsia" w:hAnsiTheme="majorEastAsia" w:eastAsiaTheme="majorEastAsia"/>
                <w:color w:val="FF0000"/>
                <w:kern w:val="0"/>
                <w:sz w:val="24"/>
                <w:szCs w:val="21"/>
              </w:rPr>
              <w:t>000</w:t>
            </w:r>
            <w:r>
              <w:rPr>
                <w:rFonts w:hint="eastAsia" w:cs="宋体" w:asciiTheme="majorEastAsia" w:hAnsiTheme="majorEastAsia" w:eastAsiaTheme="majorEastAsia"/>
                <w:kern w:val="0"/>
                <w:sz w:val="24"/>
                <w:szCs w:val="21"/>
              </w:rPr>
              <w:t>人份</w:t>
            </w:r>
          </w:p>
        </w:tc>
        <w:tc>
          <w:tcPr>
            <w:tcW w:w="3024" w:type="pct"/>
            <w:tcBorders>
              <w:top w:val="single" w:color="auto" w:sz="4" w:space="0"/>
              <w:left w:val="single" w:color="auto" w:sz="4" w:space="0"/>
              <w:bottom w:val="single" w:color="auto" w:sz="4" w:space="0"/>
              <w:right w:val="single" w:color="auto" w:sz="4" w:space="0"/>
            </w:tcBorders>
            <w:vAlign w:val="center"/>
          </w:tcPr>
          <w:p w14:paraId="02F23F79">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一、产品用途：用于定量检测全血样本中的血红蛋白含量。</w:t>
            </w:r>
          </w:p>
          <w:p w14:paraId="2DC94FF6">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二、技术参数：</w:t>
            </w:r>
          </w:p>
          <w:p w14:paraId="75700D3E">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1、血红蛋白样本收集卡由聚苯乙烯塑料和湿润剂组成，无任何化学试剂成分。</w:t>
            </w:r>
          </w:p>
          <w:p w14:paraId="365AC39C">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2、检测原理：基于分光光度计检测原理，在Hb/HbO2d 的等消光点下测量吸光度，采用双波长（506nm 和880nm）检测，以校正浊度可能带来的误差。</w:t>
            </w:r>
          </w:p>
          <w:p w14:paraId="4833BE0C">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3、检测时间：样本收集卡与配套的血红蛋白分析仪一起使用时，仪器检测并显示血红蛋白值的时间不超过3 秒，只要样品架始终位于测量位置，该结果需持续显示。</w:t>
            </w:r>
          </w:p>
          <w:p w14:paraId="257DFE72">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4、样本要求：毛细血管、静脉及动脉血管血液样本均可用于测量，样本量要求：不高于10μL 全血。</w:t>
            </w:r>
          </w:p>
          <w:p w14:paraId="6C334110">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5、线性范围：线性范围（0-256）g/L，线性相关系数r 应≥0.99</w:t>
            </w:r>
          </w:p>
          <w:p w14:paraId="69863F20">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6、重复性及批间差：测定值重复性的变异系数（CV%）应不大于3%；批间差变异系数（CV%）应不大于5%</w:t>
            </w:r>
          </w:p>
          <w:p w14:paraId="55F98B0C">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7、测量范围： 0-25.6g/dL; 2-5 g/dL间的偏差在4%以内，5-25 g/dL 间的偏差在3%以内。</w:t>
            </w:r>
          </w:p>
          <w:p w14:paraId="3F296927">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8、样本收集卡的有效期应自生产之日起，不少于24个月；中文说明书中需要针对小瓶中的样本收集卡在未开封和开封之后，可以使用的有效期限，以及样本收集卡在-18-10℃和40-50℃的不同条件下，分别能够存放的时间段，均需有明确规定。</w:t>
            </w:r>
          </w:p>
          <w:p w14:paraId="61FA12BF">
            <w:pPr>
              <w:spacing w:line="0" w:lineRule="atLeast"/>
              <w:jc w:val="left"/>
              <w:rPr>
                <w:rFonts w:asciiTheme="majorEastAsia" w:hAnsiTheme="majorEastAsia" w:eastAsiaTheme="majorEastAsia"/>
                <w:sz w:val="24"/>
                <w:szCs w:val="21"/>
              </w:rPr>
            </w:pPr>
            <w:r>
              <w:rPr>
                <w:rFonts w:hint="eastAsia" w:asciiTheme="majorEastAsia" w:hAnsiTheme="majorEastAsia" w:eastAsiaTheme="majorEastAsia"/>
                <w:sz w:val="24"/>
                <w:szCs w:val="21"/>
              </w:rPr>
              <w:t>三、配置要求：每盒4瓶，每瓶50个。</w:t>
            </w:r>
          </w:p>
        </w:tc>
      </w:tr>
    </w:tbl>
    <w:p w14:paraId="4AA5CBB3">
      <w:pPr>
        <w:spacing w:line="360" w:lineRule="auto"/>
        <w:ind w:firstLine="448"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48C3023E">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w:t>
      </w:r>
      <w:r>
        <w:rPr>
          <w:rFonts w:hint="eastAsia"/>
          <w:sz w:val="24"/>
          <w:szCs w:val="24"/>
        </w:rPr>
        <w:t>商务要求</w:t>
      </w:r>
    </w:p>
    <w:p w14:paraId="19C0A40C">
      <w:pPr>
        <w:autoSpaceDE w:val="0"/>
        <w:autoSpaceDN w:val="0"/>
        <w:adjustRightInd w:val="0"/>
        <w:spacing w:line="360" w:lineRule="auto"/>
        <w:ind w:firstLine="448" w:firstLineChars="200"/>
        <w:rPr>
          <w:sz w:val="24"/>
        </w:rPr>
      </w:pPr>
      <w:r>
        <w:rPr>
          <w:rFonts w:hint="eastAsia" w:cs="宋体"/>
          <w:kern w:val="0"/>
          <w:sz w:val="24"/>
          <w:szCs w:val="24"/>
        </w:rPr>
        <w:t>★</w:t>
      </w:r>
      <w:r>
        <w:rPr>
          <w:rFonts w:hint="eastAsia"/>
          <w:sz w:val="24"/>
        </w:rPr>
        <w:t>（一）报价要求</w:t>
      </w:r>
    </w:p>
    <w:p w14:paraId="64F51418">
      <w:pPr>
        <w:autoSpaceDE w:val="0"/>
        <w:autoSpaceDN w:val="0"/>
        <w:adjustRightInd w:val="0"/>
        <w:spacing w:line="360" w:lineRule="auto"/>
        <w:ind w:firstLine="448" w:firstLineChars="200"/>
        <w:rPr>
          <w:sz w:val="24"/>
        </w:rPr>
      </w:pPr>
      <w:r>
        <w:rPr>
          <w:rFonts w:hint="eastAsia"/>
          <w:sz w:val="24"/>
        </w:rPr>
        <w:t>1. 投标报价以人民币填列。</w:t>
      </w:r>
    </w:p>
    <w:p w14:paraId="2B5282C2">
      <w:pPr>
        <w:autoSpaceDE w:val="0"/>
        <w:autoSpaceDN w:val="0"/>
        <w:adjustRightInd w:val="0"/>
        <w:spacing w:line="360" w:lineRule="auto"/>
        <w:ind w:firstLine="448"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45BD1070">
      <w:pPr>
        <w:autoSpaceDE w:val="0"/>
        <w:autoSpaceDN w:val="0"/>
        <w:adjustRightInd w:val="0"/>
        <w:spacing w:line="360" w:lineRule="auto"/>
        <w:ind w:firstLine="448" w:firstLineChars="200"/>
        <w:rPr>
          <w:sz w:val="24"/>
        </w:rPr>
      </w:pPr>
      <w:r>
        <w:rPr>
          <w:rFonts w:hint="eastAsia"/>
          <w:sz w:val="24"/>
        </w:rPr>
        <w:t>3. 验收及相关费用由投标人负责。</w:t>
      </w:r>
    </w:p>
    <w:p w14:paraId="12A24C40">
      <w:pPr>
        <w:autoSpaceDE w:val="0"/>
        <w:autoSpaceDN w:val="0"/>
        <w:adjustRightInd w:val="0"/>
        <w:spacing w:line="360" w:lineRule="auto"/>
        <w:ind w:firstLine="448" w:firstLineChars="200"/>
        <w:rPr>
          <w:sz w:val="24"/>
        </w:rPr>
      </w:pPr>
      <w:r>
        <w:rPr>
          <w:rFonts w:hint="eastAsia"/>
          <w:sz w:val="24"/>
        </w:rPr>
        <w:t>（二）服务要求</w:t>
      </w:r>
    </w:p>
    <w:p w14:paraId="0AEE7C7B">
      <w:pPr>
        <w:autoSpaceDE w:val="0"/>
        <w:autoSpaceDN w:val="0"/>
        <w:adjustRightInd w:val="0"/>
        <w:spacing w:line="360" w:lineRule="auto"/>
        <w:ind w:firstLine="448" w:firstLineChars="200"/>
        <w:rPr>
          <w:sz w:val="24"/>
        </w:rPr>
      </w:pPr>
      <w:r>
        <w:rPr>
          <w:rFonts w:hint="eastAsia"/>
          <w:sz w:val="24"/>
        </w:rPr>
        <w:t>1.提供所投产品须在产品有效期内，且所投产品到达时距离失效期详见“需求条款”。试剂在使用过程中，如有任何问题，保证2小时内答复，4小时内到达用户现场解决问题。</w:t>
      </w:r>
    </w:p>
    <w:p w14:paraId="030B2DB6">
      <w:pPr>
        <w:autoSpaceDE w:val="0"/>
        <w:autoSpaceDN w:val="0"/>
        <w:adjustRightInd w:val="0"/>
        <w:spacing w:line="360" w:lineRule="auto"/>
        <w:ind w:firstLine="448" w:firstLineChars="200"/>
        <w:rPr>
          <w:sz w:val="24"/>
        </w:rPr>
      </w:pPr>
      <w:r>
        <w:rPr>
          <w:rFonts w:hint="eastAsia"/>
          <w:sz w:val="24"/>
        </w:rPr>
        <w:t>2. 提供所投产品制造商服务机构情况，包括地址、联系方式及技术人员数量等。</w:t>
      </w:r>
    </w:p>
    <w:p w14:paraId="6C91F1E5">
      <w:pPr>
        <w:autoSpaceDE w:val="0"/>
        <w:autoSpaceDN w:val="0"/>
        <w:adjustRightInd w:val="0"/>
        <w:spacing w:line="360" w:lineRule="auto"/>
        <w:ind w:firstLine="448" w:firstLineChars="200"/>
        <w:rPr>
          <w:sz w:val="24"/>
        </w:rPr>
      </w:pPr>
      <w:r>
        <w:rPr>
          <w:rFonts w:hint="eastAsia" w:cs="宋体"/>
          <w:kern w:val="0"/>
          <w:sz w:val="24"/>
          <w:szCs w:val="24"/>
        </w:rPr>
        <w:t>★</w:t>
      </w:r>
      <w:r>
        <w:rPr>
          <w:rFonts w:hint="eastAsia"/>
          <w:sz w:val="24"/>
        </w:rPr>
        <w:t>（三）交货要求</w:t>
      </w:r>
    </w:p>
    <w:p w14:paraId="6198881E">
      <w:pPr>
        <w:autoSpaceDE w:val="0"/>
        <w:autoSpaceDN w:val="0"/>
        <w:adjustRightInd w:val="0"/>
        <w:spacing w:line="360" w:lineRule="auto"/>
        <w:ind w:firstLine="448" w:firstLineChars="200"/>
        <w:rPr>
          <w:sz w:val="24"/>
        </w:rPr>
      </w:pPr>
      <w:r>
        <w:rPr>
          <w:rFonts w:hint="eastAsia"/>
          <w:sz w:val="24"/>
        </w:rPr>
        <w:t>1. 交货期：</w:t>
      </w:r>
    </w:p>
    <w:p w14:paraId="2D2AA8EC">
      <w:pPr>
        <w:autoSpaceDE w:val="0"/>
        <w:autoSpaceDN w:val="0"/>
        <w:adjustRightInd w:val="0"/>
        <w:spacing w:line="360" w:lineRule="auto"/>
        <w:ind w:firstLine="448" w:firstLineChars="200"/>
        <w:rPr>
          <w:sz w:val="24"/>
        </w:rPr>
      </w:pPr>
      <w:r>
        <w:rPr>
          <w:rFonts w:hint="eastAsia"/>
          <w:sz w:val="24"/>
        </w:rPr>
        <w:t>货到时间：签订合同之日起按批次供货，自接到采购人供货要求后30日内（特殊情况以合同为准）。</w:t>
      </w:r>
    </w:p>
    <w:p w14:paraId="3435682F">
      <w:pPr>
        <w:autoSpaceDE w:val="0"/>
        <w:autoSpaceDN w:val="0"/>
        <w:adjustRightInd w:val="0"/>
        <w:spacing w:line="360" w:lineRule="auto"/>
        <w:ind w:firstLine="448" w:firstLineChars="200"/>
        <w:rPr>
          <w:sz w:val="24"/>
        </w:rPr>
      </w:pPr>
      <w:r>
        <w:rPr>
          <w:rFonts w:hint="eastAsia"/>
          <w:sz w:val="24"/>
        </w:rPr>
        <w:t>2. 交货地点：天津市黄河道424号（特殊情况以合同为准）。</w:t>
      </w:r>
    </w:p>
    <w:p w14:paraId="7DC8F55D">
      <w:pPr>
        <w:autoSpaceDE w:val="0"/>
        <w:autoSpaceDN w:val="0"/>
        <w:adjustRightInd w:val="0"/>
        <w:spacing w:line="360" w:lineRule="auto"/>
        <w:ind w:firstLine="448" w:firstLineChars="200"/>
        <w:rPr>
          <w:sz w:val="24"/>
        </w:rPr>
      </w:pPr>
      <w:r>
        <w:rPr>
          <w:rFonts w:hint="eastAsia"/>
          <w:sz w:val="24"/>
        </w:rPr>
        <w:t>3. 提供制造商完整的随机资料，包括完整的使用和维修手册等。</w:t>
      </w:r>
    </w:p>
    <w:p w14:paraId="2BB03847">
      <w:pPr>
        <w:autoSpaceDE w:val="0"/>
        <w:autoSpaceDN w:val="0"/>
        <w:adjustRightInd w:val="0"/>
        <w:spacing w:line="360" w:lineRule="auto"/>
        <w:ind w:firstLine="448"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5121EC8A">
      <w:pPr>
        <w:autoSpaceDE w:val="0"/>
        <w:autoSpaceDN w:val="0"/>
        <w:adjustRightInd w:val="0"/>
        <w:spacing w:line="360" w:lineRule="auto"/>
        <w:ind w:firstLine="448" w:firstLineChars="200"/>
        <w:rPr>
          <w:sz w:val="24"/>
        </w:rPr>
      </w:pPr>
      <w:r>
        <w:rPr>
          <w:rFonts w:hint="eastAsia" w:cs="宋体"/>
          <w:kern w:val="0"/>
          <w:sz w:val="24"/>
          <w:szCs w:val="24"/>
        </w:rPr>
        <w:t>★</w:t>
      </w:r>
      <w:r>
        <w:rPr>
          <w:rFonts w:hint="eastAsia"/>
          <w:sz w:val="24"/>
        </w:rPr>
        <w:t>（四）付款方式</w:t>
      </w:r>
    </w:p>
    <w:p w14:paraId="1EED71B6">
      <w:pPr>
        <w:autoSpaceDE w:val="0"/>
        <w:autoSpaceDN w:val="0"/>
        <w:adjustRightInd w:val="0"/>
        <w:spacing w:line="360" w:lineRule="auto"/>
        <w:ind w:firstLine="448" w:firstLineChars="200"/>
        <w:rPr>
          <w:sz w:val="24"/>
        </w:rPr>
      </w:pPr>
      <w:r>
        <w:rPr>
          <w:rFonts w:hint="eastAsia"/>
          <w:sz w:val="24"/>
        </w:rPr>
        <w:t>合同期内，按批次供货，每批货物交货并经验收及质量抽检合格后，采购人向中标供应商一次性支付该批货款总额的100%金额，最终结算总额不得超过中标价格（特殊情况以合同为准）。</w:t>
      </w:r>
    </w:p>
    <w:p w14:paraId="044612B0">
      <w:pPr>
        <w:autoSpaceDE w:val="0"/>
        <w:autoSpaceDN w:val="0"/>
        <w:adjustRightInd w:val="0"/>
        <w:spacing w:line="360" w:lineRule="auto"/>
        <w:ind w:firstLine="448" w:firstLineChars="200"/>
        <w:rPr>
          <w:sz w:val="24"/>
        </w:rPr>
      </w:pPr>
      <w:r>
        <w:rPr>
          <w:rFonts w:hint="eastAsia" w:cs="宋体"/>
          <w:kern w:val="0"/>
          <w:sz w:val="24"/>
          <w:szCs w:val="24"/>
        </w:rPr>
        <w:t>★</w:t>
      </w:r>
      <w:r>
        <w:rPr>
          <w:rFonts w:hint="eastAsia"/>
          <w:sz w:val="24"/>
        </w:rPr>
        <w:t>（五）投标保证金和履约保证金</w:t>
      </w:r>
    </w:p>
    <w:p w14:paraId="3A122FC8">
      <w:pPr>
        <w:autoSpaceDE w:val="0"/>
        <w:autoSpaceDN w:val="0"/>
        <w:adjustRightInd w:val="0"/>
        <w:spacing w:line="360" w:lineRule="auto"/>
        <w:ind w:firstLine="448" w:firstLineChars="200"/>
        <w:rPr>
          <w:sz w:val="24"/>
        </w:rPr>
      </w:pPr>
      <w:r>
        <w:rPr>
          <w:rFonts w:hint="eastAsia"/>
          <w:sz w:val="24"/>
        </w:rPr>
        <w:t>本项目不收取投标保证金和履约保证金。</w:t>
      </w:r>
    </w:p>
    <w:p w14:paraId="0C02F2F7">
      <w:pPr>
        <w:autoSpaceDE w:val="0"/>
        <w:autoSpaceDN w:val="0"/>
        <w:adjustRightInd w:val="0"/>
        <w:spacing w:line="360" w:lineRule="auto"/>
        <w:ind w:firstLine="448" w:firstLineChars="200"/>
        <w:rPr>
          <w:sz w:val="24"/>
        </w:rPr>
      </w:pPr>
      <w:r>
        <w:rPr>
          <w:rFonts w:hint="eastAsia" w:cs="宋体"/>
          <w:kern w:val="0"/>
          <w:sz w:val="24"/>
          <w:szCs w:val="24"/>
        </w:rPr>
        <w:t>★</w:t>
      </w:r>
      <w:r>
        <w:rPr>
          <w:rFonts w:hint="eastAsia"/>
          <w:sz w:val="24"/>
        </w:rPr>
        <w:t>（六）验收方法及标准</w:t>
      </w:r>
    </w:p>
    <w:p w14:paraId="02812217">
      <w:pPr>
        <w:autoSpaceDE w:val="0"/>
        <w:autoSpaceDN w:val="0"/>
        <w:adjustRightInd w:val="0"/>
        <w:spacing w:line="360" w:lineRule="auto"/>
        <w:ind w:firstLine="448"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95961DA">
      <w:pPr>
        <w:autoSpaceDN w:val="0"/>
        <w:spacing w:line="360" w:lineRule="auto"/>
        <w:jc w:val="center"/>
        <w:rPr>
          <w:b/>
          <w:bCs/>
          <w:sz w:val="24"/>
        </w:rPr>
      </w:pPr>
      <w:bookmarkStart w:id="1" w:name="_GoBack"/>
      <w:bookmarkEnd w:id="1"/>
    </w:p>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0F8125">
    <w:pPr>
      <w:pStyle w:val="11"/>
      <w:jc w:val="center"/>
    </w:pPr>
    <w:r>
      <w:rPr>
        <w:b/>
      </w:rPr>
      <w:fldChar w:fldCharType="begin"/>
    </w:r>
    <w:r>
      <w:rPr>
        <w:b/>
      </w:rPr>
      <w:instrText xml:space="preserve">PAGE  \* Arabic  \* MERGEFORMAT</w:instrText>
    </w:r>
    <w:r>
      <w:rPr>
        <w:b/>
      </w:rPr>
      <w:fldChar w:fldCharType="separate"/>
    </w:r>
    <w:r>
      <w:rPr>
        <w:b/>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F9ECA">
    <w:pPr>
      <w:pStyle w:val="12"/>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9C9"/>
    <w:rsid w:val="00015B77"/>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345E"/>
    <w:rsid w:val="000D49A7"/>
    <w:rsid w:val="000D514E"/>
    <w:rsid w:val="000D5368"/>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6D2"/>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0AC9"/>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6509"/>
    <w:rsid w:val="001871EE"/>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2E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B6ADE"/>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00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3A37"/>
    <w:rsid w:val="00374230"/>
    <w:rsid w:val="00374D2C"/>
    <w:rsid w:val="00376CAA"/>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579C"/>
    <w:rsid w:val="003F68DF"/>
    <w:rsid w:val="003F69B9"/>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4BB4"/>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5DF"/>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6E54"/>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060"/>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96C86"/>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CDB"/>
    <w:rsid w:val="005F3EB2"/>
    <w:rsid w:val="006001B2"/>
    <w:rsid w:val="006014DA"/>
    <w:rsid w:val="00603680"/>
    <w:rsid w:val="006038D0"/>
    <w:rsid w:val="00605AE2"/>
    <w:rsid w:val="006062C8"/>
    <w:rsid w:val="00607F7C"/>
    <w:rsid w:val="006102B4"/>
    <w:rsid w:val="00611A86"/>
    <w:rsid w:val="00612BD3"/>
    <w:rsid w:val="006153CD"/>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2D3E"/>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0B73"/>
    <w:rsid w:val="00702576"/>
    <w:rsid w:val="00704015"/>
    <w:rsid w:val="0070505E"/>
    <w:rsid w:val="00705F28"/>
    <w:rsid w:val="007068BE"/>
    <w:rsid w:val="00706ADD"/>
    <w:rsid w:val="00714DFD"/>
    <w:rsid w:val="00716B68"/>
    <w:rsid w:val="007236BA"/>
    <w:rsid w:val="007238DD"/>
    <w:rsid w:val="00723D02"/>
    <w:rsid w:val="00723D84"/>
    <w:rsid w:val="00724717"/>
    <w:rsid w:val="00724735"/>
    <w:rsid w:val="00724CA5"/>
    <w:rsid w:val="0072660C"/>
    <w:rsid w:val="007268D9"/>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022F"/>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810"/>
    <w:rsid w:val="00934C45"/>
    <w:rsid w:val="00935F6F"/>
    <w:rsid w:val="0093630E"/>
    <w:rsid w:val="00936E99"/>
    <w:rsid w:val="00941302"/>
    <w:rsid w:val="0094204D"/>
    <w:rsid w:val="009424DA"/>
    <w:rsid w:val="00944181"/>
    <w:rsid w:val="0094440D"/>
    <w:rsid w:val="00947EC9"/>
    <w:rsid w:val="00950DFB"/>
    <w:rsid w:val="00951A74"/>
    <w:rsid w:val="00951A8D"/>
    <w:rsid w:val="00951C43"/>
    <w:rsid w:val="009533CE"/>
    <w:rsid w:val="00954AD1"/>
    <w:rsid w:val="00955B43"/>
    <w:rsid w:val="0095612C"/>
    <w:rsid w:val="00957265"/>
    <w:rsid w:val="0095794F"/>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2E2E"/>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9C9"/>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360"/>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05EE"/>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37539"/>
    <w:rsid w:val="00C46949"/>
    <w:rsid w:val="00C526EA"/>
    <w:rsid w:val="00C536BA"/>
    <w:rsid w:val="00C53D13"/>
    <w:rsid w:val="00C55371"/>
    <w:rsid w:val="00C553EC"/>
    <w:rsid w:val="00C555A4"/>
    <w:rsid w:val="00C55658"/>
    <w:rsid w:val="00C60013"/>
    <w:rsid w:val="00C6068B"/>
    <w:rsid w:val="00C627B1"/>
    <w:rsid w:val="00C63FE0"/>
    <w:rsid w:val="00C65D79"/>
    <w:rsid w:val="00C65ECC"/>
    <w:rsid w:val="00C66604"/>
    <w:rsid w:val="00C67013"/>
    <w:rsid w:val="00C677B6"/>
    <w:rsid w:val="00C720A2"/>
    <w:rsid w:val="00C7230E"/>
    <w:rsid w:val="00C73CE2"/>
    <w:rsid w:val="00C7484F"/>
    <w:rsid w:val="00C74B77"/>
    <w:rsid w:val="00C807DD"/>
    <w:rsid w:val="00C80934"/>
    <w:rsid w:val="00C8474B"/>
    <w:rsid w:val="00C849A7"/>
    <w:rsid w:val="00C92D4C"/>
    <w:rsid w:val="00C94FE9"/>
    <w:rsid w:val="00C96140"/>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6F1B"/>
    <w:rsid w:val="00D17B48"/>
    <w:rsid w:val="00D20B7A"/>
    <w:rsid w:val="00D214A0"/>
    <w:rsid w:val="00D23CDE"/>
    <w:rsid w:val="00D24586"/>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65D6"/>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813"/>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5FDB"/>
    <w:rsid w:val="00F36730"/>
    <w:rsid w:val="00F40389"/>
    <w:rsid w:val="00F41B34"/>
    <w:rsid w:val="00F41B8B"/>
    <w:rsid w:val="00F4218A"/>
    <w:rsid w:val="00F427BF"/>
    <w:rsid w:val="00F435CE"/>
    <w:rsid w:val="00F436AA"/>
    <w:rsid w:val="00F43FF6"/>
    <w:rsid w:val="00F4400C"/>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36FC"/>
    <w:rsid w:val="00FF5906"/>
    <w:rsid w:val="00FF5AFA"/>
    <w:rsid w:val="00FF5EC4"/>
    <w:rsid w:val="00FF6FAE"/>
    <w:rsid w:val="00FF7185"/>
    <w:rsid w:val="0D1856D1"/>
    <w:rsid w:val="62101E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8"/>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2"/>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5"/>
    <w:semiHidden/>
    <w:unhideWhenUsed/>
    <w:qFormat/>
    <w:uiPriority w:val="99"/>
    <w:pPr>
      <w:jc w:val="left"/>
    </w:pPr>
  </w:style>
  <w:style w:type="paragraph" w:styleId="5">
    <w:name w:val="Body Text"/>
    <w:basedOn w:val="1"/>
    <w:link w:val="47"/>
    <w:semiHidden/>
    <w:unhideWhenUsed/>
    <w:qFormat/>
    <w:uiPriority w:val="99"/>
    <w:pPr>
      <w:spacing w:after="120"/>
    </w:pPr>
  </w:style>
  <w:style w:type="paragraph" w:styleId="6">
    <w:name w:val="Body Text Indent"/>
    <w:basedOn w:val="1"/>
    <w:link w:val="24"/>
    <w:qFormat/>
    <w:uiPriority w:val="0"/>
    <w:pPr>
      <w:tabs>
        <w:tab w:val="left" w:pos="480"/>
      </w:tabs>
      <w:spacing w:line="560" w:lineRule="exact"/>
      <w:ind w:firstLine="480"/>
      <w:jc w:val="left"/>
    </w:pPr>
    <w:rPr>
      <w:rFonts w:ascii="宋体" w:hAnsi="宋体"/>
      <w:sz w:val="24"/>
    </w:rPr>
  </w:style>
  <w:style w:type="paragraph" w:styleId="7">
    <w:name w:val="Plain Text"/>
    <w:basedOn w:val="1"/>
    <w:link w:val="36"/>
    <w:qFormat/>
    <w:uiPriority w:val="0"/>
    <w:rPr>
      <w:rFonts w:ascii="宋体" w:hAnsi="Courier New"/>
      <w:lang w:val="zh-CN" w:eastAsia="zh-CN"/>
    </w:rPr>
  </w:style>
  <w:style w:type="paragraph" w:styleId="8">
    <w:name w:val="Date"/>
    <w:basedOn w:val="1"/>
    <w:next w:val="1"/>
    <w:link w:val="29"/>
    <w:qFormat/>
    <w:uiPriority w:val="0"/>
    <w:pPr>
      <w:adjustRightInd w:val="0"/>
      <w:spacing w:line="360" w:lineRule="atLeast"/>
      <w:textAlignment w:val="baseline"/>
    </w:pPr>
    <w:rPr>
      <w:sz w:val="32"/>
    </w:rPr>
  </w:style>
  <w:style w:type="paragraph" w:styleId="9">
    <w:name w:val="Body Text Indent 2"/>
    <w:basedOn w:val="1"/>
    <w:link w:val="31"/>
    <w:semiHidden/>
    <w:unhideWhenUsed/>
    <w:uiPriority w:val="99"/>
    <w:pPr>
      <w:spacing w:after="120" w:line="480" w:lineRule="auto"/>
      <w:ind w:left="420" w:leftChars="200"/>
    </w:pPr>
  </w:style>
  <w:style w:type="paragraph" w:styleId="10">
    <w:name w:val="Balloon Text"/>
    <w:basedOn w:val="1"/>
    <w:link w:val="42"/>
    <w:semiHidden/>
    <w:unhideWhenUsed/>
    <w:qFormat/>
    <w:uiPriority w:val="99"/>
    <w:rPr>
      <w:sz w:val="18"/>
      <w:szCs w:val="18"/>
    </w:rPr>
  </w:style>
  <w:style w:type="paragraph" w:styleId="11">
    <w:name w:val="footer"/>
    <w:basedOn w:val="1"/>
    <w:link w:val="28"/>
    <w:unhideWhenUsed/>
    <w:qFormat/>
    <w:uiPriority w:val="99"/>
    <w:pPr>
      <w:tabs>
        <w:tab w:val="center" w:pos="4153"/>
        <w:tab w:val="right" w:pos="8306"/>
      </w:tabs>
      <w:snapToGrid w:val="0"/>
      <w:jc w:val="left"/>
    </w:pPr>
    <w:rPr>
      <w:sz w:val="18"/>
      <w:szCs w:val="18"/>
    </w:rPr>
  </w:style>
  <w:style w:type="paragraph" w:styleId="12">
    <w:name w:val="header"/>
    <w:basedOn w:val="1"/>
    <w:link w:val="27"/>
    <w:unhideWhenUsed/>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6"/>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7"/>
    <w:semiHidden/>
    <w:unhideWhenUsed/>
    <w:uiPriority w:val="99"/>
    <w:pPr>
      <w:spacing w:after="120"/>
      <w:ind w:left="420" w:leftChars="200"/>
    </w:pPr>
    <w:rPr>
      <w:sz w:val="16"/>
      <w:szCs w:val="16"/>
    </w:rPr>
  </w:style>
  <w:style w:type="paragraph" w:styleId="15">
    <w:name w:val="Body Text 2"/>
    <w:basedOn w:val="1"/>
    <w:link w:val="33"/>
    <w:semiHidden/>
    <w:unhideWhenUsed/>
    <w:uiPriority w:val="99"/>
    <w:pPr>
      <w:spacing w:after="120" w:line="480" w:lineRule="auto"/>
    </w:pPr>
  </w:style>
  <w:style w:type="paragraph" w:styleId="16">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46"/>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Hyperlink"/>
    <w:basedOn w:val="20"/>
    <w:unhideWhenUsed/>
    <w:uiPriority w:val="99"/>
    <w:rPr>
      <w:color w:val="0000FF"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正文文本缩进 Char"/>
    <w:basedOn w:val="20"/>
    <w:link w:val="6"/>
    <w:qFormat/>
    <w:uiPriority w:val="0"/>
    <w:rPr>
      <w:rFonts w:ascii="宋体" w:hAnsi="宋体" w:eastAsia="宋体" w:cs="Times New Roman"/>
      <w:sz w:val="24"/>
      <w:szCs w:val="20"/>
    </w:rPr>
  </w:style>
  <w:style w:type="paragraph" w:customStyle="1" w:styleId="25">
    <w:name w:val="Default"/>
    <w:link w:val="4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6">
    <w:name w:val="副标题 Char"/>
    <w:basedOn w:val="20"/>
    <w:link w:val="13"/>
    <w:uiPriority w:val="0"/>
    <w:rPr>
      <w:rFonts w:ascii="Cambria" w:hAnsi="Cambria" w:eastAsia="宋体" w:cs="Times New Roman"/>
      <w:b/>
      <w:bCs/>
      <w:kern w:val="28"/>
      <w:sz w:val="32"/>
      <w:szCs w:val="32"/>
      <w:lang w:val="zh-CN" w:eastAsia="zh-CN"/>
    </w:rPr>
  </w:style>
  <w:style w:type="character" w:customStyle="1" w:styleId="27">
    <w:name w:val="页眉 Char"/>
    <w:basedOn w:val="20"/>
    <w:link w:val="12"/>
    <w:qFormat/>
    <w:uiPriority w:val="99"/>
    <w:rPr>
      <w:rFonts w:ascii="Times New Roman" w:hAnsi="Times New Roman" w:eastAsia="宋体" w:cs="Times New Roman"/>
      <w:sz w:val="18"/>
      <w:szCs w:val="18"/>
    </w:rPr>
  </w:style>
  <w:style w:type="character" w:customStyle="1" w:styleId="28">
    <w:name w:val="页脚 Char"/>
    <w:basedOn w:val="20"/>
    <w:link w:val="11"/>
    <w:qFormat/>
    <w:uiPriority w:val="99"/>
    <w:rPr>
      <w:rFonts w:ascii="Times New Roman" w:hAnsi="Times New Roman" w:eastAsia="宋体" w:cs="Times New Roman"/>
      <w:sz w:val="18"/>
      <w:szCs w:val="18"/>
    </w:rPr>
  </w:style>
  <w:style w:type="character" w:customStyle="1" w:styleId="29">
    <w:name w:val="日期 Char"/>
    <w:basedOn w:val="20"/>
    <w:link w:val="8"/>
    <w:qFormat/>
    <w:uiPriority w:val="0"/>
    <w:rPr>
      <w:rFonts w:ascii="Times New Roman" w:hAnsi="Times New Roman" w:eastAsia="宋体" w:cs="Times New Roman"/>
      <w:sz w:val="32"/>
      <w:szCs w:val="20"/>
    </w:rPr>
  </w:style>
  <w:style w:type="paragraph" w:styleId="30">
    <w:name w:val="List Paragraph"/>
    <w:basedOn w:val="1"/>
    <w:link w:val="44"/>
    <w:qFormat/>
    <w:uiPriority w:val="34"/>
    <w:pPr>
      <w:ind w:firstLine="420" w:firstLineChars="200"/>
    </w:pPr>
  </w:style>
  <w:style w:type="character" w:customStyle="1" w:styleId="31">
    <w:name w:val="正文文本缩进 2 Char"/>
    <w:basedOn w:val="20"/>
    <w:link w:val="9"/>
    <w:semiHidden/>
    <w:qFormat/>
    <w:uiPriority w:val="99"/>
    <w:rPr>
      <w:rFonts w:ascii="Times New Roman" w:hAnsi="Times New Roman" w:eastAsia="宋体" w:cs="Times New Roman"/>
      <w:szCs w:val="20"/>
    </w:rPr>
  </w:style>
  <w:style w:type="character" w:customStyle="1" w:styleId="32">
    <w:name w:val="标题 3 Char"/>
    <w:basedOn w:val="20"/>
    <w:link w:val="3"/>
    <w:qFormat/>
    <w:uiPriority w:val="0"/>
    <w:rPr>
      <w:rFonts w:ascii="Times New Roman" w:hAnsi="Times New Roman" w:eastAsia="宋体" w:cs="Times New Roman"/>
      <w:b/>
      <w:bCs/>
      <w:sz w:val="32"/>
      <w:szCs w:val="32"/>
    </w:rPr>
  </w:style>
  <w:style w:type="character" w:customStyle="1" w:styleId="33">
    <w:name w:val="正文文本 2 Char"/>
    <w:basedOn w:val="20"/>
    <w:link w:val="15"/>
    <w:semiHidden/>
    <w:qFormat/>
    <w:uiPriority w:val="99"/>
    <w:rPr>
      <w:rFonts w:ascii="Times New Roman" w:hAnsi="Times New Roman" w:eastAsia="宋体" w:cs="Times New Roman"/>
      <w:szCs w:val="20"/>
    </w:rPr>
  </w:style>
  <w:style w:type="paragraph" w:customStyle="1" w:styleId="34">
    <w:name w:val="Char"/>
    <w:basedOn w:val="1"/>
    <w:qFormat/>
    <w:uiPriority w:val="0"/>
    <w:pPr>
      <w:tabs>
        <w:tab w:val="left" w:pos="360"/>
      </w:tabs>
    </w:pPr>
    <w:rPr>
      <w:sz w:val="24"/>
      <w:szCs w:val="24"/>
    </w:rPr>
  </w:style>
  <w:style w:type="character" w:customStyle="1" w:styleId="35">
    <w:name w:val="纯文本 Char"/>
    <w:basedOn w:val="20"/>
    <w:semiHidden/>
    <w:qFormat/>
    <w:uiPriority w:val="99"/>
    <w:rPr>
      <w:rFonts w:ascii="宋体" w:hAnsi="Courier New" w:eastAsia="宋体" w:cs="Courier New"/>
      <w:szCs w:val="21"/>
    </w:rPr>
  </w:style>
  <w:style w:type="character" w:customStyle="1" w:styleId="36">
    <w:name w:val="纯文本 Char1"/>
    <w:link w:val="7"/>
    <w:qFormat/>
    <w:locked/>
    <w:uiPriority w:val="0"/>
    <w:rPr>
      <w:rFonts w:ascii="宋体" w:hAnsi="Courier New" w:eastAsia="宋体" w:cs="Times New Roman"/>
      <w:szCs w:val="20"/>
      <w:lang w:val="zh-CN" w:eastAsia="zh-CN"/>
    </w:rPr>
  </w:style>
  <w:style w:type="character" w:customStyle="1" w:styleId="37">
    <w:name w:val="正文文本缩进 3 Char"/>
    <w:basedOn w:val="20"/>
    <w:link w:val="14"/>
    <w:semiHidden/>
    <w:qFormat/>
    <w:uiPriority w:val="99"/>
    <w:rPr>
      <w:rFonts w:ascii="Times New Roman" w:hAnsi="Times New Roman" w:eastAsia="宋体" w:cs="Times New Roman"/>
      <w:sz w:val="16"/>
      <w:szCs w:val="16"/>
    </w:rPr>
  </w:style>
  <w:style w:type="paragraph" w:customStyle="1" w:styleId="3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2">
    <w:name w:val="批注框文本 Char"/>
    <w:basedOn w:val="20"/>
    <w:link w:val="10"/>
    <w:semiHidden/>
    <w:qFormat/>
    <w:uiPriority w:val="99"/>
    <w:rPr>
      <w:rFonts w:ascii="Times New Roman" w:hAnsi="Times New Roman" w:eastAsia="宋体" w:cs="Times New Roman"/>
      <w:sz w:val="18"/>
      <w:szCs w:val="18"/>
    </w:rPr>
  </w:style>
  <w:style w:type="character" w:customStyle="1" w:styleId="43">
    <w:name w:val="Default Char"/>
    <w:link w:val="25"/>
    <w:qFormat/>
    <w:locked/>
    <w:uiPriority w:val="0"/>
    <w:rPr>
      <w:rFonts w:ascii="......." w:hAnsi="Calibri" w:eastAsia="......." w:cs="......."/>
      <w:color w:val="000000"/>
      <w:kern w:val="0"/>
      <w:sz w:val="24"/>
      <w:szCs w:val="24"/>
    </w:rPr>
  </w:style>
  <w:style w:type="character" w:customStyle="1" w:styleId="44">
    <w:name w:val="列出段落 Char"/>
    <w:link w:val="30"/>
    <w:qFormat/>
    <w:uiPriority w:val="34"/>
    <w:rPr>
      <w:rFonts w:ascii="Times New Roman" w:hAnsi="Times New Roman" w:eastAsia="宋体" w:cs="Times New Roman"/>
      <w:szCs w:val="20"/>
    </w:rPr>
  </w:style>
  <w:style w:type="character" w:customStyle="1" w:styleId="45">
    <w:name w:val="批注文字 Char"/>
    <w:basedOn w:val="20"/>
    <w:link w:val="4"/>
    <w:semiHidden/>
    <w:qFormat/>
    <w:uiPriority w:val="99"/>
    <w:rPr>
      <w:rFonts w:ascii="Times New Roman" w:hAnsi="Times New Roman" w:eastAsia="宋体" w:cs="Times New Roman"/>
      <w:szCs w:val="20"/>
    </w:rPr>
  </w:style>
  <w:style w:type="character" w:customStyle="1" w:styleId="46">
    <w:name w:val="批注主题 Char"/>
    <w:basedOn w:val="45"/>
    <w:link w:val="17"/>
    <w:semiHidden/>
    <w:qFormat/>
    <w:uiPriority w:val="99"/>
    <w:rPr>
      <w:rFonts w:ascii="Times New Roman" w:hAnsi="Times New Roman" w:eastAsia="宋体" w:cs="Times New Roman"/>
      <w:b/>
      <w:bCs/>
      <w:szCs w:val="20"/>
    </w:rPr>
  </w:style>
  <w:style w:type="character" w:customStyle="1" w:styleId="47">
    <w:name w:val="正文文本 Char"/>
    <w:basedOn w:val="20"/>
    <w:link w:val="5"/>
    <w:semiHidden/>
    <w:qFormat/>
    <w:uiPriority w:val="99"/>
    <w:rPr>
      <w:rFonts w:ascii="Times New Roman" w:hAnsi="Times New Roman" w:eastAsia="宋体" w:cs="Times New Roman"/>
      <w:szCs w:val="20"/>
    </w:rPr>
  </w:style>
  <w:style w:type="character" w:customStyle="1" w:styleId="48">
    <w:name w:val="标题 2 Char"/>
    <w:basedOn w:val="20"/>
    <w:link w:val="2"/>
    <w:semiHidden/>
    <w:qFormat/>
    <w:uiPriority w:val="9"/>
    <w:rPr>
      <w:rFonts w:asciiTheme="majorHAnsi" w:hAnsiTheme="majorHAnsi" w:eastAsiaTheme="majorEastAsia" w:cstheme="majorBidi"/>
      <w:b/>
      <w:bCs/>
      <w:sz w:val="32"/>
      <w:szCs w:val="32"/>
    </w:rPr>
  </w:style>
  <w:style w:type="paragraph" w:customStyle="1" w:styleId="49">
    <w:name w:val="列出段落1"/>
    <w:basedOn w:val="1"/>
    <w:qFormat/>
    <w:uiPriority w:val="0"/>
    <w:pPr>
      <w:ind w:firstLine="420" w:firstLineChars="200"/>
    </w:pPr>
    <w:rPr>
      <w:rFonts w:ascii="Calibri" w:hAnsi="Calibri" w:cs="黑体"/>
      <w:szCs w:val="22"/>
    </w:rPr>
  </w:style>
  <w:style w:type="paragraph" w:customStyle="1" w:styleId="50">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3</Pages>
  <Words>7811</Words>
  <Characters>8850</Characters>
  <Lines>300</Lines>
  <Paragraphs>84</Paragraphs>
  <TotalTime>7</TotalTime>
  <ScaleCrop>false</ScaleCrop>
  <LinksUpToDate>false</LinksUpToDate>
  <CharactersWithSpaces>8948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2025-08-07T01:51:00Z</dcterms:created>
  <dc:creator>未定义</dc:creator>
  <cp:lastModifiedBy>片羽时光[咖啡]</cp:lastModifiedBy>
  <cp:lastPrinted>2017-09-13T07:55:00Z</cp:lastPrinted>
  <dcterms:modified xsi:type="dcterms:W3CDTF">2026-05-11T03:38:47Z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eyJoZGlkIjoiMGRkMTBjYzYwOTM4M2JlZmIxMjRiNmI0YzNmOTJmZDAiLCJ1c2VySWQiOiI3NTk1MzM0MzEifQ==</vt:lpwstr>
  </property>
  <property fmtid="{D5CDD505-2E9C-101B-9397-08002B2CF9AE}" pid="4" name="ICV">
    <vt:lpwstr>B7DD60A9E7214B3F8F9979C9EA5AFEB2_12</vt:lpwstr>
  </property>
</Properties>
</file>