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A7EA7">
      <w:pPr>
        <w:ind w:right="105"/>
        <w:jc w:val="right"/>
        <w:rPr>
          <w:rFonts w:eastAsia="黑体"/>
          <w:b/>
          <w:spacing w:val="40"/>
          <w:w w:val="66"/>
          <w:sz w:val="60"/>
          <w:szCs w:val="60"/>
        </w:rPr>
      </w:pPr>
    </w:p>
    <w:p w14:paraId="18B9093B">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291465</wp:posOffset>
                </wp:positionV>
                <wp:extent cx="215900" cy="0"/>
                <wp:effectExtent l="0" t="95250" r="12700"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3.6pt;margin-top:22.95pt;height:0pt;width:17pt;z-index:251661312;mso-width-relative:page;mso-height-relative:page;" filled="f" stroked="t" coordsize="21600,21600" o:gfxdata="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Wt+J7UAAAABwEA&#10;AA8AAAAAAAAAAQAgAAAAIgAAAGRycy9kb3ducmV2LnhtbFBLAQIUABQAAAAIAIdO4kA2Gom95QEA&#10;AKsDAAAOAAAAAAAAAAEAIAAAACMBAABkcnMvZTJvRG9jLnhtbFBLBQYAAAAABgAGAFkBAAB6BQAA&#10;AAA=&#10;">
                <v:fill on="f" focussize="0,0"/>
                <v:stroke weight="15pt" color="#4B69B5" joinstyle="round"/>
                <v:imagedata o:title=""/>
                <o:lock v:ext="edit" aspectratio="f"/>
              </v:line>
            </w:pict>
          </mc:Fallback>
        </mc:AlternateContent>
      </w:r>
      <w:r>
        <w:rPr>
          <w:rFonts w:hint="eastAsia" w:eastAsia="黑体"/>
          <w:b/>
          <w:spacing w:val="40"/>
          <w:w w:val="66"/>
          <w:sz w:val="60"/>
          <w:szCs w:val="60"/>
        </w:rPr>
        <w:t>天津师范大学软件系统硬件设备维保服务项目</w:t>
      </w:r>
    </w:p>
    <w:p w14:paraId="21B03708">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252095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4.35pt;margin-top:19.85pt;height:0pt;width:150.75pt;z-index:251659264;mso-width-relative:page;mso-height-relative:page;" filled="f" stroked="t" coordsize="21600,21600" o:gfxdata="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oyQxtYA&#10;AAAIAQAADwAAAAAAAAABACAAAAAiAAAAZHJzL2Rvd25yZXYueG1sUEsBAhQAFAAAAAgAh07iQMC2&#10;ImjoAQAArAMAAA4AAAAAAAAAAQAgAAAAJQ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22D933F8">
      <w:pPr>
        <w:ind w:right="1025"/>
        <w:jc w:val="center"/>
        <w:rPr>
          <w:rFonts w:eastAsia="黑体"/>
          <w:b/>
          <w:spacing w:val="40"/>
          <w:w w:val="66"/>
          <w:sz w:val="60"/>
          <w:szCs w:val="60"/>
        </w:rPr>
      </w:pPr>
    </w:p>
    <w:p w14:paraId="1F331B58">
      <w:pPr>
        <w:jc w:val="center"/>
        <w:rPr>
          <w:rFonts w:eastAsia="黑体"/>
          <w:b/>
          <w:spacing w:val="40"/>
          <w:w w:val="66"/>
          <w:sz w:val="15"/>
          <w:szCs w:val="15"/>
        </w:rPr>
      </w:pPr>
      <w:r>
        <w:rPr>
          <w:rFonts w:eastAsia="黑体"/>
          <w:b/>
          <w:spacing w:val="40"/>
          <w:w w:val="66"/>
          <w:sz w:val="56"/>
          <w:szCs w:val="56"/>
        </w:rPr>
        <w:t xml:space="preserve">            </w:t>
      </w:r>
    </w:p>
    <w:p w14:paraId="65A00741">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TGPC-2025-D-1373</w:t>
      </w:r>
      <w:r>
        <w:rPr>
          <w:rFonts w:eastAsia="黑体"/>
          <w:spacing w:val="40"/>
          <w:w w:val="66"/>
          <w:sz w:val="32"/>
          <w:szCs w:val="32"/>
        </w:rPr>
        <w:t>）</w:t>
      </w:r>
    </w:p>
    <w:p w14:paraId="709A1663">
      <w:pPr>
        <w:jc w:val="center"/>
        <w:rPr>
          <w:rFonts w:eastAsia="黑体"/>
          <w:spacing w:val="40"/>
          <w:w w:val="66"/>
          <w:sz w:val="32"/>
          <w:szCs w:val="32"/>
        </w:rPr>
      </w:pPr>
    </w:p>
    <w:p w14:paraId="2E4E876E">
      <w:pPr>
        <w:rPr>
          <w:sz w:val="36"/>
        </w:rPr>
      </w:pPr>
    </w:p>
    <w:p w14:paraId="05A3918B">
      <w:pPr>
        <w:rPr>
          <w:sz w:val="36"/>
        </w:rPr>
      </w:pPr>
    </w:p>
    <w:p w14:paraId="47B6F9B3">
      <w:pPr>
        <w:rPr>
          <w:sz w:val="36"/>
        </w:rPr>
      </w:pPr>
    </w:p>
    <w:p w14:paraId="16E8202B">
      <w:pPr>
        <w:rPr>
          <w:sz w:val="36"/>
        </w:rPr>
      </w:pPr>
    </w:p>
    <w:p w14:paraId="22487370">
      <w:pPr>
        <w:rPr>
          <w:sz w:val="36"/>
        </w:rPr>
      </w:pPr>
    </w:p>
    <w:p w14:paraId="02D38F69">
      <w:pPr>
        <w:rPr>
          <w:sz w:val="36"/>
        </w:rPr>
      </w:pPr>
    </w:p>
    <w:p w14:paraId="00B304DD">
      <w:pPr>
        <w:rPr>
          <w:sz w:val="36"/>
        </w:rPr>
      </w:pPr>
    </w:p>
    <w:p w14:paraId="57A0925E">
      <w:pPr>
        <w:rPr>
          <w:sz w:val="36"/>
        </w:rPr>
      </w:pPr>
    </w:p>
    <w:p w14:paraId="5652BFB1">
      <w:pPr>
        <w:rPr>
          <w:sz w:val="36"/>
        </w:rPr>
      </w:pPr>
    </w:p>
    <w:p w14:paraId="740C28C9">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774CE17">
      <w:pPr>
        <w:tabs>
          <w:tab w:val="left" w:pos="3281"/>
          <w:tab w:val="center" w:pos="4711"/>
        </w:tabs>
        <w:jc w:val="center"/>
        <w:rPr>
          <w:rFonts w:hint="default" w:eastAsia="仿宋_GB2312"/>
          <w:b/>
          <w:bCs/>
          <w:spacing w:val="20"/>
          <w:w w:val="66"/>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12</w:t>
      </w:r>
    </w:p>
    <w:p w14:paraId="5F80F639">
      <w:pPr>
        <w:tabs>
          <w:tab w:val="left" w:pos="3281"/>
          <w:tab w:val="center" w:pos="4711"/>
        </w:tabs>
        <w:jc w:val="center"/>
        <w:rPr>
          <w:rFonts w:eastAsia="仿宋_GB2312"/>
          <w:b/>
          <w:bCs/>
          <w:kern w:val="0"/>
          <w:sz w:val="44"/>
          <w:szCs w:val="44"/>
        </w:rPr>
      </w:pPr>
    </w:p>
    <w:p w14:paraId="109E73DB">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21113D67">
      <w:pPr>
        <w:tabs>
          <w:tab w:val="left" w:pos="3281"/>
          <w:tab w:val="center" w:pos="4711"/>
        </w:tabs>
        <w:jc w:val="center"/>
        <w:rPr>
          <w:b/>
          <w:bCs/>
          <w:spacing w:val="20"/>
          <w:w w:val="66"/>
          <w:sz w:val="36"/>
          <w:szCs w:val="32"/>
        </w:rPr>
      </w:pPr>
      <w:r>
        <w:rPr>
          <w:b/>
          <w:bCs/>
          <w:spacing w:val="20"/>
          <w:w w:val="66"/>
          <w:sz w:val="36"/>
          <w:szCs w:val="32"/>
        </w:rPr>
        <w:t>目  录</w:t>
      </w:r>
    </w:p>
    <w:p w14:paraId="62350FEA">
      <w:pPr>
        <w:tabs>
          <w:tab w:val="left" w:pos="3281"/>
          <w:tab w:val="center" w:pos="4711"/>
        </w:tabs>
        <w:spacing w:line="360" w:lineRule="auto"/>
        <w:jc w:val="center"/>
        <w:rPr>
          <w:rFonts w:eastAsia="仿宋_GB2312"/>
          <w:b/>
          <w:bCs/>
          <w:spacing w:val="20"/>
          <w:w w:val="66"/>
          <w:sz w:val="28"/>
          <w:szCs w:val="28"/>
        </w:rPr>
      </w:pPr>
    </w:p>
    <w:p w14:paraId="0CA6C52F">
      <w:pPr>
        <w:pStyle w:val="10"/>
        <w:rPr>
          <w:sz w:val="28"/>
          <w:szCs w:val="28"/>
        </w:rPr>
      </w:pPr>
      <w:r>
        <w:rPr>
          <w:rFonts w:hint="eastAsia"/>
          <w:sz w:val="28"/>
          <w:szCs w:val="28"/>
        </w:rPr>
        <w:t>第一部分  磋商邀请函</w:t>
      </w:r>
    </w:p>
    <w:p w14:paraId="531EAC1E"/>
    <w:p w14:paraId="352E96AA">
      <w:pPr>
        <w:pStyle w:val="10"/>
        <w:rPr>
          <w:sz w:val="28"/>
          <w:szCs w:val="28"/>
        </w:rPr>
      </w:pPr>
      <w:r>
        <w:rPr>
          <w:rFonts w:hint="eastAsia"/>
          <w:sz w:val="28"/>
          <w:szCs w:val="28"/>
        </w:rPr>
        <w:t>第二部分  磋商项目要求</w:t>
      </w:r>
    </w:p>
    <w:p w14:paraId="0258960E"/>
    <w:p w14:paraId="41A8317B">
      <w:pPr>
        <w:pStyle w:val="10"/>
        <w:rPr>
          <w:sz w:val="28"/>
          <w:szCs w:val="28"/>
        </w:rPr>
      </w:pPr>
      <w:r>
        <w:rPr>
          <w:rFonts w:hint="eastAsia"/>
          <w:sz w:val="28"/>
          <w:szCs w:val="28"/>
        </w:rPr>
        <w:t>第三部分  供应商须知</w:t>
      </w:r>
    </w:p>
    <w:p w14:paraId="307234C0"/>
    <w:p w14:paraId="52C4DD13">
      <w:pPr>
        <w:pStyle w:val="10"/>
        <w:rPr>
          <w:sz w:val="28"/>
          <w:szCs w:val="28"/>
        </w:rPr>
      </w:pPr>
      <w:r>
        <w:rPr>
          <w:rFonts w:hint="eastAsia"/>
          <w:sz w:val="28"/>
          <w:szCs w:val="28"/>
        </w:rPr>
        <w:t>第四部分  合同草案</w:t>
      </w:r>
    </w:p>
    <w:p w14:paraId="5769FB91"/>
    <w:p w14:paraId="78E8B476">
      <w:pPr>
        <w:pStyle w:val="10"/>
        <w:rPr>
          <w:sz w:val="28"/>
          <w:szCs w:val="28"/>
        </w:rPr>
      </w:pPr>
      <w:r>
        <w:rPr>
          <w:rFonts w:hint="eastAsia"/>
          <w:sz w:val="28"/>
          <w:szCs w:val="28"/>
        </w:rPr>
        <w:t>第五部分  响应文件格式</w:t>
      </w:r>
    </w:p>
    <w:p w14:paraId="401E7553">
      <w:pPr>
        <w:tabs>
          <w:tab w:val="left" w:pos="3281"/>
          <w:tab w:val="center" w:pos="4711"/>
        </w:tabs>
        <w:spacing w:line="360" w:lineRule="auto"/>
        <w:jc w:val="center"/>
        <w:rPr>
          <w:rFonts w:eastAsia="仿宋_GB2312"/>
          <w:b/>
          <w:bCs/>
          <w:spacing w:val="20"/>
          <w:w w:val="66"/>
          <w:sz w:val="28"/>
          <w:szCs w:val="28"/>
        </w:rPr>
      </w:pPr>
    </w:p>
    <w:p w14:paraId="0D1619F7">
      <w:pPr>
        <w:tabs>
          <w:tab w:val="left" w:pos="3281"/>
          <w:tab w:val="center" w:pos="4711"/>
        </w:tabs>
        <w:jc w:val="center"/>
        <w:rPr>
          <w:rFonts w:eastAsia="仿宋_GB2312"/>
          <w:b/>
          <w:bCs/>
          <w:spacing w:val="20"/>
          <w:w w:val="66"/>
          <w:sz w:val="44"/>
          <w:szCs w:val="44"/>
        </w:rPr>
      </w:pPr>
    </w:p>
    <w:p w14:paraId="386C8019">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32DC109D">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4DEF9464">
      <w:pPr>
        <w:pStyle w:val="29"/>
        <w:spacing w:line="360" w:lineRule="auto"/>
        <w:ind w:firstLine="480" w:firstLineChars="200"/>
        <w:jc w:val="both"/>
        <w:rPr>
          <w:rFonts w:hint="eastAsia" w:ascii="Times New Roman" w:hAnsi="Times New Roman" w:eastAsia="宋体" w:cs="Times New Roman"/>
          <w:color w:val="auto"/>
          <w:szCs w:val="32"/>
        </w:rPr>
      </w:pPr>
      <w:bookmarkStart w:id="2" w:name="_Toc411426749"/>
      <w:r>
        <w:rPr>
          <w:rFonts w:hint="eastAsia" w:ascii="Times New Roman" w:hAnsi="Times New Roman" w:eastAsia="宋体" w:cs="Times New Roman"/>
          <w:color w:val="auto"/>
          <w:szCs w:val="32"/>
        </w:rPr>
        <w:t>受天津师范大学委托，天津市政府采购中心将以竞争性磋商方式，对天津师范大学软件系统硬件设备维保服务项目实施政府采购。现欢迎合格的供应商参加磋商。</w:t>
      </w:r>
    </w:p>
    <w:p w14:paraId="0D3CD476">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30748FD3">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一、项目名称和编号</w:t>
      </w:r>
    </w:p>
    <w:p w14:paraId="5680B0FB">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（一）项目名称：天津师范大学软件系统硬件设备维保服务项目</w:t>
      </w:r>
    </w:p>
    <w:p w14:paraId="7C25D031">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（二）项目编号：TGPC-2025-D-1373</w:t>
      </w:r>
    </w:p>
    <w:p w14:paraId="41CCE97D">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二、项目内容</w:t>
      </w:r>
    </w:p>
    <w:p w14:paraId="41B050F2">
      <w:pPr>
        <w:pStyle w:val="29"/>
        <w:spacing w:line="360" w:lineRule="auto"/>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szCs w:val="32"/>
        </w:rPr>
        <w:t>第一包：软件系统硬件设备维保服务，合同履行期限</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4ED6E5A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三、项目预算</w:t>
      </w:r>
    </w:p>
    <w:p w14:paraId="207D0393">
      <w:pPr>
        <w:pStyle w:val="29"/>
        <w:spacing w:line="360" w:lineRule="auto"/>
        <w:ind w:firstLine="480"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1800000元</w:t>
      </w:r>
      <w:r>
        <w:rPr>
          <w:rFonts w:hint="eastAsia" w:ascii="Times New Roman" w:hAnsi="Times New Roman" w:eastAsia="宋体" w:cs="Times New Roman"/>
          <w:color w:val="auto"/>
          <w:lang w:eastAsia="zh-CN"/>
        </w:rPr>
        <w:t>。</w:t>
      </w:r>
    </w:p>
    <w:p w14:paraId="412DC92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w:t>
      </w:r>
      <w:r>
        <w:rPr>
          <w:rFonts w:ascii="Times New Roman" w:hAnsi="Times New Roman" w:cs="Times New Roman"/>
        </w:rPr>
        <w:t>供应商资格要求（实质性要求）</w:t>
      </w:r>
    </w:p>
    <w:p w14:paraId="549E26BC">
      <w:pPr>
        <w:pStyle w:val="29"/>
        <w:spacing w:line="360" w:lineRule="auto"/>
        <w:ind w:firstLine="480" w:firstLineChars="200"/>
        <w:rPr>
          <w:rFonts w:hint="eastAsia" w:ascii="Times New Roman" w:hAnsi="Times New Roman" w:eastAsia="宋体" w:cs="Times New Roman"/>
          <w:color w:val="auto"/>
        </w:rPr>
      </w:pPr>
      <w:bookmarkStart w:id="3" w:name="OLE_LINK2"/>
      <w:bookmarkStart w:id="4" w:name="OLE_LINK4"/>
      <w:bookmarkStart w:id="5" w:name="OLE_LINK3"/>
      <w:bookmarkStart w:id="6" w:name="OLE_LINK1"/>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rPr>
        <w:t>）供应商应具备《中华人民共和国政府采购法》第二十二条第一款和《政府采购法实施条例》第十八条规定的条件，提供以下材料：</w:t>
      </w:r>
    </w:p>
    <w:p w14:paraId="2C3C03CC">
      <w:pPr>
        <w:pStyle w:val="29"/>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21139F77">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01F5CF5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rPr>
        <w:t>）本项目不接受联合体投标。</w:t>
      </w:r>
    </w:p>
    <w:p w14:paraId="1C8A513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36DE094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本项目</w:t>
      </w:r>
      <w:r>
        <w:rPr>
          <w:rFonts w:ascii="Times New Roman" w:hAnsi="Times New Roman" w:eastAsia="宋体" w:cs="Times New Roman"/>
          <w:color w:val="auto"/>
        </w:rPr>
        <w:t>对小微企业</w:t>
      </w:r>
      <w:r>
        <w:rPr>
          <w:rFonts w:hint="eastAsia" w:ascii="Times New Roman" w:hAnsi="Times New Roman" w:eastAsia="宋体" w:cs="Times New Roman"/>
          <w:color w:val="auto"/>
        </w:rPr>
        <w:t>报价</w:t>
      </w:r>
      <w:r>
        <w:rPr>
          <w:rFonts w:ascii="Times New Roman" w:hAnsi="Times New Roman" w:eastAsia="宋体" w:cs="Times New Roman"/>
          <w:color w:val="auto"/>
        </w:rPr>
        <w:t>给予</w:t>
      </w:r>
      <w:r>
        <w:rPr>
          <w:rFonts w:hint="eastAsia" w:ascii="Times New Roman" w:hAnsi="Times New Roman" w:eastAsia="宋体" w:cs="Times New Roman"/>
          <w:color w:val="auto"/>
        </w:rPr>
        <w:t>20</w:t>
      </w:r>
      <w:r>
        <w:rPr>
          <w:rFonts w:ascii="Times New Roman" w:hAnsi="Times New Roman" w:eastAsia="宋体" w:cs="Times New Roman"/>
          <w:color w:val="auto"/>
        </w:rPr>
        <w:t>%的扣除。</w:t>
      </w:r>
    </w:p>
    <w:p w14:paraId="3DC730D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w:t>
      </w:r>
      <w:r>
        <w:rPr>
          <w:rFonts w:ascii="Arial" w:hAnsi="Arial" w:cs="Arial"/>
          <w:color w:val="auto"/>
        </w:rPr>
        <w:t>监狱企业视同小微企业</w:t>
      </w:r>
      <w:r>
        <w:rPr>
          <w:rFonts w:ascii="Times New Roman" w:hAnsi="Times New Roman" w:eastAsia="宋体" w:cs="Times New Roman"/>
          <w:color w:val="auto"/>
        </w:rPr>
        <w:t>。</w:t>
      </w:r>
    </w:p>
    <w:p w14:paraId="70314DD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1EEE9CB3">
      <w:pPr>
        <w:pStyle w:val="29"/>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FEB27D1">
      <w:pPr>
        <w:pStyle w:val="29"/>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2EA1E6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bookmarkEnd w:id="5"/>
    <w:bookmarkEnd w:id="6"/>
    <w:p w14:paraId="437C907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、获取竞争性磋商文件时间、方式</w:t>
      </w:r>
    </w:p>
    <w:p w14:paraId="0B7C66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（一）获取竞争性磋商文件的时间：2025年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29</w:t>
      </w:r>
      <w:r>
        <w:rPr>
          <w:rFonts w:ascii="Times New Roman" w:hAnsi="Times New Roman" w:eastAsia="宋体" w:cs="Times New Roman"/>
          <w:color w:val="auto"/>
        </w:rPr>
        <w:t>日，每日9:00至17:00（北京时间，法定节假日除外）。</w:t>
      </w:r>
    </w:p>
    <w:p w14:paraId="286779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09E506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color w:val="auto"/>
        </w:rPr>
        <w:t>http://tjgpc.zwfwb.tj.gov.cn）-”网上招投标”-“供应商登录”-“市级集采机构入口”</w:t>
      </w:r>
      <w:r>
        <w:rPr>
          <w:rFonts w:ascii="Times New Roman" w:hAnsi="Times New Roman" w:eastAsia="宋体" w:cs="Times New Roman"/>
          <w:color w:val="auto"/>
        </w:rPr>
        <w:t>下载竞争性磋商文件。</w:t>
      </w:r>
    </w:p>
    <w:p w14:paraId="7E4F65D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3433D91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37926F8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7C53E0E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3FB3C9F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15B147B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4D73C2A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207E8B6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w:t>
      </w:r>
      <w:r>
        <w:rPr>
          <w:rFonts w:ascii="Times New Roman" w:hAnsi="Times New Roman" w:eastAsia="宋体" w:cs="Times New Roman"/>
          <w:color w:val="auto"/>
        </w:rPr>
        <w:t>、网上应答时间</w:t>
      </w:r>
    </w:p>
    <w:p w14:paraId="3FF5BF1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r>
        <w:rPr>
          <w:rFonts w:hint="eastAsia" w:ascii="Times New Roman" w:hAnsi="Times New Roman" w:eastAsia="宋体" w:cs="Times New Roman"/>
          <w:color w:val="auto"/>
        </w:rPr>
        <w:t>日9:00至20</w:t>
      </w:r>
      <w:r>
        <w:rPr>
          <w:rFonts w:hint="eastAsia" w:ascii="Times New Roman" w:hAnsi="Times New Roman" w:eastAsia="宋体" w:cs="Times New Roman"/>
          <w:color w:val="auto"/>
          <w:lang w:val="en-US" w:eastAsia="zh-CN"/>
        </w:rPr>
        <w:t>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日8:30，使用天津数字认证有限公司发出的CA数字证书（原天津市电子认证中心发出尚在有效期内的CA数字证书仍可使用）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54136F1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4B5E7A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203B5BF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（一）提交电子响应文件截止时间：202</w:t>
      </w:r>
      <w:r>
        <w:rPr>
          <w:rFonts w:hint="eastAsia" w:ascii="Times New Roman" w:hAnsi="Times New Roman" w:eastAsia="宋体" w:cs="Times New Roman"/>
          <w:color w:val="auto"/>
          <w:lang w:val="en-US" w:eastAsia="zh-CN"/>
        </w:rPr>
        <w:t>6</w:t>
      </w:r>
      <w:bookmarkStart w:id="11" w:name="_GoBack"/>
      <w:bookmarkEnd w:id="11"/>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日8:30。提交电子响应文件截止时间前提交网上应答并分别上传加盖电子签章的第一、第二阶段电子响应文件（以通过天津公共资源电子签章客户端正确读取签章信息为准）方为有效响应。</w:t>
      </w:r>
    </w:p>
    <w:p w14:paraId="41BAF91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市级集采机构入口”提交网上应答和分别上传加盖电子签章的第一、第二阶段电子响应文件（以通过天津公共资源电子签章客户端正确读取签章信息为准）。</w:t>
      </w:r>
    </w:p>
    <w:p w14:paraId="09F6638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0C0372C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（一）第一阶段解密时间：202</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日8:30至9:30完成第一阶段解密的方为有效响应。</w:t>
      </w:r>
    </w:p>
    <w:p w14:paraId="4BDE756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22DF773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完成解密。</w:t>
      </w:r>
    </w:p>
    <w:p w14:paraId="210912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（四）磋商地点：第一阶段解密后，磋商代表人须于天津市河东区红星路79号二楼天津市政府采购中心评审现场或天津市政府采购中心网（网址：http://tjgpc.zwfwb.tj.gov.cn）等候磋商。</w:t>
      </w:r>
    </w:p>
    <w:p w14:paraId="4F47A05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1BAD970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4DAF05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7440A8EA">
      <w:pPr>
        <w:pStyle w:val="29"/>
        <w:spacing w:line="360" w:lineRule="auto"/>
        <w:ind w:firstLine="480" w:firstLineChars="200"/>
        <w:jc w:val="both"/>
        <w:rPr>
          <w:rFonts w:hint="default" w:ascii="Times New Roman" w:hAnsi="Times New Roman" w:eastAsia="宋体" w:cs="Times New Roman"/>
          <w:color w:val="auto"/>
          <w:lang w:val="en-US"/>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p>
    <w:p w14:paraId="36FEEC5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462F539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02368E4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6528F14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517DB81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BDF0A5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p>
    <w:p w14:paraId="7F1452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6D75DF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6A791D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天津师范大学</w:t>
      </w:r>
      <w:r>
        <w:rPr>
          <w:rFonts w:ascii="Times New Roman" w:hAnsi="Times New Roman" w:eastAsia="宋体" w:cs="Times New Roman"/>
          <w:color w:val="auto"/>
        </w:rPr>
        <w:t xml:space="preserve"> </w:t>
      </w:r>
    </w:p>
    <w:p w14:paraId="2DB9AA8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lang w:val="en-US" w:eastAsia="zh-CN"/>
        </w:rPr>
        <w:t>天津市西青区</w:t>
      </w:r>
      <w:r>
        <w:rPr>
          <w:rFonts w:hint="eastAsia" w:ascii="Times New Roman" w:hAnsi="Times New Roman" w:eastAsia="宋体" w:cs="Times New Roman"/>
          <w:color w:val="auto"/>
        </w:rPr>
        <w:t>宾水西道393号</w:t>
      </w:r>
      <w:r>
        <w:rPr>
          <w:rFonts w:ascii="Times New Roman" w:hAnsi="Times New Roman" w:eastAsia="宋体" w:cs="Times New Roman"/>
          <w:color w:val="auto"/>
        </w:rPr>
        <w:t xml:space="preserve"> </w:t>
      </w:r>
    </w:p>
    <w:p w14:paraId="6461029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耿老师</w:t>
      </w:r>
      <w:r>
        <w:rPr>
          <w:rFonts w:ascii="Times New Roman" w:hAnsi="Times New Roman" w:eastAsia="宋体" w:cs="Times New Roman"/>
          <w:color w:val="auto"/>
        </w:rPr>
        <w:t xml:space="preserve"> </w:t>
      </w:r>
    </w:p>
    <w:p w14:paraId="6FC3B1D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23766401</w:t>
      </w:r>
      <w:r>
        <w:rPr>
          <w:rFonts w:ascii="Times New Roman" w:hAnsi="Times New Roman" w:eastAsia="宋体" w:cs="Times New Roman"/>
          <w:color w:val="auto"/>
        </w:rPr>
        <w:t xml:space="preserve"> </w:t>
      </w:r>
    </w:p>
    <w:p w14:paraId="298E8A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0528FA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7D5585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1A3552E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联系部门：天津师范大学</w:t>
      </w:r>
      <w:r>
        <w:rPr>
          <w:rFonts w:ascii="Times New Roman" w:hAnsi="Times New Roman" w:eastAsia="宋体" w:cs="Times New Roman"/>
          <w:color w:val="auto"/>
        </w:rPr>
        <w:t xml:space="preserve"> </w:t>
      </w:r>
    </w:p>
    <w:p w14:paraId="4582B41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lang w:val="en-US" w:eastAsia="zh-CN"/>
        </w:rPr>
        <w:t>天津市西青区</w:t>
      </w:r>
      <w:r>
        <w:rPr>
          <w:rFonts w:hint="eastAsia" w:ascii="Times New Roman" w:hAnsi="Times New Roman" w:eastAsia="宋体" w:cs="Times New Roman"/>
          <w:color w:val="auto"/>
        </w:rPr>
        <w:t>宾水西道393号</w:t>
      </w:r>
      <w:r>
        <w:rPr>
          <w:rFonts w:ascii="Times New Roman" w:hAnsi="Times New Roman" w:eastAsia="宋体" w:cs="Times New Roman"/>
          <w:color w:val="auto"/>
        </w:rPr>
        <w:t xml:space="preserve"> </w:t>
      </w:r>
    </w:p>
    <w:p w14:paraId="09D26D7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人：耿老师</w:t>
      </w:r>
      <w:r>
        <w:rPr>
          <w:rFonts w:ascii="Times New Roman" w:hAnsi="Times New Roman" w:eastAsia="宋体" w:cs="Times New Roman"/>
          <w:color w:val="auto"/>
        </w:rPr>
        <w:t xml:space="preserve"> </w:t>
      </w:r>
    </w:p>
    <w:p w14:paraId="6AB1139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23766401</w:t>
      </w:r>
    </w:p>
    <w:p w14:paraId="142745A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5A6887A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A33BC1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172FB9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570FAE3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本项目针对集中采购目录外服务按以下比例向</w:t>
      </w:r>
      <w:r>
        <w:rPr>
          <w:rFonts w:hint="eastAsia" w:ascii="Times New Roman" w:hAnsi="Times New Roman" w:eastAsia="宋体" w:cs="Times New Roman"/>
          <w:color w:val="auto"/>
          <w:lang w:val="en-US" w:eastAsia="zh-CN"/>
        </w:rPr>
        <w:t>成交</w:t>
      </w:r>
      <w:r>
        <w:rPr>
          <w:rFonts w:hint="eastAsia"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3820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3EDF871C">
            <w:pPr>
              <w:tabs>
                <w:tab w:val="left" w:pos="750"/>
                <w:tab w:val="left" w:pos="840"/>
              </w:tabs>
              <w:adjustRightInd w:val="0"/>
              <w:snapToGrid w:val="0"/>
              <w:jc w:val="center"/>
              <w:rPr>
                <w:color w:val="auto"/>
                <w:sz w:val="24"/>
              </w:rPr>
            </w:pPr>
            <w:r>
              <w:rPr>
                <w:color w:val="auto"/>
                <w:sz w:val="24"/>
              </w:rPr>
              <w:t>成交金额</w:t>
            </w:r>
            <w:r>
              <w:rPr>
                <w:rFonts w:hint="eastAsia"/>
                <w:color w:val="auto"/>
                <w:sz w:val="24"/>
              </w:rPr>
              <w:t>（万元）</w:t>
            </w:r>
          </w:p>
        </w:tc>
        <w:tc>
          <w:tcPr>
            <w:tcW w:w="3657" w:type="dxa"/>
            <w:vAlign w:val="center"/>
          </w:tcPr>
          <w:p w14:paraId="6CC2606F">
            <w:pPr>
              <w:tabs>
                <w:tab w:val="left" w:pos="750"/>
                <w:tab w:val="left" w:pos="840"/>
              </w:tabs>
              <w:adjustRightInd w:val="0"/>
              <w:snapToGrid w:val="0"/>
              <w:jc w:val="center"/>
              <w:rPr>
                <w:color w:val="auto"/>
                <w:sz w:val="24"/>
              </w:rPr>
            </w:pPr>
            <w:r>
              <w:rPr>
                <w:color w:val="auto"/>
                <w:sz w:val="24"/>
              </w:rPr>
              <w:t>费率</w:t>
            </w:r>
          </w:p>
        </w:tc>
      </w:tr>
      <w:tr w14:paraId="7BCC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7C600EC">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04848098">
            <w:pPr>
              <w:tabs>
                <w:tab w:val="left" w:pos="750"/>
                <w:tab w:val="left" w:pos="840"/>
              </w:tabs>
              <w:adjustRightInd w:val="0"/>
              <w:snapToGrid w:val="0"/>
              <w:jc w:val="center"/>
              <w:rPr>
                <w:color w:val="auto"/>
                <w:sz w:val="24"/>
              </w:rPr>
            </w:pPr>
            <w:r>
              <w:rPr>
                <w:color w:val="auto"/>
                <w:sz w:val="24"/>
              </w:rPr>
              <w:t>1%</w:t>
            </w:r>
          </w:p>
        </w:tc>
      </w:tr>
      <w:tr w14:paraId="2EF4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65E50CB">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76982917">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6953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D0DB2B0">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33AFFB10">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3AC9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3F0C218">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218F1ABE">
            <w:pPr>
              <w:tabs>
                <w:tab w:val="left" w:pos="750"/>
                <w:tab w:val="left" w:pos="840"/>
              </w:tabs>
              <w:adjustRightInd w:val="0"/>
              <w:snapToGrid w:val="0"/>
              <w:jc w:val="center"/>
              <w:rPr>
                <w:color w:val="auto"/>
                <w:sz w:val="24"/>
              </w:rPr>
            </w:pPr>
            <w:r>
              <w:rPr>
                <w:rFonts w:hint="eastAsia"/>
                <w:color w:val="auto"/>
                <w:sz w:val="24"/>
              </w:rPr>
              <w:t>0.25%</w:t>
            </w:r>
          </w:p>
        </w:tc>
      </w:tr>
      <w:tr w14:paraId="331D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BC780B3">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3E014BFC">
            <w:pPr>
              <w:tabs>
                <w:tab w:val="left" w:pos="750"/>
                <w:tab w:val="left" w:pos="840"/>
              </w:tabs>
              <w:adjustRightInd w:val="0"/>
              <w:snapToGrid w:val="0"/>
              <w:jc w:val="center"/>
              <w:rPr>
                <w:color w:val="auto"/>
                <w:sz w:val="24"/>
              </w:rPr>
            </w:pPr>
            <w:r>
              <w:rPr>
                <w:rFonts w:hint="eastAsia"/>
                <w:color w:val="auto"/>
                <w:sz w:val="24"/>
              </w:rPr>
              <w:t>0.1%</w:t>
            </w:r>
          </w:p>
        </w:tc>
      </w:tr>
      <w:tr w14:paraId="2C4E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DBD9A8B">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504F44A8">
            <w:pPr>
              <w:tabs>
                <w:tab w:val="left" w:pos="750"/>
                <w:tab w:val="left" w:pos="840"/>
              </w:tabs>
              <w:adjustRightInd w:val="0"/>
              <w:snapToGrid w:val="0"/>
              <w:jc w:val="center"/>
              <w:rPr>
                <w:color w:val="auto"/>
                <w:sz w:val="24"/>
              </w:rPr>
            </w:pPr>
            <w:r>
              <w:rPr>
                <w:rFonts w:hint="eastAsia"/>
                <w:color w:val="auto"/>
                <w:sz w:val="24"/>
              </w:rPr>
              <w:t>0.05%</w:t>
            </w:r>
          </w:p>
        </w:tc>
      </w:tr>
    </w:tbl>
    <w:p w14:paraId="206855FF">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成交</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其中成交金额以《成交通知书》为准。</w:t>
      </w:r>
    </w:p>
    <w:p w14:paraId="385A2AF2">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成交供应商应于成交公告发布之日起5个工作日内缴纳</w:t>
      </w:r>
      <w:r>
        <w:rPr>
          <w:rFonts w:hint="eastAsia"/>
          <w:color w:val="auto"/>
          <w:sz w:val="24"/>
          <w:szCs w:val="24"/>
          <w:lang w:val="zh-CN"/>
        </w:rPr>
        <w:t>招标代理服务费，缴费单位名称须与投标单位名称一致，缴费时请注明项目编号及成交包号。</w:t>
      </w:r>
    </w:p>
    <w:p w14:paraId="7D56C0D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00CA0FC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0A5E8BCB">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0195B20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13586ED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6845249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457758F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2F9225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7D215B1A">
      <w:pPr>
        <w:pStyle w:val="29"/>
        <w:spacing w:line="360" w:lineRule="auto"/>
        <w:ind w:firstLine="480" w:firstLineChars="200"/>
        <w:jc w:val="both"/>
        <w:rPr>
          <w:color w:val="auto"/>
          <w:lang w:val="zh-CN"/>
        </w:rPr>
      </w:pPr>
      <w:r>
        <w:rPr>
          <w:rFonts w:hint="eastAsia"/>
          <w:color w:val="auto"/>
          <w:lang w:val="zh-CN"/>
        </w:rPr>
        <w:t>十五、《</w:t>
      </w:r>
      <w:r>
        <w:rPr>
          <w:rFonts w:cs="Times New Roman" w:asciiTheme="minorEastAsia" w:hAnsiTheme="minorEastAsia" w:eastAsiaTheme="minorEastAsia"/>
          <w:bCs/>
        </w:rPr>
        <w:t>“政采贷”业务提示函</w:t>
      </w:r>
      <w:r>
        <w:rPr>
          <w:rFonts w:hint="eastAsia"/>
          <w:color w:val="auto"/>
          <w:lang w:val="zh-CN"/>
        </w:rPr>
        <w:t>》</w:t>
      </w:r>
      <w:r>
        <w:rPr>
          <w:rFonts w:hint="eastAsia" w:asciiTheme="minorEastAsia" w:hAnsiTheme="minorEastAsia" w:eastAsiaTheme="minorEastAsia"/>
          <w:bCs/>
        </w:rPr>
        <w:t>、《</w:t>
      </w:r>
      <w:r>
        <w:rPr>
          <w:rFonts w:cs="Times New Roman" w:asciiTheme="minorEastAsia" w:hAnsiTheme="minorEastAsia" w:eastAsiaTheme="minorEastAsia"/>
          <w:bCs/>
        </w:rPr>
        <w:t>政府采购支持中小企业政策提示函</w:t>
      </w:r>
      <w:r>
        <w:rPr>
          <w:rFonts w:hint="eastAsia" w:asciiTheme="minorEastAsia" w:hAnsiTheme="minorEastAsia" w:eastAsiaTheme="minorEastAsia"/>
          <w:bCs/>
        </w:rPr>
        <w:t>》和《诚信参与政府采购活动提示函》</w:t>
      </w:r>
    </w:p>
    <w:p w14:paraId="1B7A6065">
      <w:pPr>
        <w:pStyle w:val="29"/>
        <w:spacing w:line="360" w:lineRule="auto"/>
        <w:ind w:firstLine="6480" w:firstLineChars="2700"/>
        <w:jc w:val="both"/>
        <w:rPr>
          <w:rFonts w:ascii="Times New Roman" w:hAnsi="Times New Roman" w:eastAsia="宋体" w:cs="Times New Roman"/>
          <w:color w:val="auto"/>
          <w:kern w:val="2"/>
        </w:rPr>
      </w:pPr>
      <w:r>
        <w:rPr>
          <w:rFonts w:ascii="Times New Roman" w:hAnsi="Times New Roman" w:eastAsia="宋体" w:cs="Times New Roman"/>
          <w:color w:val="auto"/>
          <w:kern w:val="2"/>
        </w:rPr>
        <w:t>2025年</w:t>
      </w:r>
      <w:r>
        <w:rPr>
          <w:rFonts w:hint="eastAsia" w:ascii="Times New Roman" w:hAnsi="Times New Roman" w:eastAsia="宋体" w:cs="Times New Roman"/>
          <w:color w:val="auto"/>
          <w:kern w:val="2"/>
          <w:lang w:val="en-US" w:eastAsia="zh-CN"/>
        </w:rPr>
        <w:t>12</w:t>
      </w:r>
      <w:r>
        <w:rPr>
          <w:rFonts w:ascii="Times New Roman" w:hAnsi="Times New Roman" w:eastAsia="宋体" w:cs="Times New Roman"/>
          <w:color w:val="auto"/>
          <w:kern w:val="2"/>
        </w:rPr>
        <w:t>月</w:t>
      </w:r>
      <w:r>
        <w:rPr>
          <w:rFonts w:hint="eastAsia" w:ascii="Times New Roman" w:hAnsi="Times New Roman" w:eastAsia="宋体" w:cs="Times New Roman"/>
          <w:color w:val="auto"/>
          <w:kern w:val="2"/>
          <w:lang w:val="en-US" w:eastAsia="zh-CN"/>
        </w:rPr>
        <w:t>22</w:t>
      </w:r>
      <w:r>
        <w:rPr>
          <w:rFonts w:ascii="Times New Roman" w:hAnsi="Times New Roman" w:eastAsia="宋体" w:cs="Times New Roman"/>
          <w:color w:val="auto"/>
          <w:kern w:val="2"/>
        </w:rPr>
        <w:t>日</w:t>
      </w:r>
    </w:p>
    <w:p w14:paraId="0E04C99F">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EF2865F">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2DA90DFF">
      <w:pPr>
        <w:spacing w:line="360" w:lineRule="auto"/>
        <w:jc w:val="center"/>
        <w:rPr>
          <w:rFonts w:eastAsia="方正小标宋简体"/>
          <w:bCs/>
          <w:kern w:val="0"/>
          <w:sz w:val="24"/>
          <w:szCs w:val="24"/>
        </w:rPr>
      </w:pPr>
    </w:p>
    <w:p w14:paraId="040C7429">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0F70B960">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7121B64A">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1F1188B4">
      <w:pPr>
        <w:spacing w:line="360" w:lineRule="auto"/>
        <w:jc w:val="center"/>
        <w:rPr>
          <w:rFonts w:eastAsia="方正小标宋简体"/>
          <w:spacing w:val="-10"/>
          <w:sz w:val="24"/>
          <w:szCs w:val="24"/>
        </w:rPr>
      </w:pPr>
    </w:p>
    <w:p w14:paraId="6320C3AB">
      <w:pPr>
        <w:spacing w:line="360" w:lineRule="auto"/>
        <w:jc w:val="center"/>
        <w:rPr>
          <w:rFonts w:eastAsia="方正小标宋简体"/>
          <w:spacing w:val="-10"/>
          <w:sz w:val="24"/>
          <w:szCs w:val="24"/>
        </w:rPr>
      </w:pPr>
    </w:p>
    <w:p w14:paraId="3BCDC01C">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65CAB913">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0065BCD1">
      <w:pPr>
        <w:spacing w:line="36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739EFC94">
      <w:pPr>
        <w:spacing w:line="36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6D8C6B9E">
      <w:pPr>
        <w:spacing w:line="36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3082F043">
      <w:pPr>
        <w:spacing w:line="36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348A59E7">
      <w:pPr>
        <w:spacing w:line="36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22ACEB60">
      <w:pPr>
        <w:spacing w:line="36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50269E42">
      <w:pPr>
        <w:spacing w:line="36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385A81CE">
      <w:pPr>
        <w:spacing w:line="36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72C6DB99">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3978BE60">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22478160">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0070AFC6">
      <w:pPr>
        <w:spacing w:line="36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51A7A131">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42198D69">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4557B513">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352DC590">
      <w:pPr>
        <w:spacing w:line="36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1C39F75C">
      <w:pPr>
        <w:spacing w:line="36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50B14EC8">
      <w:pPr>
        <w:spacing w:line="360" w:lineRule="exact"/>
        <w:ind w:firstLine="448" w:firstLineChars="200"/>
        <w:rPr>
          <w:rFonts w:eastAsiaTheme="minorEastAsia"/>
          <w:spacing w:val="-8"/>
          <w:sz w:val="24"/>
        </w:rPr>
      </w:pPr>
      <w:r>
        <w:rPr>
          <w:rFonts w:eastAsiaTheme="minorEastAsia"/>
          <w:spacing w:val="-8"/>
          <w:sz w:val="24"/>
        </w:rPr>
        <w:t>6.</w:t>
      </w:r>
      <w:r>
        <w:rPr>
          <w:rFonts w:hint="eastAsia" w:eastAsiaTheme="minorEastAsia"/>
          <w:spacing w:val="-8"/>
          <w:sz w:val="24"/>
        </w:rPr>
        <w:t>市财政局</w:t>
      </w:r>
      <w:r>
        <w:rPr>
          <w:rFonts w:eastAsiaTheme="minorEastAsia"/>
          <w:spacing w:val="-8"/>
          <w:sz w:val="24"/>
        </w:rPr>
        <w:t xml:space="preserve"> </w:t>
      </w:r>
      <w:r>
        <w:rPr>
          <w:rFonts w:hint="eastAsia" w:eastAsiaTheme="minorEastAsia"/>
          <w:spacing w:val="-8"/>
          <w:sz w:val="24"/>
        </w:rPr>
        <w:t>市发展改革委</w:t>
      </w:r>
      <w:r>
        <w:rPr>
          <w:rFonts w:eastAsiaTheme="minorEastAsia"/>
          <w:spacing w:val="-8"/>
          <w:sz w:val="24"/>
        </w:rPr>
        <w:t xml:space="preserve"> </w:t>
      </w:r>
      <w:r>
        <w:rPr>
          <w:rFonts w:hint="eastAsia" w:eastAsiaTheme="minorEastAsia"/>
          <w:spacing w:val="-8"/>
          <w:sz w:val="24"/>
        </w:rPr>
        <w:t>市住房城乡建设委</w:t>
      </w:r>
      <w:r>
        <w:rPr>
          <w:rFonts w:eastAsiaTheme="minorEastAsia"/>
          <w:spacing w:val="-8"/>
          <w:sz w:val="24"/>
        </w:rPr>
        <w:t xml:space="preserve"> </w:t>
      </w:r>
      <w:r>
        <w:rPr>
          <w:rFonts w:hint="eastAsia" w:eastAsiaTheme="minorEastAsia"/>
          <w:spacing w:val="-8"/>
          <w:sz w:val="24"/>
        </w:rPr>
        <w:t>市交通运输委</w:t>
      </w:r>
      <w:r>
        <w:rPr>
          <w:rFonts w:eastAsiaTheme="minorEastAsia"/>
          <w:spacing w:val="-8"/>
          <w:sz w:val="24"/>
        </w:rPr>
        <w:t xml:space="preserve"> </w:t>
      </w:r>
      <w:r>
        <w:rPr>
          <w:rFonts w:hint="eastAsia" w:eastAsiaTheme="minorEastAsia"/>
          <w:spacing w:val="-8"/>
          <w:sz w:val="24"/>
        </w:rPr>
        <w:t>市水务局</w:t>
      </w:r>
      <w:r>
        <w:rPr>
          <w:rFonts w:eastAsiaTheme="minorEastAsia"/>
          <w:spacing w:val="-8"/>
          <w:sz w:val="24"/>
        </w:rPr>
        <w:t xml:space="preserve"> </w:t>
      </w:r>
      <w:r>
        <w:rPr>
          <w:rFonts w:hint="eastAsia" w:eastAsiaTheme="minorEastAsia"/>
          <w:spacing w:val="-8"/>
          <w:sz w:val="24"/>
        </w:rPr>
        <w:t>市政务服务办关于进一步贯彻落实政府采购支持中小企业政策的通知（津财采〔</w:t>
      </w:r>
      <w:r>
        <w:rPr>
          <w:rFonts w:eastAsiaTheme="minorEastAsia"/>
          <w:spacing w:val="-8"/>
          <w:sz w:val="24"/>
        </w:rPr>
        <w:t>2022</w:t>
      </w:r>
      <w:r>
        <w:rPr>
          <w:rFonts w:hint="eastAsia" w:eastAsiaTheme="minorEastAsia"/>
          <w:spacing w:val="-8"/>
          <w:sz w:val="24"/>
        </w:rPr>
        <w:t>〕</w:t>
      </w:r>
      <w:r>
        <w:rPr>
          <w:rFonts w:eastAsiaTheme="minorEastAsia"/>
          <w:spacing w:val="-8"/>
          <w:sz w:val="24"/>
        </w:rPr>
        <w:t>11</w:t>
      </w:r>
      <w:r>
        <w:rPr>
          <w:rFonts w:hint="eastAsia" w:eastAsiaTheme="minorEastAsia"/>
          <w:spacing w:val="-8"/>
          <w:sz w:val="24"/>
        </w:rPr>
        <w:t>号）</w:t>
      </w:r>
    </w:p>
    <w:p w14:paraId="557AC324">
      <w:pPr>
        <w:adjustRightInd w:val="0"/>
        <w:snapToGrid w:val="0"/>
        <w:spacing w:line="400" w:lineRule="exact"/>
        <w:jc w:val="center"/>
        <w:rPr>
          <w:b/>
          <w:sz w:val="24"/>
          <w:szCs w:val="24"/>
        </w:rPr>
      </w:pPr>
      <w:r>
        <w:rPr>
          <w:b/>
          <w:sz w:val="24"/>
          <w:szCs w:val="24"/>
        </w:rPr>
        <w:t>诚信参与政府采购活动提示函</w:t>
      </w:r>
    </w:p>
    <w:p w14:paraId="2EB2043C">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1F33DD8C">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6C6A6009">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7692A65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4DA8A03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04EB911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D25EFD1">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216D4926">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4EAC8C9E">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5849998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189B58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35E2236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3F841E03">
      <w:pPr>
        <w:spacing w:line="360" w:lineRule="exact"/>
        <w:ind w:firstLine="611" w:firstLineChars="200"/>
        <w:rPr>
          <w:b/>
          <w:bCs/>
          <w:spacing w:val="-8"/>
          <w:kern w:val="28"/>
          <w:sz w:val="32"/>
          <w:szCs w:val="32"/>
        </w:rPr>
      </w:pPr>
    </w:p>
    <w:p w14:paraId="0637506C">
      <w:pPr>
        <w:pStyle w:val="29"/>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27A0AD47">
      <w:pPr>
        <w:pStyle w:val="11"/>
        <w:rPr>
          <w:rFonts w:ascii="Times New Roman" w:hAnsi="Times New Roman"/>
        </w:rPr>
      </w:pPr>
      <w:r>
        <w:rPr>
          <w:rFonts w:ascii="Times New Roman" w:hAnsi="Times New Roman"/>
        </w:rPr>
        <w:t>第二部分  磋商项目要求</w:t>
      </w:r>
      <w:bookmarkEnd w:id="2"/>
    </w:p>
    <w:p w14:paraId="79FE80E2">
      <w:pPr>
        <w:autoSpaceDE w:val="0"/>
        <w:autoSpaceDN w:val="0"/>
        <w:adjustRightInd w:val="0"/>
        <w:spacing w:line="360" w:lineRule="auto"/>
        <w:ind w:firstLine="480" w:firstLineChars="200"/>
        <w:rPr>
          <w:bCs/>
          <w:sz w:val="24"/>
        </w:rPr>
      </w:pPr>
      <w:r>
        <w:rPr>
          <w:rFonts w:hint="eastAsia"/>
          <w:bCs/>
          <w:sz w:val="24"/>
        </w:rPr>
        <w:t>一</w:t>
      </w:r>
      <w:r>
        <w:rPr>
          <w:bCs/>
          <w:sz w:val="24"/>
        </w:rPr>
        <w:t>、技术要求</w:t>
      </w:r>
    </w:p>
    <w:p w14:paraId="53DD46A8">
      <w:pPr>
        <w:autoSpaceDE w:val="0"/>
        <w:autoSpaceDN w:val="0"/>
        <w:adjustRightInd w:val="0"/>
        <w:spacing w:line="360" w:lineRule="auto"/>
        <w:ind w:firstLine="480" w:firstLineChars="200"/>
        <w:rPr>
          <w:color w:val="auto"/>
          <w:sz w:val="24"/>
        </w:rPr>
      </w:pPr>
      <w:r>
        <w:rPr>
          <w:rFonts w:hint="eastAsia"/>
          <w:color w:val="auto"/>
          <w:kern w:val="0"/>
          <w:sz w:val="24"/>
          <w:szCs w:val="24"/>
        </w:rPr>
        <w:t>★</w:t>
      </w:r>
      <w:r>
        <w:rPr>
          <w:color w:val="auto"/>
          <w:sz w:val="24"/>
        </w:rPr>
        <w:t>（一）投标人须承诺所提供的服务、人员及设备符合相关国家强制性规定。</w:t>
      </w:r>
    </w:p>
    <w:p w14:paraId="135E9D9F">
      <w:pPr>
        <w:autoSpaceDE w:val="0"/>
        <w:autoSpaceDN w:val="0"/>
        <w:adjustRightInd w:val="0"/>
        <w:spacing w:line="360" w:lineRule="auto"/>
        <w:ind w:firstLine="480" w:firstLineChars="200"/>
        <w:rPr>
          <w:color w:val="auto"/>
          <w:sz w:val="24"/>
        </w:rPr>
      </w:pPr>
      <w:r>
        <w:rPr>
          <w:rFonts w:hint="eastAsia"/>
          <w:color w:val="auto"/>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14:paraId="054243DE">
      <w:pPr>
        <w:autoSpaceDE w:val="0"/>
        <w:autoSpaceDN w:val="0"/>
        <w:adjustRightInd w:val="0"/>
        <w:spacing w:line="360" w:lineRule="auto"/>
        <w:ind w:firstLine="480" w:firstLineChars="200"/>
        <w:rPr>
          <w:color w:val="auto"/>
          <w:sz w:val="24"/>
        </w:rPr>
      </w:pPr>
      <w:r>
        <w:rPr>
          <w:color w:val="auto"/>
          <w:sz w:val="24"/>
        </w:rPr>
        <w:t>（</w:t>
      </w:r>
      <w:r>
        <w:rPr>
          <w:rFonts w:hint="eastAsia"/>
          <w:color w:val="auto"/>
          <w:sz w:val="24"/>
        </w:rPr>
        <w:t>三</w:t>
      </w:r>
      <w:r>
        <w:rPr>
          <w:color w:val="auto"/>
          <w:sz w:val="24"/>
        </w:rPr>
        <w:t>）具体需求详见本部分项目需求书。</w:t>
      </w:r>
    </w:p>
    <w:p w14:paraId="019E7D25">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w:t>
      </w:r>
      <w:r>
        <w:rPr>
          <w:color w:val="auto"/>
          <w:sz w:val="24"/>
          <w:szCs w:val="24"/>
        </w:rPr>
        <w:t>、</w:t>
      </w:r>
      <w:r>
        <w:rPr>
          <w:rFonts w:hint="eastAsia"/>
          <w:color w:val="auto"/>
          <w:sz w:val="24"/>
          <w:szCs w:val="24"/>
        </w:rPr>
        <w:t>商务要求</w:t>
      </w:r>
    </w:p>
    <w:p w14:paraId="2EDC94D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（一）报价要求</w:t>
      </w:r>
    </w:p>
    <w:p w14:paraId="247A86F1">
      <w:pPr>
        <w:autoSpaceDE w:val="0"/>
        <w:autoSpaceDN w:val="0"/>
        <w:adjustRightInd w:val="0"/>
        <w:spacing w:line="360" w:lineRule="auto"/>
        <w:ind w:firstLine="480" w:firstLineChars="200"/>
        <w:rPr>
          <w:color w:val="auto"/>
          <w:sz w:val="24"/>
        </w:rPr>
      </w:pPr>
      <w:r>
        <w:rPr>
          <w:color w:val="auto"/>
          <w:sz w:val="24"/>
        </w:rPr>
        <w:t>1. 投标报价以人民币填列。</w:t>
      </w:r>
    </w:p>
    <w:p w14:paraId="2DF6C8B4">
      <w:pPr>
        <w:autoSpaceDE w:val="0"/>
        <w:autoSpaceDN w:val="0"/>
        <w:adjustRightInd w:val="0"/>
        <w:spacing w:line="360" w:lineRule="auto"/>
        <w:ind w:firstLine="480" w:firstLineChars="200"/>
        <w:rPr>
          <w:color w:val="auto"/>
          <w:sz w:val="24"/>
        </w:rPr>
      </w:pPr>
      <w:r>
        <w:rPr>
          <w:color w:val="auto"/>
          <w:sz w:val="24"/>
        </w:rPr>
        <w:t>2. 投标人的报价应包括：人员费用、</w:t>
      </w:r>
      <w:r>
        <w:rPr>
          <w:rFonts w:hint="eastAsia"/>
          <w:color w:val="auto"/>
          <w:sz w:val="24"/>
        </w:rPr>
        <w:t>维保</w:t>
      </w:r>
      <w:r>
        <w:rPr>
          <w:color w:val="auto"/>
          <w:sz w:val="24"/>
        </w:rPr>
        <w:t>服务费用、</w:t>
      </w:r>
      <w:r>
        <w:rPr>
          <w:rFonts w:hint="eastAsia"/>
          <w:color w:val="auto"/>
          <w:sz w:val="24"/>
        </w:rPr>
        <w:t>管理费及税金</w:t>
      </w:r>
      <w:r>
        <w:rPr>
          <w:color w:val="auto"/>
          <w:sz w:val="24"/>
        </w:rPr>
        <w:t>等为完成</w:t>
      </w:r>
      <w:r>
        <w:rPr>
          <w:rFonts w:hint="eastAsia"/>
          <w:color w:val="auto"/>
          <w:sz w:val="24"/>
          <w:lang w:val="en-US" w:eastAsia="zh-CN"/>
        </w:rPr>
        <w:t>采购</w:t>
      </w:r>
      <w:r>
        <w:rPr>
          <w:color w:val="auto"/>
          <w:sz w:val="24"/>
        </w:rPr>
        <w:t>文件规定的一切工作所需的全部费用。投标人所报价格应为最终优惠价格。</w:t>
      </w:r>
    </w:p>
    <w:p w14:paraId="3680A9B1">
      <w:pPr>
        <w:spacing w:line="360" w:lineRule="auto"/>
        <w:ind w:firstLine="480"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6D19C692">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（二）时间、地点要求：</w:t>
      </w:r>
    </w:p>
    <w:p w14:paraId="5C631CE0">
      <w:pPr>
        <w:autoSpaceDE w:val="0"/>
        <w:autoSpaceDN w:val="0"/>
        <w:adjustRightInd w:val="0"/>
        <w:spacing w:line="360" w:lineRule="auto"/>
        <w:ind w:firstLine="480" w:firstLineChars="200"/>
        <w:rPr>
          <w:color w:val="auto"/>
          <w:sz w:val="24"/>
        </w:rPr>
      </w:pPr>
      <w:r>
        <w:rPr>
          <w:color w:val="auto"/>
          <w:sz w:val="24"/>
        </w:rPr>
        <w:t>1. 时间要求：</w:t>
      </w:r>
      <w:r>
        <w:rPr>
          <w:rFonts w:hint="eastAsia"/>
          <w:color w:val="auto"/>
          <w:sz w:val="24"/>
        </w:rPr>
        <w:t>签订合同之日起一年的服务期</w:t>
      </w:r>
      <w:r>
        <w:rPr>
          <w:color w:val="auto"/>
          <w:sz w:val="24"/>
        </w:rPr>
        <w:t>（特殊情况以合同为准）。</w:t>
      </w:r>
    </w:p>
    <w:p w14:paraId="1260903A">
      <w:pPr>
        <w:autoSpaceDE w:val="0"/>
        <w:autoSpaceDN w:val="0"/>
        <w:adjustRightInd w:val="0"/>
        <w:spacing w:line="360" w:lineRule="auto"/>
        <w:ind w:firstLine="480" w:firstLineChars="200"/>
        <w:rPr>
          <w:color w:val="auto"/>
          <w:sz w:val="24"/>
        </w:rPr>
      </w:pPr>
      <w:r>
        <w:rPr>
          <w:color w:val="auto"/>
          <w:sz w:val="24"/>
        </w:rPr>
        <w:t>2. 服务地点：</w:t>
      </w:r>
      <w:r>
        <w:rPr>
          <w:rFonts w:hint="eastAsia"/>
          <w:color w:val="auto"/>
          <w:sz w:val="24"/>
        </w:rPr>
        <w:t>天津市西青区宾水西道393号天津师范大学</w:t>
      </w:r>
      <w:r>
        <w:rPr>
          <w:color w:val="auto"/>
          <w:sz w:val="24"/>
        </w:rPr>
        <w:t>（特殊情况以合同为准）。</w:t>
      </w:r>
    </w:p>
    <w:p w14:paraId="514C5A28">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（三）服务要求：</w:t>
      </w:r>
    </w:p>
    <w:p w14:paraId="5BA96D04">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1</w:t>
      </w: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具体需求详见项目需求书，供应商提供详细的服务方案。</w:t>
      </w:r>
    </w:p>
    <w:p w14:paraId="0C6D7091">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2</w:t>
      </w: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成交后，成交供应商须与采购人就数据信息安全等信息签署保密协议。</w:t>
      </w:r>
    </w:p>
    <w:p w14:paraId="0766316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（四）供应商须整包进行磋商，不得拆包分项磋商。</w:t>
      </w:r>
    </w:p>
    <w:p w14:paraId="3CC4E4E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（五）磋商有效期：本项目磋商有效期为60天。</w:t>
      </w:r>
    </w:p>
    <w:p w14:paraId="0A46D941">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六</w:t>
      </w:r>
      <w:r>
        <w:rPr>
          <w:rFonts w:ascii="Times New Roman" w:hAnsi="Times New Roman" w:eastAsia="宋体" w:cs="Times New Roman"/>
          <w:color w:val="auto"/>
          <w:kern w:val="2"/>
        </w:rPr>
        <w:t>）付款方式</w:t>
      </w:r>
    </w:p>
    <w:p w14:paraId="6A2758E9">
      <w:pPr>
        <w:autoSpaceDE w:val="0"/>
        <w:autoSpaceDN w:val="0"/>
        <w:adjustRightInd w:val="0"/>
        <w:spacing w:line="360" w:lineRule="auto"/>
        <w:ind w:firstLine="480" w:firstLineChars="200"/>
        <w:rPr>
          <w:color w:val="auto"/>
          <w:sz w:val="24"/>
        </w:rPr>
      </w:pPr>
      <w:r>
        <w:rPr>
          <w:rFonts w:hint="eastAsia"/>
          <w:color w:val="auto"/>
          <w:sz w:val="24"/>
        </w:rPr>
        <w:t>合同签订之日起30日内支付合同款项的40%，服务期完成并经验收合格后，支付合同款项的60%</w:t>
      </w:r>
      <w:r>
        <w:rPr>
          <w:color w:val="auto"/>
          <w:sz w:val="24"/>
        </w:rPr>
        <w:t>（特殊情况以合同为准）。</w:t>
      </w:r>
    </w:p>
    <w:p w14:paraId="5DA058A8">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lang w:val="en-US" w:eastAsia="zh-CN"/>
        </w:rPr>
        <w:t>七</w:t>
      </w:r>
      <w:r>
        <w:rPr>
          <w:rFonts w:ascii="Times New Roman" w:hAnsi="Times New Roman" w:eastAsia="宋体" w:cs="Times New Roman"/>
          <w:color w:val="auto"/>
          <w:kern w:val="2"/>
        </w:rPr>
        <w:t>）磋商保证金及履约保证金：本项目不收取磋商保证金及履约保证金。</w:t>
      </w:r>
    </w:p>
    <w:p w14:paraId="0E35C0A7">
      <w:pPr>
        <w:autoSpaceDE w:val="0"/>
        <w:autoSpaceDN w:val="0"/>
        <w:adjustRightInd w:val="0"/>
        <w:spacing w:line="360" w:lineRule="auto"/>
        <w:ind w:firstLine="480" w:firstLineChars="200"/>
        <w:rPr>
          <w:rFonts w:hint="eastAsia"/>
          <w:bCs/>
          <w:color w:val="auto"/>
          <w:sz w:val="24"/>
        </w:rPr>
      </w:pPr>
      <w:r>
        <w:rPr>
          <w:rFonts w:hint="eastAsia"/>
          <w:bCs/>
          <w:color w:val="auto"/>
          <w:sz w:val="24"/>
        </w:rPr>
        <w:t>三、评分因素及评标标准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7FF4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9396" w:type="dxa"/>
            <w:gridSpan w:val="4"/>
            <w:shd w:val="clear" w:color="auto" w:fill="auto"/>
            <w:vAlign w:val="center"/>
          </w:tcPr>
          <w:p w14:paraId="1C9D5F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第一部分 价格（</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0分）</w:t>
            </w:r>
          </w:p>
        </w:tc>
        <w:tc>
          <w:tcPr>
            <w:tcW w:w="1140" w:type="dxa"/>
            <w:shd w:val="clear" w:color="auto" w:fill="auto"/>
            <w:vAlign w:val="center"/>
          </w:tcPr>
          <w:p w14:paraId="0BB346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分值</w:t>
            </w:r>
          </w:p>
        </w:tc>
      </w:tr>
      <w:tr w14:paraId="3FFF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740AC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w:t>
            </w:r>
          </w:p>
        </w:tc>
        <w:tc>
          <w:tcPr>
            <w:tcW w:w="1419" w:type="dxa"/>
            <w:shd w:val="clear" w:color="auto" w:fill="auto"/>
            <w:vAlign w:val="center"/>
          </w:tcPr>
          <w:p w14:paraId="4DE411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价格</w:t>
            </w:r>
          </w:p>
        </w:tc>
        <w:tc>
          <w:tcPr>
            <w:tcW w:w="7314" w:type="dxa"/>
            <w:gridSpan w:val="2"/>
            <w:shd w:val="clear" w:color="auto" w:fill="auto"/>
            <w:vAlign w:val="center"/>
          </w:tcPr>
          <w:p w14:paraId="032871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（1）报价超过采购预算的，响应无效，未超过采购预算的报价按以下公式进行计算。</w:t>
            </w:r>
          </w:p>
          <w:p w14:paraId="04883AA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（2）价格得分=（评标基准价/报价）×</w:t>
            </w:r>
            <w:r>
              <w:rPr>
                <w:rFonts w:hint="eastAsia"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0</w:t>
            </w:r>
          </w:p>
          <w:p w14:paraId="32AC04A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注：满足磋商文件要求且报价最低的报价为评标基准价。</w:t>
            </w:r>
          </w:p>
        </w:tc>
        <w:tc>
          <w:tcPr>
            <w:tcW w:w="1140" w:type="dxa"/>
            <w:shd w:val="clear" w:color="auto" w:fill="auto"/>
            <w:vAlign w:val="center"/>
          </w:tcPr>
          <w:p w14:paraId="0E61F7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0</w:t>
            </w:r>
          </w:p>
        </w:tc>
      </w:tr>
      <w:tr w14:paraId="56D2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66FBDF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第二部分 客观分（</w:t>
            </w:r>
            <w:r>
              <w:rPr>
                <w:rFonts w:hint="eastAsia"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rPr>
              <w:t>分）</w:t>
            </w:r>
          </w:p>
        </w:tc>
        <w:tc>
          <w:tcPr>
            <w:tcW w:w="1140" w:type="dxa"/>
            <w:shd w:val="clear" w:color="auto" w:fill="auto"/>
            <w:vAlign w:val="center"/>
          </w:tcPr>
          <w:p w14:paraId="0D5596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分值</w:t>
            </w:r>
          </w:p>
        </w:tc>
      </w:tr>
      <w:tr w14:paraId="314D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02FAB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w:t>
            </w:r>
          </w:p>
        </w:tc>
        <w:tc>
          <w:tcPr>
            <w:tcW w:w="1419" w:type="dxa"/>
            <w:shd w:val="clear" w:color="auto" w:fill="auto"/>
            <w:vAlign w:val="center"/>
          </w:tcPr>
          <w:p w14:paraId="7144B7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投标人业绩</w:t>
            </w:r>
          </w:p>
        </w:tc>
        <w:tc>
          <w:tcPr>
            <w:tcW w:w="7314" w:type="dxa"/>
            <w:gridSpan w:val="2"/>
            <w:shd w:val="clear" w:color="auto" w:fill="auto"/>
            <w:vAlign w:val="center"/>
          </w:tcPr>
          <w:p w14:paraId="1872A80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完全按照以下要求提供投标人曾实施的</w:t>
            </w:r>
            <w:r>
              <w:rPr>
                <w:rFonts w:hint="default" w:ascii="Times New Roman" w:hAnsi="Times New Roman" w:eastAsia="宋体" w:cs="Times New Roman"/>
                <w:color w:val="auto"/>
                <w:kern w:val="0"/>
                <w:sz w:val="24"/>
                <w:szCs w:val="24"/>
                <w:highlight w:val="none"/>
                <w:lang w:val="en-US" w:eastAsia="zh-CN"/>
              </w:rPr>
              <w:t>网络系统维保服务</w:t>
            </w:r>
            <w:r>
              <w:rPr>
                <w:rFonts w:hint="default" w:ascii="Times New Roman" w:hAnsi="Times New Roman" w:eastAsia="宋体" w:cs="Times New Roman"/>
                <w:color w:val="auto"/>
                <w:kern w:val="0"/>
                <w:sz w:val="24"/>
                <w:szCs w:val="24"/>
                <w:highlight w:val="none"/>
              </w:rPr>
              <w:t>业绩，提供的证明材料均不得遮挡涂黑，否则不予认定加分。</w:t>
            </w:r>
          </w:p>
          <w:p w14:paraId="2452B40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A. 合同原件扫描件。包括买卖双方名称及盖章、服务内容</w:t>
            </w:r>
            <w:r>
              <w:rPr>
                <w:rFonts w:hint="default" w:ascii="Times New Roman" w:hAnsi="Times New Roman" w:eastAsia="宋体" w:cs="Times New Roman"/>
                <w:bCs/>
                <w:color w:val="auto"/>
                <w:sz w:val="24"/>
                <w:szCs w:val="24"/>
                <w:highlight w:val="none"/>
              </w:rPr>
              <w:t>、合同签订日期（应为2022年1月1日或以后）</w:t>
            </w:r>
            <w:r>
              <w:rPr>
                <w:rFonts w:hint="default" w:ascii="Times New Roman" w:hAnsi="Times New Roman" w:eastAsia="宋体" w:cs="Times New Roman"/>
                <w:color w:val="auto"/>
                <w:kern w:val="0"/>
                <w:sz w:val="24"/>
                <w:szCs w:val="24"/>
                <w:highlight w:val="none"/>
              </w:rPr>
              <w:t>。</w:t>
            </w:r>
          </w:p>
          <w:p w14:paraId="573EA9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B. 上述合同履行良好的相关证明材料原件扫描件（</w:t>
            </w:r>
            <w:r>
              <w:rPr>
                <w:rFonts w:hint="default" w:ascii="Times New Roman" w:hAnsi="Times New Roman" w:eastAsia="宋体" w:cs="Times New Roman"/>
                <w:color w:val="auto"/>
                <w:sz w:val="24"/>
                <w:szCs w:val="24"/>
                <w:highlight w:val="none"/>
              </w:rPr>
              <w:t>加盖上述合同甲方单位公章或上述合同中所盖的甲方印章</w:t>
            </w:r>
            <w:r>
              <w:rPr>
                <w:rFonts w:hint="default" w:ascii="Times New Roman" w:hAnsi="Times New Roman" w:eastAsia="宋体" w:cs="Times New Roman"/>
                <w:color w:val="auto"/>
                <w:kern w:val="0"/>
                <w:sz w:val="24"/>
                <w:szCs w:val="24"/>
                <w:highlight w:val="none"/>
              </w:rPr>
              <w:t>）。</w:t>
            </w:r>
          </w:p>
          <w:p w14:paraId="78FD8F6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每个业绩</w:t>
            </w:r>
            <w:r>
              <w:rPr>
                <w:rFonts w:hint="default" w:ascii="Times New Roman" w:hAnsi="Times New Roman" w:eastAsia="宋体"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rPr>
              <w:t>分，最多</w:t>
            </w:r>
            <w:r>
              <w:rPr>
                <w:rFonts w:hint="default" w:ascii="Times New Roman" w:hAnsi="Times New Roman" w:eastAsia="宋体" w:cs="Times New Roman"/>
                <w:color w:val="auto"/>
                <w:kern w:val="0"/>
                <w:sz w:val="24"/>
                <w:szCs w:val="24"/>
                <w:highlight w:val="none"/>
                <w:lang w:val="en-US" w:eastAsia="zh-CN"/>
              </w:rPr>
              <w:t>6</w:t>
            </w:r>
            <w:r>
              <w:rPr>
                <w:rFonts w:hint="default" w:ascii="Times New Roman" w:hAnsi="Times New Roman" w:eastAsia="宋体" w:cs="Times New Roman"/>
                <w:color w:val="auto"/>
                <w:kern w:val="0"/>
                <w:sz w:val="24"/>
                <w:szCs w:val="24"/>
                <w:highlight w:val="none"/>
              </w:rPr>
              <w:t>分</w:t>
            </w:r>
          </w:p>
        </w:tc>
        <w:tc>
          <w:tcPr>
            <w:tcW w:w="1140" w:type="dxa"/>
            <w:shd w:val="clear" w:color="auto" w:fill="auto"/>
            <w:vAlign w:val="center"/>
          </w:tcPr>
          <w:p w14:paraId="7CB8C6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6</w:t>
            </w:r>
          </w:p>
        </w:tc>
      </w:tr>
      <w:tr w14:paraId="212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6AF476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2</w:t>
            </w:r>
          </w:p>
        </w:tc>
        <w:tc>
          <w:tcPr>
            <w:tcW w:w="1425" w:type="dxa"/>
            <w:gridSpan w:val="2"/>
            <w:shd w:val="clear" w:color="auto" w:fill="auto"/>
            <w:vAlign w:val="center"/>
          </w:tcPr>
          <w:p w14:paraId="085C5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投标人相关证书评价</w:t>
            </w:r>
          </w:p>
        </w:tc>
        <w:tc>
          <w:tcPr>
            <w:tcW w:w="7308" w:type="dxa"/>
            <w:shd w:val="clear" w:color="auto" w:fill="auto"/>
            <w:vAlign w:val="center"/>
          </w:tcPr>
          <w:p w14:paraId="6670080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投标人具备</w:t>
            </w:r>
            <w:r>
              <w:rPr>
                <w:rFonts w:hint="default" w:ascii="Times New Roman" w:hAnsi="Times New Roman" w:eastAsia="宋体" w:cs="Times New Roman"/>
                <w:i w:val="0"/>
                <w:iCs w:val="0"/>
                <w:color w:val="auto"/>
                <w:kern w:val="0"/>
                <w:sz w:val="24"/>
                <w:szCs w:val="24"/>
                <w:highlight w:val="none"/>
                <w:u w:val="none"/>
                <w:lang w:val="en-US" w:eastAsia="zh-CN" w:bidi="ar"/>
              </w:rPr>
              <w:t>ITSS信息技术服务标准符合性证书(运行维护服务一级)、信息安全服务资质认证证书-信息系统安全运维服务(一级)、信息安全服务资质认证证书-信息安全应急处理服务（一级）、信息安全服务资质认证证书-信息安全风险评估服务（一级），提供上述证书扫描件，每个合格的上述材料得2分，最多8分。</w:t>
            </w:r>
          </w:p>
        </w:tc>
        <w:tc>
          <w:tcPr>
            <w:tcW w:w="1140" w:type="dxa"/>
            <w:shd w:val="clear" w:color="auto" w:fill="auto"/>
            <w:vAlign w:val="center"/>
          </w:tcPr>
          <w:p w14:paraId="01BB37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8</w:t>
            </w:r>
          </w:p>
        </w:tc>
      </w:tr>
      <w:tr w14:paraId="1AAF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705E20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val="en-US" w:eastAsia="zh-CN"/>
              </w:rPr>
              <w:t>3</w:t>
            </w:r>
          </w:p>
        </w:tc>
        <w:tc>
          <w:tcPr>
            <w:tcW w:w="1425" w:type="dxa"/>
            <w:gridSpan w:val="2"/>
            <w:shd w:val="clear" w:color="auto" w:fill="auto"/>
            <w:vAlign w:val="center"/>
          </w:tcPr>
          <w:p w14:paraId="104364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投入人员评价</w:t>
            </w:r>
          </w:p>
        </w:tc>
        <w:tc>
          <w:tcPr>
            <w:tcW w:w="7308" w:type="dxa"/>
            <w:shd w:val="clear" w:color="auto" w:fill="auto"/>
            <w:vAlign w:val="center"/>
          </w:tcPr>
          <w:p w14:paraId="7F81F51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投入的人员为投标单位正式员工，提供姓名、开标日前三个月中任意一个月的由投标单位为投入人员缴纳社会保险证明扫描件，否则不予认定加分。</w:t>
            </w:r>
          </w:p>
          <w:p w14:paraId="230BC1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w:t>
            </w:r>
            <w:r>
              <w:rPr>
                <w:rFonts w:hint="default" w:ascii="Times New Roman" w:hAnsi="Times New Roman" w:eastAsia="宋体" w:cs="Times New Roman"/>
                <w:color w:val="auto"/>
                <w:kern w:val="0"/>
                <w:sz w:val="24"/>
                <w:szCs w:val="24"/>
                <w:highlight w:val="none"/>
                <w:lang w:val="en-US" w:eastAsia="zh-CN"/>
              </w:rPr>
              <w:t>项目经理</w:t>
            </w:r>
            <w:r>
              <w:rPr>
                <w:rFonts w:hint="default" w:ascii="Times New Roman" w:hAnsi="Times New Roman" w:eastAsia="宋体" w:cs="Times New Roman"/>
                <w:color w:val="auto"/>
                <w:kern w:val="0"/>
                <w:sz w:val="24"/>
                <w:szCs w:val="24"/>
                <w:highlight w:val="none"/>
              </w:rPr>
              <w:t>具备</w:t>
            </w:r>
            <w:r>
              <w:rPr>
                <w:rFonts w:hint="default" w:ascii="Times New Roman" w:hAnsi="Times New Roman" w:eastAsia="宋体" w:cs="Times New Roman"/>
                <w:color w:val="auto"/>
                <w:kern w:val="0"/>
                <w:sz w:val="24"/>
                <w:szCs w:val="24"/>
                <w:highlight w:val="none"/>
                <w:lang w:val="en-US" w:eastAsia="zh-CN"/>
              </w:rPr>
              <w:t>大学本科或以上</w:t>
            </w:r>
            <w:r>
              <w:rPr>
                <w:rFonts w:hint="default" w:ascii="Times New Roman" w:hAnsi="Times New Roman" w:eastAsia="宋体" w:cs="Times New Roman"/>
                <w:color w:val="auto"/>
                <w:kern w:val="0"/>
                <w:sz w:val="24"/>
                <w:szCs w:val="24"/>
                <w:highlight w:val="none"/>
              </w:rPr>
              <w:t>学历毕业证书、计算机技术与软件专业技术资格证书（信息系统项目管理师）</w:t>
            </w:r>
            <w:r>
              <w:rPr>
                <w:rFonts w:hint="eastAsia" w:cs="Times New Roman"/>
                <w:color w:val="auto"/>
                <w:kern w:val="0"/>
                <w:sz w:val="24"/>
                <w:szCs w:val="24"/>
                <w:highlight w:val="none"/>
                <w:lang w:eastAsia="zh-CN"/>
              </w:rPr>
              <w:t>、工业和信息化部教育和考试中心颁发的相关证书（高级网络与信息安全工程师证书）、ITSS IT服务工程师证书</w:t>
            </w:r>
            <w:r>
              <w:rPr>
                <w:rFonts w:hint="default" w:ascii="Times New Roman" w:hAnsi="Times New Roman" w:eastAsia="宋体" w:cs="Times New Roman"/>
                <w:color w:val="auto"/>
                <w:kern w:val="0"/>
                <w:sz w:val="24"/>
                <w:szCs w:val="24"/>
                <w:highlight w:val="none"/>
              </w:rPr>
              <w:t>，提供以上证书扫描件，每个合格的证书扫描件得</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分，最多</w:t>
            </w:r>
            <w:r>
              <w:rPr>
                <w:rFonts w:hint="eastAsia"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rPr>
              <w:t>分；</w:t>
            </w:r>
          </w:p>
          <w:p w14:paraId="1BCA91F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rPr>
              <w:t>（2）</w:t>
            </w:r>
            <w:r>
              <w:rPr>
                <w:rFonts w:hint="default" w:ascii="Times New Roman" w:hAnsi="Times New Roman" w:eastAsia="宋体" w:cs="Times New Roman"/>
                <w:color w:val="auto"/>
                <w:kern w:val="0"/>
                <w:sz w:val="24"/>
                <w:szCs w:val="24"/>
                <w:highlight w:val="none"/>
                <w:lang w:val="en-US" w:eastAsia="zh-CN"/>
              </w:rPr>
              <w:t>项目经理具备</w:t>
            </w:r>
            <w:r>
              <w:rPr>
                <w:rFonts w:hint="default" w:ascii="Times New Roman" w:hAnsi="Times New Roman" w:eastAsia="宋体" w:cs="Times New Roman"/>
                <w:color w:val="auto"/>
                <w:sz w:val="24"/>
                <w:szCs w:val="24"/>
                <w:highlight w:val="none"/>
              </w:rPr>
              <w:t>5年或以上</w:t>
            </w:r>
            <w:r>
              <w:rPr>
                <w:rFonts w:hint="default" w:ascii="Times New Roman" w:hAnsi="Times New Roman" w:eastAsia="宋体" w:cs="Times New Roman"/>
                <w:color w:val="auto"/>
                <w:sz w:val="24"/>
                <w:szCs w:val="24"/>
                <w:highlight w:val="none"/>
                <w:lang w:val="en-US" w:eastAsia="zh-CN"/>
              </w:rPr>
              <w:t>信息化</w:t>
            </w:r>
            <w:r>
              <w:rPr>
                <w:rFonts w:hint="default" w:ascii="Times New Roman" w:hAnsi="Times New Roman" w:eastAsia="宋体" w:cs="Times New Roman"/>
                <w:color w:val="auto"/>
                <w:sz w:val="24"/>
                <w:szCs w:val="24"/>
                <w:highlight w:val="none"/>
              </w:rPr>
              <w:t>硬件运行维护工作经验</w:t>
            </w:r>
            <w:r>
              <w:rPr>
                <w:rFonts w:hint="default" w:ascii="Times New Roman" w:hAnsi="Times New Roman" w:eastAsia="宋体" w:cs="Times New Roman"/>
                <w:color w:val="auto"/>
                <w:kern w:val="0"/>
                <w:sz w:val="24"/>
                <w:szCs w:val="24"/>
                <w:highlight w:val="none"/>
              </w:rPr>
              <w:t>，提供以上人员工作简历</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每个满足以上要求的人员得1分，最多</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分</w:t>
            </w:r>
            <w:r>
              <w:rPr>
                <w:rFonts w:hint="default" w:ascii="Times New Roman" w:hAnsi="Times New Roman" w:eastAsia="宋体" w:cs="Times New Roman"/>
                <w:color w:val="auto"/>
                <w:kern w:val="0"/>
                <w:sz w:val="24"/>
                <w:szCs w:val="24"/>
                <w:highlight w:val="none"/>
                <w:lang w:eastAsia="zh-CN"/>
              </w:rPr>
              <w:t>；</w:t>
            </w:r>
          </w:p>
          <w:p w14:paraId="394687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rPr>
              <w:t>技术</w:t>
            </w:r>
            <w:r>
              <w:rPr>
                <w:rFonts w:hint="default" w:ascii="Times New Roman" w:hAnsi="Times New Roman" w:eastAsia="宋体" w:cs="Times New Roman"/>
                <w:color w:val="auto"/>
                <w:sz w:val="24"/>
                <w:szCs w:val="24"/>
                <w:highlight w:val="none"/>
                <w:lang w:val="en-US" w:eastAsia="zh-CN"/>
              </w:rPr>
              <w:t>负责人</w:t>
            </w:r>
            <w:r>
              <w:rPr>
                <w:rFonts w:hint="default" w:ascii="Times New Roman" w:hAnsi="Times New Roman" w:eastAsia="宋体" w:cs="Times New Roman"/>
                <w:color w:val="auto"/>
                <w:kern w:val="0"/>
                <w:sz w:val="24"/>
                <w:szCs w:val="24"/>
                <w:highlight w:val="none"/>
              </w:rPr>
              <w:t>具备</w:t>
            </w:r>
            <w:r>
              <w:rPr>
                <w:rFonts w:hint="default" w:ascii="Times New Roman" w:hAnsi="Times New Roman" w:eastAsia="宋体" w:cs="Times New Roman"/>
                <w:color w:val="auto"/>
                <w:kern w:val="0"/>
                <w:sz w:val="24"/>
                <w:szCs w:val="24"/>
                <w:highlight w:val="none"/>
                <w:lang w:val="en-US" w:eastAsia="zh-CN"/>
              </w:rPr>
              <w:t>大学本科或以上</w:t>
            </w:r>
            <w:r>
              <w:rPr>
                <w:rFonts w:hint="default" w:ascii="Times New Roman" w:hAnsi="Times New Roman" w:eastAsia="宋体" w:cs="Times New Roman"/>
                <w:color w:val="auto"/>
                <w:kern w:val="0"/>
                <w:sz w:val="24"/>
                <w:szCs w:val="24"/>
                <w:highlight w:val="none"/>
              </w:rPr>
              <w:t>学历毕业证书、</w:t>
            </w:r>
            <w:r>
              <w:rPr>
                <w:rFonts w:hint="default" w:ascii="Times New Roman" w:hAnsi="Times New Roman" w:eastAsia="宋体" w:cs="Times New Roman"/>
                <w:color w:val="auto"/>
                <w:sz w:val="24"/>
                <w:szCs w:val="24"/>
                <w:highlight w:val="none"/>
              </w:rPr>
              <w:t>CCRC信息安全保障人员认证（CISAW）证书</w:t>
            </w:r>
            <w:r>
              <w:rPr>
                <w:rFonts w:hint="default" w:ascii="Times New Roman" w:hAnsi="Times New Roman" w:eastAsia="宋体" w:cs="Times New Roman"/>
                <w:color w:val="auto"/>
                <w:kern w:val="0"/>
                <w:sz w:val="24"/>
                <w:szCs w:val="24"/>
                <w:highlight w:val="none"/>
              </w:rPr>
              <w:t>，提供以上证书扫描件，每个合格的证书扫描件得</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分，最多</w:t>
            </w:r>
            <w:r>
              <w:rPr>
                <w:rFonts w:hint="default" w:ascii="Times New Roman" w:hAnsi="Times New Roman" w:eastAsia="宋体"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rPr>
              <w:t>分；</w:t>
            </w:r>
          </w:p>
          <w:p w14:paraId="39EE3C4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rPr>
              <w:t>技术</w:t>
            </w:r>
            <w:r>
              <w:rPr>
                <w:rFonts w:hint="default" w:ascii="Times New Roman" w:hAnsi="Times New Roman" w:eastAsia="宋体" w:cs="Times New Roman"/>
                <w:color w:val="auto"/>
                <w:sz w:val="24"/>
                <w:szCs w:val="24"/>
                <w:highlight w:val="none"/>
                <w:lang w:val="en-US" w:eastAsia="zh-CN"/>
              </w:rPr>
              <w:t>负责人具备3</w:t>
            </w:r>
            <w:r>
              <w:rPr>
                <w:rFonts w:hint="default" w:ascii="Times New Roman" w:hAnsi="Times New Roman" w:eastAsia="宋体" w:cs="Times New Roman"/>
                <w:color w:val="auto"/>
                <w:sz w:val="24"/>
                <w:szCs w:val="24"/>
                <w:highlight w:val="none"/>
              </w:rPr>
              <w:t>年或以上</w:t>
            </w:r>
            <w:r>
              <w:rPr>
                <w:rFonts w:hint="default" w:ascii="Times New Roman" w:hAnsi="Times New Roman" w:eastAsia="宋体" w:cs="Times New Roman"/>
                <w:color w:val="auto"/>
                <w:sz w:val="24"/>
                <w:szCs w:val="24"/>
                <w:highlight w:val="none"/>
                <w:lang w:val="en-US" w:eastAsia="zh-CN"/>
              </w:rPr>
              <w:t>信息化</w:t>
            </w:r>
            <w:r>
              <w:rPr>
                <w:rFonts w:hint="default" w:ascii="Times New Roman" w:hAnsi="Times New Roman" w:eastAsia="宋体" w:cs="Times New Roman"/>
                <w:color w:val="auto"/>
                <w:sz w:val="24"/>
                <w:szCs w:val="24"/>
                <w:highlight w:val="none"/>
              </w:rPr>
              <w:t>硬件运行维护工作经验</w:t>
            </w:r>
            <w:r>
              <w:rPr>
                <w:rFonts w:hint="default" w:ascii="Times New Roman" w:hAnsi="Times New Roman" w:eastAsia="宋体" w:cs="Times New Roman"/>
                <w:color w:val="auto"/>
                <w:kern w:val="0"/>
                <w:sz w:val="24"/>
                <w:szCs w:val="24"/>
                <w:highlight w:val="none"/>
              </w:rPr>
              <w:t>，提供以上人员工作简历</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每个满足以上要求的人员得1分，最多</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rPr>
              <w:t>分</w:t>
            </w:r>
            <w:r>
              <w:rPr>
                <w:rFonts w:hint="default" w:ascii="Times New Roman" w:hAnsi="Times New Roman" w:eastAsia="宋体" w:cs="Times New Roman"/>
                <w:color w:val="auto"/>
                <w:kern w:val="0"/>
                <w:sz w:val="24"/>
                <w:szCs w:val="24"/>
                <w:highlight w:val="none"/>
                <w:lang w:eastAsia="zh-CN"/>
              </w:rPr>
              <w:t>；</w:t>
            </w:r>
          </w:p>
        </w:tc>
        <w:tc>
          <w:tcPr>
            <w:tcW w:w="1140" w:type="dxa"/>
            <w:shd w:val="clear" w:color="auto" w:fill="auto"/>
            <w:vAlign w:val="center"/>
          </w:tcPr>
          <w:p w14:paraId="1D46AC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8</w:t>
            </w:r>
          </w:p>
        </w:tc>
      </w:tr>
      <w:tr w14:paraId="2106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19963E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auto"/>
                <w:kern w:val="0"/>
                <w:sz w:val="24"/>
                <w:szCs w:val="24"/>
                <w:highlight w:val="none"/>
              </w:rPr>
            </w:pPr>
            <w:r>
              <w:rPr>
                <w:rFonts w:hint="eastAsia" w:cs="Times New Roman"/>
                <w:i w:val="0"/>
                <w:iCs w:val="0"/>
                <w:color w:val="auto"/>
                <w:kern w:val="0"/>
                <w:sz w:val="24"/>
                <w:szCs w:val="24"/>
                <w:highlight w:val="none"/>
                <w:u w:val="none"/>
                <w:lang w:val="en-US" w:eastAsia="zh-CN" w:bidi="ar"/>
              </w:rPr>
              <w:t>4</w:t>
            </w:r>
          </w:p>
        </w:tc>
        <w:tc>
          <w:tcPr>
            <w:tcW w:w="1425" w:type="dxa"/>
            <w:gridSpan w:val="2"/>
            <w:shd w:val="clear" w:color="auto" w:fill="auto"/>
            <w:vAlign w:val="center"/>
          </w:tcPr>
          <w:p w14:paraId="1B93F5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售后服务评价</w:t>
            </w:r>
          </w:p>
        </w:tc>
        <w:tc>
          <w:tcPr>
            <w:tcW w:w="7308" w:type="dxa"/>
            <w:shd w:val="clear" w:color="auto" w:fill="auto"/>
            <w:vAlign w:val="center"/>
          </w:tcPr>
          <w:p w14:paraId="69345B7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i w:val="0"/>
                <w:iCs w:val="0"/>
                <w:color w:val="auto"/>
                <w:kern w:val="0"/>
                <w:sz w:val="24"/>
                <w:szCs w:val="24"/>
                <w:highlight w:val="none"/>
                <w:u w:val="none"/>
                <w:lang w:val="en-US" w:eastAsia="zh-CN" w:bidi="ar"/>
              </w:rPr>
              <w:t>供应商提供流控设备、负载均衡设备、异常流量检测系统、边界防火墙的</w:t>
            </w:r>
            <w:r>
              <w:rPr>
                <w:rFonts w:hint="eastAsia" w:cs="Times New Roman"/>
                <w:i w:val="0"/>
                <w:iCs w:val="0"/>
                <w:color w:val="auto"/>
                <w:kern w:val="0"/>
                <w:sz w:val="24"/>
                <w:szCs w:val="24"/>
                <w:highlight w:val="none"/>
                <w:u w:val="none"/>
                <w:lang w:val="en-US" w:eastAsia="zh-CN" w:bidi="ar"/>
              </w:rPr>
              <w:t>制造商出具的</w:t>
            </w:r>
            <w:r>
              <w:rPr>
                <w:rFonts w:hint="eastAsia" w:ascii="Times New Roman" w:hAnsi="Times New Roman" w:eastAsia="宋体" w:cs="Times New Roman"/>
                <w:i w:val="0"/>
                <w:iCs w:val="0"/>
                <w:color w:val="auto"/>
                <w:kern w:val="0"/>
                <w:sz w:val="24"/>
                <w:szCs w:val="24"/>
                <w:highlight w:val="none"/>
                <w:u w:val="none"/>
                <w:lang w:val="en-US" w:eastAsia="zh-CN" w:bidi="ar"/>
              </w:rPr>
              <w:t>原厂售后服务承诺，每提供1</w:t>
            </w:r>
            <w:r>
              <w:rPr>
                <w:rFonts w:hint="eastAsia" w:cs="Times New Roman"/>
                <w:i w:val="0"/>
                <w:iCs w:val="0"/>
                <w:color w:val="auto"/>
                <w:kern w:val="0"/>
                <w:sz w:val="24"/>
                <w:szCs w:val="24"/>
                <w:highlight w:val="none"/>
                <w:u w:val="none"/>
                <w:lang w:val="en-US" w:eastAsia="zh-CN" w:bidi="ar"/>
              </w:rPr>
              <w:t>种设备的上述材料</w:t>
            </w:r>
            <w:r>
              <w:rPr>
                <w:rFonts w:hint="eastAsia" w:ascii="Times New Roman" w:hAnsi="Times New Roman" w:eastAsia="宋体" w:cs="Times New Roman"/>
                <w:i w:val="0"/>
                <w:iCs w:val="0"/>
                <w:color w:val="auto"/>
                <w:kern w:val="0"/>
                <w:sz w:val="24"/>
                <w:szCs w:val="24"/>
                <w:highlight w:val="none"/>
                <w:u w:val="none"/>
                <w:lang w:val="en-US" w:eastAsia="zh-CN" w:bidi="ar"/>
              </w:rPr>
              <w:t>得2分，最多8分</w:t>
            </w:r>
          </w:p>
        </w:tc>
        <w:tc>
          <w:tcPr>
            <w:tcW w:w="1140" w:type="dxa"/>
            <w:shd w:val="clear" w:color="auto" w:fill="auto"/>
            <w:vAlign w:val="center"/>
          </w:tcPr>
          <w:p w14:paraId="18DCF2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auto"/>
                <w:kern w:val="0"/>
                <w:sz w:val="24"/>
                <w:szCs w:val="24"/>
                <w:highlight w:val="none"/>
              </w:rPr>
            </w:pPr>
            <w:r>
              <w:rPr>
                <w:rFonts w:hint="eastAsia" w:cs="Times New Roman"/>
                <w:i w:val="0"/>
                <w:iCs w:val="0"/>
                <w:color w:val="auto"/>
                <w:kern w:val="0"/>
                <w:sz w:val="24"/>
                <w:szCs w:val="24"/>
                <w:highlight w:val="none"/>
                <w:u w:val="none"/>
                <w:lang w:val="en-US" w:eastAsia="zh-CN" w:bidi="ar"/>
              </w:rPr>
              <w:t>8</w:t>
            </w:r>
          </w:p>
        </w:tc>
      </w:tr>
      <w:tr w14:paraId="458E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4EB1B3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val="en-US" w:eastAsia="zh-CN"/>
              </w:rPr>
              <w:t>5</w:t>
            </w:r>
          </w:p>
        </w:tc>
        <w:tc>
          <w:tcPr>
            <w:tcW w:w="1425" w:type="dxa"/>
            <w:gridSpan w:val="2"/>
            <w:shd w:val="clear" w:color="auto" w:fill="auto"/>
            <w:vAlign w:val="center"/>
          </w:tcPr>
          <w:p w14:paraId="3C43A0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投标人承诺评价</w:t>
            </w:r>
          </w:p>
        </w:tc>
        <w:tc>
          <w:tcPr>
            <w:tcW w:w="7308" w:type="dxa"/>
            <w:shd w:val="clear" w:color="auto" w:fill="auto"/>
            <w:vAlign w:val="center"/>
          </w:tcPr>
          <w:p w14:paraId="02D14A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highlight w:val="none"/>
              </w:rPr>
            </w:pPr>
            <w:r>
              <w:rPr>
                <w:rFonts w:hint="eastAsia"/>
                <w:color w:val="auto"/>
                <w:kern w:val="0"/>
                <w:sz w:val="24"/>
                <w:szCs w:val="24"/>
                <w:highlight w:val="none"/>
              </w:rPr>
              <w:t>承诺完全满足磋商文件“报价要求”、“时间地点要求”、“付款方式要求”和技术要求中非“★”号要求的：5分，其他0分。</w:t>
            </w:r>
          </w:p>
        </w:tc>
        <w:tc>
          <w:tcPr>
            <w:tcW w:w="1140" w:type="dxa"/>
            <w:shd w:val="clear" w:color="auto" w:fill="auto"/>
            <w:vAlign w:val="center"/>
          </w:tcPr>
          <w:p w14:paraId="6807B3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5</w:t>
            </w:r>
          </w:p>
        </w:tc>
      </w:tr>
      <w:tr w14:paraId="6DB8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96" w:type="dxa"/>
            <w:gridSpan w:val="4"/>
            <w:shd w:val="clear" w:color="auto" w:fill="auto"/>
            <w:noWrap/>
            <w:vAlign w:val="center"/>
          </w:tcPr>
          <w:p w14:paraId="127449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第三部分 主观分（</w:t>
            </w:r>
            <w:r>
              <w:rPr>
                <w:rFonts w:hint="eastAsia"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rPr>
              <w:t>分）</w:t>
            </w:r>
          </w:p>
        </w:tc>
        <w:tc>
          <w:tcPr>
            <w:tcW w:w="1140" w:type="dxa"/>
            <w:shd w:val="clear" w:color="auto" w:fill="auto"/>
            <w:vAlign w:val="center"/>
          </w:tcPr>
          <w:p w14:paraId="65033D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分值</w:t>
            </w:r>
          </w:p>
        </w:tc>
      </w:tr>
      <w:tr w14:paraId="7FFB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B972FC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1419" w:type="dxa"/>
            <w:shd w:val="clear" w:color="auto" w:fill="auto"/>
            <w:vAlign w:val="center"/>
          </w:tcPr>
          <w:p w14:paraId="58A11C0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项目需求理解分析评价</w:t>
            </w:r>
          </w:p>
        </w:tc>
        <w:tc>
          <w:tcPr>
            <w:tcW w:w="7314" w:type="dxa"/>
            <w:gridSpan w:val="2"/>
            <w:shd w:val="clear" w:color="auto" w:fill="auto"/>
            <w:vAlign w:val="center"/>
          </w:tcPr>
          <w:p w14:paraId="4D74FF88">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至少包含系统现状、任务目标、实施要求等方面内容</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9</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014F8564">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06B45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9</w:t>
            </w:r>
          </w:p>
        </w:tc>
      </w:tr>
      <w:tr w14:paraId="36EA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63" w:type="dxa"/>
            <w:shd w:val="clear" w:color="auto" w:fill="auto"/>
            <w:noWrap/>
            <w:vAlign w:val="center"/>
          </w:tcPr>
          <w:p w14:paraId="5ECCB1D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1419" w:type="dxa"/>
            <w:shd w:val="clear" w:color="auto" w:fill="auto"/>
            <w:vAlign w:val="center"/>
          </w:tcPr>
          <w:p w14:paraId="48880CC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i w:val="0"/>
                <w:iCs w:val="0"/>
                <w:color w:val="auto"/>
                <w:kern w:val="0"/>
                <w:sz w:val="24"/>
                <w:szCs w:val="24"/>
                <w:highlight w:val="none"/>
                <w:u w:val="none"/>
                <w:lang w:val="en-US" w:eastAsia="zh-CN" w:bidi="ar"/>
              </w:rPr>
              <w:t>项目服务人员评价</w:t>
            </w:r>
          </w:p>
        </w:tc>
        <w:tc>
          <w:tcPr>
            <w:tcW w:w="7314" w:type="dxa"/>
            <w:gridSpan w:val="2"/>
            <w:shd w:val="clear" w:color="auto" w:fill="auto"/>
            <w:vAlign w:val="center"/>
          </w:tcPr>
          <w:p w14:paraId="2C045C37">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至少包含人员分工、岗位职责、人员工作经验及技术实力、人员稳定性保障措施等方面内容</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8</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方案内容存在3处瑕疵：</w:t>
            </w:r>
            <w:r>
              <w:rPr>
                <w:rFonts w:hint="eastAsia" w:cs="Times New Roman"/>
                <w:i w:val="0"/>
                <w:iCs w:val="0"/>
                <w:color w:val="auto"/>
                <w:kern w:val="0"/>
                <w:sz w:val="24"/>
                <w:szCs w:val="24"/>
                <w:highlight w:val="none"/>
                <w:u w:val="none"/>
                <w:lang w:val="en-US" w:eastAsia="zh-CN" w:bidi="ar"/>
              </w:rPr>
              <w:t>2</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1A3627EA">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271DD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8</w:t>
            </w:r>
          </w:p>
        </w:tc>
      </w:tr>
      <w:tr w14:paraId="00A2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0B94CD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1419" w:type="dxa"/>
            <w:shd w:val="clear" w:color="auto" w:fill="auto"/>
            <w:vAlign w:val="center"/>
          </w:tcPr>
          <w:p w14:paraId="14CA686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i w:val="0"/>
                <w:iCs w:val="0"/>
                <w:color w:val="auto"/>
                <w:kern w:val="0"/>
                <w:sz w:val="24"/>
                <w:szCs w:val="24"/>
                <w:highlight w:val="none"/>
                <w:u w:val="none"/>
                <w:lang w:val="en-US" w:eastAsia="zh-CN" w:bidi="ar"/>
              </w:rPr>
              <w:t>整体运行维护方案评价</w:t>
            </w:r>
          </w:p>
        </w:tc>
        <w:tc>
          <w:tcPr>
            <w:tcW w:w="7314" w:type="dxa"/>
            <w:gridSpan w:val="2"/>
            <w:shd w:val="clear" w:color="auto" w:fill="auto"/>
            <w:vAlign w:val="center"/>
          </w:tcPr>
          <w:p w14:paraId="4EE95E31">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至少包含针对本项目系统的运维计划、实施方案等方面内容</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8</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方案内容存在3处瑕疵：</w:t>
            </w:r>
            <w:r>
              <w:rPr>
                <w:rFonts w:hint="eastAsia" w:cs="Times New Roman"/>
                <w:i w:val="0"/>
                <w:iCs w:val="0"/>
                <w:color w:val="auto"/>
                <w:kern w:val="0"/>
                <w:sz w:val="24"/>
                <w:szCs w:val="24"/>
                <w:highlight w:val="none"/>
                <w:u w:val="none"/>
                <w:lang w:val="en-US" w:eastAsia="zh-CN" w:bidi="ar"/>
              </w:rPr>
              <w:t>2</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2E6757F5">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96747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val="en-US" w:eastAsia="zh-CN"/>
              </w:rPr>
              <w:t>8</w:t>
            </w:r>
          </w:p>
        </w:tc>
      </w:tr>
      <w:tr w14:paraId="67B3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D69D2E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1419" w:type="dxa"/>
            <w:shd w:val="clear" w:color="auto" w:fill="auto"/>
            <w:vAlign w:val="center"/>
          </w:tcPr>
          <w:p w14:paraId="1165125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故障管理处理方案</w:t>
            </w:r>
          </w:p>
        </w:tc>
        <w:tc>
          <w:tcPr>
            <w:tcW w:w="7314" w:type="dxa"/>
            <w:gridSpan w:val="2"/>
            <w:shd w:val="clear" w:color="auto" w:fill="auto"/>
            <w:vAlign w:val="center"/>
          </w:tcPr>
          <w:p w14:paraId="3455EF4E">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至少包含响应时间、故障处理方案、防止再发方案等方面内容</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8</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方案内容存在3处瑕疵：</w:t>
            </w:r>
            <w:r>
              <w:rPr>
                <w:rFonts w:hint="eastAsia" w:cs="Times New Roman"/>
                <w:i w:val="0"/>
                <w:iCs w:val="0"/>
                <w:color w:val="auto"/>
                <w:kern w:val="0"/>
                <w:sz w:val="24"/>
                <w:szCs w:val="24"/>
                <w:highlight w:val="none"/>
                <w:u w:val="none"/>
                <w:lang w:val="en-US" w:eastAsia="zh-CN" w:bidi="ar"/>
              </w:rPr>
              <w:t>2</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4B8E67E5">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CDDAB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val="en-US" w:eastAsia="zh-CN"/>
              </w:rPr>
              <w:t>8</w:t>
            </w:r>
          </w:p>
        </w:tc>
      </w:tr>
      <w:tr w14:paraId="02FF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C0040D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5</w:t>
            </w:r>
          </w:p>
        </w:tc>
        <w:tc>
          <w:tcPr>
            <w:tcW w:w="1419" w:type="dxa"/>
            <w:shd w:val="clear" w:color="auto" w:fill="auto"/>
            <w:vAlign w:val="center"/>
          </w:tcPr>
          <w:p w14:paraId="2E96959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突发事件管理方案</w:t>
            </w:r>
          </w:p>
        </w:tc>
        <w:tc>
          <w:tcPr>
            <w:tcW w:w="7314" w:type="dxa"/>
            <w:gridSpan w:val="2"/>
            <w:shd w:val="clear" w:color="auto" w:fill="auto"/>
            <w:vAlign w:val="center"/>
          </w:tcPr>
          <w:p w14:paraId="54C8F766">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至少包含针对恶意攻击、访问量激增等处理方案</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8</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方案内容存在3处瑕疵：</w:t>
            </w:r>
            <w:r>
              <w:rPr>
                <w:rFonts w:hint="eastAsia" w:cs="Times New Roman"/>
                <w:i w:val="0"/>
                <w:iCs w:val="0"/>
                <w:color w:val="auto"/>
                <w:kern w:val="0"/>
                <w:sz w:val="24"/>
                <w:szCs w:val="24"/>
                <w:highlight w:val="none"/>
                <w:u w:val="none"/>
                <w:lang w:val="en-US" w:eastAsia="zh-CN" w:bidi="ar"/>
              </w:rPr>
              <w:t>2</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6C493FC7">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0138F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val="en-US" w:eastAsia="zh-CN"/>
              </w:rPr>
              <w:t>8</w:t>
            </w:r>
          </w:p>
        </w:tc>
      </w:tr>
      <w:tr w14:paraId="5AB6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A1149C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6</w:t>
            </w:r>
          </w:p>
        </w:tc>
        <w:tc>
          <w:tcPr>
            <w:tcW w:w="1419" w:type="dxa"/>
            <w:shd w:val="clear" w:color="auto" w:fill="auto"/>
            <w:vAlign w:val="center"/>
          </w:tcPr>
          <w:p w14:paraId="1E0D3C6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定期预防性检查方案</w:t>
            </w:r>
          </w:p>
        </w:tc>
        <w:tc>
          <w:tcPr>
            <w:tcW w:w="7314" w:type="dxa"/>
            <w:gridSpan w:val="2"/>
            <w:shd w:val="clear" w:color="auto" w:fill="auto"/>
            <w:vAlign w:val="center"/>
          </w:tcPr>
          <w:p w14:paraId="02FC2914">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至少包含预防性检查频率、检查内容、发现问题后的解决方案等方面内容</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8</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方案内容存在3处瑕疵：</w:t>
            </w:r>
            <w:r>
              <w:rPr>
                <w:rFonts w:hint="eastAsia" w:cs="Times New Roman"/>
                <w:i w:val="0"/>
                <w:iCs w:val="0"/>
                <w:color w:val="auto"/>
                <w:kern w:val="0"/>
                <w:sz w:val="24"/>
                <w:szCs w:val="24"/>
                <w:highlight w:val="none"/>
                <w:u w:val="none"/>
                <w:lang w:val="en-US" w:eastAsia="zh-CN" w:bidi="ar"/>
              </w:rPr>
              <w:t>2</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7905D37F">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B1FFC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val="en-US" w:eastAsia="zh-CN"/>
              </w:rPr>
              <w:t>8</w:t>
            </w:r>
          </w:p>
        </w:tc>
      </w:tr>
      <w:tr w14:paraId="52FC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0A5057C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7</w:t>
            </w:r>
          </w:p>
        </w:tc>
        <w:tc>
          <w:tcPr>
            <w:tcW w:w="1419" w:type="dxa"/>
            <w:shd w:val="clear" w:color="auto" w:fill="auto"/>
            <w:vAlign w:val="center"/>
          </w:tcPr>
          <w:p w14:paraId="080D62A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备品备件、备机解决方案</w:t>
            </w:r>
          </w:p>
        </w:tc>
        <w:tc>
          <w:tcPr>
            <w:tcW w:w="7314" w:type="dxa"/>
            <w:gridSpan w:val="2"/>
            <w:shd w:val="clear" w:color="auto" w:fill="auto"/>
            <w:vAlign w:val="center"/>
          </w:tcPr>
          <w:p w14:paraId="4C510F86">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至少包含备品备件储备情况、响应时间、更换方案等方面内容</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要求，无瑕疵：</w:t>
            </w:r>
            <w:r>
              <w:rPr>
                <w:rFonts w:hint="eastAsia" w:cs="Times New Roman"/>
                <w:i w:val="0"/>
                <w:iCs w:val="0"/>
                <w:color w:val="auto"/>
                <w:kern w:val="0"/>
                <w:sz w:val="24"/>
                <w:szCs w:val="24"/>
                <w:highlight w:val="none"/>
                <w:u w:val="none"/>
                <w:lang w:val="en-US" w:eastAsia="zh-CN" w:bidi="ar"/>
              </w:rPr>
              <w:t>6</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方案内容存在1处瑕疵：</w:t>
            </w:r>
            <w:r>
              <w:rPr>
                <w:rFonts w:hint="eastAsia"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方案内容存在2处瑕疵：</w:t>
            </w:r>
            <w:r>
              <w:rPr>
                <w:rFonts w:hint="eastAsia" w:cs="Times New Roman"/>
                <w:i w:val="0"/>
                <w:iCs w:val="0"/>
                <w:color w:val="auto"/>
                <w:kern w:val="0"/>
                <w:sz w:val="24"/>
                <w:szCs w:val="24"/>
                <w:highlight w:val="none"/>
                <w:u w:val="none"/>
                <w:lang w:val="en-US" w:eastAsia="zh-CN" w:bidi="ar"/>
              </w:rPr>
              <w:t>2</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430E5147">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未提供方案或不满足</w:t>
            </w:r>
            <w:r>
              <w:rPr>
                <w:rFonts w:hint="eastAsia" w:ascii="Times New Roman" w:hAnsi="Times New Roman" w:eastAsia="宋体" w:cs="Times New Roman"/>
                <w:i w:val="0"/>
                <w:iCs w:val="0"/>
                <w:color w:val="auto"/>
                <w:kern w:val="0"/>
                <w:sz w:val="24"/>
                <w:szCs w:val="24"/>
                <w:highlight w:val="none"/>
                <w:u w:val="none"/>
                <w:lang w:val="en-US" w:eastAsia="zh-CN" w:bidi="ar"/>
              </w:rPr>
              <w:t>磋商文件</w:t>
            </w:r>
            <w:r>
              <w:rPr>
                <w:rFonts w:hint="default" w:ascii="Times New Roman" w:hAnsi="Times New Roman" w:eastAsia="宋体" w:cs="Times New Roman"/>
                <w:i w:val="0"/>
                <w:iCs w:val="0"/>
                <w:color w:val="auto"/>
                <w:kern w:val="0"/>
                <w:sz w:val="24"/>
                <w:szCs w:val="24"/>
                <w:highlight w:val="none"/>
                <w:u w:val="none"/>
                <w:lang w:val="en-US" w:eastAsia="zh-CN" w:bidi="ar"/>
              </w:rPr>
              <w:t>要求或内容存在</w:t>
            </w:r>
            <w:r>
              <w:rPr>
                <w:rFonts w:hint="eastAsia" w:cs="Times New Roman"/>
                <w:i w:val="0"/>
                <w:iCs w:val="0"/>
                <w:color w:val="auto"/>
                <w:kern w:val="0"/>
                <w:sz w:val="24"/>
                <w:szCs w:val="24"/>
                <w:highlight w:val="none"/>
                <w:u w:val="none"/>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处及以上瑕疵：0分；</w:t>
            </w:r>
            <w:r>
              <w:rPr>
                <w:rFonts w:hint="default" w:ascii="Times New Roman" w:hAnsi="Times New Roman" w:eastAsia="宋体" w:cs="Times New Roman"/>
                <w:i w:val="0"/>
                <w:iCs w:val="0"/>
                <w:color w:val="auto"/>
                <w:kern w:val="0"/>
                <w:sz w:val="24"/>
                <w:szCs w:val="24"/>
                <w:highlight w:val="none"/>
                <w:u w:val="none"/>
                <w:lang w:val="en-US" w:eastAsia="zh-CN" w:bidi="ar"/>
              </w:rPr>
              <w:br w:type="textWrapping"/>
            </w:r>
            <w:r>
              <w:rPr>
                <w:rFonts w:hint="default" w:ascii="Times New Roman" w:hAnsi="Times New Roman" w:eastAsia="宋体" w:cs="Times New Roman"/>
                <w:i w:val="0"/>
                <w:iCs w:val="0"/>
                <w:color w:val="auto"/>
                <w:kern w:val="0"/>
                <w:sz w:val="24"/>
                <w:szCs w:val="24"/>
                <w:highlight w:val="none"/>
                <w:u w:val="none"/>
                <w:lang w:val="en-US" w:eastAsia="zh-CN"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29F62A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6</w:t>
            </w:r>
          </w:p>
        </w:tc>
      </w:tr>
      <w:tr w14:paraId="1AF2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5268F1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合计</w:t>
            </w:r>
          </w:p>
        </w:tc>
        <w:tc>
          <w:tcPr>
            <w:tcW w:w="1140" w:type="dxa"/>
            <w:shd w:val="clear" w:color="auto" w:fill="auto"/>
            <w:vAlign w:val="center"/>
          </w:tcPr>
          <w:p w14:paraId="593BBC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100</w:t>
            </w:r>
          </w:p>
        </w:tc>
      </w:tr>
    </w:tbl>
    <w:p w14:paraId="5A99DB68">
      <w:pPr>
        <w:spacing w:line="360" w:lineRule="auto"/>
        <w:ind w:firstLine="480" w:firstLineChars="200"/>
        <w:outlineLvl w:val="0"/>
        <w:rPr>
          <w:color w:val="FF0000"/>
          <w:sz w:val="24"/>
        </w:rPr>
      </w:pPr>
    </w:p>
    <w:p w14:paraId="0E40B4C1">
      <w:pPr>
        <w:widowControl/>
        <w:jc w:val="left"/>
        <w:rPr>
          <w:b/>
          <w:sz w:val="24"/>
        </w:rPr>
      </w:pPr>
      <w:r>
        <w:rPr>
          <w:b/>
          <w:sz w:val="24"/>
        </w:rPr>
        <w:br w:type="page"/>
      </w:r>
    </w:p>
    <w:p w14:paraId="58FDDB72">
      <w:pPr>
        <w:spacing w:line="360" w:lineRule="auto"/>
        <w:jc w:val="center"/>
        <w:rPr>
          <w:b/>
          <w:sz w:val="24"/>
        </w:rPr>
      </w:pPr>
      <w:r>
        <w:rPr>
          <w:b/>
          <w:sz w:val="24"/>
        </w:rPr>
        <w:t>项目需求书</w:t>
      </w:r>
    </w:p>
    <w:p w14:paraId="1CBB8115">
      <w:pPr>
        <w:spacing w:line="360" w:lineRule="auto"/>
        <w:ind w:firstLine="482" w:firstLineChars="200"/>
        <w:outlineLvl w:val="0"/>
        <w:rPr>
          <w:b/>
          <w:bCs/>
          <w:sz w:val="24"/>
        </w:rPr>
      </w:pPr>
      <w:r>
        <w:rPr>
          <w:rFonts w:hint="eastAsia"/>
          <w:b/>
          <w:bCs/>
          <w:sz w:val="24"/>
        </w:rPr>
        <w:t>一、项目背景</w:t>
      </w:r>
    </w:p>
    <w:p w14:paraId="033A6AB4">
      <w:pPr>
        <w:spacing w:line="360" w:lineRule="auto"/>
        <w:ind w:firstLine="480" w:firstLineChars="200"/>
        <w:outlineLvl w:val="0"/>
        <w:rPr>
          <w:rFonts w:hint="eastAsia"/>
          <w:b w:val="0"/>
          <w:bCs w:val="0"/>
          <w:sz w:val="24"/>
        </w:rPr>
      </w:pPr>
      <w:r>
        <w:rPr>
          <w:rFonts w:hint="eastAsia"/>
          <w:b w:val="0"/>
          <w:bCs w:val="0"/>
          <w:sz w:val="24"/>
        </w:rPr>
        <w:t>当前天津师范大学的软件系统硬件设备维保服务项目共包含2大项维保分项：软件产品和硬件产品，其中软件产品包括11小项：企业微信维保、网上服务大厅维保、邮件系统维保、访客系统维保、系统漏洞修复、VPN系统服务、网络管理平台服务、DHCP系统维护、网站不规范表述检测服务、网站资源管理服务、站群防篡改服务，硬件产品包括7小项：校园网维保、云平台维保、UPS主机维保、负载均衡设备维保服务、流控设备维保、异常流量检测系统服务、边界防火墙维保。为确保天津师范大学软件系统及硬件设备正常运转，需继续采购此维保项目。</w:t>
      </w:r>
    </w:p>
    <w:p w14:paraId="5E899417">
      <w:pPr>
        <w:spacing w:line="360" w:lineRule="auto"/>
        <w:ind w:firstLine="480" w:firstLineChars="200"/>
        <w:outlineLvl w:val="0"/>
        <w:rPr>
          <w:rFonts w:hint="eastAsia"/>
          <w:b w:val="0"/>
          <w:bCs w:val="0"/>
          <w:color w:val="auto"/>
          <w:sz w:val="24"/>
          <w:highlight w:val="none"/>
        </w:rPr>
      </w:pPr>
      <w:r>
        <w:rPr>
          <w:rFonts w:hint="eastAsia"/>
          <w:b w:val="0"/>
          <w:bCs w:val="0"/>
          <w:sz w:val="24"/>
        </w:rPr>
        <w:t>此次采购各分项均系天津师范大学网信运行的必要支出，其可行性已经得到验证。企业微信维保提供高效的内部沟通与协作平台；机房UPS主机维保保障机房设备正常运行稳定性；网上服务大厅维保提供优质的在线服务；邮件系统维保保障邮件通信畅通；校园网维保确保网络安全和性能，相应学校师生用户的网络故障报修；访客系统提供便捷的访客管理；云平台维保保证云服务的可靠性和安全性；系统漏洞修复提升信息系统安全和稳定性；VPN服务满足校外安全访问需求；网络管理平台服务和DHCP服务提高我校网络管理效率。这些分项属于我校网信运行的基本需求，在校内使用多年，其使用和维护主要是对现有维保工作的</w:t>
      </w:r>
      <w:r>
        <w:rPr>
          <w:rFonts w:hint="eastAsia"/>
          <w:b w:val="0"/>
          <w:bCs w:val="0"/>
          <w:color w:val="auto"/>
          <w:sz w:val="24"/>
          <w:highlight w:val="none"/>
        </w:rPr>
        <w:t>延续，其工作可行性均已得到验证。</w:t>
      </w:r>
    </w:p>
    <w:p w14:paraId="069738D0">
      <w:pPr>
        <w:spacing w:line="360" w:lineRule="auto"/>
        <w:ind w:firstLine="480" w:firstLineChars="200"/>
        <w:outlineLvl w:val="0"/>
        <w:rPr>
          <w:rFonts w:hint="eastAsia"/>
          <w:b w:val="0"/>
          <w:bCs w:val="0"/>
          <w:color w:val="auto"/>
          <w:sz w:val="24"/>
          <w:highlight w:val="none"/>
        </w:rPr>
      </w:pPr>
      <w:r>
        <w:rPr>
          <w:rFonts w:hint="eastAsia"/>
          <w:b w:val="0"/>
          <w:bCs w:val="0"/>
          <w:color w:val="auto"/>
          <w:sz w:val="24"/>
          <w:highlight w:val="none"/>
        </w:rPr>
        <w:t>本项目通过专业的软件维护和硬件维保，提高天津师范大学网信软硬件系统的稳定性和可靠性；通过定期维护和检查，确保软件系统和硬件设备处于良好的工作状态，缩短故障响应时间，提供运维效率；通过优化系统以及优质的校园网运维服务，提高师生用户体验，提升高校整体的满意度；通过预防性、预测性维护，延长软硬件系统的使用寿命，减少运行风险，降低运维成本；整体实现优化系统和设备性能，满足教学、科研和管理等方面不断增长的网信业务需求。</w:t>
      </w:r>
    </w:p>
    <w:p w14:paraId="22FCE1A7">
      <w:pPr>
        <w:spacing w:line="360" w:lineRule="auto"/>
        <w:ind w:firstLine="480" w:firstLineChars="200"/>
        <w:outlineLvl w:val="0"/>
        <w:rPr>
          <w:rFonts w:hint="eastAsia" w:eastAsia="宋体"/>
          <w:color w:val="auto"/>
          <w:sz w:val="24"/>
          <w:highlight w:val="none"/>
          <w:lang w:eastAsia="zh-CN"/>
        </w:rPr>
      </w:pPr>
      <w:r>
        <w:rPr>
          <w:rFonts w:hint="eastAsia"/>
          <w:color w:val="auto"/>
          <w:sz w:val="24"/>
          <w:highlight w:val="none"/>
        </w:rPr>
        <w:t>本项目属于软件和信息技术服务业</w:t>
      </w:r>
      <w:r>
        <w:rPr>
          <w:rFonts w:hint="eastAsia"/>
          <w:color w:val="auto"/>
          <w:sz w:val="24"/>
          <w:highlight w:val="none"/>
          <w:lang w:eastAsia="zh-CN"/>
        </w:rPr>
        <w:t>。</w:t>
      </w:r>
    </w:p>
    <w:p w14:paraId="2A1CC37C">
      <w:pPr>
        <w:spacing w:line="360" w:lineRule="auto"/>
        <w:ind w:firstLine="482" w:firstLineChars="200"/>
        <w:outlineLvl w:val="0"/>
        <w:rPr>
          <w:color w:val="auto"/>
          <w:sz w:val="24"/>
          <w:highlight w:val="none"/>
        </w:rPr>
      </w:pPr>
      <w:r>
        <w:rPr>
          <w:rFonts w:hint="eastAsia"/>
          <w:b/>
          <w:bCs/>
          <w:color w:val="auto"/>
          <w:sz w:val="24"/>
          <w:highlight w:val="none"/>
          <w:lang w:val="en-US" w:eastAsia="zh-CN"/>
        </w:rPr>
        <w:t>二</w:t>
      </w:r>
      <w:r>
        <w:rPr>
          <w:rFonts w:hint="eastAsia"/>
          <w:b/>
          <w:bCs/>
          <w:color w:val="auto"/>
          <w:sz w:val="24"/>
          <w:highlight w:val="none"/>
        </w:rPr>
        <w:t>、具体要求</w:t>
      </w:r>
    </w:p>
    <w:p w14:paraId="3C6FD786">
      <w:pPr>
        <w:spacing w:line="360" w:lineRule="auto"/>
        <w:ind w:firstLine="482" w:firstLineChars="200"/>
        <w:outlineLvl w:val="0"/>
        <w:rPr>
          <w:rFonts w:hint="eastAsia" w:eastAsia="宋体"/>
          <w:b/>
          <w:bCs/>
          <w:color w:val="auto"/>
          <w:sz w:val="24"/>
          <w:highlight w:val="none"/>
          <w:lang w:eastAsia="zh-CN"/>
        </w:rPr>
      </w:pPr>
      <w:r>
        <w:rPr>
          <w:rFonts w:hint="eastAsia"/>
          <w:b/>
          <w:bCs/>
          <w:color w:val="auto"/>
          <w:sz w:val="24"/>
          <w:highlight w:val="none"/>
        </w:rPr>
        <w:t>（一）运维软件产品介绍</w:t>
      </w:r>
      <w:r>
        <w:rPr>
          <w:rFonts w:hint="eastAsia"/>
          <w:b/>
          <w:bCs/>
          <w:color w:val="auto"/>
          <w:sz w:val="24"/>
          <w:highlight w:val="none"/>
          <w:lang w:eastAsia="zh-CN"/>
        </w:rPr>
        <w:t>（</w:t>
      </w:r>
      <w:r>
        <w:rPr>
          <w:rFonts w:hint="eastAsia" w:ascii="宋体" w:hAnsi="宋体" w:eastAsia="宋体" w:cs="宋体"/>
          <w:b/>
          <w:bCs/>
          <w:i w:val="0"/>
          <w:iCs w:val="0"/>
          <w:color w:val="auto"/>
          <w:kern w:val="0"/>
          <w:sz w:val="24"/>
          <w:szCs w:val="24"/>
          <w:highlight w:val="none"/>
          <w:u w:val="none"/>
          <w:lang w:val="en-US" w:eastAsia="zh-CN" w:bidi="ar"/>
        </w:rPr>
        <w:t>集中采购目录内</w:t>
      </w:r>
      <w:r>
        <w:rPr>
          <w:rFonts w:hint="eastAsia"/>
          <w:b/>
          <w:bCs/>
          <w:color w:val="auto"/>
          <w:sz w:val="24"/>
          <w:highlight w:val="none"/>
          <w:lang w:eastAsia="zh-CN"/>
        </w:rPr>
        <w:t>）</w:t>
      </w:r>
    </w:p>
    <w:p w14:paraId="499834BD">
      <w:pPr>
        <w:spacing w:line="360" w:lineRule="auto"/>
        <w:ind w:firstLine="480" w:firstLineChars="200"/>
        <w:outlineLvl w:val="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1.企业微信</w:t>
      </w:r>
    </w:p>
    <w:tbl>
      <w:tblPr>
        <w:tblStyle w:val="1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2"/>
        <w:gridCol w:w="1213"/>
        <w:gridCol w:w="6534"/>
      </w:tblGrid>
      <w:tr w14:paraId="6E3F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964C5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153F1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8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ED737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1E6FF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3" w:type="pct"/>
            <w:tcBorders>
              <w:top w:val="nil"/>
              <w:left w:val="single" w:color="000000" w:sz="8" w:space="0"/>
              <w:bottom w:val="single" w:color="000000" w:sz="8" w:space="0"/>
              <w:right w:val="single" w:color="000000" w:sz="8" w:space="0"/>
            </w:tcBorders>
            <w:shd w:val="clear" w:color="auto" w:fill="auto"/>
            <w:vAlign w:val="center"/>
          </w:tcPr>
          <w:p w14:paraId="2D71061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12" w:type="pct"/>
            <w:tcBorders>
              <w:top w:val="nil"/>
              <w:left w:val="single" w:color="000000" w:sz="8" w:space="0"/>
              <w:bottom w:val="single" w:color="000000" w:sz="8" w:space="0"/>
              <w:right w:val="single" w:color="000000" w:sz="8" w:space="0"/>
            </w:tcBorders>
            <w:shd w:val="clear" w:color="auto" w:fill="auto"/>
            <w:vAlign w:val="center"/>
          </w:tcPr>
          <w:p w14:paraId="6C78EAB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天津师范大学统一协同通讯与学习平台</w:t>
            </w:r>
          </w:p>
        </w:tc>
        <w:tc>
          <w:tcPr>
            <w:tcW w:w="3834" w:type="pct"/>
            <w:tcBorders>
              <w:top w:val="nil"/>
              <w:left w:val="single" w:color="000000" w:sz="8" w:space="0"/>
              <w:bottom w:val="single" w:color="000000" w:sz="8" w:space="0"/>
              <w:right w:val="single" w:color="000000" w:sz="8" w:space="0"/>
            </w:tcBorders>
            <w:shd w:val="clear" w:color="auto" w:fill="auto"/>
            <w:vAlign w:val="center"/>
          </w:tcPr>
          <w:p w14:paraId="554E016E">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汇集学校各应用系统移动端接入，目前包括进出校服务、校园卡业务、校园网服务、浴室预约、研究生系统、办公系统、事事通、学工系统等二十余项移动应用。</w:t>
            </w:r>
          </w:p>
        </w:tc>
      </w:tr>
    </w:tbl>
    <w:p w14:paraId="44812701">
      <w:pPr>
        <w:spacing w:line="360" w:lineRule="auto"/>
        <w:ind w:firstLine="480" w:firstLineChars="200"/>
        <w:outlineLvl w:val="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软件维护内容</w:t>
      </w:r>
    </w:p>
    <w:tbl>
      <w:tblPr>
        <w:tblStyle w:val="1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2"/>
        <w:gridCol w:w="2097"/>
        <w:gridCol w:w="2265"/>
        <w:gridCol w:w="1297"/>
        <w:gridCol w:w="953"/>
        <w:gridCol w:w="953"/>
      </w:tblGrid>
      <w:tr w14:paraId="5D10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D3CA3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23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9071F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b w:val="0"/>
                <w:bCs w:val="0"/>
                <w:color w:val="auto"/>
                <w:highlight w:val="none"/>
                <w:lang w:val="en-US" w:eastAsia="zh-CN" w:bidi="ar"/>
              </w:rPr>
              <w:t>软件名称</w:t>
            </w:r>
          </w:p>
        </w:tc>
        <w:tc>
          <w:tcPr>
            <w:tcW w:w="132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BE4B5E">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品牌</w:t>
            </w:r>
          </w:p>
        </w:tc>
        <w:tc>
          <w:tcPr>
            <w:tcW w:w="76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A07AA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软件版本</w:t>
            </w:r>
          </w:p>
        </w:tc>
        <w:tc>
          <w:tcPr>
            <w:tcW w:w="5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7A09A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5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6B43D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r>
      <w:tr w14:paraId="082C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9" w:type="pct"/>
            <w:tcBorders>
              <w:top w:val="nil"/>
              <w:left w:val="single" w:color="000000" w:sz="8" w:space="0"/>
              <w:bottom w:val="single" w:color="000000" w:sz="8" w:space="0"/>
              <w:right w:val="single" w:color="000000" w:sz="8" w:space="0"/>
            </w:tcBorders>
            <w:shd w:val="clear" w:color="auto" w:fill="auto"/>
            <w:vAlign w:val="center"/>
          </w:tcPr>
          <w:p w14:paraId="2BC7ECD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Tahoma" w:cs="Times New Roman"/>
                <w:b w:val="0"/>
                <w:bCs w:val="0"/>
                <w:i w:val="0"/>
                <w:iCs w:val="0"/>
                <w:color w:val="auto"/>
                <w:sz w:val="24"/>
                <w:szCs w:val="24"/>
                <w:highlight w:val="none"/>
                <w:u w:val="none"/>
              </w:rPr>
            </w:pPr>
            <w:r>
              <w:rPr>
                <w:rFonts w:hint="default" w:ascii="Times New Roman" w:hAnsi="Times New Roman" w:eastAsia="Tahoma" w:cs="Times New Roman"/>
                <w:b w:val="0"/>
                <w:bCs w:val="0"/>
                <w:i w:val="0"/>
                <w:iCs w:val="0"/>
                <w:color w:val="auto"/>
                <w:kern w:val="0"/>
                <w:sz w:val="24"/>
                <w:szCs w:val="24"/>
                <w:highlight w:val="none"/>
                <w:u w:val="none"/>
                <w:lang w:val="en-US" w:eastAsia="zh-CN" w:bidi="ar"/>
              </w:rPr>
              <w:t>1</w:t>
            </w:r>
          </w:p>
        </w:tc>
        <w:tc>
          <w:tcPr>
            <w:tcW w:w="1231" w:type="pct"/>
            <w:tcBorders>
              <w:top w:val="nil"/>
              <w:left w:val="single" w:color="000000" w:sz="8" w:space="0"/>
              <w:bottom w:val="single" w:color="000000" w:sz="8" w:space="0"/>
              <w:right w:val="single" w:color="000000" w:sz="8" w:space="0"/>
            </w:tcBorders>
            <w:shd w:val="clear" w:color="auto" w:fill="auto"/>
            <w:vAlign w:val="center"/>
          </w:tcPr>
          <w:p w14:paraId="15D27FC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Tahoma" w:cs="Times New Roman"/>
                <w:b w:val="0"/>
                <w:bCs w:val="0"/>
                <w:i w:val="0"/>
                <w:iCs w:val="0"/>
                <w:color w:val="auto"/>
                <w:sz w:val="24"/>
                <w:szCs w:val="24"/>
                <w:highlight w:val="none"/>
                <w:u w:val="none"/>
              </w:rPr>
            </w:pPr>
            <w:r>
              <w:rPr>
                <w:rFonts w:hint="default" w:ascii="Times New Roman" w:hAnsi="Times New Roman" w:eastAsia="Tahoma" w:cs="Times New Roman"/>
                <w:b w:val="0"/>
                <w:bCs w:val="0"/>
                <w:i w:val="0"/>
                <w:iCs w:val="0"/>
                <w:color w:val="auto"/>
                <w:kern w:val="0"/>
                <w:sz w:val="24"/>
                <w:szCs w:val="24"/>
                <w:highlight w:val="none"/>
                <w:u w:val="none"/>
                <w:lang w:val="en-US" w:eastAsia="zh-CN" w:bidi="ar"/>
              </w:rPr>
              <w:t>Oracle</w:t>
            </w:r>
          </w:p>
        </w:tc>
        <w:tc>
          <w:tcPr>
            <w:tcW w:w="1329" w:type="pct"/>
            <w:tcBorders>
              <w:top w:val="nil"/>
              <w:left w:val="single" w:color="000000" w:sz="8" w:space="0"/>
              <w:bottom w:val="single" w:color="000000" w:sz="8" w:space="0"/>
              <w:right w:val="single" w:color="000000" w:sz="8" w:space="0"/>
            </w:tcBorders>
            <w:shd w:val="clear" w:color="auto" w:fill="auto"/>
            <w:vAlign w:val="center"/>
          </w:tcPr>
          <w:p w14:paraId="6045C3A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Times New Roman" w:hAnsi="Times New Roman" w:eastAsia="宋体" w:cs="Times New Roman"/>
                <w:b w:val="0"/>
                <w:bCs w:val="0"/>
                <w:i w:val="0"/>
                <w:iCs w:val="0"/>
                <w:color w:val="auto"/>
                <w:sz w:val="24"/>
                <w:szCs w:val="24"/>
                <w:highlight w:val="none"/>
                <w:u w:val="none"/>
                <w:lang w:val="en-US" w:eastAsia="zh-CN"/>
              </w:rPr>
            </w:pPr>
            <w:r>
              <w:rPr>
                <w:rFonts w:hint="default" w:ascii="Times New Roman" w:hAnsi="Times New Roman" w:eastAsia="Tahoma" w:cs="Times New Roman"/>
                <w:b w:val="0"/>
                <w:bCs w:val="0"/>
                <w:i w:val="0"/>
                <w:iCs w:val="0"/>
                <w:color w:val="auto"/>
                <w:kern w:val="0"/>
                <w:sz w:val="24"/>
                <w:szCs w:val="24"/>
                <w:highlight w:val="none"/>
                <w:u w:val="none"/>
                <w:lang w:val="en-US" w:eastAsia="zh-CN" w:bidi="ar"/>
              </w:rPr>
              <w:t>Oracle</w:t>
            </w:r>
          </w:p>
        </w:tc>
        <w:tc>
          <w:tcPr>
            <w:tcW w:w="761" w:type="pct"/>
            <w:tcBorders>
              <w:top w:val="nil"/>
              <w:left w:val="single" w:color="000000" w:sz="8" w:space="0"/>
              <w:bottom w:val="single" w:color="000000" w:sz="8" w:space="0"/>
              <w:right w:val="single" w:color="000000" w:sz="8" w:space="0"/>
            </w:tcBorders>
            <w:shd w:val="clear" w:color="auto" w:fill="auto"/>
            <w:vAlign w:val="center"/>
          </w:tcPr>
          <w:p w14:paraId="4BC2940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eastAsia="Tahoma" w:cs="Times New Roman"/>
                <w:b w:val="0"/>
                <w:bCs w:val="0"/>
                <w:i w:val="0"/>
                <w:iCs w:val="0"/>
                <w:color w:val="auto"/>
                <w:sz w:val="24"/>
                <w:szCs w:val="24"/>
                <w:highlight w:val="none"/>
                <w:u w:val="none"/>
              </w:rPr>
            </w:pPr>
            <w:r>
              <w:rPr>
                <w:rFonts w:hint="default" w:ascii="Times New Roman" w:hAnsi="Times New Roman" w:eastAsia="Tahoma" w:cs="Times New Roman"/>
                <w:b w:val="0"/>
                <w:bCs w:val="0"/>
                <w:i w:val="0"/>
                <w:iCs w:val="0"/>
                <w:color w:val="auto"/>
                <w:sz w:val="24"/>
                <w:szCs w:val="24"/>
                <w:highlight w:val="none"/>
                <w:u w:val="none"/>
              </w:rPr>
              <w:t>11g</w:t>
            </w:r>
          </w:p>
        </w:tc>
        <w:tc>
          <w:tcPr>
            <w:tcW w:w="559" w:type="pct"/>
            <w:tcBorders>
              <w:top w:val="nil"/>
              <w:left w:val="single" w:color="000000" w:sz="8" w:space="0"/>
              <w:bottom w:val="single" w:color="000000" w:sz="8" w:space="0"/>
              <w:right w:val="single" w:color="000000" w:sz="8" w:space="0"/>
            </w:tcBorders>
            <w:shd w:val="clear" w:color="auto" w:fill="auto"/>
            <w:vAlign w:val="center"/>
          </w:tcPr>
          <w:p w14:paraId="621FBD21">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Times New Roman" w:hAnsi="Times New Roman" w:eastAsia="宋体" w:cs="Times New Roman"/>
                <w:b w:val="0"/>
                <w:bCs w:val="0"/>
                <w:i w:val="0"/>
                <w:iCs w:val="0"/>
                <w:color w:val="auto"/>
                <w:sz w:val="24"/>
                <w:szCs w:val="24"/>
                <w:highlight w:val="none"/>
                <w:u w:val="none"/>
                <w:lang w:val="en-US" w:eastAsia="zh-CN"/>
              </w:rPr>
            </w:pPr>
            <w:r>
              <w:rPr>
                <w:rFonts w:hint="eastAsia" w:ascii="Times New Roman" w:hAnsi="Times New Roman" w:eastAsia="宋体" w:cs="Times New Roman"/>
                <w:b w:val="0"/>
                <w:bCs w:val="0"/>
                <w:i w:val="0"/>
                <w:iCs w:val="0"/>
                <w:color w:val="auto"/>
                <w:sz w:val="24"/>
                <w:szCs w:val="24"/>
                <w:highlight w:val="none"/>
                <w:u w:val="none"/>
                <w:lang w:val="en-US" w:eastAsia="zh-CN"/>
              </w:rPr>
              <w:t>1</w:t>
            </w:r>
          </w:p>
        </w:tc>
        <w:tc>
          <w:tcPr>
            <w:tcW w:w="559" w:type="pct"/>
            <w:tcBorders>
              <w:top w:val="nil"/>
              <w:left w:val="single" w:color="000000" w:sz="8" w:space="0"/>
              <w:bottom w:val="single" w:color="000000" w:sz="8" w:space="0"/>
              <w:right w:val="single" w:color="000000" w:sz="8" w:space="0"/>
            </w:tcBorders>
            <w:shd w:val="clear" w:color="auto" w:fill="auto"/>
            <w:vAlign w:val="center"/>
          </w:tcPr>
          <w:p w14:paraId="0DBFDA03">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Times New Roman" w:hAnsi="Times New Roman" w:eastAsia="宋体" w:cs="Times New Roman"/>
                <w:b w:val="0"/>
                <w:bCs w:val="0"/>
                <w:i w:val="0"/>
                <w:iCs w:val="0"/>
                <w:color w:val="auto"/>
                <w:sz w:val="24"/>
                <w:szCs w:val="24"/>
                <w:highlight w:val="none"/>
                <w:u w:val="none"/>
                <w:lang w:val="en-US" w:eastAsia="zh-CN"/>
              </w:rPr>
            </w:pPr>
            <w:r>
              <w:rPr>
                <w:rFonts w:hint="eastAsia" w:ascii="Times New Roman" w:hAnsi="Times New Roman" w:eastAsia="宋体" w:cs="Times New Roman"/>
                <w:b w:val="0"/>
                <w:bCs w:val="0"/>
                <w:i w:val="0"/>
                <w:iCs w:val="0"/>
                <w:color w:val="auto"/>
                <w:sz w:val="24"/>
                <w:szCs w:val="24"/>
                <w:highlight w:val="none"/>
                <w:u w:val="none"/>
                <w:lang w:val="en-US" w:eastAsia="zh-CN"/>
              </w:rPr>
              <w:t>套</w:t>
            </w:r>
          </w:p>
        </w:tc>
      </w:tr>
    </w:tbl>
    <w:p w14:paraId="06443B7F">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2.网上服务大厅</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2"/>
        <w:gridCol w:w="1290"/>
        <w:gridCol w:w="6361"/>
      </w:tblGrid>
      <w:tr w14:paraId="4D7E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9A960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79DE4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636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C9506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780C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82" w:type="dxa"/>
            <w:tcBorders>
              <w:top w:val="nil"/>
              <w:left w:val="single" w:color="000000" w:sz="8" w:space="0"/>
              <w:bottom w:val="single" w:color="000000" w:sz="8" w:space="0"/>
              <w:right w:val="single" w:color="000000" w:sz="8" w:space="0"/>
            </w:tcBorders>
            <w:shd w:val="clear" w:color="auto" w:fill="auto"/>
            <w:vAlign w:val="center"/>
          </w:tcPr>
          <w:p w14:paraId="78D957C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1290" w:type="dxa"/>
            <w:tcBorders>
              <w:top w:val="nil"/>
              <w:left w:val="single" w:color="000000" w:sz="8" w:space="0"/>
              <w:bottom w:val="single" w:color="000000" w:sz="8" w:space="0"/>
              <w:right w:val="single" w:color="000000" w:sz="8" w:space="0"/>
            </w:tcBorders>
            <w:shd w:val="clear" w:color="auto" w:fill="auto"/>
            <w:vAlign w:val="center"/>
          </w:tcPr>
          <w:p w14:paraId="69642FF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网上服务大厅</w:t>
            </w:r>
          </w:p>
        </w:tc>
        <w:tc>
          <w:tcPr>
            <w:tcW w:w="6361" w:type="dxa"/>
            <w:tcBorders>
              <w:top w:val="nil"/>
              <w:left w:val="single" w:color="000000" w:sz="8" w:space="0"/>
              <w:bottom w:val="single" w:color="000000" w:sz="8" w:space="0"/>
              <w:right w:val="single" w:color="000000" w:sz="8" w:space="0"/>
            </w:tcBorders>
            <w:shd w:val="clear" w:color="auto" w:fill="auto"/>
            <w:vAlign w:val="center"/>
          </w:tcPr>
          <w:p w14:paraId="4F55C75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网上服务大厅通过统一身份认证平台，集成各类应用与数据资源，形成学校信息化服务的统一入口。通过应用集成、数据管理与个性化页面定制，为全校师生与管理人员提供全面、便捷的教学、科研、办公及生活服务。</w:t>
            </w:r>
          </w:p>
        </w:tc>
      </w:tr>
    </w:tbl>
    <w:p w14:paraId="28484C4E">
      <w:pPr>
        <w:spacing w:line="360" w:lineRule="auto"/>
        <w:ind w:firstLine="480" w:firstLineChars="200"/>
        <w:outlineLvl w:val="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软件维护内容</w:t>
      </w:r>
    </w:p>
    <w:tbl>
      <w:tblPr>
        <w:tblStyle w:val="16"/>
        <w:tblW w:w="492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9"/>
        <w:gridCol w:w="1783"/>
        <w:gridCol w:w="1783"/>
        <w:gridCol w:w="1575"/>
        <w:gridCol w:w="1154"/>
        <w:gridCol w:w="1167"/>
      </w:tblGrid>
      <w:tr w14:paraId="3A4AF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AF5FD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0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66E64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软件名称</w:t>
            </w:r>
          </w:p>
        </w:tc>
        <w:tc>
          <w:tcPr>
            <w:tcW w:w="10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9DC3D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品牌</w:t>
            </w:r>
          </w:p>
        </w:tc>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91784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软件版本</w:t>
            </w:r>
          </w:p>
        </w:tc>
        <w:tc>
          <w:tcPr>
            <w:tcW w:w="6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B8576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69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1A665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r>
      <w:tr w14:paraId="4D03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3" w:type="pct"/>
            <w:tcBorders>
              <w:top w:val="nil"/>
              <w:left w:val="single" w:color="000000" w:sz="8" w:space="0"/>
              <w:bottom w:val="single" w:color="000000" w:sz="8" w:space="0"/>
              <w:right w:val="single" w:color="000000" w:sz="8" w:space="0"/>
            </w:tcBorders>
            <w:shd w:val="clear" w:color="auto" w:fill="auto"/>
            <w:vAlign w:val="center"/>
          </w:tcPr>
          <w:p w14:paraId="347FA03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3E3F7BB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Oracle</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70D9B50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Oracle</w:t>
            </w:r>
          </w:p>
        </w:tc>
        <w:tc>
          <w:tcPr>
            <w:tcW w:w="938" w:type="pct"/>
            <w:tcBorders>
              <w:top w:val="nil"/>
              <w:left w:val="single" w:color="000000" w:sz="8" w:space="0"/>
              <w:bottom w:val="single" w:color="000000" w:sz="8" w:space="0"/>
              <w:right w:val="single" w:color="000000" w:sz="8" w:space="0"/>
            </w:tcBorders>
            <w:shd w:val="clear" w:color="auto" w:fill="auto"/>
            <w:vAlign w:val="center"/>
          </w:tcPr>
          <w:p w14:paraId="222E84C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11g</w:t>
            </w:r>
          </w:p>
        </w:tc>
        <w:tc>
          <w:tcPr>
            <w:tcW w:w="687" w:type="pct"/>
            <w:tcBorders>
              <w:top w:val="nil"/>
              <w:left w:val="single" w:color="000000" w:sz="8" w:space="0"/>
              <w:bottom w:val="single" w:color="000000" w:sz="8" w:space="0"/>
              <w:right w:val="single" w:color="000000" w:sz="8" w:space="0"/>
            </w:tcBorders>
            <w:shd w:val="clear" w:color="auto" w:fill="auto"/>
            <w:vAlign w:val="center"/>
          </w:tcPr>
          <w:p w14:paraId="162CC88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w:t>
            </w:r>
          </w:p>
        </w:tc>
        <w:tc>
          <w:tcPr>
            <w:tcW w:w="695" w:type="pct"/>
            <w:tcBorders>
              <w:top w:val="nil"/>
              <w:left w:val="single" w:color="000000" w:sz="8" w:space="0"/>
              <w:bottom w:val="single" w:color="000000" w:sz="8" w:space="0"/>
              <w:right w:val="single" w:color="000000" w:sz="8" w:space="0"/>
            </w:tcBorders>
            <w:shd w:val="clear" w:color="auto" w:fill="auto"/>
            <w:vAlign w:val="center"/>
          </w:tcPr>
          <w:p w14:paraId="67D97C0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套</w:t>
            </w:r>
          </w:p>
        </w:tc>
      </w:tr>
      <w:tr w14:paraId="1152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53" w:type="pct"/>
            <w:tcBorders>
              <w:top w:val="nil"/>
              <w:left w:val="single" w:color="000000" w:sz="8" w:space="0"/>
              <w:bottom w:val="single" w:color="000000" w:sz="8" w:space="0"/>
              <w:right w:val="single" w:color="000000" w:sz="8" w:space="0"/>
            </w:tcBorders>
            <w:shd w:val="clear" w:color="auto" w:fill="auto"/>
            <w:vAlign w:val="center"/>
          </w:tcPr>
          <w:p w14:paraId="2911B11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2</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446E837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Apache</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69BC1E6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Apache</w:t>
            </w:r>
          </w:p>
        </w:tc>
        <w:tc>
          <w:tcPr>
            <w:tcW w:w="938" w:type="pct"/>
            <w:tcBorders>
              <w:top w:val="nil"/>
              <w:left w:val="single" w:color="000000" w:sz="8" w:space="0"/>
              <w:bottom w:val="single" w:color="000000" w:sz="8" w:space="0"/>
              <w:right w:val="single" w:color="000000" w:sz="8" w:space="0"/>
            </w:tcBorders>
            <w:shd w:val="clear" w:color="auto" w:fill="auto"/>
            <w:vAlign w:val="center"/>
          </w:tcPr>
          <w:p w14:paraId="03B1047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2.4.26</w:t>
            </w:r>
          </w:p>
        </w:tc>
        <w:tc>
          <w:tcPr>
            <w:tcW w:w="687" w:type="pct"/>
            <w:tcBorders>
              <w:top w:val="nil"/>
              <w:left w:val="single" w:color="000000" w:sz="8" w:space="0"/>
              <w:bottom w:val="single" w:color="000000" w:sz="8" w:space="0"/>
              <w:right w:val="single" w:color="000000" w:sz="8" w:space="0"/>
            </w:tcBorders>
            <w:shd w:val="clear" w:color="auto" w:fill="auto"/>
            <w:vAlign w:val="center"/>
          </w:tcPr>
          <w:p w14:paraId="2AB6139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w:t>
            </w:r>
          </w:p>
        </w:tc>
        <w:tc>
          <w:tcPr>
            <w:tcW w:w="695" w:type="pct"/>
            <w:tcBorders>
              <w:top w:val="nil"/>
              <w:left w:val="single" w:color="000000" w:sz="8" w:space="0"/>
              <w:bottom w:val="single" w:color="000000" w:sz="8" w:space="0"/>
              <w:right w:val="single" w:color="000000" w:sz="8" w:space="0"/>
            </w:tcBorders>
            <w:shd w:val="clear" w:color="auto" w:fill="auto"/>
            <w:vAlign w:val="center"/>
          </w:tcPr>
          <w:p w14:paraId="62DCB1C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套</w:t>
            </w:r>
          </w:p>
        </w:tc>
      </w:tr>
      <w:tr w14:paraId="57F48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3" w:type="pct"/>
            <w:tcBorders>
              <w:top w:val="nil"/>
              <w:left w:val="single" w:color="000000" w:sz="8" w:space="0"/>
              <w:bottom w:val="single" w:color="000000" w:sz="8" w:space="0"/>
              <w:right w:val="single" w:color="000000" w:sz="8" w:space="0"/>
            </w:tcBorders>
            <w:shd w:val="clear" w:color="auto" w:fill="auto"/>
            <w:vAlign w:val="center"/>
          </w:tcPr>
          <w:p w14:paraId="4B9D74C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3</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62EAF90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weblogic</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32082EF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weblogic</w:t>
            </w:r>
          </w:p>
        </w:tc>
        <w:tc>
          <w:tcPr>
            <w:tcW w:w="938" w:type="pct"/>
            <w:tcBorders>
              <w:top w:val="nil"/>
              <w:left w:val="single" w:color="000000" w:sz="8" w:space="0"/>
              <w:bottom w:val="single" w:color="000000" w:sz="8" w:space="0"/>
              <w:right w:val="single" w:color="000000" w:sz="8" w:space="0"/>
            </w:tcBorders>
            <w:shd w:val="clear" w:color="auto" w:fill="auto"/>
            <w:vAlign w:val="center"/>
          </w:tcPr>
          <w:p w14:paraId="0FFEB05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12.2.1.3</w:t>
            </w:r>
          </w:p>
        </w:tc>
        <w:tc>
          <w:tcPr>
            <w:tcW w:w="687" w:type="pct"/>
            <w:tcBorders>
              <w:top w:val="nil"/>
              <w:left w:val="single" w:color="000000" w:sz="8" w:space="0"/>
              <w:bottom w:val="single" w:color="000000" w:sz="8" w:space="0"/>
              <w:right w:val="single" w:color="000000" w:sz="8" w:space="0"/>
            </w:tcBorders>
            <w:shd w:val="clear" w:color="auto" w:fill="auto"/>
            <w:vAlign w:val="center"/>
          </w:tcPr>
          <w:p w14:paraId="3037DAE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w:t>
            </w:r>
          </w:p>
        </w:tc>
        <w:tc>
          <w:tcPr>
            <w:tcW w:w="695" w:type="pct"/>
            <w:tcBorders>
              <w:top w:val="nil"/>
              <w:left w:val="single" w:color="000000" w:sz="8" w:space="0"/>
              <w:bottom w:val="single" w:color="000000" w:sz="8" w:space="0"/>
              <w:right w:val="single" w:color="000000" w:sz="8" w:space="0"/>
            </w:tcBorders>
            <w:shd w:val="clear" w:color="auto" w:fill="auto"/>
            <w:vAlign w:val="center"/>
          </w:tcPr>
          <w:p w14:paraId="2FDC8A2E">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套</w:t>
            </w:r>
          </w:p>
        </w:tc>
      </w:tr>
      <w:tr w14:paraId="7615D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3" w:type="pct"/>
            <w:tcBorders>
              <w:top w:val="nil"/>
              <w:left w:val="single" w:color="000000" w:sz="8" w:space="0"/>
              <w:bottom w:val="single" w:color="000000" w:sz="8" w:space="0"/>
              <w:right w:val="single" w:color="000000" w:sz="8" w:space="0"/>
            </w:tcBorders>
            <w:shd w:val="clear" w:color="auto" w:fill="auto"/>
            <w:vAlign w:val="center"/>
          </w:tcPr>
          <w:p w14:paraId="36193D3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4</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6EE4575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nginx</w:t>
            </w:r>
          </w:p>
        </w:tc>
        <w:tc>
          <w:tcPr>
            <w:tcW w:w="1062" w:type="pct"/>
            <w:tcBorders>
              <w:top w:val="nil"/>
              <w:left w:val="single" w:color="000000" w:sz="8" w:space="0"/>
              <w:bottom w:val="single" w:color="000000" w:sz="8" w:space="0"/>
              <w:right w:val="single" w:color="000000" w:sz="8" w:space="0"/>
            </w:tcBorders>
            <w:shd w:val="clear" w:color="auto" w:fill="auto"/>
            <w:vAlign w:val="center"/>
          </w:tcPr>
          <w:p w14:paraId="330AF80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nginx</w:t>
            </w:r>
          </w:p>
        </w:tc>
        <w:tc>
          <w:tcPr>
            <w:tcW w:w="938" w:type="pct"/>
            <w:tcBorders>
              <w:top w:val="nil"/>
              <w:left w:val="single" w:color="000000" w:sz="8" w:space="0"/>
              <w:bottom w:val="single" w:color="000000" w:sz="8" w:space="0"/>
              <w:right w:val="single" w:color="000000" w:sz="8" w:space="0"/>
            </w:tcBorders>
            <w:shd w:val="clear" w:color="auto" w:fill="auto"/>
            <w:vAlign w:val="center"/>
          </w:tcPr>
          <w:p w14:paraId="22D51A6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1.14</w:t>
            </w:r>
          </w:p>
        </w:tc>
        <w:tc>
          <w:tcPr>
            <w:tcW w:w="687" w:type="pct"/>
            <w:tcBorders>
              <w:top w:val="nil"/>
              <w:left w:val="single" w:color="000000" w:sz="8" w:space="0"/>
              <w:bottom w:val="single" w:color="000000" w:sz="8" w:space="0"/>
              <w:right w:val="single" w:color="000000" w:sz="8" w:space="0"/>
            </w:tcBorders>
            <w:shd w:val="clear" w:color="auto" w:fill="auto"/>
            <w:vAlign w:val="center"/>
          </w:tcPr>
          <w:p w14:paraId="7CE4F43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default" w:ascii="宋体" w:hAnsi="宋体" w:eastAsia="宋体" w:cs="宋体"/>
                <w:b w:val="0"/>
                <w:bCs w:val="0"/>
                <w:i w:val="0"/>
                <w:iCs w:val="0"/>
                <w:color w:val="auto"/>
                <w:kern w:val="0"/>
                <w:sz w:val="24"/>
                <w:szCs w:val="24"/>
                <w:highlight w:val="none"/>
                <w:u w:val="none"/>
                <w:lang w:val="en-US" w:eastAsia="zh-CN" w:bidi="ar"/>
              </w:rPr>
              <w:t>1</w:t>
            </w:r>
          </w:p>
        </w:tc>
        <w:tc>
          <w:tcPr>
            <w:tcW w:w="695" w:type="pct"/>
            <w:tcBorders>
              <w:top w:val="nil"/>
              <w:left w:val="single" w:color="000000" w:sz="8" w:space="0"/>
              <w:bottom w:val="single" w:color="000000" w:sz="8" w:space="0"/>
              <w:right w:val="single" w:color="000000" w:sz="8" w:space="0"/>
            </w:tcBorders>
            <w:shd w:val="clear" w:color="auto" w:fill="auto"/>
            <w:noWrap/>
            <w:vAlign w:val="center"/>
          </w:tcPr>
          <w:p w14:paraId="3B7A066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套</w:t>
            </w:r>
          </w:p>
        </w:tc>
      </w:tr>
    </w:tbl>
    <w:p w14:paraId="03A78537">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3.邮件系统</w:t>
      </w:r>
    </w:p>
    <w:tbl>
      <w:tblPr>
        <w:tblStyle w:val="1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6"/>
        <w:gridCol w:w="1333"/>
        <w:gridCol w:w="6370"/>
      </w:tblGrid>
      <w:tr w14:paraId="3CE82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47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E0360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14A21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3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9D25D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29DDF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jc w:val="center"/>
        </w:trPr>
        <w:tc>
          <w:tcPr>
            <w:tcW w:w="479" w:type="pct"/>
            <w:tcBorders>
              <w:top w:val="nil"/>
              <w:left w:val="single" w:color="000000" w:sz="8" w:space="0"/>
              <w:bottom w:val="single" w:color="000000" w:sz="8" w:space="0"/>
              <w:right w:val="single" w:color="000000" w:sz="8" w:space="0"/>
            </w:tcBorders>
            <w:shd w:val="clear" w:color="auto" w:fill="auto"/>
            <w:vAlign w:val="center"/>
          </w:tcPr>
          <w:p w14:paraId="187BD3F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2" w:type="pct"/>
            <w:tcBorders>
              <w:top w:val="nil"/>
              <w:left w:val="single" w:color="000000" w:sz="8" w:space="0"/>
              <w:bottom w:val="single" w:color="000000" w:sz="8" w:space="0"/>
              <w:right w:val="single" w:color="000000" w:sz="8" w:space="0"/>
            </w:tcBorders>
            <w:shd w:val="clear" w:color="auto" w:fill="auto"/>
            <w:vAlign w:val="center"/>
          </w:tcPr>
          <w:p w14:paraId="4726061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邮件系统</w:t>
            </w:r>
          </w:p>
        </w:tc>
        <w:tc>
          <w:tcPr>
            <w:tcW w:w="3737" w:type="pct"/>
            <w:tcBorders>
              <w:top w:val="nil"/>
              <w:left w:val="single" w:color="000000" w:sz="8" w:space="0"/>
              <w:bottom w:val="single" w:color="000000" w:sz="8" w:space="0"/>
              <w:right w:val="single" w:color="000000" w:sz="8" w:space="0"/>
            </w:tcBorders>
            <w:shd w:val="clear" w:color="auto" w:fill="auto"/>
            <w:vAlign w:val="center"/>
          </w:tcPr>
          <w:p w14:paraId="3645A00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提供安全稳定的电子邮件系统服务，全面支持多终端访问，配备高效的反垃圾邮件、病毒防护机制、海外转发等功能。</w:t>
            </w:r>
          </w:p>
        </w:tc>
      </w:tr>
    </w:tbl>
    <w:p w14:paraId="3C368DD2">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4.访客进出校管理系统</w:t>
      </w:r>
    </w:p>
    <w:tbl>
      <w:tblPr>
        <w:tblStyle w:val="1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0"/>
        <w:gridCol w:w="1335"/>
        <w:gridCol w:w="6354"/>
      </w:tblGrid>
      <w:tr w14:paraId="139C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522A5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8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D7975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5A035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14FE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87" w:type="pct"/>
            <w:tcBorders>
              <w:top w:val="nil"/>
              <w:left w:val="single" w:color="000000" w:sz="8" w:space="0"/>
              <w:bottom w:val="single" w:color="000000" w:sz="8" w:space="0"/>
              <w:right w:val="single" w:color="000000" w:sz="8" w:space="0"/>
            </w:tcBorders>
            <w:shd w:val="clear" w:color="auto" w:fill="auto"/>
            <w:vAlign w:val="center"/>
          </w:tcPr>
          <w:p w14:paraId="3609B89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783" w:type="pct"/>
            <w:tcBorders>
              <w:top w:val="nil"/>
              <w:left w:val="single" w:color="000000" w:sz="8" w:space="0"/>
              <w:bottom w:val="single" w:color="000000" w:sz="8" w:space="0"/>
              <w:right w:val="single" w:color="000000" w:sz="8" w:space="0"/>
            </w:tcBorders>
            <w:shd w:val="clear" w:color="auto" w:fill="auto"/>
            <w:vAlign w:val="center"/>
          </w:tcPr>
          <w:p w14:paraId="2D4DB80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访客进出校管理系统服务</w:t>
            </w:r>
          </w:p>
        </w:tc>
        <w:tc>
          <w:tcPr>
            <w:tcW w:w="3728" w:type="pct"/>
            <w:tcBorders>
              <w:top w:val="nil"/>
              <w:left w:val="single" w:color="000000" w:sz="8" w:space="0"/>
              <w:bottom w:val="single" w:color="000000" w:sz="8" w:space="0"/>
              <w:right w:val="single" w:color="000000" w:sz="8" w:space="0"/>
            </w:tcBorders>
            <w:shd w:val="clear" w:color="auto" w:fill="auto"/>
            <w:vAlign w:val="center"/>
          </w:tcPr>
          <w:p w14:paraId="102A162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校外人员在入校前需要向学校进行报备，入校人员需要自行申请，填写基本信息、入校时间、车辆等信息，审批通过后，进校时可扫进校码入校。系统中将记录入校人员的进出记录。</w:t>
            </w:r>
          </w:p>
        </w:tc>
      </w:tr>
    </w:tbl>
    <w:p w14:paraId="2252E9DD">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5.系统漏洞修复</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1358"/>
        <w:gridCol w:w="6401"/>
      </w:tblGrid>
      <w:tr w14:paraId="3E51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8698E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9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88395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5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9729E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040D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6" w:type="pct"/>
            <w:tcBorders>
              <w:top w:val="nil"/>
              <w:left w:val="single" w:color="000000" w:sz="8" w:space="0"/>
              <w:bottom w:val="single" w:color="000000" w:sz="8" w:space="0"/>
              <w:right w:val="single" w:color="000000" w:sz="8" w:space="0"/>
            </w:tcBorders>
            <w:shd w:val="clear" w:color="auto" w:fill="auto"/>
            <w:vAlign w:val="center"/>
          </w:tcPr>
          <w:p w14:paraId="49D8053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97" w:type="pct"/>
            <w:tcBorders>
              <w:top w:val="nil"/>
              <w:left w:val="single" w:color="000000" w:sz="8" w:space="0"/>
              <w:bottom w:val="single" w:color="000000" w:sz="8" w:space="0"/>
              <w:right w:val="single" w:color="000000" w:sz="8" w:space="0"/>
            </w:tcBorders>
            <w:shd w:val="clear" w:color="auto" w:fill="auto"/>
            <w:vAlign w:val="center"/>
          </w:tcPr>
          <w:p w14:paraId="1DD6603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系统漏洞修复</w:t>
            </w:r>
          </w:p>
        </w:tc>
        <w:tc>
          <w:tcPr>
            <w:tcW w:w="3756" w:type="pct"/>
            <w:tcBorders>
              <w:top w:val="nil"/>
              <w:left w:val="single" w:color="000000" w:sz="8" w:space="0"/>
              <w:bottom w:val="single" w:color="000000" w:sz="8" w:space="0"/>
              <w:right w:val="single" w:color="000000" w:sz="8" w:space="0"/>
            </w:tcBorders>
            <w:shd w:val="clear" w:color="auto" w:fill="auto"/>
            <w:vAlign w:val="center"/>
          </w:tcPr>
          <w:p w14:paraId="647B1294">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提供信息系统、操作系统、数据库中存在的中高危漏洞，制定修复方案，经用户同意后进行漏洞修复。</w:t>
            </w:r>
          </w:p>
        </w:tc>
      </w:tr>
    </w:tbl>
    <w:p w14:paraId="46659121">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6.VPN系统服务</w:t>
      </w:r>
    </w:p>
    <w:tbl>
      <w:tblPr>
        <w:tblStyle w:val="16"/>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5"/>
        <w:gridCol w:w="1234"/>
        <w:gridCol w:w="6415"/>
      </w:tblGrid>
      <w:tr w14:paraId="551D2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760D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2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67E1B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64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7E224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2DEF4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0" w:hRule="atLeast"/>
          <w:jc w:val="center"/>
        </w:trPr>
        <w:tc>
          <w:tcPr>
            <w:tcW w:w="855" w:type="dxa"/>
            <w:tcBorders>
              <w:top w:val="nil"/>
              <w:left w:val="single" w:color="000000" w:sz="8" w:space="0"/>
              <w:bottom w:val="single" w:color="000000" w:sz="8" w:space="0"/>
              <w:right w:val="single" w:color="000000" w:sz="8" w:space="0"/>
            </w:tcBorders>
            <w:shd w:val="clear" w:color="auto" w:fill="auto"/>
            <w:vAlign w:val="center"/>
          </w:tcPr>
          <w:p w14:paraId="0D6A837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34" w:type="dxa"/>
            <w:tcBorders>
              <w:top w:val="nil"/>
              <w:left w:val="single" w:color="000000" w:sz="8" w:space="0"/>
              <w:bottom w:val="single" w:color="000000" w:sz="8" w:space="0"/>
              <w:right w:val="single" w:color="000000" w:sz="8" w:space="0"/>
            </w:tcBorders>
            <w:shd w:val="clear" w:color="auto" w:fill="auto"/>
            <w:vAlign w:val="center"/>
          </w:tcPr>
          <w:p w14:paraId="1942E64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VPN系统</w:t>
            </w:r>
          </w:p>
        </w:tc>
        <w:tc>
          <w:tcPr>
            <w:tcW w:w="6415" w:type="dxa"/>
            <w:tcBorders>
              <w:top w:val="nil"/>
              <w:left w:val="single" w:color="000000" w:sz="8" w:space="0"/>
              <w:bottom w:val="single" w:color="000000" w:sz="8" w:space="0"/>
              <w:right w:val="single" w:color="000000" w:sz="8" w:space="0"/>
            </w:tcBorders>
            <w:shd w:val="clear" w:color="auto" w:fill="auto"/>
            <w:vAlign w:val="center"/>
          </w:tcPr>
          <w:p w14:paraId="346A462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建立专用网络在公用网络上进行内网访问，以便无障碍地访问学校的内网资源、图书数据文库资源等。支持不低于2000用户同时接入。可以对被访问资源的IP地址、端口、提供的服务、URL地址等进行权限控制，实现细致到URL级别的授权，并支持单点登录功能、日志管理功能，系统的实时监控等。</w:t>
            </w:r>
          </w:p>
        </w:tc>
      </w:tr>
    </w:tbl>
    <w:p w14:paraId="13418604">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7.网络管理平台</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0"/>
        <w:gridCol w:w="1185"/>
        <w:gridCol w:w="6414"/>
      </w:tblGrid>
      <w:tr w14:paraId="26E4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8E216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69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F93F6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3C659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3D03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0" w:type="pct"/>
            <w:tcBorders>
              <w:top w:val="nil"/>
              <w:left w:val="single" w:color="000000" w:sz="8" w:space="0"/>
              <w:bottom w:val="single" w:color="000000" w:sz="8" w:space="0"/>
              <w:right w:val="single" w:color="000000" w:sz="8" w:space="0"/>
            </w:tcBorders>
            <w:shd w:val="clear" w:color="auto" w:fill="auto"/>
            <w:vAlign w:val="center"/>
          </w:tcPr>
          <w:p w14:paraId="11CD5D7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695" w:type="pct"/>
            <w:tcBorders>
              <w:top w:val="nil"/>
              <w:left w:val="single" w:color="000000" w:sz="8" w:space="0"/>
              <w:bottom w:val="single" w:color="000000" w:sz="8" w:space="0"/>
              <w:right w:val="single" w:color="000000" w:sz="8" w:space="0"/>
            </w:tcBorders>
            <w:shd w:val="clear" w:color="auto" w:fill="auto"/>
            <w:vAlign w:val="center"/>
          </w:tcPr>
          <w:p w14:paraId="7D3E53DE">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网络管理平台</w:t>
            </w:r>
          </w:p>
        </w:tc>
        <w:tc>
          <w:tcPr>
            <w:tcW w:w="3763" w:type="pct"/>
            <w:tcBorders>
              <w:top w:val="nil"/>
              <w:left w:val="single" w:color="000000" w:sz="8" w:space="0"/>
              <w:bottom w:val="single" w:color="000000" w:sz="8" w:space="0"/>
              <w:right w:val="single" w:color="000000" w:sz="8" w:space="0"/>
            </w:tcBorders>
            <w:shd w:val="clear" w:color="auto" w:fill="auto"/>
            <w:vAlign w:val="center"/>
          </w:tcPr>
          <w:p w14:paraId="4363415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对交换机、路由器、防火墙（H3C/华为/锐捷等）的统一监控、资产管理及性能优化。确保系统高可用性，监测服务器负载、带宽、响应时间，及时处理异常。实时监控设备状态，快速定位故障，分析流量趋势以优化性能。支持资产全生命周期管理，包括合同关联、出入库、自定义属性及变更记录，支持条码/二维码管理及扫码报修。提供多方式告警（微信/短信/邮件），并统计资产分布、故障率及维修数据。</w:t>
            </w:r>
          </w:p>
        </w:tc>
      </w:tr>
    </w:tbl>
    <w:p w14:paraId="65B29F9C">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8.DHCP系统</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1"/>
        <w:gridCol w:w="1214"/>
        <w:gridCol w:w="6414"/>
      </w:tblGrid>
      <w:tr w14:paraId="7F80E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92F48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3FA24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50A7F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4292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23" w:type="pct"/>
            <w:tcBorders>
              <w:top w:val="nil"/>
              <w:left w:val="single" w:color="000000" w:sz="8" w:space="0"/>
              <w:bottom w:val="single" w:color="000000" w:sz="8" w:space="0"/>
              <w:right w:val="single" w:color="000000" w:sz="8" w:space="0"/>
            </w:tcBorders>
            <w:shd w:val="clear" w:color="auto" w:fill="auto"/>
            <w:vAlign w:val="center"/>
          </w:tcPr>
          <w:p w14:paraId="1369081E">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12" w:type="pct"/>
            <w:tcBorders>
              <w:top w:val="nil"/>
              <w:left w:val="single" w:color="000000" w:sz="8" w:space="0"/>
              <w:bottom w:val="single" w:color="000000" w:sz="8" w:space="0"/>
              <w:right w:val="single" w:color="000000" w:sz="8" w:space="0"/>
            </w:tcBorders>
            <w:shd w:val="clear" w:color="auto" w:fill="auto"/>
            <w:vAlign w:val="center"/>
          </w:tcPr>
          <w:p w14:paraId="3F17A9C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DHCP系统</w:t>
            </w:r>
          </w:p>
        </w:tc>
        <w:tc>
          <w:tcPr>
            <w:tcW w:w="3763" w:type="pct"/>
            <w:tcBorders>
              <w:top w:val="nil"/>
              <w:left w:val="single" w:color="000000" w:sz="8" w:space="0"/>
              <w:bottom w:val="single" w:color="000000" w:sz="8" w:space="0"/>
              <w:right w:val="single" w:color="000000" w:sz="8" w:space="0"/>
            </w:tcBorders>
            <w:shd w:val="clear" w:color="auto" w:fill="auto"/>
            <w:vAlign w:val="center"/>
          </w:tcPr>
          <w:p w14:paraId="0ABB633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为校园网自动分配网络IP地址，保障终端便捷接入网络。自动分配 IP、网关、DNS 服务器等网络配置参数，提高校园网 IP 地址利用率；支持地址绑定与管理，可对核心教学设备、服务器等关键终端进行 IP 与 MAC 地址绑定，保障教学、科研等核心业务稳定运行；实现日志追溯终端接入记录，为校园网安全排查、故障定位提供数据支撑。</w:t>
            </w:r>
          </w:p>
        </w:tc>
      </w:tr>
    </w:tbl>
    <w:p w14:paraId="5B82FFF9">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9.网站不规范表述检测</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1237"/>
        <w:gridCol w:w="6414"/>
      </w:tblGrid>
      <w:tr w14:paraId="59F12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0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32E14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67EBA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B22D7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6BAD3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09" w:type="pct"/>
            <w:tcBorders>
              <w:top w:val="nil"/>
              <w:left w:val="single" w:color="000000" w:sz="8" w:space="0"/>
              <w:bottom w:val="single" w:color="000000" w:sz="8" w:space="0"/>
              <w:right w:val="single" w:color="000000" w:sz="8" w:space="0"/>
            </w:tcBorders>
            <w:shd w:val="clear" w:color="auto" w:fill="auto"/>
            <w:vAlign w:val="center"/>
          </w:tcPr>
          <w:p w14:paraId="003AEA7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26" w:type="pct"/>
            <w:tcBorders>
              <w:top w:val="nil"/>
              <w:left w:val="single" w:color="000000" w:sz="8" w:space="0"/>
              <w:bottom w:val="single" w:color="000000" w:sz="8" w:space="0"/>
              <w:right w:val="single" w:color="000000" w:sz="8" w:space="0"/>
            </w:tcBorders>
            <w:shd w:val="clear" w:color="auto" w:fill="auto"/>
            <w:vAlign w:val="center"/>
          </w:tcPr>
          <w:p w14:paraId="74E3BF7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网站和新媒体统一云监管平台</w:t>
            </w:r>
          </w:p>
        </w:tc>
        <w:tc>
          <w:tcPr>
            <w:tcW w:w="3763" w:type="pct"/>
            <w:tcBorders>
              <w:top w:val="nil"/>
              <w:left w:val="single" w:color="000000" w:sz="8" w:space="0"/>
              <w:bottom w:val="single" w:color="000000" w:sz="8" w:space="0"/>
              <w:right w:val="single" w:color="000000" w:sz="8" w:space="0"/>
            </w:tcBorders>
            <w:shd w:val="clear" w:color="auto" w:fill="auto"/>
            <w:vAlign w:val="center"/>
          </w:tcPr>
          <w:p w14:paraId="71CA9EB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基于海量文本特征库沉淀，敏感词库覆盖反动、暴恐、涉黄、低俗、涉政、宗教、谩骂、灰产、黑产等敏感词汇，可校对出文章中的敏感信息。可校对一般错别字、重复词语、标点符号等错误，并提供改进意见。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并采用人工与智能结合形式提供服务。在系统完成初步检测后，安排人工审核确认，最终形成错别字、敏感词列表在平台中展示。</w:t>
            </w:r>
          </w:p>
        </w:tc>
      </w:tr>
    </w:tbl>
    <w:p w14:paraId="448E9EA9">
      <w:pPr>
        <w:spacing w:line="360" w:lineRule="auto"/>
        <w:ind w:firstLine="480" w:firstLineChars="200"/>
        <w:outlineLvl w:val="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10.网站资源管理服务</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9"/>
        <w:gridCol w:w="1246"/>
        <w:gridCol w:w="6444"/>
      </w:tblGrid>
      <w:tr w14:paraId="3397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39C56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3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F2FDA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8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CD3F6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44A6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87" w:type="pct"/>
            <w:tcBorders>
              <w:top w:val="nil"/>
              <w:left w:val="single" w:color="000000" w:sz="8" w:space="0"/>
              <w:bottom w:val="single" w:color="000000" w:sz="8" w:space="0"/>
              <w:right w:val="single" w:color="000000" w:sz="8" w:space="0"/>
            </w:tcBorders>
            <w:shd w:val="clear" w:color="auto" w:fill="auto"/>
            <w:vAlign w:val="center"/>
          </w:tcPr>
          <w:p w14:paraId="6BD1F37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31" w:type="pct"/>
            <w:tcBorders>
              <w:top w:val="nil"/>
              <w:left w:val="single" w:color="000000" w:sz="8" w:space="0"/>
              <w:bottom w:val="single" w:color="000000" w:sz="8" w:space="0"/>
              <w:right w:val="single" w:color="000000" w:sz="8" w:space="0"/>
            </w:tcBorders>
            <w:shd w:val="clear" w:color="auto" w:fill="auto"/>
            <w:vAlign w:val="center"/>
          </w:tcPr>
          <w:p w14:paraId="4294323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网站资源管理</w:t>
            </w:r>
          </w:p>
        </w:tc>
        <w:tc>
          <w:tcPr>
            <w:tcW w:w="3781" w:type="pct"/>
            <w:tcBorders>
              <w:top w:val="nil"/>
              <w:left w:val="single" w:color="000000" w:sz="8" w:space="0"/>
              <w:bottom w:val="single" w:color="000000" w:sz="8" w:space="0"/>
              <w:right w:val="single" w:color="000000" w:sz="8" w:space="0"/>
            </w:tcBorders>
            <w:shd w:val="clear" w:color="auto" w:fill="auto"/>
            <w:vAlign w:val="center"/>
          </w:tcPr>
          <w:p w14:paraId="286DD83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提供网站集中管理、IPv4/IPv6转换、访问策略控制、HTTPS代理及日志分析等一站式服务</w:t>
            </w:r>
          </w:p>
        </w:tc>
      </w:tr>
    </w:tbl>
    <w:p w14:paraId="6E4A1442">
      <w:pPr>
        <w:spacing w:line="360" w:lineRule="auto"/>
        <w:ind w:firstLine="480" w:firstLineChars="200"/>
        <w:outlineLvl w:val="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lang w:val="en-US" w:eastAsia="zh-CN"/>
        </w:rPr>
        <w:t>.站群防篡改服务</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0"/>
        <w:gridCol w:w="1244"/>
        <w:gridCol w:w="6445"/>
      </w:tblGrid>
      <w:tr w14:paraId="2DC5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7C5DC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3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57E8D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8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8E4A7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67E2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87" w:type="pct"/>
            <w:tcBorders>
              <w:top w:val="nil"/>
              <w:left w:val="single" w:color="000000" w:sz="8" w:space="0"/>
              <w:bottom w:val="single" w:color="000000" w:sz="8" w:space="0"/>
              <w:right w:val="single" w:color="000000" w:sz="8" w:space="0"/>
            </w:tcBorders>
            <w:shd w:val="clear" w:color="auto" w:fill="auto"/>
            <w:vAlign w:val="center"/>
          </w:tcPr>
          <w:p w14:paraId="0928631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30" w:type="pct"/>
            <w:tcBorders>
              <w:top w:val="nil"/>
              <w:left w:val="single" w:color="000000" w:sz="8" w:space="0"/>
              <w:bottom w:val="single" w:color="000000" w:sz="8" w:space="0"/>
              <w:right w:val="single" w:color="000000" w:sz="8" w:space="0"/>
            </w:tcBorders>
            <w:shd w:val="clear" w:color="auto" w:fill="auto"/>
            <w:vAlign w:val="center"/>
          </w:tcPr>
          <w:p w14:paraId="6203DA5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站群防篡改系统</w:t>
            </w:r>
          </w:p>
        </w:tc>
        <w:tc>
          <w:tcPr>
            <w:tcW w:w="3781" w:type="pct"/>
            <w:tcBorders>
              <w:top w:val="nil"/>
              <w:left w:val="single" w:color="000000" w:sz="8" w:space="0"/>
              <w:bottom w:val="single" w:color="000000" w:sz="8" w:space="0"/>
              <w:right w:val="single" w:color="000000" w:sz="8" w:space="0"/>
            </w:tcBorders>
            <w:shd w:val="clear" w:color="auto" w:fill="auto"/>
            <w:vAlign w:val="center"/>
          </w:tcPr>
          <w:p w14:paraId="326F7A2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实时监测并阻断文件/数据非法篡改、支持毫秒级自动恢复、触发告警和日志审计，多节点集中管控，适配各种网站群部署环境</w:t>
            </w:r>
          </w:p>
        </w:tc>
      </w:tr>
    </w:tbl>
    <w:p w14:paraId="4636B1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）运维硬件产品介绍</w:t>
      </w:r>
    </w:p>
    <w:p w14:paraId="08C9A5AC">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1.校园网</w:t>
      </w:r>
    </w:p>
    <w:tbl>
      <w:tblPr>
        <w:tblStyle w:val="1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6"/>
        <w:gridCol w:w="1333"/>
        <w:gridCol w:w="6370"/>
      </w:tblGrid>
      <w:tr w14:paraId="47F7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47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0F0C5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352D3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系统名称</w:t>
            </w:r>
          </w:p>
        </w:tc>
        <w:tc>
          <w:tcPr>
            <w:tcW w:w="373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08F61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应用系统描述</w:t>
            </w:r>
          </w:p>
        </w:tc>
      </w:tr>
      <w:tr w14:paraId="4299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jc w:val="center"/>
        </w:trPr>
        <w:tc>
          <w:tcPr>
            <w:tcW w:w="479" w:type="pct"/>
            <w:tcBorders>
              <w:top w:val="nil"/>
              <w:left w:val="single" w:color="000000" w:sz="8" w:space="0"/>
              <w:bottom w:val="single" w:color="000000" w:sz="8" w:space="0"/>
              <w:right w:val="single" w:color="000000" w:sz="8" w:space="0"/>
            </w:tcBorders>
            <w:shd w:val="clear" w:color="auto" w:fill="auto"/>
            <w:vAlign w:val="center"/>
          </w:tcPr>
          <w:p w14:paraId="5B4E93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2" w:type="pct"/>
            <w:tcBorders>
              <w:top w:val="nil"/>
              <w:left w:val="single" w:color="000000" w:sz="8" w:space="0"/>
              <w:bottom w:val="single" w:color="000000" w:sz="8" w:space="0"/>
              <w:right w:val="single" w:color="000000" w:sz="8" w:space="0"/>
            </w:tcBorders>
            <w:shd w:val="clear" w:color="auto" w:fill="auto"/>
            <w:vAlign w:val="center"/>
          </w:tcPr>
          <w:p w14:paraId="7F5CEA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校园网</w:t>
            </w:r>
          </w:p>
        </w:tc>
        <w:tc>
          <w:tcPr>
            <w:tcW w:w="3737" w:type="pct"/>
            <w:tcBorders>
              <w:top w:val="nil"/>
              <w:left w:val="single" w:color="000000" w:sz="8" w:space="0"/>
              <w:bottom w:val="single" w:color="000000" w:sz="8" w:space="0"/>
              <w:right w:val="single" w:color="000000" w:sz="8" w:space="0"/>
            </w:tcBorders>
            <w:shd w:val="clear" w:color="auto" w:fill="auto"/>
            <w:vAlign w:val="center"/>
          </w:tcPr>
          <w:p w14:paraId="2ED5BC6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提供校园网维护服务，对服务区域内的网络信息化设施进行日常保障，包括维护和技术服务。</w:t>
            </w:r>
          </w:p>
        </w:tc>
      </w:tr>
    </w:tbl>
    <w:p w14:paraId="5DDCFB70">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设备清单：</w:t>
      </w:r>
    </w:p>
    <w:tbl>
      <w:tblPr>
        <w:tblStyle w:val="16"/>
        <w:tblW w:w="84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5"/>
        <w:gridCol w:w="1269"/>
        <w:gridCol w:w="915"/>
        <w:gridCol w:w="2497"/>
        <w:gridCol w:w="735"/>
        <w:gridCol w:w="780"/>
        <w:gridCol w:w="1313"/>
      </w:tblGrid>
      <w:tr w14:paraId="3168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40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C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D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4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0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71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8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3C77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A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497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兴文汇聚交换机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C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5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S6720-54C-EI-48S-AC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3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31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C2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w:t>
            </w:r>
          </w:p>
        </w:tc>
      </w:tr>
      <w:tr w14:paraId="32B9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97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9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核心交换机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7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FA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 H3C-S12712 </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2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67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A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w:t>
            </w:r>
          </w:p>
        </w:tc>
      </w:tr>
      <w:tr w14:paraId="483EC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5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3</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82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核心交换机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B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8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H3C-S12712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E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C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E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w:t>
            </w:r>
          </w:p>
        </w:tc>
      </w:tr>
      <w:tr w14:paraId="5FE1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A5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4</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F5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楼宇汇聚交换机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2E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1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S6520X-30QC-EI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F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B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6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w:t>
            </w:r>
          </w:p>
        </w:tc>
      </w:tr>
      <w:tr w14:paraId="5CFBB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E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5</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0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硕博楼汇聚交换机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E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4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S5560X-54F-EI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4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A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5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3FDE6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67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6</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86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0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4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E552C-X</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78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7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65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31CD5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C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7</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D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D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2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C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25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C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0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76A41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4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8</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2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9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7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RG-S2910C-24GT4XS-HP-E</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F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C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C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252A4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3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9</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F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4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31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S5560X-54F-EI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0E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42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7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373F7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4B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E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7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华为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58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S6720-54C-EI-48S-AC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E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8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28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5A58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C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11</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4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BB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E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E552C-X</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9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2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2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2B8F2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A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12</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F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F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F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E152C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A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4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8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09BD9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48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13</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21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B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8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6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8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0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33900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E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14</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6B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A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70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RG-S2928G-24P</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E8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7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4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42C0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4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15</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C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A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9D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H3C-S5170-28S-HPWR-EI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5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5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89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2283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3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16</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9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无线汇聚交换机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D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E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S5500-52C-EI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E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2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04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0613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C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17</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2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CF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0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8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34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C9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5C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5FC44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A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18</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D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C4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华为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6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S6720-54C-EI-48S-AC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6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C8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7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12A6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B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19</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CD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内网交换机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23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4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E152C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95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B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2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4752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0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46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7C0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F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E552C-X</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5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A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CE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1CE0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5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21</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3D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0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2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RG-S2928G-24P</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D5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46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F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7E4E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E3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22</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7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2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8E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RG-S2910C-24GT2XS-HP-E</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7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7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5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275A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54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23</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9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5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0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S5500-52C-EI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9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2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5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0C90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B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24</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8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UPS电源系统</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61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易斯特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7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EA902H</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B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58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套</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F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外</w:t>
            </w:r>
          </w:p>
        </w:tc>
      </w:tr>
      <w:tr w14:paraId="25011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9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25</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B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0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华为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50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S6720-54C-EI-48S-AC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F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86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89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7DB6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3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26</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9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1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6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E152C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8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1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A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545A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70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27</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D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9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B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E552C-X</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21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57</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90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7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01B41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A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28</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6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E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7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S5170-28S-HPWR-EI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1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7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5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7A9D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A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29</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31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D2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00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S5130S-52S-PWR-HI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5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F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5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41FC9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B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4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8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45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S6520X-30QC-EI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6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5A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F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4AFD7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2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31</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70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A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6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S5110V2-52P-SI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4E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7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1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内</w:t>
            </w:r>
          </w:p>
        </w:tc>
      </w:tr>
      <w:tr w14:paraId="0FA0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C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32</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66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一卡通交换机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3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2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H3C-E123C</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B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93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1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0AA6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C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33</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E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防火墙</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思科</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8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ASA5510-K8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3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A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6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外</w:t>
            </w:r>
          </w:p>
        </w:tc>
      </w:tr>
      <w:tr w14:paraId="26FD0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5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34</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B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9E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8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S5560-30F-EI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87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89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C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7F8B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0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35</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0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防火墙</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7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思科</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8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ASA 5510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F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E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1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外</w:t>
            </w:r>
          </w:p>
        </w:tc>
      </w:tr>
      <w:tr w14:paraId="298C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9A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36</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DA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防火墙</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0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思科</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BF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ASA5510-K8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D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2F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3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外</w:t>
            </w:r>
          </w:p>
        </w:tc>
      </w:tr>
      <w:tr w14:paraId="4803E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C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37</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E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A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A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S5170-28S-HPWR-EI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A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7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2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543D7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0F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38</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9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汇聚交换机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46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6D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S6520X-18C-SI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FD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E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2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64D35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E0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39</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8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E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F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S5130S-52S-PWR-HI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1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7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E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1607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6D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8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3E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57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RG-S2930-12GT12MG4XS-UP-H</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E0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F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B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2A2B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A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41</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5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4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6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8E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97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B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4284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37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42</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5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D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D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S6520X-18C-SI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F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0B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0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7D26E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4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43</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7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32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1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S5170-28S-HPWR-EI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9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6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74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7403A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E4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44</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8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7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B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S5130S-52S-PWR-HI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4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0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6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63FFC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4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45</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B0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E7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73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S5130S-52S-EI</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5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65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9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3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6BB35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F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46</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D5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9F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30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S5528S-HPWR-EI-D</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F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13</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D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6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253CD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7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47</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6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0A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A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RG-S2928G-24P</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B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F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A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13FC5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E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48</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3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UPS电源系统</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5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易斯特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5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EA902H</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04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45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套</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E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362F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9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49</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0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49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H3C</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D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 H3C-S5170 series</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5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9A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F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2DA1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0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50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F0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C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7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RG-S2930-12GT12MG4XS-UP-H  </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B7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4D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4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05A2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D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51</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C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44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3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RG-S2930-12GT POE </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F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50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0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r w14:paraId="66ED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62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52</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4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F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锐捷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9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RG-S2910C-24GT2XS-HP-E</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D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C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4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cs="Times New Roman"/>
                <w:i w:val="0"/>
                <w:iCs w:val="0"/>
                <w:color w:val="auto"/>
                <w:kern w:val="0"/>
                <w:sz w:val="24"/>
                <w:szCs w:val="24"/>
                <w:highlight w:val="none"/>
                <w:u w:val="none"/>
                <w:lang w:val="en-US" w:eastAsia="zh-CN" w:bidi="ar"/>
              </w:rPr>
              <w:t>内</w:t>
            </w:r>
          </w:p>
        </w:tc>
      </w:tr>
    </w:tbl>
    <w:p w14:paraId="2EED0EBE">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2.原云平台</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35"/>
        <w:gridCol w:w="1536"/>
        <w:gridCol w:w="1059"/>
        <w:gridCol w:w="1459"/>
        <w:gridCol w:w="1077"/>
        <w:gridCol w:w="1275"/>
        <w:gridCol w:w="1378"/>
      </w:tblGrid>
      <w:tr w14:paraId="51BA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jc w:val="center"/>
        </w:trPr>
        <w:tc>
          <w:tcPr>
            <w:tcW w:w="431" w:type="pct"/>
            <w:shd w:val="clear" w:color="auto" w:fill="auto"/>
            <w:vAlign w:val="center"/>
          </w:tcPr>
          <w:p w14:paraId="2D78B94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901" w:type="pct"/>
            <w:shd w:val="clear" w:color="auto" w:fill="auto"/>
            <w:vAlign w:val="center"/>
          </w:tcPr>
          <w:p w14:paraId="1E7E34C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621" w:type="pct"/>
            <w:shd w:val="clear" w:color="auto" w:fill="auto"/>
            <w:vAlign w:val="center"/>
          </w:tcPr>
          <w:p w14:paraId="6462D62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856" w:type="pct"/>
            <w:shd w:val="clear" w:color="auto" w:fill="auto"/>
            <w:vAlign w:val="center"/>
          </w:tcPr>
          <w:p w14:paraId="4204D85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632" w:type="pct"/>
            <w:shd w:val="clear" w:color="auto" w:fill="auto"/>
            <w:vAlign w:val="center"/>
          </w:tcPr>
          <w:p w14:paraId="49A16BC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748" w:type="pct"/>
            <w:shd w:val="clear" w:color="auto" w:fill="auto"/>
            <w:vAlign w:val="center"/>
          </w:tcPr>
          <w:p w14:paraId="08E8B78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投入使用时间</w:t>
            </w:r>
          </w:p>
        </w:tc>
        <w:tc>
          <w:tcPr>
            <w:tcW w:w="808" w:type="pct"/>
            <w:shd w:val="clear" w:color="auto" w:fill="auto"/>
            <w:vAlign w:val="center"/>
          </w:tcPr>
          <w:p w14:paraId="25FB335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0F49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jc w:val="center"/>
        </w:trPr>
        <w:tc>
          <w:tcPr>
            <w:tcW w:w="431" w:type="pct"/>
            <w:shd w:val="clear" w:color="auto" w:fill="auto"/>
            <w:vAlign w:val="center"/>
          </w:tcPr>
          <w:p w14:paraId="690130E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901" w:type="pct"/>
            <w:shd w:val="clear" w:color="auto" w:fill="auto"/>
            <w:vAlign w:val="center"/>
          </w:tcPr>
          <w:p w14:paraId="5B15C40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刀片服务器</w:t>
            </w:r>
          </w:p>
        </w:tc>
        <w:tc>
          <w:tcPr>
            <w:tcW w:w="621" w:type="pct"/>
            <w:shd w:val="clear" w:color="auto" w:fill="auto"/>
            <w:vAlign w:val="center"/>
          </w:tcPr>
          <w:p w14:paraId="6777664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华为</w:t>
            </w:r>
          </w:p>
        </w:tc>
        <w:tc>
          <w:tcPr>
            <w:tcW w:w="856" w:type="pct"/>
            <w:shd w:val="clear" w:color="auto" w:fill="auto"/>
            <w:vAlign w:val="center"/>
          </w:tcPr>
          <w:p w14:paraId="109CFDA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BH622V2</w:t>
            </w:r>
          </w:p>
        </w:tc>
        <w:tc>
          <w:tcPr>
            <w:tcW w:w="632" w:type="pct"/>
            <w:shd w:val="clear" w:color="auto" w:fill="auto"/>
            <w:vAlign w:val="center"/>
          </w:tcPr>
          <w:p w14:paraId="2FCEDFE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10</w:t>
            </w:r>
          </w:p>
        </w:tc>
        <w:tc>
          <w:tcPr>
            <w:tcW w:w="748" w:type="pct"/>
            <w:shd w:val="clear" w:color="auto" w:fill="auto"/>
            <w:vAlign w:val="center"/>
          </w:tcPr>
          <w:p w14:paraId="57BA24E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2016年</w:t>
            </w:r>
          </w:p>
        </w:tc>
        <w:tc>
          <w:tcPr>
            <w:tcW w:w="808" w:type="pct"/>
            <w:vMerge w:val="restart"/>
            <w:shd w:val="clear" w:color="auto" w:fill="auto"/>
            <w:vAlign w:val="center"/>
          </w:tcPr>
          <w:p w14:paraId="5380936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内</w:t>
            </w:r>
          </w:p>
        </w:tc>
      </w:tr>
      <w:tr w14:paraId="3786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31" w:type="pct"/>
            <w:shd w:val="clear" w:color="auto" w:fill="auto"/>
            <w:vAlign w:val="center"/>
          </w:tcPr>
          <w:p w14:paraId="717FF4E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901" w:type="pct"/>
            <w:shd w:val="clear" w:color="auto" w:fill="auto"/>
            <w:vAlign w:val="center"/>
          </w:tcPr>
          <w:p w14:paraId="5510B56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服务器</w:t>
            </w:r>
          </w:p>
        </w:tc>
        <w:tc>
          <w:tcPr>
            <w:tcW w:w="621" w:type="pct"/>
            <w:shd w:val="clear" w:color="auto" w:fill="auto"/>
            <w:vAlign w:val="center"/>
          </w:tcPr>
          <w:p w14:paraId="7500BA1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戴尔</w:t>
            </w:r>
          </w:p>
        </w:tc>
        <w:tc>
          <w:tcPr>
            <w:tcW w:w="856" w:type="pct"/>
            <w:shd w:val="clear" w:color="auto" w:fill="auto"/>
            <w:vAlign w:val="center"/>
          </w:tcPr>
          <w:p w14:paraId="1200F94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R430</w:t>
            </w:r>
          </w:p>
        </w:tc>
        <w:tc>
          <w:tcPr>
            <w:tcW w:w="632" w:type="pct"/>
            <w:shd w:val="clear" w:color="auto" w:fill="auto"/>
            <w:vAlign w:val="center"/>
          </w:tcPr>
          <w:p w14:paraId="2AB9C9F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748" w:type="pct"/>
            <w:shd w:val="clear" w:color="auto" w:fill="auto"/>
            <w:vAlign w:val="center"/>
          </w:tcPr>
          <w:p w14:paraId="7C56A8C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2017年</w:t>
            </w:r>
          </w:p>
        </w:tc>
        <w:tc>
          <w:tcPr>
            <w:tcW w:w="808" w:type="pct"/>
            <w:vMerge w:val="continue"/>
            <w:shd w:val="clear" w:color="auto" w:fill="auto"/>
            <w:vAlign w:val="center"/>
          </w:tcPr>
          <w:p w14:paraId="61D76D5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p>
        </w:tc>
      </w:tr>
      <w:tr w14:paraId="318F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431" w:type="pct"/>
            <w:shd w:val="clear" w:color="auto" w:fill="auto"/>
            <w:vAlign w:val="center"/>
          </w:tcPr>
          <w:p w14:paraId="0C7E976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3</w:t>
            </w:r>
          </w:p>
        </w:tc>
        <w:tc>
          <w:tcPr>
            <w:tcW w:w="901" w:type="pct"/>
            <w:shd w:val="clear" w:color="auto" w:fill="auto"/>
            <w:vAlign w:val="center"/>
          </w:tcPr>
          <w:p w14:paraId="60DE136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NAS存储</w:t>
            </w:r>
          </w:p>
        </w:tc>
        <w:tc>
          <w:tcPr>
            <w:tcW w:w="621" w:type="pct"/>
            <w:shd w:val="clear" w:color="auto" w:fill="auto"/>
            <w:vAlign w:val="center"/>
          </w:tcPr>
          <w:p w14:paraId="0D85537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华为</w:t>
            </w:r>
          </w:p>
        </w:tc>
        <w:tc>
          <w:tcPr>
            <w:tcW w:w="856" w:type="pct"/>
            <w:shd w:val="clear" w:color="auto" w:fill="auto"/>
            <w:vAlign w:val="center"/>
          </w:tcPr>
          <w:p w14:paraId="3AF427BE">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OceanStor N8500</w:t>
            </w:r>
          </w:p>
        </w:tc>
        <w:tc>
          <w:tcPr>
            <w:tcW w:w="632" w:type="pct"/>
            <w:shd w:val="clear" w:color="auto" w:fill="auto"/>
            <w:vAlign w:val="center"/>
          </w:tcPr>
          <w:p w14:paraId="1A7A0A9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4</w:t>
            </w:r>
          </w:p>
        </w:tc>
        <w:tc>
          <w:tcPr>
            <w:tcW w:w="748" w:type="pct"/>
            <w:shd w:val="clear" w:color="auto" w:fill="auto"/>
            <w:vAlign w:val="center"/>
          </w:tcPr>
          <w:p w14:paraId="2C558AC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2016年</w:t>
            </w:r>
          </w:p>
        </w:tc>
        <w:tc>
          <w:tcPr>
            <w:tcW w:w="808" w:type="pct"/>
            <w:vMerge w:val="continue"/>
            <w:shd w:val="clear" w:color="auto" w:fill="auto"/>
            <w:vAlign w:val="center"/>
          </w:tcPr>
          <w:p w14:paraId="008D728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p>
        </w:tc>
      </w:tr>
      <w:tr w14:paraId="7999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jc w:val="center"/>
        </w:trPr>
        <w:tc>
          <w:tcPr>
            <w:tcW w:w="431" w:type="pct"/>
            <w:shd w:val="clear" w:color="auto" w:fill="auto"/>
            <w:vAlign w:val="center"/>
          </w:tcPr>
          <w:p w14:paraId="11743BF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4</w:t>
            </w:r>
          </w:p>
        </w:tc>
        <w:tc>
          <w:tcPr>
            <w:tcW w:w="901" w:type="pct"/>
            <w:shd w:val="clear" w:color="auto" w:fill="auto"/>
            <w:vAlign w:val="center"/>
          </w:tcPr>
          <w:p w14:paraId="4B2C017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服务器</w:t>
            </w:r>
          </w:p>
        </w:tc>
        <w:tc>
          <w:tcPr>
            <w:tcW w:w="621" w:type="pct"/>
            <w:shd w:val="clear" w:color="auto" w:fill="auto"/>
            <w:vAlign w:val="center"/>
          </w:tcPr>
          <w:p w14:paraId="7FA5337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浪潮</w:t>
            </w:r>
          </w:p>
        </w:tc>
        <w:tc>
          <w:tcPr>
            <w:tcW w:w="856" w:type="pct"/>
            <w:shd w:val="clear" w:color="auto" w:fill="auto"/>
            <w:vAlign w:val="center"/>
          </w:tcPr>
          <w:p w14:paraId="1B50427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NF5280M4</w:t>
            </w:r>
          </w:p>
        </w:tc>
        <w:tc>
          <w:tcPr>
            <w:tcW w:w="632" w:type="pct"/>
            <w:shd w:val="clear" w:color="auto" w:fill="auto"/>
            <w:vAlign w:val="center"/>
          </w:tcPr>
          <w:p w14:paraId="704DE18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16</w:t>
            </w:r>
          </w:p>
        </w:tc>
        <w:tc>
          <w:tcPr>
            <w:tcW w:w="748" w:type="pct"/>
            <w:shd w:val="clear" w:color="auto" w:fill="auto"/>
            <w:vAlign w:val="center"/>
          </w:tcPr>
          <w:p w14:paraId="55722A8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2017年</w:t>
            </w:r>
          </w:p>
        </w:tc>
        <w:tc>
          <w:tcPr>
            <w:tcW w:w="808" w:type="pct"/>
            <w:vMerge w:val="continue"/>
            <w:shd w:val="clear" w:color="auto" w:fill="auto"/>
            <w:vAlign w:val="center"/>
          </w:tcPr>
          <w:p w14:paraId="68D37E8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p>
        </w:tc>
      </w:tr>
    </w:tbl>
    <w:p w14:paraId="6F738A0A">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3.UPS主机</w:t>
      </w:r>
    </w:p>
    <w:tbl>
      <w:tblPr>
        <w:tblStyle w:val="16"/>
        <w:tblW w:w="499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2"/>
        <w:gridCol w:w="1418"/>
        <w:gridCol w:w="1418"/>
        <w:gridCol w:w="1418"/>
        <w:gridCol w:w="894"/>
        <w:gridCol w:w="975"/>
        <w:gridCol w:w="1380"/>
      </w:tblGrid>
      <w:tr w14:paraId="74CDC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0AC42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98A27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8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BE74C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8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F3419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52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1A1BC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5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2884E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投入使用时间</w:t>
            </w:r>
          </w:p>
        </w:tc>
        <w:tc>
          <w:tcPr>
            <w:tcW w:w="81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0DB67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0585E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589" w:type="pct"/>
            <w:tcBorders>
              <w:top w:val="nil"/>
              <w:left w:val="single" w:color="000000" w:sz="8" w:space="0"/>
              <w:bottom w:val="single" w:color="000000" w:sz="8" w:space="0"/>
              <w:right w:val="single" w:color="000000" w:sz="8" w:space="0"/>
            </w:tcBorders>
            <w:shd w:val="clear" w:color="auto" w:fill="auto"/>
            <w:vAlign w:val="center"/>
          </w:tcPr>
          <w:p w14:paraId="3684003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833" w:type="pct"/>
            <w:tcBorders>
              <w:top w:val="nil"/>
              <w:left w:val="single" w:color="000000" w:sz="8" w:space="0"/>
              <w:bottom w:val="single" w:color="000000" w:sz="8" w:space="0"/>
              <w:right w:val="single" w:color="000000" w:sz="8" w:space="0"/>
            </w:tcBorders>
            <w:shd w:val="clear" w:color="auto" w:fill="auto"/>
            <w:vAlign w:val="center"/>
          </w:tcPr>
          <w:p w14:paraId="66417E9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UPS主机</w:t>
            </w:r>
          </w:p>
        </w:tc>
        <w:tc>
          <w:tcPr>
            <w:tcW w:w="833" w:type="pct"/>
            <w:tcBorders>
              <w:top w:val="nil"/>
              <w:left w:val="single" w:color="000000" w:sz="8" w:space="0"/>
              <w:bottom w:val="single" w:color="000000" w:sz="8" w:space="0"/>
              <w:right w:val="single" w:color="000000" w:sz="8" w:space="0"/>
            </w:tcBorders>
            <w:shd w:val="clear" w:color="auto" w:fill="auto"/>
            <w:vAlign w:val="center"/>
          </w:tcPr>
          <w:p w14:paraId="6CC2AB3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艾默生</w:t>
            </w:r>
          </w:p>
        </w:tc>
        <w:tc>
          <w:tcPr>
            <w:tcW w:w="833" w:type="pct"/>
            <w:tcBorders>
              <w:top w:val="nil"/>
              <w:left w:val="single" w:color="000000" w:sz="8" w:space="0"/>
              <w:bottom w:val="single" w:color="000000" w:sz="8" w:space="0"/>
              <w:right w:val="single" w:color="000000" w:sz="8" w:space="0"/>
            </w:tcBorders>
            <w:shd w:val="clear" w:color="auto" w:fill="auto"/>
            <w:vAlign w:val="center"/>
          </w:tcPr>
          <w:p w14:paraId="6A2B292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NXR 200 KVA</w:t>
            </w:r>
          </w:p>
        </w:tc>
        <w:tc>
          <w:tcPr>
            <w:tcW w:w="525" w:type="pct"/>
            <w:tcBorders>
              <w:top w:val="nil"/>
              <w:left w:val="single" w:color="000000" w:sz="8" w:space="0"/>
              <w:bottom w:val="single" w:color="000000" w:sz="8" w:space="0"/>
              <w:right w:val="single" w:color="000000" w:sz="8" w:space="0"/>
            </w:tcBorders>
            <w:shd w:val="clear" w:color="auto" w:fill="auto"/>
            <w:vAlign w:val="center"/>
          </w:tcPr>
          <w:p w14:paraId="33A2596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573" w:type="pct"/>
            <w:tcBorders>
              <w:top w:val="nil"/>
              <w:left w:val="single" w:color="000000" w:sz="8" w:space="0"/>
              <w:bottom w:val="single" w:color="000000" w:sz="8" w:space="0"/>
              <w:right w:val="single" w:color="000000" w:sz="8" w:space="0"/>
            </w:tcBorders>
            <w:shd w:val="clear" w:color="auto" w:fill="auto"/>
            <w:vAlign w:val="center"/>
          </w:tcPr>
          <w:p w14:paraId="5DE1C7A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2014年</w:t>
            </w:r>
          </w:p>
        </w:tc>
        <w:tc>
          <w:tcPr>
            <w:tcW w:w="811" w:type="pct"/>
            <w:tcBorders>
              <w:top w:val="nil"/>
              <w:left w:val="single" w:color="000000" w:sz="8" w:space="0"/>
              <w:bottom w:val="single" w:color="000000" w:sz="8" w:space="0"/>
              <w:right w:val="single" w:color="000000" w:sz="8" w:space="0"/>
            </w:tcBorders>
            <w:shd w:val="clear" w:color="auto" w:fill="auto"/>
            <w:vAlign w:val="center"/>
          </w:tcPr>
          <w:p w14:paraId="0251F99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外</w:t>
            </w:r>
          </w:p>
        </w:tc>
      </w:tr>
    </w:tbl>
    <w:p w14:paraId="1B25B415">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4.负载均衡设备</w:t>
      </w:r>
      <w:r>
        <w:rPr>
          <w:rFonts w:hint="eastAsia" w:ascii="宋体" w:hAnsi="宋体" w:cs="宋体"/>
          <w:b w:val="0"/>
          <w:bCs w:val="0"/>
          <w:color w:val="auto"/>
          <w:kern w:val="0"/>
          <w:sz w:val="24"/>
          <w:szCs w:val="24"/>
          <w:highlight w:val="none"/>
          <w:lang w:val="en-US" w:eastAsia="zh-CN" w:bidi="ar-SA"/>
        </w:rPr>
        <w:t>（原厂运维）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7"/>
        <w:gridCol w:w="1425"/>
        <w:gridCol w:w="1425"/>
        <w:gridCol w:w="1439"/>
        <w:gridCol w:w="883"/>
        <w:gridCol w:w="974"/>
        <w:gridCol w:w="1397"/>
      </w:tblGrid>
      <w:tr w14:paraId="2BD7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FB395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3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41186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83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1F758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84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59C83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51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313A1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57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54445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投入使用时间</w:t>
            </w:r>
          </w:p>
        </w:tc>
        <w:tc>
          <w:tcPr>
            <w:tcW w:w="81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21E95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5EDB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573" w:type="pct"/>
            <w:tcBorders>
              <w:top w:val="nil"/>
              <w:left w:val="single" w:color="000000" w:sz="8" w:space="0"/>
              <w:bottom w:val="single" w:color="000000" w:sz="8" w:space="0"/>
              <w:right w:val="single" w:color="000000" w:sz="8" w:space="0"/>
            </w:tcBorders>
            <w:shd w:val="clear" w:color="auto" w:fill="auto"/>
            <w:vAlign w:val="center"/>
          </w:tcPr>
          <w:p w14:paraId="250FAEE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836" w:type="pct"/>
            <w:tcBorders>
              <w:top w:val="nil"/>
              <w:left w:val="single" w:color="000000" w:sz="8" w:space="0"/>
              <w:bottom w:val="single" w:color="000000" w:sz="8" w:space="0"/>
              <w:right w:val="single" w:color="000000" w:sz="8" w:space="0"/>
            </w:tcBorders>
            <w:shd w:val="clear" w:color="auto" w:fill="auto"/>
            <w:vAlign w:val="center"/>
          </w:tcPr>
          <w:p w14:paraId="3B1E33E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天清应用交付控制系统</w:t>
            </w:r>
          </w:p>
        </w:tc>
        <w:tc>
          <w:tcPr>
            <w:tcW w:w="836" w:type="pct"/>
            <w:tcBorders>
              <w:top w:val="nil"/>
              <w:left w:val="single" w:color="000000" w:sz="8" w:space="0"/>
              <w:bottom w:val="single" w:color="000000" w:sz="8" w:space="0"/>
              <w:right w:val="single" w:color="000000" w:sz="8" w:space="0"/>
            </w:tcBorders>
            <w:shd w:val="clear" w:color="auto" w:fill="auto"/>
            <w:vAlign w:val="center"/>
          </w:tcPr>
          <w:p w14:paraId="65604DB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启明星辰</w:t>
            </w:r>
          </w:p>
        </w:tc>
        <w:tc>
          <w:tcPr>
            <w:tcW w:w="844" w:type="pct"/>
            <w:tcBorders>
              <w:top w:val="nil"/>
              <w:left w:val="single" w:color="000000" w:sz="8" w:space="0"/>
              <w:bottom w:val="single" w:color="000000" w:sz="8" w:space="0"/>
              <w:right w:val="single" w:color="000000" w:sz="8" w:space="0"/>
            </w:tcBorders>
            <w:shd w:val="clear" w:color="auto" w:fill="auto"/>
            <w:vAlign w:val="center"/>
          </w:tcPr>
          <w:p w14:paraId="406B06B9">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ADC6001</w:t>
            </w:r>
          </w:p>
        </w:tc>
        <w:tc>
          <w:tcPr>
            <w:tcW w:w="518" w:type="pct"/>
            <w:tcBorders>
              <w:top w:val="nil"/>
              <w:left w:val="single" w:color="000000" w:sz="8" w:space="0"/>
              <w:bottom w:val="single" w:color="000000" w:sz="8" w:space="0"/>
              <w:right w:val="single" w:color="000000" w:sz="8" w:space="0"/>
            </w:tcBorders>
            <w:shd w:val="clear" w:color="auto" w:fill="auto"/>
            <w:vAlign w:val="center"/>
          </w:tcPr>
          <w:p w14:paraId="599A447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571" w:type="pct"/>
            <w:tcBorders>
              <w:top w:val="nil"/>
              <w:left w:val="single" w:color="000000" w:sz="8" w:space="0"/>
              <w:bottom w:val="single" w:color="000000" w:sz="8" w:space="0"/>
              <w:right w:val="single" w:color="000000" w:sz="8" w:space="0"/>
            </w:tcBorders>
            <w:shd w:val="clear" w:color="auto" w:fill="auto"/>
            <w:vAlign w:val="center"/>
          </w:tcPr>
          <w:p w14:paraId="3B18517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2014年12月</w:t>
            </w:r>
          </w:p>
        </w:tc>
        <w:tc>
          <w:tcPr>
            <w:tcW w:w="819" w:type="pct"/>
            <w:tcBorders>
              <w:top w:val="nil"/>
              <w:left w:val="single" w:color="000000" w:sz="8" w:space="0"/>
              <w:bottom w:val="single" w:color="000000" w:sz="8" w:space="0"/>
              <w:right w:val="single" w:color="000000" w:sz="8" w:space="0"/>
            </w:tcBorders>
            <w:shd w:val="clear" w:color="auto" w:fill="auto"/>
            <w:vAlign w:val="center"/>
          </w:tcPr>
          <w:p w14:paraId="6ECBEFF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外</w:t>
            </w:r>
          </w:p>
        </w:tc>
      </w:tr>
    </w:tbl>
    <w:p w14:paraId="068A1D7C">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5.流控设备</w:t>
      </w:r>
      <w:r>
        <w:rPr>
          <w:rFonts w:hint="eastAsia" w:ascii="宋体" w:hAnsi="宋体" w:cs="宋体"/>
          <w:b w:val="0"/>
          <w:bCs w:val="0"/>
          <w:color w:val="auto"/>
          <w:kern w:val="0"/>
          <w:sz w:val="24"/>
          <w:szCs w:val="24"/>
          <w:highlight w:val="none"/>
          <w:lang w:val="en-US" w:eastAsia="zh-CN" w:bidi="ar-SA"/>
        </w:rPr>
        <w:t>（原厂运维）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1440"/>
        <w:gridCol w:w="1343"/>
        <w:gridCol w:w="1534"/>
        <w:gridCol w:w="840"/>
        <w:gridCol w:w="1019"/>
        <w:gridCol w:w="1379"/>
      </w:tblGrid>
      <w:tr w14:paraId="09B0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FECFF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4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6CED1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7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C12DB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89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7AD77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4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C4378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59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CD1BE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投入使用时间</w:t>
            </w:r>
          </w:p>
        </w:tc>
        <w:tc>
          <w:tcPr>
            <w:tcW w:w="80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51662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1636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566" w:type="pct"/>
            <w:tcBorders>
              <w:top w:val="nil"/>
              <w:left w:val="single" w:color="000000" w:sz="8" w:space="0"/>
              <w:bottom w:val="single" w:color="000000" w:sz="8" w:space="0"/>
              <w:right w:val="single" w:color="000000" w:sz="8" w:space="0"/>
            </w:tcBorders>
            <w:shd w:val="clear" w:color="auto" w:fill="auto"/>
            <w:vAlign w:val="center"/>
          </w:tcPr>
          <w:p w14:paraId="7877851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844" w:type="pct"/>
            <w:tcBorders>
              <w:top w:val="nil"/>
              <w:left w:val="single" w:color="000000" w:sz="8" w:space="0"/>
              <w:bottom w:val="single" w:color="000000" w:sz="8" w:space="0"/>
              <w:right w:val="single" w:color="000000" w:sz="8" w:space="0"/>
            </w:tcBorders>
            <w:shd w:val="clear" w:color="auto" w:fill="auto"/>
            <w:vAlign w:val="center"/>
          </w:tcPr>
          <w:p w14:paraId="3245C3F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网络流量接入与控制系统</w:t>
            </w:r>
          </w:p>
        </w:tc>
        <w:tc>
          <w:tcPr>
            <w:tcW w:w="787" w:type="pct"/>
            <w:tcBorders>
              <w:top w:val="nil"/>
              <w:left w:val="single" w:color="000000" w:sz="8" w:space="0"/>
              <w:bottom w:val="single" w:color="000000" w:sz="8" w:space="0"/>
              <w:right w:val="single" w:color="000000" w:sz="8" w:space="0"/>
            </w:tcBorders>
            <w:shd w:val="clear" w:color="auto" w:fill="auto"/>
            <w:vAlign w:val="center"/>
          </w:tcPr>
          <w:p w14:paraId="0CF38A0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派网</w:t>
            </w:r>
          </w:p>
        </w:tc>
        <w:tc>
          <w:tcPr>
            <w:tcW w:w="899" w:type="pct"/>
            <w:tcBorders>
              <w:top w:val="nil"/>
              <w:left w:val="single" w:color="000000" w:sz="8" w:space="0"/>
              <w:bottom w:val="single" w:color="000000" w:sz="8" w:space="0"/>
              <w:right w:val="single" w:color="000000" w:sz="8" w:space="0"/>
            </w:tcBorders>
            <w:shd w:val="clear" w:color="auto" w:fill="auto"/>
            <w:vAlign w:val="center"/>
          </w:tcPr>
          <w:p w14:paraId="2231903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PB-55779TS-NC</w:t>
            </w:r>
          </w:p>
        </w:tc>
        <w:tc>
          <w:tcPr>
            <w:tcW w:w="493" w:type="pct"/>
            <w:tcBorders>
              <w:top w:val="nil"/>
              <w:left w:val="single" w:color="000000" w:sz="8" w:space="0"/>
              <w:bottom w:val="single" w:color="000000" w:sz="8" w:space="0"/>
              <w:right w:val="single" w:color="000000" w:sz="8" w:space="0"/>
            </w:tcBorders>
            <w:shd w:val="clear" w:color="auto" w:fill="auto"/>
            <w:vAlign w:val="center"/>
          </w:tcPr>
          <w:p w14:paraId="63D8191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598" w:type="pct"/>
            <w:tcBorders>
              <w:top w:val="nil"/>
              <w:left w:val="single" w:color="000000" w:sz="8" w:space="0"/>
              <w:bottom w:val="single" w:color="000000" w:sz="8" w:space="0"/>
              <w:right w:val="single" w:color="000000" w:sz="8" w:space="0"/>
            </w:tcBorders>
            <w:shd w:val="clear" w:color="auto" w:fill="auto"/>
            <w:vAlign w:val="center"/>
          </w:tcPr>
          <w:p w14:paraId="79C1078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2018年11月</w:t>
            </w:r>
          </w:p>
        </w:tc>
        <w:tc>
          <w:tcPr>
            <w:tcW w:w="809" w:type="pct"/>
            <w:tcBorders>
              <w:top w:val="nil"/>
              <w:left w:val="single" w:color="000000" w:sz="8" w:space="0"/>
              <w:bottom w:val="single" w:color="000000" w:sz="8" w:space="0"/>
              <w:right w:val="single" w:color="000000" w:sz="8" w:space="0"/>
            </w:tcBorders>
            <w:shd w:val="clear" w:color="auto" w:fill="auto"/>
            <w:vAlign w:val="center"/>
          </w:tcPr>
          <w:p w14:paraId="1F056EC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外</w:t>
            </w:r>
          </w:p>
        </w:tc>
      </w:tr>
    </w:tbl>
    <w:p w14:paraId="29E004BB">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i w:val="0"/>
          <w:iCs w:val="0"/>
          <w:color w:val="auto"/>
          <w:kern w:val="0"/>
          <w:sz w:val="24"/>
          <w:szCs w:val="24"/>
          <w:highlight w:val="none"/>
          <w:lang w:val="en-US" w:eastAsia="zh-CN" w:bidi="ar-SA"/>
        </w:rPr>
      </w:pPr>
      <w:r>
        <w:rPr>
          <w:rFonts w:hint="eastAsia" w:ascii="宋体" w:hAnsi="宋体" w:eastAsia="宋体" w:cs="宋体"/>
          <w:b w:val="0"/>
          <w:bCs w:val="0"/>
          <w:i w:val="0"/>
          <w:iCs w:val="0"/>
          <w:color w:val="auto"/>
          <w:kern w:val="0"/>
          <w:sz w:val="24"/>
          <w:szCs w:val="24"/>
          <w:highlight w:val="none"/>
          <w:lang w:val="en-US" w:eastAsia="zh-CN" w:bidi="ar-SA"/>
        </w:rPr>
        <w:t>6.异常流量检测系统</w:t>
      </w:r>
      <w:r>
        <w:rPr>
          <w:rFonts w:hint="eastAsia" w:ascii="宋体" w:hAnsi="宋体" w:cs="宋体"/>
          <w:b w:val="0"/>
          <w:bCs w:val="0"/>
          <w:color w:val="auto"/>
          <w:kern w:val="0"/>
          <w:sz w:val="24"/>
          <w:szCs w:val="24"/>
          <w:highlight w:val="none"/>
          <w:lang w:val="en-US" w:eastAsia="zh-CN" w:bidi="ar-SA"/>
        </w:rPr>
        <w:t>（原厂运维）</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1049"/>
        <w:gridCol w:w="1162"/>
        <w:gridCol w:w="1800"/>
        <w:gridCol w:w="973"/>
        <w:gridCol w:w="1410"/>
        <w:gridCol w:w="1418"/>
      </w:tblGrid>
      <w:tr w14:paraId="1A19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8339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6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729F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6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C099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10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4A0C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57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7384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8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A09C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投入使用时间</w:t>
            </w:r>
          </w:p>
        </w:tc>
        <w:tc>
          <w:tcPr>
            <w:tcW w:w="14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E52C08">
            <w:pPr>
              <w:keepNext w:val="0"/>
              <w:keepLines w:val="0"/>
              <w:pageBreakBefore w:val="0"/>
              <w:widowControl w:val="0"/>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53EC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414" w:type="pct"/>
            <w:tcBorders>
              <w:top w:val="nil"/>
              <w:left w:val="single" w:color="000000" w:sz="8" w:space="0"/>
              <w:bottom w:val="single" w:color="000000" w:sz="8" w:space="0"/>
              <w:right w:val="single" w:color="000000" w:sz="8" w:space="0"/>
            </w:tcBorders>
            <w:shd w:val="clear" w:color="auto" w:fill="auto"/>
            <w:vAlign w:val="center"/>
          </w:tcPr>
          <w:p w14:paraId="5F672E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616" w:type="pct"/>
            <w:tcBorders>
              <w:top w:val="nil"/>
              <w:left w:val="single" w:color="000000" w:sz="8" w:space="0"/>
              <w:bottom w:val="single" w:color="000000" w:sz="8" w:space="0"/>
              <w:right w:val="single" w:color="000000" w:sz="8" w:space="0"/>
            </w:tcBorders>
            <w:shd w:val="clear" w:color="auto" w:fill="auto"/>
            <w:vAlign w:val="center"/>
          </w:tcPr>
          <w:p w14:paraId="559B82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异常流量检测系统</w:t>
            </w:r>
          </w:p>
        </w:tc>
        <w:tc>
          <w:tcPr>
            <w:tcW w:w="682" w:type="pct"/>
            <w:tcBorders>
              <w:top w:val="nil"/>
              <w:left w:val="single" w:color="000000" w:sz="8" w:space="0"/>
              <w:bottom w:val="single" w:color="000000" w:sz="8" w:space="0"/>
              <w:right w:val="single" w:color="000000" w:sz="8" w:space="0"/>
            </w:tcBorders>
            <w:shd w:val="clear" w:color="auto" w:fill="auto"/>
            <w:vAlign w:val="center"/>
          </w:tcPr>
          <w:p w14:paraId="594C06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启明星辰</w:t>
            </w:r>
          </w:p>
        </w:tc>
        <w:tc>
          <w:tcPr>
            <w:tcW w:w="1057" w:type="pct"/>
            <w:tcBorders>
              <w:top w:val="nil"/>
              <w:left w:val="single" w:color="000000" w:sz="8" w:space="0"/>
              <w:bottom w:val="single" w:color="000000" w:sz="8" w:space="0"/>
              <w:right w:val="single" w:color="000000" w:sz="8" w:space="0"/>
            </w:tcBorders>
            <w:shd w:val="clear" w:color="auto" w:fill="auto"/>
            <w:vAlign w:val="center"/>
          </w:tcPr>
          <w:p w14:paraId="534060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 xml:space="preserve">ADM-Detector  </w:t>
            </w:r>
          </w:p>
        </w:tc>
        <w:tc>
          <w:tcPr>
            <w:tcW w:w="571" w:type="pct"/>
            <w:tcBorders>
              <w:top w:val="nil"/>
              <w:left w:val="single" w:color="000000" w:sz="8" w:space="0"/>
              <w:bottom w:val="single" w:color="000000" w:sz="8" w:space="0"/>
              <w:right w:val="single" w:color="000000" w:sz="8" w:space="0"/>
            </w:tcBorders>
            <w:shd w:val="clear" w:color="auto" w:fill="auto"/>
            <w:vAlign w:val="center"/>
          </w:tcPr>
          <w:p w14:paraId="40D395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828" w:type="pct"/>
            <w:tcBorders>
              <w:top w:val="nil"/>
              <w:left w:val="single" w:color="000000" w:sz="8" w:space="0"/>
              <w:bottom w:val="single" w:color="000000" w:sz="8" w:space="0"/>
              <w:right w:val="single" w:color="000000" w:sz="8" w:space="0"/>
            </w:tcBorders>
            <w:shd w:val="clear" w:color="auto" w:fill="auto"/>
            <w:vAlign w:val="center"/>
          </w:tcPr>
          <w:p w14:paraId="066E19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2017/7/5</w:t>
            </w:r>
          </w:p>
        </w:tc>
        <w:tc>
          <w:tcPr>
            <w:tcW w:w="1413" w:type="dxa"/>
            <w:tcBorders>
              <w:top w:val="nil"/>
              <w:left w:val="single" w:color="000000" w:sz="8" w:space="0"/>
              <w:bottom w:val="single" w:color="000000" w:sz="8" w:space="0"/>
              <w:right w:val="single" w:color="000000" w:sz="8" w:space="0"/>
            </w:tcBorders>
            <w:shd w:val="clear" w:color="auto" w:fill="auto"/>
            <w:vAlign w:val="center"/>
          </w:tcPr>
          <w:p w14:paraId="586170A7">
            <w:pPr>
              <w:keepNext w:val="0"/>
              <w:keepLines w:val="0"/>
              <w:pageBreakBefore w:val="0"/>
              <w:widowControl w:val="0"/>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外</w:t>
            </w:r>
          </w:p>
        </w:tc>
      </w:tr>
    </w:tbl>
    <w:p w14:paraId="3F21F526">
      <w:pPr>
        <w:pStyle w:val="2"/>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i w:val="0"/>
          <w:iCs w:val="0"/>
          <w:color w:val="auto"/>
          <w:kern w:val="0"/>
          <w:sz w:val="24"/>
          <w:szCs w:val="24"/>
          <w:highlight w:val="none"/>
          <w:lang w:val="en-US" w:eastAsia="zh-CN" w:bidi="ar-SA"/>
        </w:rPr>
      </w:pPr>
      <w:r>
        <w:rPr>
          <w:rFonts w:hint="eastAsia" w:ascii="宋体" w:hAnsi="宋体" w:cs="宋体"/>
          <w:b w:val="0"/>
          <w:bCs w:val="0"/>
          <w:i w:val="0"/>
          <w:iCs w:val="0"/>
          <w:color w:val="auto"/>
          <w:kern w:val="0"/>
          <w:sz w:val="24"/>
          <w:szCs w:val="24"/>
          <w:highlight w:val="none"/>
          <w:lang w:val="en-US" w:eastAsia="zh-CN" w:bidi="ar-SA"/>
        </w:rPr>
        <w:t>7</w:t>
      </w:r>
      <w:r>
        <w:rPr>
          <w:rFonts w:hint="eastAsia" w:ascii="宋体" w:hAnsi="宋体" w:eastAsia="宋体" w:cs="宋体"/>
          <w:b w:val="0"/>
          <w:bCs w:val="0"/>
          <w:i w:val="0"/>
          <w:iCs w:val="0"/>
          <w:color w:val="auto"/>
          <w:kern w:val="0"/>
          <w:sz w:val="24"/>
          <w:szCs w:val="24"/>
          <w:highlight w:val="none"/>
          <w:lang w:val="en-US" w:eastAsia="zh-CN" w:bidi="ar-SA"/>
        </w:rPr>
        <w:t>.边界防火墙</w:t>
      </w:r>
      <w:r>
        <w:rPr>
          <w:rFonts w:hint="eastAsia" w:ascii="宋体" w:hAnsi="宋体" w:cs="宋体"/>
          <w:b w:val="0"/>
          <w:bCs w:val="0"/>
          <w:color w:val="auto"/>
          <w:kern w:val="0"/>
          <w:sz w:val="24"/>
          <w:szCs w:val="24"/>
          <w:highlight w:val="none"/>
          <w:lang w:val="en-US" w:eastAsia="zh-CN" w:bidi="ar-SA"/>
        </w:rPr>
        <w:t>（原厂运维）</w:t>
      </w:r>
    </w:p>
    <w:tbl>
      <w:tblPr>
        <w:tblStyle w:val="16"/>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2"/>
        <w:gridCol w:w="1454"/>
        <w:gridCol w:w="1379"/>
        <w:gridCol w:w="1454"/>
        <w:gridCol w:w="839"/>
        <w:gridCol w:w="1004"/>
        <w:gridCol w:w="1394"/>
      </w:tblGrid>
      <w:tr w14:paraId="15EE6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B22B1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331C6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硬件名称</w:t>
            </w:r>
          </w:p>
        </w:tc>
        <w:tc>
          <w:tcPr>
            <w:tcW w:w="81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2D904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品牌</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2E590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4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E8317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59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6159E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投入使用时间</w:t>
            </w:r>
          </w:p>
        </w:tc>
        <w:tc>
          <w:tcPr>
            <w:tcW w:w="81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F47C1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集中采购目录内/外</w:t>
            </w:r>
          </w:p>
        </w:tc>
      </w:tr>
      <w:tr w14:paraId="38AFE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577" w:type="pct"/>
            <w:tcBorders>
              <w:top w:val="nil"/>
              <w:left w:val="single" w:color="000000" w:sz="8" w:space="0"/>
              <w:bottom w:val="single" w:color="000000" w:sz="8" w:space="0"/>
              <w:right w:val="single" w:color="000000" w:sz="8" w:space="0"/>
            </w:tcBorders>
            <w:shd w:val="clear" w:color="auto" w:fill="auto"/>
            <w:vAlign w:val="center"/>
          </w:tcPr>
          <w:p w14:paraId="047F718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D67324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网御安全网关系统</w:t>
            </w:r>
          </w:p>
        </w:tc>
        <w:tc>
          <w:tcPr>
            <w:tcW w:w="810" w:type="pct"/>
            <w:tcBorders>
              <w:top w:val="nil"/>
              <w:left w:val="single" w:color="000000" w:sz="8" w:space="0"/>
              <w:bottom w:val="single" w:color="000000" w:sz="8" w:space="0"/>
              <w:right w:val="single" w:color="000000" w:sz="8" w:space="0"/>
            </w:tcBorders>
            <w:shd w:val="clear" w:color="auto" w:fill="auto"/>
            <w:vAlign w:val="center"/>
          </w:tcPr>
          <w:p w14:paraId="2E7A91A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网御星云</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9F1147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V6000-U5510E</w:t>
            </w:r>
          </w:p>
        </w:tc>
        <w:tc>
          <w:tcPr>
            <w:tcW w:w="493" w:type="pct"/>
            <w:tcBorders>
              <w:top w:val="nil"/>
              <w:left w:val="single" w:color="000000" w:sz="8" w:space="0"/>
              <w:bottom w:val="single" w:color="000000" w:sz="8" w:space="0"/>
              <w:right w:val="single" w:color="000000" w:sz="8" w:space="0"/>
            </w:tcBorders>
            <w:shd w:val="clear" w:color="auto" w:fill="auto"/>
            <w:vAlign w:val="center"/>
          </w:tcPr>
          <w:p w14:paraId="2971D1C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590" w:type="pct"/>
            <w:tcBorders>
              <w:top w:val="nil"/>
              <w:left w:val="single" w:color="000000" w:sz="8" w:space="0"/>
              <w:bottom w:val="single" w:color="000000" w:sz="8" w:space="0"/>
              <w:right w:val="single" w:color="000000" w:sz="8" w:space="0"/>
            </w:tcBorders>
            <w:shd w:val="clear" w:color="auto" w:fill="auto"/>
            <w:vAlign w:val="center"/>
          </w:tcPr>
          <w:p w14:paraId="779A213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2014年12月</w:t>
            </w:r>
          </w:p>
        </w:tc>
        <w:tc>
          <w:tcPr>
            <w:tcW w:w="819" w:type="pct"/>
            <w:tcBorders>
              <w:top w:val="nil"/>
              <w:left w:val="single" w:color="000000" w:sz="8" w:space="0"/>
              <w:bottom w:val="single" w:color="000000" w:sz="8" w:space="0"/>
              <w:right w:val="single" w:color="000000" w:sz="8" w:space="0"/>
            </w:tcBorders>
            <w:shd w:val="clear" w:color="auto" w:fill="auto"/>
            <w:vAlign w:val="center"/>
          </w:tcPr>
          <w:p w14:paraId="4F5104E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cs="宋体"/>
                <w:b w:val="0"/>
                <w:bCs w:val="0"/>
                <w:i w:val="0"/>
                <w:iCs w:val="0"/>
                <w:color w:val="auto"/>
                <w:kern w:val="0"/>
                <w:sz w:val="24"/>
                <w:szCs w:val="24"/>
                <w:highlight w:val="none"/>
                <w:u w:val="none"/>
                <w:lang w:val="en-US" w:eastAsia="zh-CN" w:bidi="ar"/>
              </w:rPr>
              <w:t>外</w:t>
            </w:r>
          </w:p>
        </w:tc>
      </w:tr>
    </w:tbl>
    <w:p w14:paraId="1146D3CE">
      <w:pPr>
        <w:spacing w:line="360" w:lineRule="auto"/>
        <w:ind w:firstLine="482" w:firstLineChars="200"/>
        <w:outlineLvl w:val="0"/>
        <w:rPr>
          <w:b/>
          <w:bCs/>
          <w:color w:val="auto"/>
          <w:sz w:val="24"/>
          <w:highlight w:val="none"/>
        </w:rPr>
      </w:pPr>
      <w:r>
        <w:rPr>
          <w:rFonts w:hint="eastAsia"/>
          <w:b/>
          <w:bCs/>
          <w:color w:val="auto"/>
          <w:sz w:val="24"/>
          <w:highlight w:val="none"/>
        </w:rPr>
        <w:t>（</w:t>
      </w:r>
      <w:r>
        <w:rPr>
          <w:rFonts w:hint="eastAsia"/>
          <w:b/>
          <w:bCs/>
          <w:color w:val="auto"/>
          <w:sz w:val="24"/>
          <w:highlight w:val="none"/>
          <w:lang w:val="en-US" w:eastAsia="zh-CN"/>
        </w:rPr>
        <w:t>三</w:t>
      </w:r>
      <w:r>
        <w:rPr>
          <w:rFonts w:hint="eastAsia"/>
          <w:b/>
          <w:bCs/>
          <w:color w:val="auto"/>
          <w:sz w:val="24"/>
          <w:highlight w:val="none"/>
        </w:rPr>
        <w:t>）运维人员要求</w:t>
      </w:r>
    </w:p>
    <w:tbl>
      <w:tblPr>
        <w:tblStyle w:val="17"/>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86"/>
        <w:gridCol w:w="735"/>
        <w:gridCol w:w="2542"/>
        <w:gridCol w:w="3518"/>
        <w:gridCol w:w="1121"/>
      </w:tblGrid>
      <w:tr w14:paraId="1A03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8" w:type="dxa"/>
            <w:vAlign w:val="center"/>
          </w:tcPr>
          <w:p w14:paraId="17C695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序号</w:t>
            </w:r>
          </w:p>
        </w:tc>
        <w:tc>
          <w:tcPr>
            <w:tcW w:w="1286" w:type="dxa"/>
            <w:vAlign w:val="center"/>
          </w:tcPr>
          <w:p w14:paraId="567988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岗位名称</w:t>
            </w:r>
          </w:p>
        </w:tc>
        <w:tc>
          <w:tcPr>
            <w:tcW w:w="735" w:type="dxa"/>
            <w:vAlign w:val="center"/>
          </w:tcPr>
          <w:p w14:paraId="2389CA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人数</w:t>
            </w:r>
          </w:p>
        </w:tc>
        <w:tc>
          <w:tcPr>
            <w:tcW w:w="2542" w:type="dxa"/>
            <w:vAlign w:val="center"/>
          </w:tcPr>
          <w:p w14:paraId="7B37A0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要求</w:t>
            </w:r>
          </w:p>
        </w:tc>
        <w:tc>
          <w:tcPr>
            <w:tcW w:w="3518" w:type="dxa"/>
            <w:vAlign w:val="center"/>
          </w:tcPr>
          <w:p w14:paraId="7A6667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工作职责</w:t>
            </w:r>
          </w:p>
        </w:tc>
        <w:tc>
          <w:tcPr>
            <w:tcW w:w="1121" w:type="dxa"/>
            <w:vAlign w:val="center"/>
          </w:tcPr>
          <w:p w14:paraId="0DB083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是否驻场服务</w:t>
            </w:r>
          </w:p>
        </w:tc>
      </w:tr>
      <w:tr w14:paraId="439C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66E323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p>
        </w:tc>
        <w:tc>
          <w:tcPr>
            <w:tcW w:w="1286" w:type="dxa"/>
            <w:vAlign w:val="center"/>
          </w:tcPr>
          <w:p w14:paraId="73A8C7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项目经理</w:t>
            </w:r>
          </w:p>
        </w:tc>
        <w:tc>
          <w:tcPr>
            <w:tcW w:w="735" w:type="dxa"/>
            <w:vAlign w:val="center"/>
          </w:tcPr>
          <w:p w14:paraId="2CE42C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p>
        </w:tc>
        <w:tc>
          <w:tcPr>
            <w:tcW w:w="2542" w:type="dxa"/>
            <w:vAlign w:val="center"/>
          </w:tcPr>
          <w:p w14:paraId="1D273DA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Theme="minorEastAsia"/>
                <w:color w:val="auto"/>
                <w:sz w:val="24"/>
                <w:szCs w:val="24"/>
                <w:highlight w:val="none"/>
                <w:lang w:eastAsia="zh-CN"/>
              </w:rPr>
            </w:pPr>
            <w:r>
              <w:rPr>
                <w:rFonts w:ascii="Times New Roman" w:hAnsi="Times New Roman"/>
                <w:color w:val="auto"/>
                <w:sz w:val="24"/>
                <w:szCs w:val="24"/>
                <w:highlight w:val="none"/>
              </w:rPr>
              <w:t>大</w:t>
            </w:r>
            <w:r>
              <w:rPr>
                <w:rFonts w:hint="eastAsia" w:ascii="Times New Roman" w:hAnsi="Times New Roman"/>
                <w:color w:val="auto"/>
                <w:sz w:val="24"/>
                <w:szCs w:val="24"/>
                <w:highlight w:val="none"/>
              </w:rPr>
              <w:t>学本科</w:t>
            </w:r>
            <w:r>
              <w:rPr>
                <w:rFonts w:ascii="Times New Roman" w:hAnsi="Times New Roman"/>
                <w:color w:val="auto"/>
                <w:sz w:val="24"/>
                <w:szCs w:val="24"/>
                <w:highlight w:val="none"/>
              </w:rPr>
              <w:t>或以上学历，5年或以上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hint="eastAsia" w:ascii="Times New Roman" w:hAnsi="Times New Roman"/>
                <w:color w:val="auto"/>
                <w:sz w:val="24"/>
                <w:szCs w:val="24"/>
                <w:highlight w:val="none"/>
              </w:rPr>
              <w:t>具备</w:t>
            </w:r>
            <w:r>
              <w:rPr>
                <w:rFonts w:hint="eastAsia" w:eastAsiaTheme="minorEastAsia"/>
                <w:color w:val="auto"/>
                <w:kern w:val="0"/>
                <w:sz w:val="24"/>
                <w:szCs w:val="24"/>
                <w:highlight w:val="none"/>
              </w:rPr>
              <w:t>计算机技术与软件专业技术资格证书（</w:t>
            </w:r>
            <w:r>
              <w:rPr>
                <w:rFonts w:eastAsiaTheme="minorEastAsia"/>
                <w:color w:val="auto"/>
                <w:kern w:val="0"/>
                <w:sz w:val="24"/>
                <w:szCs w:val="24"/>
                <w:highlight w:val="none"/>
              </w:rPr>
              <w:t>信息系统项目管理师</w:t>
            </w:r>
            <w:r>
              <w:rPr>
                <w:rFonts w:hint="eastAsia" w:eastAsiaTheme="minorEastAsia"/>
                <w:color w:val="auto"/>
                <w:kern w:val="0"/>
                <w:sz w:val="24"/>
                <w:szCs w:val="24"/>
                <w:highlight w:val="none"/>
              </w:rPr>
              <w:t>）</w:t>
            </w:r>
            <w:r>
              <w:rPr>
                <w:rFonts w:hint="eastAsia" w:eastAsiaTheme="minorEastAsia"/>
                <w:color w:val="auto"/>
                <w:kern w:val="0"/>
                <w:sz w:val="24"/>
                <w:szCs w:val="24"/>
                <w:highlight w:val="none"/>
                <w:lang w:eastAsia="zh-CN"/>
              </w:rPr>
              <w:t>、工业和信息化部教育和考试中心颁发的相关证书（高级网络与信息安全工程师证书）、ITSS IT服务工程师证书</w:t>
            </w:r>
            <w:r>
              <w:rPr>
                <w:rFonts w:hint="eastAsia"/>
                <w:color w:val="auto"/>
                <w:kern w:val="0"/>
                <w:sz w:val="24"/>
                <w:szCs w:val="24"/>
                <w:highlight w:val="none"/>
                <w:lang w:eastAsia="zh-CN"/>
              </w:rPr>
              <w:t>。</w:t>
            </w:r>
          </w:p>
        </w:tc>
        <w:tc>
          <w:tcPr>
            <w:tcW w:w="3518" w:type="dxa"/>
            <w:vAlign w:val="center"/>
          </w:tcPr>
          <w:p w14:paraId="05AE049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p>
          <w:p w14:paraId="193F04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（2）负责分析、评估和管理网络和信息安全风险，熟悉常见的安全攻击和防御技术，并具备解决实际问题的能力；</w:t>
            </w:r>
          </w:p>
          <w:p w14:paraId="43FC63B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（3）从事IT服务项目的一线技术工作</w:t>
            </w:r>
          </w:p>
        </w:tc>
        <w:tc>
          <w:tcPr>
            <w:tcW w:w="1121" w:type="dxa"/>
            <w:vAlign w:val="center"/>
          </w:tcPr>
          <w:p w14:paraId="0A52FDE7">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不提供驻场，7*24小时响应</w:t>
            </w:r>
          </w:p>
        </w:tc>
      </w:tr>
      <w:tr w14:paraId="3FAB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0F5E2D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2</w:t>
            </w:r>
          </w:p>
        </w:tc>
        <w:tc>
          <w:tcPr>
            <w:tcW w:w="1286" w:type="dxa"/>
            <w:vAlign w:val="center"/>
          </w:tcPr>
          <w:p w14:paraId="7707F0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color w:val="auto"/>
                <w:sz w:val="24"/>
                <w:szCs w:val="24"/>
                <w:highlight w:val="none"/>
              </w:rPr>
              <w:t>技术</w:t>
            </w:r>
            <w:r>
              <w:rPr>
                <w:rFonts w:hint="eastAsia"/>
                <w:color w:val="auto"/>
                <w:sz w:val="24"/>
                <w:szCs w:val="24"/>
                <w:highlight w:val="none"/>
                <w:lang w:val="en-US" w:eastAsia="zh-CN"/>
              </w:rPr>
              <w:t>负责人</w:t>
            </w:r>
          </w:p>
        </w:tc>
        <w:tc>
          <w:tcPr>
            <w:tcW w:w="735" w:type="dxa"/>
            <w:vAlign w:val="center"/>
          </w:tcPr>
          <w:p w14:paraId="382391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1</w:t>
            </w:r>
          </w:p>
        </w:tc>
        <w:tc>
          <w:tcPr>
            <w:tcW w:w="2542" w:type="dxa"/>
            <w:vAlign w:val="center"/>
          </w:tcPr>
          <w:p w14:paraId="5959C0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Theme="minorEastAsia"/>
                <w:color w:val="auto"/>
                <w:sz w:val="24"/>
                <w:szCs w:val="24"/>
                <w:highlight w:val="none"/>
                <w:lang w:eastAsia="zh-CN"/>
              </w:rPr>
            </w:pPr>
            <w:r>
              <w:rPr>
                <w:rFonts w:ascii="Times New Roman" w:hAnsi="Times New Roman"/>
                <w:color w:val="auto"/>
                <w:sz w:val="24"/>
                <w:szCs w:val="24"/>
                <w:highlight w:val="none"/>
              </w:rPr>
              <w:t>大</w:t>
            </w:r>
            <w:r>
              <w:rPr>
                <w:rFonts w:hint="eastAsia" w:ascii="Times New Roman" w:hAnsi="Times New Roman"/>
                <w:color w:val="auto"/>
                <w:sz w:val="24"/>
                <w:szCs w:val="24"/>
                <w:highlight w:val="none"/>
              </w:rPr>
              <w:t>学本科</w:t>
            </w:r>
            <w:r>
              <w:rPr>
                <w:rFonts w:ascii="Times New Roman" w:hAnsi="Times New Roman"/>
                <w:color w:val="auto"/>
                <w:sz w:val="24"/>
                <w:szCs w:val="24"/>
                <w:highlight w:val="none"/>
              </w:rPr>
              <w:t>或以上学历，3年或以上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hint="eastAsia" w:ascii="Times New Roman" w:hAnsi="Times New Roman"/>
                <w:color w:val="auto"/>
                <w:sz w:val="24"/>
                <w:szCs w:val="24"/>
                <w:highlight w:val="none"/>
              </w:rPr>
              <w:t>具备</w:t>
            </w:r>
            <w:r>
              <w:rPr>
                <w:rFonts w:hint="eastAsia" w:ascii="Times New Roman" w:hAnsi="Times New Roman" w:cs="Times New Roman"/>
                <w:color w:val="auto"/>
                <w:sz w:val="24"/>
                <w:highlight w:val="none"/>
              </w:rPr>
              <w:t>CCRC</w:t>
            </w:r>
            <w:r>
              <w:rPr>
                <w:rFonts w:ascii="Times New Roman" w:hAnsi="Times New Roman" w:cs="Times New Roman"/>
                <w:color w:val="auto"/>
                <w:sz w:val="24"/>
                <w:szCs w:val="21"/>
                <w:highlight w:val="none"/>
              </w:rPr>
              <w:t>信息安全保障人员认证（CISAW）证书</w:t>
            </w:r>
            <w:r>
              <w:rPr>
                <w:rFonts w:hint="eastAsia" w:eastAsiaTheme="minorEastAsia"/>
                <w:color w:val="auto"/>
                <w:kern w:val="0"/>
                <w:sz w:val="24"/>
                <w:szCs w:val="24"/>
                <w:highlight w:val="none"/>
                <w:lang w:eastAsia="zh-CN"/>
              </w:rPr>
              <w:t>。</w:t>
            </w:r>
          </w:p>
        </w:tc>
        <w:tc>
          <w:tcPr>
            <w:tcW w:w="3518" w:type="dxa"/>
            <w:vAlign w:val="center"/>
          </w:tcPr>
          <w:p w14:paraId="53B275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r>
              <w:rPr>
                <w:rFonts w:hint="eastAsia" w:ascii="宋体" w:hAnsi="宋体" w:cs="宋体"/>
                <w:color w:val="auto"/>
                <w:sz w:val="24"/>
                <w:szCs w:val="24"/>
                <w:highlight w:val="none"/>
                <w:lang w:eastAsia="zh-CN"/>
              </w:rPr>
              <w:t>。</w:t>
            </w:r>
          </w:p>
        </w:tc>
        <w:tc>
          <w:tcPr>
            <w:tcW w:w="1121" w:type="dxa"/>
            <w:vAlign w:val="center"/>
          </w:tcPr>
          <w:p w14:paraId="0F19F7A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不提供驻场，7*24小时响应</w:t>
            </w:r>
          </w:p>
        </w:tc>
      </w:tr>
      <w:tr w14:paraId="1858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12FB5F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i w:val="0"/>
                <w:iCs w:val="0"/>
                <w:color w:val="auto"/>
                <w:sz w:val="24"/>
                <w:szCs w:val="24"/>
                <w:highlight w:val="none"/>
              </w:rPr>
            </w:pPr>
            <w:r>
              <w:rPr>
                <w:rFonts w:ascii="Times New Roman" w:hAnsi="Times New Roman"/>
                <w:i w:val="0"/>
                <w:iCs w:val="0"/>
                <w:color w:val="auto"/>
                <w:sz w:val="24"/>
                <w:szCs w:val="24"/>
                <w:highlight w:val="none"/>
              </w:rPr>
              <w:t>3</w:t>
            </w:r>
          </w:p>
        </w:tc>
        <w:tc>
          <w:tcPr>
            <w:tcW w:w="1286" w:type="dxa"/>
            <w:vAlign w:val="center"/>
          </w:tcPr>
          <w:p w14:paraId="48927B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i w:val="0"/>
                <w:iCs w:val="0"/>
                <w:color w:val="auto"/>
                <w:sz w:val="24"/>
                <w:szCs w:val="24"/>
                <w:highlight w:val="none"/>
              </w:rPr>
            </w:pPr>
            <w:r>
              <w:rPr>
                <w:rFonts w:ascii="Times New Roman" w:hAnsi="Times New Roman"/>
                <w:i w:val="0"/>
                <w:iCs w:val="0"/>
                <w:color w:val="auto"/>
                <w:sz w:val="24"/>
                <w:szCs w:val="24"/>
                <w:highlight w:val="none"/>
              </w:rPr>
              <w:t>运维人员</w:t>
            </w:r>
          </w:p>
        </w:tc>
        <w:tc>
          <w:tcPr>
            <w:tcW w:w="735" w:type="dxa"/>
            <w:vAlign w:val="center"/>
          </w:tcPr>
          <w:p w14:paraId="1D21C6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i w:val="0"/>
                <w:iCs w:val="0"/>
                <w:color w:val="auto"/>
                <w:sz w:val="24"/>
                <w:szCs w:val="24"/>
                <w:highlight w:val="none"/>
                <w:lang w:eastAsia="zh-CN"/>
              </w:rPr>
            </w:pPr>
            <w:r>
              <w:rPr>
                <w:rFonts w:hint="eastAsia"/>
                <w:i w:val="0"/>
                <w:iCs w:val="0"/>
                <w:color w:val="auto"/>
                <w:sz w:val="24"/>
                <w:szCs w:val="24"/>
                <w:highlight w:val="none"/>
                <w:lang w:val="en-US" w:eastAsia="zh-CN"/>
              </w:rPr>
              <w:t>5</w:t>
            </w:r>
          </w:p>
        </w:tc>
        <w:tc>
          <w:tcPr>
            <w:tcW w:w="2542" w:type="dxa"/>
            <w:vAlign w:val="center"/>
          </w:tcPr>
          <w:p w14:paraId="30599C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i w:val="0"/>
                <w:iCs w:val="0"/>
                <w:color w:val="auto"/>
                <w:sz w:val="24"/>
                <w:szCs w:val="24"/>
                <w:highlight w:val="none"/>
                <w:lang w:eastAsia="zh-CN"/>
              </w:rPr>
            </w:pPr>
            <w:r>
              <w:rPr>
                <w:rFonts w:ascii="Times New Roman" w:hAnsi="Times New Roman"/>
                <w:i w:val="0"/>
                <w:iCs w:val="0"/>
                <w:color w:val="auto"/>
                <w:sz w:val="24"/>
                <w:szCs w:val="24"/>
                <w:highlight w:val="none"/>
              </w:rPr>
              <w:t>大</w:t>
            </w:r>
            <w:r>
              <w:rPr>
                <w:rFonts w:hint="eastAsia" w:ascii="Times New Roman" w:hAnsi="Times New Roman"/>
                <w:i w:val="0"/>
                <w:iCs w:val="0"/>
                <w:color w:val="auto"/>
                <w:sz w:val="24"/>
                <w:szCs w:val="24"/>
                <w:highlight w:val="none"/>
              </w:rPr>
              <w:t>学本科</w:t>
            </w:r>
            <w:r>
              <w:rPr>
                <w:rFonts w:ascii="Times New Roman" w:hAnsi="Times New Roman"/>
                <w:i w:val="0"/>
                <w:iCs w:val="0"/>
                <w:color w:val="auto"/>
                <w:sz w:val="24"/>
                <w:szCs w:val="24"/>
                <w:highlight w:val="none"/>
              </w:rPr>
              <w:t>或以上学历，3年或以上</w:t>
            </w:r>
            <w:r>
              <w:rPr>
                <w:rFonts w:hint="eastAsia"/>
                <w:i w:val="0"/>
                <w:iCs w:val="0"/>
                <w:color w:val="auto"/>
                <w:sz w:val="24"/>
                <w:szCs w:val="24"/>
                <w:highlight w:val="none"/>
                <w:lang w:val="en-US" w:eastAsia="zh-CN"/>
              </w:rPr>
              <w:t>信息化</w:t>
            </w:r>
            <w:r>
              <w:rPr>
                <w:rFonts w:ascii="Times New Roman" w:hAnsi="Times New Roman"/>
                <w:i w:val="0"/>
                <w:iCs w:val="0"/>
                <w:color w:val="auto"/>
                <w:sz w:val="24"/>
                <w:szCs w:val="24"/>
                <w:highlight w:val="none"/>
              </w:rPr>
              <w:t>硬件运行维护工作经验</w:t>
            </w:r>
            <w:r>
              <w:rPr>
                <w:rFonts w:hint="eastAsia" w:ascii="Times New Roman" w:hAnsi="Times New Roman"/>
                <w:i w:val="0"/>
                <w:iCs w:val="0"/>
                <w:color w:val="auto"/>
                <w:sz w:val="24"/>
                <w:szCs w:val="24"/>
                <w:highlight w:val="none"/>
                <w:lang w:eastAsia="zh-CN"/>
              </w:rPr>
              <w:t>。</w:t>
            </w:r>
          </w:p>
        </w:tc>
        <w:tc>
          <w:tcPr>
            <w:tcW w:w="3518" w:type="dxa"/>
            <w:vAlign w:val="center"/>
          </w:tcPr>
          <w:p w14:paraId="2989DC1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常驻现场技术人员，需有两人以上具备交换机调试和网络管理能力。工作日分别在网络运营处、生活区、教学区设立专人盯岗，此外需配备技术支持服务团队在</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发生关键事件（如开学迎新、重大会议或赛事、网络拓扑更换或重要设备更换、汇聚级以上网络设备故障、校内管网光纤中断等）提供现场支持，响应时间不超过1小时（自电话联系起）。</w:t>
            </w:r>
          </w:p>
          <w:p w14:paraId="4701F4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p>
        </w:tc>
        <w:tc>
          <w:tcPr>
            <w:tcW w:w="1121" w:type="dxa"/>
            <w:vAlign w:val="center"/>
          </w:tcPr>
          <w:p w14:paraId="254966FF">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i w:val="0"/>
                <w:iCs w:val="0"/>
                <w:color w:val="auto"/>
                <w:sz w:val="24"/>
                <w:szCs w:val="24"/>
                <w:highlight w:val="none"/>
              </w:rPr>
            </w:pPr>
            <w:r>
              <w:rPr>
                <w:rFonts w:hint="eastAsia" w:ascii="Times New Roman" w:hAnsi="Times New Roman"/>
                <w:i w:val="0"/>
                <w:iCs w:val="0"/>
                <w:color w:val="auto"/>
                <w:sz w:val="24"/>
                <w:szCs w:val="24"/>
                <w:highlight w:val="none"/>
              </w:rPr>
              <w:t>7*8工作时间驻场（寒暑假期间不少于2人驻场）</w:t>
            </w:r>
          </w:p>
        </w:tc>
      </w:tr>
    </w:tbl>
    <w:p w14:paraId="315B63BD">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2" w:firstLineChars="200"/>
        <w:jc w:val="both"/>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（四）软件产品运维服务要求</w:t>
      </w:r>
    </w:p>
    <w:p w14:paraId="549FB2E5">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1.企业微信维保服务</w:t>
      </w:r>
    </w:p>
    <w:p w14:paraId="1077EDB6">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天津师范大学统一协同通讯与学习平台的运维服务的主要作用是保证系统平台的稳定运行，满足校内外师生的信息化服务需求。企业微信维保服务时间为一年期，服务期内要满足：</w:t>
      </w:r>
    </w:p>
    <w:p w14:paraId="41882CF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保证系统以企业微信为入口的正常运行，包括微信关注、身份认证等功能。</w:t>
      </w:r>
    </w:p>
    <w:p w14:paraId="5D94D233">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确保系统的高可用高并发性。</w:t>
      </w:r>
    </w:p>
    <w:p w14:paraId="6CCC77A8">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保证用户的访问体验良好，异步处理机制的正常运转。</w:t>
      </w:r>
    </w:p>
    <w:p w14:paraId="7F4AEB6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保证人员分类标签管理平台的正常运转。</w:t>
      </w:r>
    </w:p>
    <w:p w14:paraId="7E41776A">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保证统一协同通讯与学习平台各项应用的正常运转，如事事通应用。</w:t>
      </w:r>
    </w:p>
    <w:p w14:paraId="0364DDBF">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保证企业微应用用户平台的正常运转。</w:t>
      </w:r>
    </w:p>
    <w:p w14:paraId="5103D602">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保证应用配置管理平台的正常运转。</w:t>
      </w:r>
    </w:p>
    <w:p w14:paraId="364AB08A">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保证开发及部署消息推送授权管理平台的正常运转。</w:t>
      </w:r>
    </w:p>
    <w:p w14:paraId="526096C6">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2.网上服务大厅维保服务</w:t>
      </w:r>
    </w:p>
    <w:p w14:paraId="2BE09D51">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2.1服务要求</w:t>
      </w:r>
    </w:p>
    <w:p w14:paraId="75C83D9C">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网上服务大厅售后服务时间为期一年，服务期内，供应商或其委托的服务提供商提供7*24小时服务（通过公众号或小程序实现），随时接受技术咨询和故障报修等，通过通讯工具进行响应，并根据采购人提出的服务请求类型，提供相应的支持服务，确保在接到故障申报后，需第一时间（1小时内响应）提供电话支持服务。如远程无法解决问题，需提供24小时内的故障现场技术维护。</w:t>
      </w:r>
    </w:p>
    <w:p w14:paraId="0DA12AEC">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2.2服务内容</w:t>
      </w:r>
    </w:p>
    <w:tbl>
      <w:tblPr>
        <w:tblStyle w:val="16"/>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50"/>
        <w:gridCol w:w="1510"/>
        <w:gridCol w:w="4665"/>
      </w:tblGrid>
      <w:tr w14:paraId="7917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746" w:type="dxa"/>
            <w:vAlign w:val="center"/>
          </w:tcPr>
          <w:p w14:paraId="29CE99E9">
            <w:pPr>
              <w:keepNext w:val="0"/>
              <w:keepLines w:val="0"/>
              <w:pageBreakBefore w:val="0"/>
              <w:widowControl w:val="0"/>
              <w:kinsoku/>
              <w:wordWrap/>
              <w:overflowPunct/>
              <w:topLinePunct w:val="0"/>
              <w:autoSpaceDE/>
              <w:autoSpaceDN/>
              <w:bidi w:val="0"/>
              <w:adjustRightInd/>
              <w:snapToGrid/>
              <w:spacing w:line="360" w:lineRule="auto"/>
              <w:ind w:leftChars="0" w:right="0" w:rightChars="0" w:firstLine="0" w:firstLineChars="0"/>
              <w:jc w:val="center"/>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序号</w:t>
            </w:r>
          </w:p>
        </w:tc>
        <w:tc>
          <w:tcPr>
            <w:tcW w:w="1350" w:type="dxa"/>
            <w:vAlign w:val="center"/>
          </w:tcPr>
          <w:p w14:paraId="301AAB9E">
            <w:pPr>
              <w:keepNext w:val="0"/>
              <w:keepLines w:val="0"/>
              <w:pageBreakBefore w:val="0"/>
              <w:widowControl w:val="0"/>
              <w:kinsoku/>
              <w:wordWrap/>
              <w:overflowPunct/>
              <w:topLinePunct w:val="0"/>
              <w:autoSpaceDE/>
              <w:autoSpaceDN/>
              <w:bidi w:val="0"/>
              <w:adjustRightInd/>
              <w:snapToGrid/>
              <w:spacing w:line="360" w:lineRule="auto"/>
              <w:ind w:leftChars="0" w:right="0" w:rightChars="0" w:firstLine="0" w:firstLineChars="0"/>
              <w:jc w:val="center"/>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服务组成</w:t>
            </w:r>
          </w:p>
        </w:tc>
        <w:tc>
          <w:tcPr>
            <w:tcW w:w="1510" w:type="dxa"/>
            <w:vAlign w:val="center"/>
          </w:tcPr>
          <w:p w14:paraId="6E52DAE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服务项</w:t>
            </w:r>
          </w:p>
        </w:tc>
        <w:tc>
          <w:tcPr>
            <w:tcW w:w="4665" w:type="dxa"/>
            <w:vAlign w:val="center"/>
          </w:tcPr>
          <w:p w14:paraId="0266BCE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服务说明</w:t>
            </w:r>
          </w:p>
        </w:tc>
      </w:tr>
      <w:tr w14:paraId="4295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746" w:type="dxa"/>
            <w:vMerge w:val="restart"/>
            <w:vAlign w:val="center"/>
          </w:tcPr>
          <w:p w14:paraId="671757C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w:t>
            </w:r>
          </w:p>
        </w:tc>
        <w:tc>
          <w:tcPr>
            <w:tcW w:w="1350" w:type="dxa"/>
            <w:vMerge w:val="restart"/>
            <w:vAlign w:val="center"/>
          </w:tcPr>
          <w:p w14:paraId="6988D3DF">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中间件服务</w:t>
            </w:r>
          </w:p>
        </w:tc>
        <w:tc>
          <w:tcPr>
            <w:tcW w:w="1510" w:type="dxa"/>
            <w:vAlign w:val="center"/>
          </w:tcPr>
          <w:p w14:paraId="78F21567">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安全加固服务</w:t>
            </w:r>
          </w:p>
        </w:tc>
        <w:tc>
          <w:tcPr>
            <w:tcW w:w="4665" w:type="dxa"/>
            <w:vAlign w:val="center"/>
          </w:tcPr>
          <w:p w14:paraId="196DD63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对应用系统漏洞扫描报告、安全应急事件中的中间件漏洞进行分析，对其中weblogic、tomcat、apache、nginx、redis中间件的漏洞进行修复和补丁升级；</w:t>
            </w:r>
          </w:p>
        </w:tc>
      </w:tr>
      <w:tr w14:paraId="447F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746" w:type="dxa"/>
            <w:vMerge w:val="continue"/>
            <w:vAlign w:val="center"/>
          </w:tcPr>
          <w:p w14:paraId="23824B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087E74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5F5ED1EB">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安全应急服务</w:t>
            </w:r>
          </w:p>
        </w:tc>
        <w:tc>
          <w:tcPr>
            <w:tcW w:w="4665" w:type="dxa"/>
            <w:vAlign w:val="center"/>
          </w:tcPr>
          <w:p w14:paraId="0C593B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1.通过远程或现场方式协助用户对遇到突发安全事件进行紧急分析和处理，如针对上级主管部门通报漏洞或国家信息安全漏洞库新发布的平台应用系统漏洞进行紧急分析并查询确认校内漏洞分布情况；</w:t>
            </w:r>
          </w:p>
        </w:tc>
      </w:tr>
      <w:tr w14:paraId="1359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vAlign w:val="center"/>
          </w:tcPr>
          <w:p w14:paraId="145A630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7E48226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CDD2D6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42DB5C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2.针对存在漏洞的智慧校园平台和应用，通知</w:t>
            </w:r>
            <w:r>
              <w:rPr>
                <w:rFonts w:hint="default" w:ascii="Times New Roman" w:hAnsi="Times New Roman" w:eastAsia="宋体" w:cs="Times New Roman"/>
                <w:b w:val="0"/>
                <w:bCs w:val="0"/>
                <w:color w:val="auto"/>
                <w:sz w:val="24"/>
                <w:szCs w:val="24"/>
                <w:highlight w:val="none"/>
                <w:lang w:val="en-US" w:eastAsia="zh-CN"/>
              </w:rPr>
              <w:t>采购人</w:t>
            </w:r>
            <w:r>
              <w:rPr>
                <w:rFonts w:hint="default" w:ascii="Times New Roman" w:hAnsi="Times New Roman" w:eastAsia="宋体" w:cs="Times New Roman"/>
                <w:b w:val="0"/>
                <w:bCs w:val="0"/>
                <w:color w:val="auto"/>
                <w:sz w:val="24"/>
                <w:szCs w:val="24"/>
                <w:highlight w:val="none"/>
              </w:rPr>
              <w:t>安全责任人；</w:t>
            </w:r>
          </w:p>
        </w:tc>
      </w:tr>
      <w:tr w14:paraId="7C9B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vAlign w:val="center"/>
          </w:tcPr>
          <w:p w14:paraId="51388B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31C7FC1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18E46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4E5AB3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3.协助漏洞处理人员分析漏洞，提供漏洞处理服务；</w:t>
            </w:r>
          </w:p>
        </w:tc>
      </w:tr>
      <w:tr w14:paraId="1888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vAlign w:val="center"/>
          </w:tcPr>
          <w:p w14:paraId="1E66835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306B6D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50393B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48E510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4.漏洞处理完成之后，对处理结果进行验证，确认处理完成。</w:t>
            </w:r>
          </w:p>
        </w:tc>
      </w:tr>
      <w:tr w14:paraId="749A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46" w:type="dxa"/>
            <w:vMerge w:val="restart"/>
            <w:noWrap/>
            <w:vAlign w:val="center"/>
          </w:tcPr>
          <w:p w14:paraId="7BED96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w:t>
            </w:r>
          </w:p>
        </w:tc>
        <w:tc>
          <w:tcPr>
            <w:tcW w:w="1350" w:type="dxa"/>
            <w:vMerge w:val="restart"/>
            <w:noWrap/>
            <w:vAlign w:val="center"/>
          </w:tcPr>
          <w:p w14:paraId="665FB9F4">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oracle数据库服务</w:t>
            </w:r>
          </w:p>
        </w:tc>
        <w:tc>
          <w:tcPr>
            <w:tcW w:w="1510" w:type="dxa"/>
            <w:vMerge w:val="restart"/>
            <w:vAlign w:val="center"/>
          </w:tcPr>
          <w:p w14:paraId="54AB5D49">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资产梳理服务</w:t>
            </w:r>
          </w:p>
        </w:tc>
        <w:tc>
          <w:tcPr>
            <w:tcW w:w="4665" w:type="dxa"/>
            <w:vAlign w:val="center"/>
          </w:tcPr>
          <w:p w14:paraId="3FEC81B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1.梳理并完善oracle数据库部署架构与基本信息，基本信息包括实例信息、用途、备份情况、数据量大小、用户及权限；</w:t>
            </w:r>
          </w:p>
        </w:tc>
      </w:tr>
      <w:tr w14:paraId="152E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746" w:type="dxa"/>
            <w:vMerge w:val="continue"/>
            <w:noWrap/>
            <w:vAlign w:val="center"/>
          </w:tcPr>
          <w:p w14:paraId="1A518B6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A5D43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4093B56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52E2B9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2.以高可用为目标，对于部署不合规点进行整改，并对不合则的数据库用户权限进行回收；</w:t>
            </w:r>
          </w:p>
        </w:tc>
      </w:tr>
      <w:tr w14:paraId="5B2E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395167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6C7799C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396892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0578E7F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3.对于长期不活动oracle数据库用户进行归档与回收工作，释放计算资源；</w:t>
            </w:r>
          </w:p>
        </w:tc>
      </w:tr>
      <w:tr w14:paraId="5C6B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46" w:type="dxa"/>
            <w:vMerge w:val="continue"/>
            <w:noWrap/>
            <w:vAlign w:val="center"/>
          </w:tcPr>
          <w:p w14:paraId="350A072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BF62D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314D65A2">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人工巡检服务</w:t>
            </w:r>
          </w:p>
        </w:tc>
        <w:tc>
          <w:tcPr>
            <w:tcW w:w="4665" w:type="dxa"/>
            <w:vAlign w:val="center"/>
          </w:tcPr>
          <w:p w14:paraId="701AB32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1.每月提供1次人工巡检操作，主要检查集群高可用状态，数据库会话、IO性能、账户信息、低效率SQL语句、数据库性能参数、垃圾数据、备份数据、oracle归档日志等；</w:t>
            </w:r>
          </w:p>
        </w:tc>
      </w:tr>
      <w:tr w14:paraId="3693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6AEE5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520872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9599F8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3825217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2.巡检发现的隐患通过修改数据库参数配置来处理；</w:t>
            </w:r>
          </w:p>
        </w:tc>
      </w:tr>
      <w:tr w14:paraId="11CF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3E7224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5F1AD8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DA165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0AB05D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3.提供《数据库巡检报告》；</w:t>
            </w:r>
          </w:p>
        </w:tc>
      </w:tr>
      <w:tr w14:paraId="71F7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746" w:type="dxa"/>
            <w:vMerge w:val="continue"/>
            <w:noWrap/>
            <w:vAlign w:val="center"/>
          </w:tcPr>
          <w:p w14:paraId="417168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66E492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71D83A8B">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故障处理服务</w:t>
            </w:r>
          </w:p>
        </w:tc>
        <w:tc>
          <w:tcPr>
            <w:tcW w:w="4665" w:type="dxa"/>
            <w:vAlign w:val="center"/>
          </w:tcPr>
          <w:p w14:paraId="64EBBAC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1.对监控预警、人工报修、巡检的数据库故障进行处理，包括表空间满、数据库监听异常、数据库集群同步、数据表字符乱码、账户锁定等导致数据库不可用的问题，让数据库恢复使用；</w:t>
            </w:r>
          </w:p>
        </w:tc>
      </w:tr>
      <w:tr w14:paraId="1937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59E579D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6F2A36C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834DF1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67B78F9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2.在应用系统出现不可用问题时，协助应用系统维护人员排查oracle数据库；</w:t>
            </w:r>
          </w:p>
        </w:tc>
      </w:tr>
      <w:tr w14:paraId="281C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46" w:type="dxa"/>
            <w:vMerge w:val="continue"/>
            <w:noWrap/>
            <w:vAlign w:val="center"/>
          </w:tcPr>
          <w:p w14:paraId="3D40A88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063AE4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0D806691">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补丁升级服务</w:t>
            </w:r>
          </w:p>
        </w:tc>
        <w:tc>
          <w:tcPr>
            <w:tcW w:w="4665" w:type="dxa"/>
            <w:vAlign w:val="center"/>
          </w:tcPr>
          <w:p w14:paraId="72A7FBA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1.对漏洞扫描报告、安全应急事件中的oracle数据库漏洞进行分析，对其中oracle数据库高危漏洞进行修复；</w:t>
            </w:r>
          </w:p>
        </w:tc>
      </w:tr>
      <w:tr w14:paraId="3985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0BC61C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0042DD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50D61B9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4FA93F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2.修复过程中涉及停机操作，要求协调好相关应用方做好配合；</w:t>
            </w:r>
          </w:p>
        </w:tc>
      </w:tr>
      <w:tr w14:paraId="6AC5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0F796A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1ACFD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8DF436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7D875C5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3.提供《数据库加固报告》；</w:t>
            </w:r>
          </w:p>
        </w:tc>
      </w:tr>
      <w:tr w14:paraId="40D6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349AD3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5869EB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0C0AEDD4">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数据备份恢复服务</w:t>
            </w:r>
          </w:p>
        </w:tc>
        <w:tc>
          <w:tcPr>
            <w:tcW w:w="4665" w:type="dxa"/>
            <w:vAlign w:val="center"/>
          </w:tcPr>
          <w:p w14:paraId="17156F2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1.每天对oracle数据库数据进行本地备份，保存14天内的备份数据；</w:t>
            </w:r>
          </w:p>
        </w:tc>
      </w:tr>
      <w:tr w14:paraId="368A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0F45FD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69742B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663897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0B16E8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2.服务期内针对数据库进行对一次数据恢复性测试，确保备份数据能够恢复成功；</w:t>
            </w:r>
          </w:p>
        </w:tc>
      </w:tr>
      <w:tr w14:paraId="4F3F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7D52A0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5F39D18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149A2EE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273BE0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3.输出《数据库恢复测试报告》；</w:t>
            </w:r>
          </w:p>
        </w:tc>
      </w:tr>
      <w:tr w14:paraId="0F93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746" w:type="dxa"/>
            <w:vMerge w:val="continue"/>
            <w:noWrap/>
            <w:vAlign w:val="center"/>
          </w:tcPr>
          <w:p w14:paraId="507078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676F1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6F262B95">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高可用演练服务</w:t>
            </w:r>
          </w:p>
        </w:tc>
        <w:tc>
          <w:tcPr>
            <w:tcW w:w="4665" w:type="dxa"/>
            <w:vAlign w:val="center"/>
          </w:tcPr>
          <w:p w14:paraId="684D2A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1.针对高可用数据库集群系统，每年进行一次演练，确保高可用正常运行，演练内容包括模拟存储链路故障、网络故障、服务器故障、实例与集群故障；</w:t>
            </w:r>
          </w:p>
        </w:tc>
      </w:tr>
      <w:tr w14:paraId="092A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6C507A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9308E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1DE76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5774B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2.演练之前，输出数据库高可用演练方案，演练之后，输出数据库高可用演练报告。</w:t>
            </w:r>
          </w:p>
        </w:tc>
      </w:tr>
      <w:tr w14:paraId="1E2C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6A4220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767FB8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restart"/>
            <w:vAlign w:val="center"/>
          </w:tcPr>
          <w:p w14:paraId="24AF10F7">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技术支持服务</w:t>
            </w:r>
          </w:p>
        </w:tc>
        <w:tc>
          <w:tcPr>
            <w:tcW w:w="4665" w:type="dxa"/>
            <w:vAlign w:val="center"/>
          </w:tcPr>
          <w:p w14:paraId="4B6E9D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1.提供oracle数据库技术支持服务，满足应用系统稳定运行</w:t>
            </w:r>
            <w:r>
              <w:rPr>
                <w:rFonts w:hint="default" w:ascii="Times New Roman" w:hAnsi="Times New Roman" w:eastAsia="宋体" w:cs="Times New Roman"/>
                <w:b w:val="0"/>
                <w:bCs w:val="0"/>
                <w:color w:val="auto"/>
                <w:sz w:val="24"/>
                <w:szCs w:val="24"/>
                <w:highlight w:val="none"/>
                <w:lang w:eastAsia="zh-CN"/>
              </w:rPr>
              <w:t>；</w:t>
            </w:r>
          </w:p>
        </w:tc>
      </w:tr>
      <w:tr w14:paraId="7917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7C4C02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244DC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40C53E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6C28A8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2.针对应用需求，提供数据库安装、迁移、配置操作，保障应用更好运行；</w:t>
            </w:r>
          </w:p>
        </w:tc>
      </w:tr>
      <w:tr w14:paraId="049B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01BBDC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060199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AB9FD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30ED1E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3.提供新增oracle数据库实例、表空间、用户的审核、分配；</w:t>
            </w:r>
          </w:p>
        </w:tc>
      </w:tr>
      <w:tr w14:paraId="2EB1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5B28142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48A014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7D4135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7BC4F7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4.迎新期前，检查oracle数据库配置，消除问题隐患，保障业务稳定。</w:t>
            </w:r>
          </w:p>
        </w:tc>
      </w:tr>
      <w:tr w14:paraId="4B7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vAlign w:val="center"/>
          </w:tcPr>
          <w:p w14:paraId="171CC8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w:t>
            </w:r>
          </w:p>
        </w:tc>
        <w:tc>
          <w:tcPr>
            <w:tcW w:w="1350" w:type="dxa"/>
            <w:vMerge w:val="restart"/>
            <w:vAlign w:val="center"/>
          </w:tcPr>
          <w:p w14:paraId="7D7CA6E3">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主数据平台</w:t>
            </w:r>
          </w:p>
        </w:tc>
        <w:tc>
          <w:tcPr>
            <w:tcW w:w="1510" w:type="dxa"/>
            <w:vMerge w:val="restart"/>
            <w:vAlign w:val="center"/>
          </w:tcPr>
          <w:p w14:paraId="5960A258">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主数据平台运维</w:t>
            </w:r>
          </w:p>
        </w:tc>
        <w:tc>
          <w:tcPr>
            <w:tcW w:w="4665" w:type="dxa"/>
            <w:vAlign w:val="center"/>
          </w:tcPr>
          <w:p w14:paraId="092D95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1.保障数据集成平台的稳定运行。</w:t>
            </w:r>
          </w:p>
        </w:tc>
      </w:tr>
      <w:tr w14:paraId="1C84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vAlign w:val="center"/>
          </w:tcPr>
          <w:p w14:paraId="7D8EF94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6A4DF0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0065C5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5BCE3F7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2.协助排查接口报错问题，保障接口正常运行。</w:t>
            </w:r>
          </w:p>
        </w:tc>
      </w:tr>
      <w:tr w14:paraId="5A31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vAlign w:val="center"/>
          </w:tcPr>
          <w:p w14:paraId="7C692F1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4A4587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3F331D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797BC05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w:t>
            </w:r>
            <w:r>
              <w:rPr>
                <w:rFonts w:hint="default" w:ascii="Times New Roman" w:hAnsi="Times New Roman" w:eastAsia="宋体" w:cs="Times New Roman"/>
                <w:b w:val="0"/>
                <w:bCs w:val="0"/>
                <w:color w:val="auto"/>
                <w:sz w:val="24"/>
                <w:szCs w:val="24"/>
                <w:highlight w:val="none"/>
                <w:lang w:val="en-US" w:eastAsia="zh-CN"/>
              </w:rPr>
              <w:t>每季度</w:t>
            </w:r>
            <w:r>
              <w:rPr>
                <w:rFonts w:hint="default" w:ascii="Times New Roman" w:hAnsi="Times New Roman" w:eastAsia="宋体" w:cs="Times New Roman"/>
                <w:b w:val="0"/>
                <w:bCs w:val="0"/>
                <w:color w:val="auto"/>
                <w:sz w:val="24"/>
                <w:szCs w:val="24"/>
                <w:highlight w:val="none"/>
              </w:rPr>
              <w:t>定期巡检</w:t>
            </w:r>
          </w:p>
        </w:tc>
      </w:tr>
      <w:tr w14:paraId="1EE0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noWrap/>
            <w:vAlign w:val="center"/>
          </w:tcPr>
          <w:p w14:paraId="5E7CF33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w:t>
            </w:r>
          </w:p>
        </w:tc>
        <w:tc>
          <w:tcPr>
            <w:tcW w:w="1350" w:type="dxa"/>
            <w:vMerge w:val="restart"/>
            <w:noWrap/>
            <w:vAlign w:val="center"/>
          </w:tcPr>
          <w:p w14:paraId="005B9E82">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应用平台</w:t>
            </w:r>
          </w:p>
        </w:tc>
        <w:tc>
          <w:tcPr>
            <w:tcW w:w="1510" w:type="dxa"/>
            <w:vMerge w:val="restart"/>
            <w:vAlign w:val="center"/>
          </w:tcPr>
          <w:p w14:paraId="280F557E">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基本平台运维</w:t>
            </w:r>
          </w:p>
        </w:tc>
        <w:tc>
          <w:tcPr>
            <w:tcW w:w="4665" w:type="dxa"/>
            <w:vAlign w:val="center"/>
          </w:tcPr>
          <w:p w14:paraId="15C922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1.保障应用管理平台的稳定运行。</w:t>
            </w:r>
          </w:p>
        </w:tc>
      </w:tr>
      <w:tr w14:paraId="0D2E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1AE858D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0A98E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30C8C85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4D663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2.确保应用平台及各类公共服务正常运行。</w:t>
            </w:r>
          </w:p>
        </w:tc>
      </w:tr>
      <w:tr w14:paraId="4360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0B5FA74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06384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5F643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559D6F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3.保障教师桌面布局与集成内容正常访问。</w:t>
            </w:r>
          </w:p>
        </w:tc>
      </w:tr>
      <w:tr w14:paraId="4AE8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7194AF9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408A26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D9C703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0398A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4.保障学生桌面布局与集成内容正常访问。</w:t>
            </w:r>
          </w:p>
        </w:tc>
      </w:tr>
      <w:tr w14:paraId="5181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1F54FEF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4B8D1E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8DD21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4182C6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5.</w:t>
            </w:r>
            <w:r>
              <w:rPr>
                <w:rFonts w:hint="default" w:ascii="Times New Roman" w:hAnsi="Times New Roman" w:eastAsia="宋体" w:cs="Times New Roman"/>
                <w:b w:val="0"/>
                <w:bCs w:val="0"/>
                <w:color w:val="auto"/>
                <w:sz w:val="24"/>
                <w:szCs w:val="24"/>
                <w:highlight w:val="none"/>
                <w:lang w:val="en-US" w:eastAsia="zh-CN"/>
              </w:rPr>
              <w:t>每季度</w:t>
            </w:r>
            <w:r>
              <w:rPr>
                <w:rFonts w:hint="default" w:ascii="Times New Roman" w:hAnsi="Times New Roman" w:eastAsia="宋体" w:cs="Times New Roman"/>
                <w:b w:val="0"/>
                <w:bCs w:val="0"/>
                <w:color w:val="auto"/>
                <w:sz w:val="24"/>
                <w:szCs w:val="24"/>
                <w:highlight w:val="none"/>
              </w:rPr>
              <w:t>定期巡检</w:t>
            </w:r>
          </w:p>
        </w:tc>
      </w:tr>
      <w:tr w14:paraId="1CF1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3D1558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6D6EEF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73026F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01FB8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6.响应各类问题，并解决。</w:t>
            </w:r>
          </w:p>
        </w:tc>
      </w:tr>
      <w:tr w14:paraId="1956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noWrap/>
            <w:vAlign w:val="center"/>
          </w:tcPr>
          <w:p w14:paraId="4CF3F76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5</w:t>
            </w:r>
          </w:p>
        </w:tc>
        <w:tc>
          <w:tcPr>
            <w:tcW w:w="1350" w:type="dxa"/>
            <w:vMerge w:val="restart"/>
            <w:noWrap/>
            <w:vAlign w:val="center"/>
          </w:tcPr>
          <w:p w14:paraId="2B0A8A11">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接口平台</w:t>
            </w:r>
          </w:p>
        </w:tc>
        <w:tc>
          <w:tcPr>
            <w:tcW w:w="1510" w:type="dxa"/>
            <w:vMerge w:val="restart"/>
            <w:vAlign w:val="center"/>
          </w:tcPr>
          <w:p w14:paraId="753C6882">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接口基本保障服务</w:t>
            </w:r>
          </w:p>
        </w:tc>
        <w:tc>
          <w:tcPr>
            <w:tcW w:w="4665" w:type="dxa"/>
            <w:vAlign w:val="center"/>
          </w:tcPr>
          <w:p w14:paraId="407D262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1.保障接口平台的稳定运行。</w:t>
            </w:r>
          </w:p>
        </w:tc>
      </w:tr>
      <w:tr w14:paraId="43D8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788B4F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739AA1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307DCFF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256ACF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2.确保应用平台的群组管理，权限管理等应用的正常使用。</w:t>
            </w:r>
          </w:p>
        </w:tc>
      </w:tr>
      <w:tr w14:paraId="6F60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223E56B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E9F6F6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59FCD8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79BA28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w:t>
            </w:r>
            <w:r>
              <w:rPr>
                <w:rFonts w:hint="default" w:ascii="Times New Roman" w:hAnsi="Times New Roman" w:eastAsia="宋体" w:cs="Times New Roman"/>
                <w:b w:val="0"/>
                <w:bCs w:val="0"/>
                <w:color w:val="auto"/>
                <w:sz w:val="24"/>
                <w:szCs w:val="24"/>
                <w:highlight w:val="none"/>
                <w:lang w:val="en-US" w:eastAsia="zh-CN"/>
              </w:rPr>
              <w:t>每季度</w:t>
            </w:r>
            <w:r>
              <w:rPr>
                <w:rFonts w:hint="default" w:ascii="Times New Roman" w:hAnsi="Times New Roman" w:eastAsia="宋体" w:cs="Times New Roman"/>
                <w:b w:val="0"/>
                <w:bCs w:val="0"/>
                <w:color w:val="auto"/>
                <w:sz w:val="24"/>
                <w:szCs w:val="24"/>
                <w:highlight w:val="none"/>
              </w:rPr>
              <w:t>定期巡检</w:t>
            </w:r>
          </w:p>
        </w:tc>
      </w:tr>
      <w:tr w14:paraId="35EB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noWrap/>
            <w:vAlign w:val="center"/>
          </w:tcPr>
          <w:p w14:paraId="1AE141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6</w:t>
            </w:r>
          </w:p>
        </w:tc>
        <w:tc>
          <w:tcPr>
            <w:tcW w:w="1350" w:type="dxa"/>
            <w:vMerge w:val="restart"/>
            <w:noWrap/>
            <w:vAlign w:val="center"/>
          </w:tcPr>
          <w:p w14:paraId="159C0058">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身份认证平台</w:t>
            </w:r>
          </w:p>
        </w:tc>
        <w:tc>
          <w:tcPr>
            <w:tcW w:w="1510" w:type="dxa"/>
            <w:vMerge w:val="restart"/>
            <w:vAlign w:val="center"/>
          </w:tcPr>
          <w:p w14:paraId="60422A58">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认证平台基本保障服务</w:t>
            </w:r>
          </w:p>
        </w:tc>
        <w:tc>
          <w:tcPr>
            <w:tcW w:w="4665" w:type="dxa"/>
            <w:vAlign w:val="center"/>
          </w:tcPr>
          <w:p w14:paraId="1F3BC21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1.保障认证平台的稳定运行。</w:t>
            </w:r>
          </w:p>
        </w:tc>
      </w:tr>
      <w:tr w14:paraId="2A09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72C151F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239A2E4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2A9A9C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695770A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2.支持各业务系统单点登录稳定运行。</w:t>
            </w:r>
          </w:p>
        </w:tc>
      </w:tr>
      <w:tr w14:paraId="47BE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79A06B5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071F2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55BD248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2C048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w:t>
            </w:r>
            <w:r>
              <w:rPr>
                <w:rFonts w:hint="default" w:ascii="Times New Roman" w:hAnsi="Times New Roman" w:eastAsia="宋体" w:cs="Times New Roman"/>
                <w:b w:val="0"/>
                <w:bCs w:val="0"/>
                <w:color w:val="auto"/>
                <w:sz w:val="24"/>
                <w:szCs w:val="24"/>
                <w:highlight w:val="none"/>
                <w:lang w:val="en-US" w:eastAsia="zh-CN"/>
              </w:rPr>
              <w:t>每季度</w:t>
            </w:r>
            <w:r>
              <w:rPr>
                <w:rFonts w:hint="default" w:ascii="Times New Roman" w:hAnsi="Times New Roman" w:eastAsia="宋体" w:cs="Times New Roman"/>
                <w:b w:val="0"/>
                <w:bCs w:val="0"/>
                <w:color w:val="auto"/>
                <w:sz w:val="24"/>
                <w:szCs w:val="24"/>
                <w:highlight w:val="none"/>
              </w:rPr>
              <w:t>定期巡检</w:t>
            </w:r>
          </w:p>
        </w:tc>
      </w:tr>
      <w:tr w14:paraId="5EC1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noWrap/>
            <w:vAlign w:val="center"/>
          </w:tcPr>
          <w:p w14:paraId="74818C1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7</w:t>
            </w:r>
          </w:p>
        </w:tc>
        <w:tc>
          <w:tcPr>
            <w:tcW w:w="1350" w:type="dxa"/>
            <w:vMerge w:val="restart"/>
            <w:noWrap/>
            <w:vAlign w:val="center"/>
          </w:tcPr>
          <w:p w14:paraId="0ECFFDED">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人事请假服务</w:t>
            </w:r>
          </w:p>
        </w:tc>
        <w:tc>
          <w:tcPr>
            <w:tcW w:w="1510" w:type="dxa"/>
            <w:vMerge w:val="restart"/>
            <w:vAlign w:val="center"/>
          </w:tcPr>
          <w:p w14:paraId="7DFA14BC">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系统基本保障服务(基础)</w:t>
            </w:r>
          </w:p>
        </w:tc>
        <w:tc>
          <w:tcPr>
            <w:tcW w:w="4665" w:type="dxa"/>
            <w:vAlign w:val="center"/>
          </w:tcPr>
          <w:p w14:paraId="3FC23D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1.保障人事请假正常运行；</w:t>
            </w:r>
          </w:p>
        </w:tc>
      </w:tr>
      <w:tr w14:paraId="48D6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0AE883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40B0DD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10896E8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07CB9F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2.协助进行用户组应用权限配置；</w:t>
            </w:r>
          </w:p>
        </w:tc>
      </w:tr>
      <w:tr w14:paraId="6D8B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7EC2FC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51A22E1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726B1F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031C3C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3.协助排查系统问题；</w:t>
            </w:r>
          </w:p>
        </w:tc>
      </w:tr>
      <w:tr w14:paraId="2FCD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6B1614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F8E67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9E7037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28BDCA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4.培训指导系统管理员的操作；</w:t>
            </w:r>
          </w:p>
        </w:tc>
      </w:tr>
      <w:tr w14:paraId="6131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6" w:type="dxa"/>
            <w:vMerge w:val="continue"/>
            <w:noWrap/>
            <w:vAlign w:val="center"/>
          </w:tcPr>
          <w:p w14:paraId="26058C2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9CEC66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4459C3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2376B5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5.确保配备原厂技术人员支持，确保问题能够最终解决。</w:t>
            </w:r>
          </w:p>
        </w:tc>
      </w:tr>
      <w:tr w14:paraId="761A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noWrap/>
            <w:vAlign w:val="center"/>
          </w:tcPr>
          <w:p w14:paraId="2920989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8</w:t>
            </w:r>
          </w:p>
        </w:tc>
        <w:tc>
          <w:tcPr>
            <w:tcW w:w="1350" w:type="dxa"/>
            <w:vMerge w:val="restart"/>
            <w:noWrap/>
            <w:vAlign w:val="center"/>
          </w:tcPr>
          <w:p w14:paraId="729DB355">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研工系统</w:t>
            </w:r>
          </w:p>
        </w:tc>
        <w:tc>
          <w:tcPr>
            <w:tcW w:w="1510" w:type="dxa"/>
            <w:vMerge w:val="restart"/>
            <w:vAlign w:val="center"/>
          </w:tcPr>
          <w:p w14:paraId="0DEF8B19">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系统基本保障服务</w:t>
            </w:r>
          </w:p>
        </w:tc>
        <w:tc>
          <w:tcPr>
            <w:tcW w:w="4665" w:type="dxa"/>
            <w:vAlign w:val="center"/>
          </w:tcPr>
          <w:p w14:paraId="76F7A5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1.保障研工应用正常运行</w:t>
            </w:r>
          </w:p>
        </w:tc>
      </w:tr>
      <w:tr w14:paraId="45D6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112EA0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57FD65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A33854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4665" w:type="dxa"/>
            <w:vAlign w:val="center"/>
          </w:tcPr>
          <w:p w14:paraId="3C9ED6A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2.协助排查数据问题</w:t>
            </w:r>
          </w:p>
        </w:tc>
      </w:tr>
      <w:tr w14:paraId="1BDB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2330C3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24DD025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3F9C8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4665" w:type="dxa"/>
            <w:vAlign w:val="center"/>
          </w:tcPr>
          <w:p w14:paraId="26376B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3.协助排查系统问题</w:t>
            </w:r>
          </w:p>
        </w:tc>
      </w:tr>
      <w:tr w14:paraId="5646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1C8417A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312FB0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3DB3EC3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4665" w:type="dxa"/>
            <w:vAlign w:val="center"/>
          </w:tcPr>
          <w:p w14:paraId="0A2FDBA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w:t>
            </w:r>
            <w:r>
              <w:rPr>
                <w:rFonts w:hint="default" w:ascii="Times New Roman" w:hAnsi="Times New Roman" w:eastAsia="宋体" w:cs="Times New Roman"/>
                <w:b w:val="0"/>
                <w:bCs w:val="0"/>
                <w:color w:val="auto"/>
                <w:sz w:val="24"/>
                <w:szCs w:val="24"/>
                <w:highlight w:val="none"/>
                <w:lang w:val="en-US" w:eastAsia="zh-CN"/>
              </w:rPr>
              <w:t>服务期</w:t>
            </w:r>
            <w:r>
              <w:rPr>
                <w:rFonts w:hint="default" w:ascii="Times New Roman" w:hAnsi="Times New Roman" w:eastAsia="宋体" w:cs="Times New Roman"/>
                <w:b w:val="0"/>
                <w:bCs w:val="0"/>
                <w:color w:val="auto"/>
                <w:sz w:val="24"/>
                <w:szCs w:val="24"/>
                <w:highlight w:val="none"/>
              </w:rPr>
              <w:t>远程保障</w:t>
            </w:r>
          </w:p>
        </w:tc>
      </w:tr>
      <w:tr w14:paraId="1B87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478A60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40FAA44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58701E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4665" w:type="dxa"/>
            <w:vAlign w:val="center"/>
          </w:tcPr>
          <w:p w14:paraId="1DE164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5.协助进行业务设置</w:t>
            </w:r>
          </w:p>
        </w:tc>
      </w:tr>
      <w:tr w14:paraId="7DBC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14F74A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0E8CB2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0870D4E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rPr>
                <w:rFonts w:hint="default" w:ascii="Times New Roman" w:hAnsi="Times New Roman" w:eastAsia="宋体" w:cs="Times New Roman"/>
                <w:b w:val="0"/>
                <w:bCs w:val="0"/>
                <w:color w:val="auto"/>
                <w:sz w:val="24"/>
                <w:szCs w:val="24"/>
                <w:highlight w:val="none"/>
              </w:rPr>
            </w:pPr>
          </w:p>
        </w:tc>
        <w:tc>
          <w:tcPr>
            <w:tcW w:w="4665" w:type="dxa"/>
            <w:vAlign w:val="center"/>
          </w:tcPr>
          <w:p w14:paraId="57906D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6.</w:t>
            </w:r>
            <w:r>
              <w:rPr>
                <w:rFonts w:hint="default" w:ascii="Times New Roman" w:hAnsi="Times New Roman" w:eastAsia="宋体" w:cs="Times New Roman"/>
                <w:b w:val="0"/>
                <w:bCs w:val="0"/>
                <w:color w:val="auto"/>
                <w:sz w:val="24"/>
                <w:szCs w:val="24"/>
                <w:highlight w:val="none"/>
                <w:lang w:val="en-US" w:eastAsia="zh-CN"/>
              </w:rPr>
              <w:t>服务期</w:t>
            </w:r>
            <w:r>
              <w:rPr>
                <w:rFonts w:hint="default" w:ascii="Times New Roman" w:hAnsi="Times New Roman" w:eastAsia="宋体" w:cs="Times New Roman"/>
                <w:b w:val="0"/>
                <w:bCs w:val="0"/>
                <w:color w:val="auto"/>
                <w:sz w:val="24"/>
                <w:szCs w:val="24"/>
                <w:highlight w:val="none"/>
              </w:rPr>
              <w:t>负责解答采购人管理员的问题</w:t>
            </w:r>
          </w:p>
        </w:tc>
      </w:tr>
      <w:tr w14:paraId="6DFF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noWrap/>
            <w:vAlign w:val="center"/>
          </w:tcPr>
          <w:p w14:paraId="22984C2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9</w:t>
            </w:r>
          </w:p>
        </w:tc>
        <w:tc>
          <w:tcPr>
            <w:tcW w:w="1350" w:type="dxa"/>
            <w:vMerge w:val="restart"/>
            <w:noWrap/>
            <w:vAlign w:val="center"/>
          </w:tcPr>
          <w:p w14:paraId="43930B41">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迎新服务</w:t>
            </w:r>
          </w:p>
        </w:tc>
        <w:tc>
          <w:tcPr>
            <w:tcW w:w="1510" w:type="dxa"/>
            <w:vMerge w:val="restart"/>
            <w:vAlign w:val="center"/>
          </w:tcPr>
          <w:p w14:paraId="64095015">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系统基本保障服务</w:t>
            </w:r>
          </w:p>
        </w:tc>
        <w:tc>
          <w:tcPr>
            <w:tcW w:w="4665" w:type="dxa"/>
            <w:vAlign w:val="center"/>
          </w:tcPr>
          <w:p w14:paraId="274EBA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1.保障迎新系统正常运行</w:t>
            </w:r>
          </w:p>
        </w:tc>
      </w:tr>
      <w:tr w14:paraId="2C0F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2720F1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4DB180E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594223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6A2DC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2.协助排查数据问题</w:t>
            </w:r>
          </w:p>
        </w:tc>
      </w:tr>
      <w:tr w14:paraId="39D8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27E0D98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1DCA66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6234464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858D48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3.协助排查系统问题</w:t>
            </w:r>
          </w:p>
        </w:tc>
      </w:tr>
      <w:tr w14:paraId="39EA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5EAE30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68DB80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36CBA8A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2C6EAD2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w:t>
            </w:r>
            <w:r>
              <w:rPr>
                <w:rFonts w:hint="default" w:ascii="Times New Roman" w:hAnsi="Times New Roman" w:eastAsia="宋体" w:cs="Times New Roman"/>
                <w:b w:val="0"/>
                <w:bCs w:val="0"/>
                <w:color w:val="auto"/>
                <w:sz w:val="24"/>
                <w:szCs w:val="24"/>
                <w:highlight w:val="none"/>
                <w:lang w:val="en-US" w:eastAsia="zh-CN"/>
              </w:rPr>
              <w:t>服务期</w:t>
            </w:r>
            <w:r>
              <w:rPr>
                <w:rFonts w:hint="default" w:ascii="Times New Roman" w:hAnsi="Times New Roman" w:eastAsia="宋体" w:cs="Times New Roman"/>
                <w:b w:val="0"/>
                <w:bCs w:val="0"/>
                <w:color w:val="auto"/>
                <w:sz w:val="24"/>
                <w:szCs w:val="24"/>
                <w:highlight w:val="none"/>
              </w:rPr>
              <w:t>远程保障</w:t>
            </w:r>
          </w:p>
        </w:tc>
      </w:tr>
      <w:tr w14:paraId="768E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46C9D5B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6C20D76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55B3F9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3F04DA2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5.协助进行业务设置</w:t>
            </w:r>
          </w:p>
        </w:tc>
      </w:tr>
      <w:tr w14:paraId="5DC9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noWrap/>
            <w:vAlign w:val="center"/>
          </w:tcPr>
          <w:p w14:paraId="00BB3CE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noWrap/>
            <w:vAlign w:val="center"/>
          </w:tcPr>
          <w:p w14:paraId="0B9C5A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4DE8ED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65A60C6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6.</w:t>
            </w:r>
            <w:r>
              <w:rPr>
                <w:rFonts w:hint="default" w:ascii="Times New Roman" w:hAnsi="Times New Roman" w:eastAsia="宋体" w:cs="Times New Roman"/>
                <w:b w:val="0"/>
                <w:bCs w:val="0"/>
                <w:color w:val="auto"/>
                <w:sz w:val="24"/>
                <w:szCs w:val="24"/>
                <w:highlight w:val="none"/>
                <w:lang w:val="en-US" w:eastAsia="zh-CN"/>
              </w:rPr>
              <w:t>服务期</w:t>
            </w:r>
            <w:r>
              <w:rPr>
                <w:rFonts w:hint="default" w:ascii="Times New Roman" w:hAnsi="Times New Roman" w:eastAsia="宋体" w:cs="Times New Roman"/>
                <w:b w:val="0"/>
                <w:bCs w:val="0"/>
                <w:color w:val="auto"/>
                <w:sz w:val="24"/>
                <w:szCs w:val="24"/>
                <w:highlight w:val="none"/>
              </w:rPr>
              <w:t>负责解答采购人管理员的问题</w:t>
            </w:r>
          </w:p>
        </w:tc>
      </w:tr>
      <w:tr w14:paraId="41C9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restart"/>
            <w:vAlign w:val="center"/>
          </w:tcPr>
          <w:p w14:paraId="6B5A4FC2">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10</w:t>
            </w:r>
          </w:p>
        </w:tc>
        <w:tc>
          <w:tcPr>
            <w:tcW w:w="1350" w:type="dxa"/>
            <w:vMerge w:val="restart"/>
            <w:vAlign w:val="center"/>
          </w:tcPr>
          <w:p w14:paraId="552D8D17">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宿舍服务</w:t>
            </w:r>
          </w:p>
        </w:tc>
        <w:tc>
          <w:tcPr>
            <w:tcW w:w="1510" w:type="dxa"/>
            <w:vMerge w:val="restart"/>
            <w:vAlign w:val="center"/>
          </w:tcPr>
          <w:p w14:paraId="64DA5206">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系统基本保障服务</w:t>
            </w:r>
          </w:p>
        </w:tc>
        <w:tc>
          <w:tcPr>
            <w:tcW w:w="4665" w:type="dxa"/>
            <w:vAlign w:val="center"/>
          </w:tcPr>
          <w:p w14:paraId="15D7988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 保障系统正常运行；</w:t>
            </w:r>
          </w:p>
        </w:tc>
      </w:tr>
      <w:tr w14:paraId="3B8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vAlign w:val="center"/>
          </w:tcPr>
          <w:p w14:paraId="4C16CA0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7ED5AC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1E12D6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68A39B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 协助排除数据问题；</w:t>
            </w:r>
          </w:p>
        </w:tc>
      </w:tr>
      <w:tr w14:paraId="716F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vAlign w:val="center"/>
          </w:tcPr>
          <w:p w14:paraId="1C0320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7D7FF45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46B5A4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598F443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3. 协助排除系统问题；</w:t>
            </w:r>
          </w:p>
        </w:tc>
      </w:tr>
      <w:tr w14:paraId="128B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vMerge w:val="continue"/>
            <w:vAlign w:val="center"/>
          </w:tcPr>
          <w:p w14:paraId="19E5E23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350" w:type="dxa"/>
            <w:vMerge w:val="continue"/>
            <w:vAlign w:val="center"/>
          </w:tcPr>
          <w:p w14:paraId="667FA6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1510" w:type="dxa"/>
            <w:vMerge w:val="continue"/>
            <w:vAlign w:val="center"/>
          </w:tcPr>
          <w:p w14:paraId="2F1B1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p>
        </w:tc>
        <w:tc>
          <w:tcPr>
            <w:tcW w:w="4665" w:type="dxa"/>
            <w:vAlign w:val="center"/>
          </w:tcPr>
          <w:p w14:paraId="1CF541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4. 远程协助管理员操作；</w:t>
            </w:r>
          </w:p>
        </w:tc>
      </w:tr>
      <w:tr w14:paraId="2199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746" w:type="dxa"/>
            <w:noWrap/>
            <w:vAlign w:val="center"/>
          </w:tcPr>
          <w:p w14:paraId="02F6EBED">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11</w:t>
            </w:r>
          </w:p>
        </w:tc>
        <w:tc>
          <w:tcPr>
            <w:tcW w:w="1350" w:type="dxa"/>
            <w:noWrap/>
            <w:vAlign w:val="center"/>
          </w:tcPr>
          <w:p w14:paraId="76EAE413">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巡检服务</w:t>
            </w:r>
          </w:p>
        </w:tc>
        <w:tc>
          <w:tcPr>
            <w:tcW w:w="1510" w:type="dxa"/>
            <w:vAlign w:val="center"/>
          </w:tcPr>
          <w:p w14:paraId="6BBF5585">
            <w:pPr>
              <w:keepNext w:val="0"/>
              <w:keepLines w:val="0"/>
              <w:pageBreakBefore w:val="0"/>
              <w:widowControl w:val="0"/>
              <w:kinsoku/>
              <w:wordWrap/>
              <w:overflowPunct/>
              <w:topLinePunct w:val="0"/>
              <w:autoSpaceDE/>
              <w:autoSpaceDN/>
              <w:bidi w:val="0"/>
              <w:adjustRightInd/>
              <w:snapToGrid/>
              <w:spacing w:line="360" w:lineRule="auto"/>
              <w:ind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季度定期巡检</w:t>
            </w:r>
          </w:p>
        </w:tc>
        <w:tc>
          <w:tcPr>
            <w:tcW w:w="4665" w:type="dxa"/>
            <w:vAlign w:val="center"/>
          </w:tcPr>
          <w:p w14:paraId="20DB59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所有基础服务默认按季度定期巡检，并提交巡检报告。</w:t>
            </w:r>
          </w:p>
        </w:tc>
      </w:tr>
    </w:tbl>
    <w:p w14:paraId="0AF3F49F">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3.邮件系统维保服务</w:t>
      </w:r>
    </w:p>
    <w:p w14:paraId="030878F9">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3.1服务要求</w:t>
      </w:r>
    </w:p>
    <w:p w14:paraId="6D3E2A60">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邮件系统售后服务时间为期一年，服务期内，提供5*8小时热线服务，随时接受技术咨询和故障报修等，工程师通过服务热线进行响应，然后根据提出的服务请求类型，提供相应的支持服务，确保在接到故障申报后，第一时间（1小时内响应）提供电话支持服务。</w:t>
      </w:r>
    </w:p>
    <w:p w14:paraId="44F98979">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3.2服务内容</w:t>
      </w:r>
    </w:p>
    <w:p w14:paraId="7E5F6EAF">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3.2.1邮件系统架构服务内容</w:t>
      </w:r>
    </w:p>
    <w:p w14:paraId="513F642F">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邮件系统架构服务内容包括但不限于邮件境外节点转发、多线程非阻塞异步处理、邮件存储优化、邮件加密传输和邮件系统安全等方面提供技术支持。</w:t>
      </w:r>
    </w:p>
    <w:p w14:paraId="4315863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3.2.2邮件前台服务内容</w:t>
      </w:r>
    </w:p>
    <w:p w14:paraId="0BC7488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维护教职工账号数2000个，学生账户30000个，维护邮箱云服务；</w:t>
      </w:r>
    </w:p>
    <w:p w14:paraId="158BEBBB">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邮箱存储无限容量，普通附件支持100MB，超大附件支持16GB，单个文件支持3GB；</w:t>
      </w:r>
    </w:p>
    <w:p w14:paraId="1B7E53F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维护邮箱高强度密码策略，可统一定制密码规则，可强制定时修改密码，支持邮箱账户密码定向爆破的防御机制；</w:t>
      </w:r>
    </w:p>
    <w:p w14:paraId="6442A600">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维护邮件群组，可以面向邮件群组进行邮件群发，支持邮件群组维护权限的下放，被赋予权限的群组管理员可维护邮件群组成员；</w:t>
      </w:r>
    </w:p>
    <w:p w14:paraId="2D7387A9">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灵活的邮件收发权限设置，包括禁止外域发信、禁止外域收信、禁止外域收发信以及各类自定义规则；</w:t>
      </w:r>
    </w:p>
    <w:p w14:paraId="7945401A">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维护通讯录信息安全策略，支持针对不同人员，定制其通讯录查看权限；</w:t>
      </w:r>
    </w:p>
    <w:p w14:paraId="38485812">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邮箱具备灵活的开放机制，与三方系统的一站式集成，支持单点登录至收件箱、已发送、草稿箱等不同文件夹，支持单点登录直接打开指定邮件；</w:t>
      </w:r>
    </w:p>
    <w:p w14:paraId="7396B34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维护网盘功能，个人网盘不少于5G，可对网盘的文件夹进行权限划分和操作控制；</w:t>
      </w:r>
    </w:p>
    <w:p w14:paraId="3A1B0386">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调用企业微信接口服务，企业微信原生邮件模块通过客户端协议（Imap，pop）接入邮箱，实现邮件的收发以及新邮件的提醒，处理不同的业务，如微信中进行邮件到达提醒、查看邮件、预览附件、发送邮件、转发/回复邮件；</w:t>
      </w:r>
    </w:p>
    <w:p w14:paraId="640E82E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3.2.3邮件系统后台服务内容</w:t>
      </w:r>
    </w:p>
    <w:p w14:paraId="3A48F1E9">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保障邮件系统组织机构、邮箱与邮件、邮件数据分析和安全中心管理等功能正常运行；</w:t>
      </w:r>
    </w:p>
    <w:p w14:paraId="3D408691">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提供JAVA、C、Webservice等API开发接口，满足采购人对系统集成等二次开发的需求。</w:t>
      </w:r>
    </w:p>
    <w:p w14:paraId="2F86C322">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4.访客进出校管理系统服务</w:t>
      </w:r>
    </w:p>
    <w:p w14:paraId="4427DDA6">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校外人员在入校前需要向学校进行报备，入校人员需要自行申请，填写基本信息、入校时间、车辆等信息，审批通过后，进校时可扫进校码入校。系统中将记录入校人员的进出记录。</w:t>
      </w:r>
    </w:p>
    <w:p w14:paraId="13C43FAB">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访客预约</w:t>
      </w:r>
    </w:p>
    <w:p w14:paraId="09879B03">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访客能自行为本人预约入校信息，访客扫描学校二维码后，自动绑定身份，访客提交申请需微信扫入校二维码填写相关信息，待部门管理人员审批通过后，访客可再次扫码进入系统查看入校申请的审批情况，审批通过后，进校时可扫进校码入校。</w:t>
      </w:r>
    </w:p>
    <w:p w14:paraId="2EE09A86">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预约审核</w:t>
      </w:r>
    </w:p>
    <w:p w14:paraId="28FB678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访客预约支持审核机制，根据访客申请时选择的到访部门，自动提交给预先配置的部门审核人进行审核，审批时支持同意、驳回、终止此申请，审批通过后，进校时可扫进校码入校。</w:t>
      </w:r>
    </w:p>
    <w:p w14:paraId="18FAC979">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入校身份核验</w:t>
      </w:r>
    </w:p>
    <w:p w14:paraId="24AF43AD">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门卫可通过扫码的形式识别入校人员的身份，以此来核实入校信息的真实性；入校时访客扫入校码，系统将核实入校人员的通行信息，若匹配则显示可通行字样。</w:t>
      </w:r>
    </w:p>
    <w:p w14:paraId="7979CB1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进出校统计</w:t>
      </w:r>
    </w:p>
    <w:p w14:paraId="22EBA8DB">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支持统计校外人员申请人数、申请车辆、进校人数、出校人数等，可根据统计的维度查询名单的明细数据。</w:t>
      </w:r>
    </w:p>
    <w:p w14:paraId="62933231">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auto"/>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5.系统漏洞维保服务</w:t>
      </w:r>
    </w:p>
    <w:tbl>
      <w:tblPr>
        <w:tblStyle w:val="16"/>
        <w:tblW w:w="8338" w:type="dxa"/>
        <w:tblInd w:w="0" w:type="dxa"/>
        <w:tblLayout w:type="fixed"/>
        <w:tblCellMar>
          <w:top w:w="0" w:type="dxa"/>
          <w:left w:w="108" w:type="dxa"/>
          <w:bottom w:w="0" w:type="dxa"/>
          <w:right w:w="108" w:type="dxa"/>
        </w:tblCellMar>
      </w:tblPr>
      <w:tblGrid>
        <w:gridCol w:w="984"/>
        <w:gridCol w:w="1907"/>
        <w:gridCol w:w="5447"/>
      </w:tblGrid>
      <w:tr w14:paraId="13A08E8A">
        <w:tblPrEx>
          <w:tblCellMar>
            <w:top w:w="0" w:type="dxa"/>
            <w:left w:w="108" w:type="dxa"/>
            <w:bottom w:w="0" w:type="dxa"/>
            <w:right w:w="108" w:type="dxa"/>
          </w:tblCellMar>
        </w:tblPrEx>
        <w:trPr>
          <w:trHeight w:val="805" w:hRule="atLeast"/>
          <w:tblHeader/>
        </w:trPr>
        <w:tc>
          <w:tcPr>
            <w:tcW w:w="984" w:type="dxa"/>
            <w:tcBorders>
              <w:top w:val="single" w:color="auto" w:sz="4" w:space="0"/>
              <w:left w:val="single" w:color="auto" w:sz="4" w:space="0"/>
              <w:bottom w:val="single" w:color="auto" w:sz="4" w:space="0"/>
              <w:right w:val="single" w:color="auto" w:sz="4" w:space="0"/>
            </w:tcBorders>
            <w:vAlign w:val="center"/>
          </w:tcPr>
          <w:p w14:paraId="6288E8C1">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1907" w:type="dxa"/>
            <w:tcBorders>
              <w:top w:val="single" w:color="auto" w:sz="4" w:space="0"/>
              <w:left w:val="nil"/>
              <w:bottom w:val="single" w:color="auto" w:sz="4" w:space="0"/>
              <w:right w:val="single" w:color="auto" w:sz="4" w:space="0"/>
            </w:tcBorders>
            <w:vAlign w:val="center"/>
          </w:tcPr>
          <w:p w14:paraId="79A0B9D2">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类别</w:t>
            </w:r>
          </w:p>
        </w:tc>
        <w:tc>
          <w:tcPr>
            <w:tcW w:w="5447" w:type="dxa"/>
            <w:tcBorders>
              <w:top w:val="single" w:color="auto" w:sz="4" w:space="0"/>
              <w:left w:val="nil"/>
              <w:bottom w:val="single" w:color="auto" w:sz="4" w:space="0"/>
              <w:right w:val="single" w:color="auto" w:sz="4" w:space="0"/>
            </w:tcBorders>
            <w:vAlign w:val="center"/>
          </w:tcPr>
          <w:p w14:paraId="78F56986">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服务内容</w:t>
            </w:r>
          </w:p>
        </w:tc>
      </w:tr>
      <w:tr w14:paraId="72DE3768">
        <w:tblPrEx>
          <w:tblCellMar>
            <w:top w:w="0" w:type="dxa"/>
            <w:left w:w="108" w:type="dxa"/>
            <w:bottom w:w="0" w:type="dxa"/>
            <w:right w:w="108" w:type="dxa"/>
          </w:tblCellMar>
        </w:tblPrEx>
        <w:trPr>
          <w:trHeight w:val="610" w:hRule="atLeast"/>
        </w:trPr>
        <w:tc>
          <w:tcPr>
            <w:tcW w:w="984" w:type="dxa"/>
            <w:tcBorders>
              <w:top w:val="nil"/>
              <w:left w:val="single" w:color="auto" w:sz="4" w:space="0"/>
              <w:bottom w:val="single" w:color="auto" w:sz="4" w:space="0"/>
              <w:right w:val="single" w:color="auto" w:sz="4" w:space="0"/>
            </w:tcBorders>
            <w:vAlign w:val="center"/>
          </w:tcPr>
          <w:p w14:paraId="0F77B704">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907" w:type="dxa"/>
            <w:vMerge w:val="restart"/>
            <w:tcBorders>
              <w:top w:val="nil"/>
              <w:left w:val="single" w:color="auto" w:sz="4" w:space="0"/>
              <w:bottom w:val="single" w:color="auto" w:sz="4" w:space="0"/>
              <w:right w:val="single" w:color="auto" w:sz="4" w:space="0"/>
            </w:tcBorders>
            <w:vAlign w:val="center"/>
          </w:tcPr>
          <w:p w14:paraId="7A8BFEE4">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信息系统维护服务</w:t>
            </w:r>
          </w:p>
        </w:tc>
        <w:tc>
          <w:tcPr>
            <w:tcW w:w="5447" w:type="dxa"/>
            <w:tcBorders>
              <w:top w:val="nil"/>
              <w:left w:val="nil"/>
              <w:bottom w:val="single" w:color="auto" w:sz="4" w:space="0"/>
              <w:right w:val="single" w:color="auto" w:sz="4" w:space="0"/>
            </w:tcBorders>
            <w:vAlign w:val="center"/>
          </w:tcPr>
          <w:p w14:paraId="03578BE8">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在服务期限内提供信息系统漏洞修复服务，并不作次数限制。</w:t>
            </w:r>
          </w:p>
        </w:tc>
      </w:tr>
      <w:tr w14:paraId="0B1D18F2">
        <w:tblPrEx>
          <w:tblCellMar>
            <w:top w:w="0" w:type="dxa"/>
            <w:left w:w="108" w:type="dxa"/>
            <w:bottom w:w="0" w:type="dxa"/>
            <w:right w:w="108" w:type="dxa"/>
          </w:tblCellMar>
        </w:tblPrEx>
        <w:trPr>
          <w:trHeight w:val="610" w:hRule="atLeast"/>
        </w:trPr>
        <w:tc>
          <w:tcPr>
            <w:tcW w:w="984" w:type="dxa"/>
            <w:tcBorders>
              <w:top w:val="nil"/>
              <w:left w:val="single" w:color="auto" w:sz="4" w:space="0"/>
              <w:bottom w:val="single" w:color="auto" w:sz="4" w:space="0"/>
              <w:right w:val="single" w:color="auto" w:sz="4" w:space="0"/>
            </w:tcBorders>
            <w:vAlign w:val="center"/>
          </w:tcPr>
          <w:p w14:paraId="23A5299F">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907" w:type="dxa"/>
            <w:vMerge w:val="continue"/>
            <w:tcBorders>
              <w:top w:val="nil"/>
              <w:left w:val="single" w:color="auto" w:sz="4" w:space="0"/>
              <w:bottom w:val="single" w:color="auto" w:sz="4" w:space="0"/>
              <w:right w:val="single" w:color="auto" w:sz="4" w:space="0"/>
            </w:tcBorders>
            <w:vAlign w:val="center"/>
          </w:tcPr>
          <w:p w14:paraId="064F6C70">
            <w:pPr>
              <w:spacing w:line="360" w:lineRule="auto"/>
              <w:rPr>
                <w:rFonts w:ascii="宋体" w:hAnsi="宋体" w:cs="宋体"/>
                <w:color w:val="auto"/>
                <w:kern w:val="0"/>
                <w:sz w:val="24"/>
                <w:szCs w:val="24"/>
                <w:highlight w:val="none"/>
              </w:rPr>
            </w:pPr>
          </w:p>
        </w:tc>
        <w:tc>
          <w:tcPr>
            <w:tcW w:w="5447" w:type="dxa"/>
            <w:tcBorders>
              <w:top w:val="nil"/>
              <w:left w:val="nil"/>
              <w:bottom w:val="single" w:color="auto" w:sz="4" w:space="0"/>
              <w:right w:val="single" w:color="auto" w:sz="4" w:space="0"/>
            </w:tcBorders>
            <w:vAlign w:val="center"/>
          </w:tcPr>
          <w:p w14:paraId="381D3E02">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如遇信息系统突发安全事件时，能够提供技术工程师服务，并于4小时内解决信息系统安全问题。</w:t>
            </w:r>
          </w:p>
        </w:tc>
      </w:tr>
      <w:tr w14:paraId="778112D2">
        <w:tblPrEx>
          <w:tblCellMar>
            <w:top w:w="0" w:type="dxa"/>
            <w:left w:w="108" w:type="dxa"/>
            <w:bottom w:w="0" w:type="dxa"/>
            <w:right w:w="108" w:type="dxa"/>
          </w:tblCellMar>
        </w:tblPrEx>
        <w:trPr>
          <w:trHeight w:val="600" w:hRule="atLeast"/>
        </w:trPr>
        <w:tc>
          <w:tcPr>
            <w:tcW w:w="984" w:type="dxa"/>
            <w:tcBorders>
              <w:top w:val="nil"/>
              <w:left w:val="single" w:color="auto" w:sz="4" w:space="0"/>
              <w:bottom w:val="single" w:color="auto" w:sz="4" w:space="0"/>
              <w:right w:val="single" w:color="auto" w:sz="4" w:space="0"/>
            </w:tcBorders>
            <w:vAlign w:val="center"/>
          </w:tcPr>
          <w:p w14:paraId="2B57264A">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907" w:type="dxa"/>
            <w:vMerge w:val="restart"/>
            <w:tcBorders>
              <w:top w:val="nil"/>
              <w:left w:val="single" w:color="auto" w:sz="4" w:space="0"/>
              <w:bottom w:val="single" w:color="auto" w:sz="4" w:space="0"/>
              <w:right w:val="single" w:color="auto" w:sz="4" w:space="0"/>
            </w:tcBorders>
            <w:vAlign w:val="center"/>
          </w:tcPr>
          <w:p w14:paraId="208FAB9E">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操作系统维护服务</w:t>
            </w:r>
          </w:p>
        </w:tc>
        <w:tc>
          <w:tcPr>
            <w:tcW w:w="5447" w:type="dxa"/>
            <w:tcBorders>
              <w:top w:val="nil"/>
              <w:left w:val="nil"/>
              <w:bottom w:val="single" w:color="auto" w:sz="4" w:space="0"/>
              <w:right w:val="single" w:color="auto" w:sz="4" w:space="0"/>
            </w:tcBorders>
            <w:vAlign w:val="center"/>
          </w:tcPr>
          <w:p w14:paraId="0E53805F">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服务期限内提供操作系统漏洞修复服务，并不做次数限制。</w:t>
            </w:r>
          </w:p>
        </w:tc>
      </w:tr>
      <w:tr w14:paraId="6268FE67">
        <w:tblPrEx>
          <w:tblCellMar>
            <w:top w:w="0" w:type="dxa"/>
            <w:left w:w="108" w:type="dxa"/>
            <w:bottom w:w="0" w:type="dxa"/>
            <w:right w:w="108" w:type="dxa"/>
          </w:tblCellMar>
        </w:tblPrEx>
        <w:trPr>
          <w:trHeight w:val="600" w:hRule="atLeast"/>
        </w:trPr>
        <w:tc>
          <w:tcPr>
            <w:tcW w:w="984" w:type="dxa"/>
            <w:tcBorders>
              <w:top w:val="nil"/>
              <w:left w:val="single" w:color="auto" w:sz="4" w:space="0"/>
              <w:bottom w:val="single" w:color="auto" w:sz="4" w:space="0"/>
              <w:right w:val="single" w:color="auto" w:sz="4" w:space="0"/>
            </w:tcBorders>
            <w:vAlign w:val="center"/>
          </w:tcPr>
          <w:p w14:paraId="559CD3A2">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907" w:type="dxa"/>
            <w:vMerge w:val="continue"/>
            <w:tcBorders>
              <w:top w:val="nil"/>
              <w:left w:val="single" w:color="auto" w:sz="4" w:space="0"/>
              <w:bottom w:val="single" w:color="auto" w:sz="4" w:space="0"/>
              <w:right w:val="single" w:color="auto" w:sz="4" w:space="0"/>
            </w:tcBorders>
            <w:vAlign w:val="center"/>
          </w:tcPr>
          <w:p w14:paraId="0497BA89">
            <w:pPr>
              <w:spacing w:line="360" w:lineRule="auto"/>
              <w:rPr>
                <w:rFonts w:ascii="宋体" w:hAnsi="宋体" w:cs="宋体"/>
                <w:color w:val="auto"/>
                <w:kern w:val="0"/>
                <w:sz w:val="24"/>
                <w:szCs w:val="24"/>
                <w:highlight w:val="none"/>
              </w:rPr>
            </w:pPr>
          </w:p>
        </w:tc>
        <w:tc>
          <w:tcPr>
            <w:tcW w:w="5447" w:type="dxa"/>
            <w:tcBorders>
              <w:top w:val="nil"/>
              <w:left w:val="nil"/>
              <w:bottom w:val="single" w:color="auto" w:sz="4" w:space="0"/>
              <w:right w:val="single" w:color="auto" w:sz="4" w:space="0"/>
            </w:tcBorders>
            <w:vAlign w:val="center"/>
          </w:tcPr>
          <w:p w14:paraId="438A609B">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如遇操作系统突发安全事件问题时，能够提供操作系统技术工程师服务，并于4小时内使操作系统恢复正常。</w:t>
            </w:r>
          </w:p>
        </w:tc>
      </w:tr>
      <w:tr w14:paraId="5DDC87E2">
        <w:tblPrEx>
          <w:tblCellMar>
            <w:top w:w="0" w:type="dxa"/>
            <w:left w:w="108" w:type="dxa"/>
            <w:bottom w:w="0" w:type="dxa"/>
            <w:right w:w="108" w:type="dxa"/>
          </w:tblCellMar>
        </w:tblPrEx>
        <w:trPr>
          <w:trHeight w:val="600" w:hRule="atLeast"/>
        </w:trPr>
        <w:tc>
          <w:tcPr>
            <w:tcW w:w="984" w:type="dxa"/>
            <w:tcBorders>
              <w:top w:val="nil"/>
              <w:left w:val="single" w:color="auto" w:sz="4" w:space="0"/>
              <w:bottom w:val="single" w:color="auto" w:sz="4" w:space="0"/>
              <w:right w:val="single" w:color="auto" w:sz="4" w:space="0"/>
            </w:tcBorders>
            <w:vAlign w:val="center"/>
          </w:tcPr>
          <w:p w14:paraId="0FAA0F7B">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907" w:type="dxa"/>
            <w:vMerge w:val="restart"/>
            <w:tcBorders>
              <w:top w:val="nil"/>
              <w:left w:val="single" w:color="auto" w:sz="4" w:space="0"/>
              <w:bottom w:val="single" w:color="auto" w:sz="4" w:space="0"/>
              <w:right w:val="single" w:color="auto" w:sz="4" w:space="0"/>
            </w:tcBorders>
            <w:vAlign w:val="center"/>
          </w:tcPr>
          <w:p w14:paraId="300183AF">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数据库维护服务</w:t>
            </w:r>
          </w:p>
        </w:tc>
        <w:tc>
          <w:tcPr>
            <w:tcW w:w="5447" w:type="dxa"/>
            <w:tcBorders>
              <w:top w:val="nil"/>
              <w:left w:val="nil"/>
              <w:bottom w:val="single" w:color="auto" w:sz="4" w:space="0"/>
              <w:right w:val="single" w:color="auto" w:sz="4" w:space="0"/>
            </w:tcBorders>
            <w:vAlign w:val="center"/>
          </w:tcPr>
          <w:p w14:paraId="245D3201">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能够提供数据库最新的补丁集，并结合安全要求进行数据库综合评价后，对数据库进行补丁升级操作。</w:t>
            </w:r>
          </w:p>
        </w:tc>
      </w:tr>
      <w:tr w14:paraId="3087EBDF">
        <w:tblPrEx>
          <w:tblCellMar>
            <w:top w:w="0" w:type="dxa"/>
            <w:left w:w="108" w:type="dxa"/>
            <w:bottom w:w="0" w:type="dxa"/>
            <w:right w:w="108" w:type="dxa"/>
          </w:tblCellMar>
        </w:tblPrEx>
        <w:trPr>
          <w:trHeight w:val="600" w:hRule="atLeast"/>
        </w:trPr>
        <w:tc>
          <w:tcPr>
            <w:tcW w:w="984" w:type="dxa"/>
            <w:tcBorders>
              <w:top w:val="nil"/>
              <w:left w:val="single" w:color="auto" w:sz="4" w:space="0"/>
              <w:bottom w:val="single" w:color="auto" w:sz="4" w:space="0"/>
              <w:right w:val="single" w:color="auto" w:sz="4" w:space="0"/>
            </w:tcBorders>
            <w:vAlign w:val="center"/>
          </w:tcPr>
          <w:p w14:paraId="446A7402">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1907" w:type="dxa"/>
            <w:vMerge w:val="continue"/>
            <w:tcBorders>
              <w:top w:val="nil"/>
              <w:left w:val="single" w:color="auto" w:sz="4" w:space="0"/>
              <w:bottom w:val="single" w:color="auto" w:sz="4" w:space="0"/>
              <w:right w:val="single" w:color="auto" w:sz="4" w:space="0"/>
            </w:tcBorders>
            <w:vAlign w:val="center"/>
          </w:tcPr>
          <w:p w14:paraId="3EDF33B9">
            <w:pPr>
              <w:spacing w:line="360" w:lineRule="auto"/>
              <w:rPr>
                <w:rFonts w:ascii="宋体" w:hAnsi="宋体" w:cs="宋体"/>
                <w:color w:val="auto"/>
                <w:kern w:val="0"/>
                <w:sz w:val="24"/>
                <w:szCs w:val="24"/>
                <w:highlight w:val="none"/>
              </w:rPr>
            </w:pPr>
          </w:p>
        </w:tc>
        <w:tc>
          <w:tcPr>
            <w:tcW w:w="5447" w:type="dxa"/>
            <w:tcBorders>
              <w:top w:val="nil"/>
              <w:left w:val="nil"/>
              <w:bottom w:val="single" w:color="auto" w:sz="4" w:space="0"/>
              <w:right w:val="single" w:color="auto" w:sz="4" w:space="0"/>
            </w:tcBorders>
            <w:vAlign w:val="center"/>
          </w:tcPr>
          <w:p w14:paraId="2EC3B10B">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如遇数据库突发安全事件问题时，能够提供技术工程师服务，并于4小时内解决数据库安全问题。</w:t>
            </w:r>
          </w:p>
        </w:tc>
      </w:tr>
    </w:tbl>
    <w:p w14:paraId="7F71AD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6.VPN系统服务</w:t>
      </w:r>
    </w:p>
    <w:p w14:paraId="17CA5A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提供为期一年的零信任服务，建立专用网络在公用网络上进行内网访问，以便无障碍地访问学校的内网资源、图书数据文库资源等。</w:t>
      </w:r>
    </w:p>
    <w:p w14:paraId="758F06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6.1功能需求：</w:t>
      </w:r>
    </w:p>
    <w:p w14:paraId="4875B7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支持不低于2000用户同时接入。</w:t>
      </w:r>
    </w:p>
    <w:p w14:paraId="760FFB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在服务期间，零信任应保障升级为最新版本，并在紧急情况下提供3小时内的现场支持和功能恢复。</w:t>
      </w:r>
    </w:p>
    <w:p w14:paraId="3B14FE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具备学校/学校组细粒度的权限分配功能，可以对被访问资源的IP地址、端口、提供的服务、URL地址等进行权限控制，包括黑白名单模式。能够针对同一B/S资源，实现对不同学校细致到URL级别的授权。</w:t>
      </w:r>
    </w:p>
    <w:p w14:paraId="4B1306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支持单点登录功能（SSO），包括针对B/S单点登录学校名密码加密传输，确保安全性。同时支持针对不同的访问资源设定不同的SSO学校名和密码。</w:t>
      </w:r>
    </w:p>
    <w:p w14:paraId="5B1AB0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支持完全自定义的学校登录界面和服务界面，可以上传单独的Web页面作为学校登录界面和服务界面。</w:t>
      </w:r>
    </w:p>
    <w:p w14:paraId="7C452C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支持Syslog（系统日志）服务器，能将管理员日志、系统日志和学校日志输出到syslog服务器中。支持多个Syslog服务器的对接，实现日志备份。</w:t>
      </w:r>
    </w:p>
    <w:p w14:paraId="40B9BF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支持系统的实时监控，以图形化显示一段时间内的运行状况。能够实时查看SSL接入学校的学校名、接入时间、并发会话数、接入IP、虚拟IP等信息，并具备在线中断指定学校的功能。</w:t>
      </w:r>
    </w:p>
    <w:p w14:paraId="5BD8F8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6.2性能和安全需求：</w:t>
      </w:r>
    </w:p>
    <w:p w14:paraId="4CFD0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支持免辅助认证，员工手动勾选信任浏览器后，在信任有效期内该浏览器登录不需要重复进行辅助认证，提升用户体验，时长有效期可设置范围不小于1-90天。</w:t>
      </w:r>
    </w:p>
    <w:p w14:paraId="6F6DB6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支持提供开放的API，管理员可以在控制台创建API KEY，供第三方安全设备或单位自有安全分析平台对接，便于形成统一的安全体系。</w:t>
      </w:r>
    </w:p>
    <w:p w14:paraId="6FA48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支持以虚拟IP方式，访问真实的业务系统，虚拟IP支持IPv4、IPv6地址，以配合其他对IP有要求的安全设备工作，以及便于流量分析类设备进行流量分析。</w:t>
      </w:r>
    </w:p>
    <w:p w14:paraId="155B3E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独享虚拟IP模式，可配置一个独享IP池，在独享IP池中为用户分配指定的虚拟IP地址，在独享资源池中给用户绑定的虚拟IP不会释放。为方便运维管理，应支持批量导入的方式为用户绑定虚拟IP，并支持导出查看系统配置的虚拟IP对应关系。</w:t>
      </w:r>
    </w:p>
    <w:p w14:paraId="25380F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支持在控制台上提供命令面板，内嵌常规的网络配置和排障命令，方便运维人员对设备进行维护，网络测试以及故障排查。</w:t>
      </w:r>
    </w:p>
    <w:p w14:paraId="09AA4C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支持展开收起诊断工具以查看问题：自身网络、零信任系统或后端业务服务器发生问题；</w:t>
      </w:r>
    </w:p>
    <w:p w14:paraId="556BF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支持管理员登录防爆破、管理员首次登录强制修改密码、管理员二次认证策略等管理员安全性登录配置检查。</w:t>
      </w:r>
    </w:p>
    <w:p w14:paraId="6DABD4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7.网络管理平台服务</w:t>
      </w:r>
    </w:p>
    <w:p w14:paraId="02D481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提供为期一年的网管服务，服务期内满足：</w:t>
      </w:r>
    </w:p>
    <w:p w14:paraId="1E02FF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提供对交换机、路由器、防火墙等网络设备不少于400个设备资源的统一监控与管理、提供资产管理服务，涉及产品包含H3C、华为、锐捷等。</w:t>
      </w:r>
    </w:p>
    <w:p w14:paraId="50EB17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系统统稳定性与可用性：确保网管平台的稳定性和可用性，避免系统崩溃或服务中断的情况。</w:t>
      </w:r>
    </w:p>
    <w:p w14:paraId="2275FE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监测系统的性能指标，包括服务器负载、网络带宽、响应时间等，及时处理资源不足或性能异常的问题。</w:t>
      </w:r>
    </w:p>
    <w:p w14:paraId="46174D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数据备份与恢复：定期备份网管平台的数据，包括设备配置、日志文件、监控数据等。</w:t>
      </w:r>
    </w:p>
    <w:p w14:paraId="10A449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确保备份数据的完整性和可靠性，同时测试备份数据的恢复过程，以确保在数据丢失或损坏的情况下能够及时恢复。</w:t>
      </w:r>
    </w:p>
    <w:p w14:paraId="5FAE51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安全性管理：设置网管平台的访问权限，并采取合适的加密和认证措施，保障用户数据和系统的安全性。</w:t>
      </w:r>
    </w:p>
    <w:p w14:paraId="4E20E8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定期进行设备漏洞扫描和安全评估，修补发现的漏洞，防止潜在的安全威胁和攻击。</w:t>
      </w:r>
    </w:p>
    <w:p w14:paraId="076B7D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设备监控与故障排除：实时监控网络设备的运行状态、流量情况、错误日志等，及时发现设备故障或异常情况。</w:t>
      </w:r>
    </w:p>
    <w:p w14:paraId="13DD31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性能优化与容量规划：分析网络设备的性能指标和流量趋势，进行性能优化和容量规划，以满足未来的业务需求。</w:t>
      </w:r>
    </w:p>
    <w:p w14:paraId="0D200C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预测系统的负荷和资源需求，提前采取措施，避免性能瓶颈和资源不足。</w:t>
      </w:r>
    </w:p>
    <w:p w14:paraId="41D247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资产进行全生命周期管理，支持对资产关联的合同以及合同附件进行管理，支持资产出入库管理；支持自定义资产类型、资产属性字段，支持自定义资产分组；支持对资产的变更历史进行记录，记录内容包括变更时间、相关资产、状态及相关属性变更历史、操作人；</w:t>
      </w:r>
    </w:p>
    <w:p w14:paraId="3D03CF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支持对变更历史进行时间范围查询和关键字查询。</w:t>
      </w:r>
    </w:p>
    <w:p w14:paraId="54B424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支持资产与在线监控信息进行联动，当资产的在线信息出现异常时进行告警，支持资产在设备更换后自动下线或报废；</w:t>
      </w:r>
    </w:p>
    <w:p w14:paraId="59DBCB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支持通过资产编号对资产进行管理，可根据资产编号生成条形码或二维码；支持联动流程系统完成资产的扫码报修；</w:t>
      </w:r>
    </w:p>
    <w:p w14:paraId="45287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支持对资产情况进行统计分析，包括但不限于资产类型分布、资产状态分布、资产价值分布、保修到期时间分布、资产故障率；</w:t>
      </w:r>
    </w:p>
    <w:p w14:paraId="42D409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支持资产维修数据统计，显示指定范围时间内，资产的维修次数统计。</w:t>
      </w:r>
    </w:p>
    <w:p w14:paraId="58171E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微信、短信、邮件、首页闪烁提示等方式进行告警通知，自带微信告警服务平台，只需关注即可使用；可根据不同的告警类型和对象选择不同的告警接收者，对同一个告警可以对不同的接收者定义不同的通知内容。(提供系统截图等证明材料)</w:t>
      </w:r>
    </w:p>
    <w:p w14:paraId="6061AA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编写操作手册和使用文档，为用户和技术人员提供详细的使用指南和维护说明。</w:t>
      </w:r>
    </w:p>
    <w:p w14:paraId="1C8CFF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用户支持与培训：提供及时有效的用户支持，包括解答用户问题、协助用户操作平台等。</w:t>
      </w:r>
    </w:p>
    <w:p w14:paraId="4CD8BB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定期组织培训活动，向用户传授如何正确使用网管平台和遵守相关规定。</w:t>
      </w:r>
    </w:p>
    <w:p w14:paraId="7B59BE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8.DHCP服务</w:t>
      </w:r>
    </w:p>
    <w:p w14:paraId="4C25F7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提供一年期的DHCP服务，负责为全校师生下发ipv4/v6地址。</w:t>
      </w:r>
    </w:p>
    <w:p w14:paraId="29086DCF">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8.1备份配置文件：</w:t>
      </w:r>
    </w:p>
    <w:p w14:paraId="20FD8161">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需备份DHCP服务器的配置文件，确保在配置丢失或故障时能够快速恢复服务。</w:t>
      </w:r>
    </w:p>
    <w:p w14:paraId="2232BA46">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备份内容应包括所有DHCP池、IP地址范围、租约信息以及其他相关配置。</w:t>
      </w:r>
    </w:p>
    <w:p w14:paraId="59434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8.2监控DHCP服务器：</w:t>
      </w:r>
    </w:p>
    <w:p w14:paraId="34C5FA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部署监控系统以实时监测DHCP服务器的运行状态，包括CPU利用率、内存利用率、网络流量等关键指标。</w:t>
      </w:r>
    </w:p>
    <w:p w14:paraId="7F3000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监测DHCP服务器的服务响应时间，确保快速响应客户端请求。</w:t>
      </w:r>
    </w:p>
    <w:p w14:paraId="485D97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8.3定期更新DHCP软件和补丁：</w:t>
      </w:r>
    </w:p>
    <w:p w14:paraId="145E8F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在供应商发布新版本或安全补丁时，及时进行升级或修补，以确保DHCP服务器的稳定性和安全性。</w:t>
      </w:r>
    </w:p>
    <w:p w14:paraId="3F0CDF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8.4错误日志分析：</w:t>
      </w:r>
    </w:p>
    <w:p w14:paraId="509A2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定期分析DHCP服务器的错误日志，检查是否存在异常情况或错误消息。</w:t>
      </w:r>
    </w:p>
    <w:p w14:paraId="5C1A73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对出现的错误进行排查和处理，保障系统的正常运行。</w:t>
      </w:r>
    </w:p>
    <w:p w14:paraId="5EA6E1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8.5 IP地址管理：</w:t>
      </w:r>
    </w:p>
    <w:p w14:paraId="02C4B6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管理IP地址池，确保每个子网的IP地址不会被重复分配。</w:t>
      </w:r>
    </w:p>
    <w:p w14:paraId="08AE2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监测IP地址的使用情况，及时回收未使用或过期的IP地址。</w:t>
      </w:r>
    </w:p>
    <w:p w14:paraId="59344F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8.6安全措施：</w:t>
      </w:r>
    </w:p>
    <w:p w14:paraId="02DC24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限制DHCP服务器的物理访问权限，确保只有授权人员可以进入服务器房间。</w:t>
      </w:r>
    </w:p>
    <w:p w14:paraId="261319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实施合适的网络安全策略，防止未经授权的访问和恶意攻击。</w:t>
      </w:r>
    </w:p>
    <w:p w14:paraId="573678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8.7故障排除：</w:t>
      </w:r>
    </w:p>
    <w:p w14:paraId="42E9A6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针对DHCP服务器出现的故障或异常情况，建立相应的故障排除流程。</w:t>
      </w:r>
    </w:p>
    <w:p w14:paraId="073479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快速定位问题，并采取必要的措施进行修复，以最小化服务中断时间。</w:t>
      </w:r>
    </w:p>
    <w:p w14:paraId="2408CF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8.8 智能DHCP第三方接口：</w:t>
      </w:r>
    </w:p>
    <w:p w14:paraId="37EE97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可与现网认证计费系统实现联动效果，实现在DHCP系统中可以看到用户工号或学号分配IP地址的实时记录以及历史记录，方便进行用户溯源。</w:t>
      </w:r>
    </w:p>
    <w:p w14:paraId="209FFA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实现用户无感知认证，当用户连接网络，DHCP下发地址后，可将用户获取到的IP地址以及终端MAC地址对应关系发送给认证计费系统，实现用户无感知上网效果。</w:t>
      </w:r>
    </w:p>
    <w:p w14:paraId="39E36E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8.9故障响应：</w:t>
      </w:r>
    </w:p>
    <w:p w14:paraId="0294F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DHCP系统出现紧急故障时，需供应商快速响应，第一时间赶到学校进行快速定位并修复。出现重大事故，影响学校大面积用户需原厂在不超过2小时内赶往学校，非紧急事故，工程师需2小时内与校方联系，远程指导或电话指导解决问题。远程和电话无法解决，工程师需协调时间在72小时内进行解决。</w:t>
      </w:r>
    </w:p>
    <w:p w14:paraId="5E9B39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8.10文档记录：</w:t>
      </w:r>
    </w:p>
    <w:p w14:paraId="0FF3E2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记录DHCP服务器的配置信息、更新历史、维护记录和故障处理过程。</w:t>
      </w:r>
    </w:p>
    <w:p w14:paraId="013D26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编写相关的操作手册和维护文档，以便其他技术人员参考和使用。</w:t>
      </w:r>
    </w:p>
    <w:p w14:paraId="111161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9.网站不规范表述检测服务</w:t>
      </w:r>
    </w:p>
    <w:p w14:paraId="597F67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9.1 监测内容</w:t>
      </w:r>
    </w:p>
    <w:p w14:paraId="78F203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9.1.1 监测服务内容</w:t>
      </w:r>
    </w:p>
    <w:p w14:paraId="0EA77A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错别字监测：对网站发文信息中的错别字展开定期扫描监测，并生成错别字监测结果列表，支持错别字结果查询与报表下载；</w:t>
      </w:r>
    </w:p>
    <w:p w14:paraId="18EC65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敏感词监测：对网站发文信息中的敏感词展开定期扫描监测，并生成敏感信息监测结果列表，支持错别字结果查询与报表下载。</w:t>
      </w:r>
    </w:p>
    <w:p w14:paraId="396B1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固定表述错误：对网站发文信息中的固定表述错误展开定期扫描监测，并生成敏感信息监测结果列表，支持错别字结果查询与报表下载。</w:t>
      </w:r>
    </w:p>
    <w:p w14:paraId="0F9AC2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9.1.2校对错误类型</w:t>
      </w:r>
    </w:p>
    <w:p w14:paraId="52E81E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1）政治性错误校对</w:t>
      </w:r>
    </w:p>
    <w:p w14:paraId="0255DB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软件具有强大的政治性错误校对功能：</w:t>
      </w:r>
    </w:p>
    <w:p w14:paraId="58A455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精确校对领导人姓名、职务和领导人排序错误。</w:t>
      </w:r>
    </w:p>
    <w:p w14:paraId="725E44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精确校对涉及台湾和其他敏感的政治性错误。</w:t>
      </w:r>
    </w:p>
    <w:p w14:paraId="2D13B5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即时更新的、可自定义的领导人职务库。</w:t>
      </w:r>
    </w:p>
    <w:p w14:paraId="55DEB3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2）敏感词校对</w:t>
      </w:r>
    </w:p>
    <w:p w14:paraId="444304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基于海量文本特征库沉淀，敏感词库覆盖反动、暴恐、涉黄、低俗、涉政、宗教、谩骂、灰产、黑产等敏感词汇，可校对出文章中的敏感信息。</w:t>
      </w:r>
    </w:p>
    <w:p w14:paraId="20FCA5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3）通用类错误校对</w:t>
      </w:r>
    </w:p>
    <w:p w14:paraId="0734BA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可校对一般错别字、重复词语、标点符号等错误，并提供改进意见。</w:t>
      </w:r>
    </w:p>
    <w:p w14:paraId="094F4F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同音字校对：能够自动对同音但是字不同的文本进行识别，并提供改进意见。</w:t>
      </w:r>
    </w:p>
    <w:p w14:paraId="3A614E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4）定制词库校对</w:t>
      </w:r>
    </w:p>
    <w:p w14:paraId="732E34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支持按需定制重点词监控词库，准确快速地校对出所有与重点词相似的错误或敏感信息，支持大容量的重点词监控库。</w:t>
      </w:r>
    </w:p>
    <w:p w14:paraId="170EB4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9.2 监测对象</w:t>
      </w:r>
    </w:p>
    <w:p w14:paraId="705911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支持对网站中的错别字、敏感词以及固定表述错误进行监测校对，并给出修改建议。</w:t>
      </w:r>
    </w:p>
    <w:p w14:paraId="4171EA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不仅支持对网页内容展开监测，还支持对网址中附件（txt、Word、Excel及PDF）内容展开监测。</w:t>
      </w:r>
    </w:p>
    <w:p w14:paraId="371D95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9.3 监测频率</w:t>
      </w:r>
    </w:p>
    <w:p w14:paraId="1B830E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对历史发文存量内容进行定期全面扫描校对，对新增内容进行高频次监测校对，确保监测无遗漏。</w:t>
      </w:r>
    </w:p>
    <w:p w14:paraId="67BD90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9.4服务形式</w:t>
      </w:r>
    </w:p>
    <w:p w14:paraId="0D8D90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采用人工与智能结合形式提供服务。在系统完成初步检测后，安排人工审核确认，最终形成错别字、敏感词列表在平台中展示。采购人各部门可通过监测平台查看监测结果。人工定期查看系统，对出现的重大错敏信息及固定表述错误信息进行人工手动提示，提供内容包含截图和链接。</w:t>
      </w:r>
    </w:p>
    <w:p w14:paraId="3A1D0C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9.5考核指标</w:t>
      </w:r>
    </w:p>
    <w:p w14:paraId="564E48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每天对新增信息扫描1次；</w:t>
      </w:r>
    </w:p>
    <w:p w14:paraId="3E2A9E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新增关键词后再次全网扫描排查；</w:t>
      </w:r>
    </w:p>
    <w:p w14:paraId="22130E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存量信息进行1次全量排查；</w:t>
      </w:r>
    </w:p>
    <w:p w14:paraId="28F47B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每周至少一次人工巡检，对网站中出现的重大错误人工预警；</w:t>
      </w:r>
    </w:p>
    <w:p w14:paraId="13F44E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9.6 技术支持</w:t>
      </w:r>
    </w:p>
    <w:p w14:paraId="59D02C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提供7*24小时服务响应与技术支持。</w:t>
      </w:r>
    </w:p>
    <w:p w14:paraId="12A689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在接收到采购人需求后，在30分钟内响应。若远程可以解决问题，则应作出书面记录。若需要现场服务，工程师需在48小时内到达现场，解决问题。</w:t>
      </w:r>
    </w:p>
    <w:p w14:paraId="1CDAF7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不定期地走访：安排专人不定期（在服务期内）走访方式，调查整个项目系统及服务效果。</w:t>
      </w:r>
    </w:p>
    <w:p w14:paraId="411B2D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w:t>
      </w:r>
      <w:r>
        <w:rPr>
          <w:rFonts w:hint="eastAsia" w:ascii="宋体" w:hAnsi="宋体" w:cs="宋体"/>
          <w:b w:val="0"/>
          <w:bCs w:val="0"/>
          <w:color w:val="auto"/>
          <w:kern w:val="0"/>
          <w:sz w:val="24"/>
          <w:szCs w:val="24"/>
          <w:highlight w:val="none"/>
          <w:lang w:val="en-US" w:eastAsia="zh-CN" w:bidi="ar-SA"/>
        </w:rPr>
        <w:t>0</w:t>
      </w:r>
      <w:r>
        <w:rPr>
          <w:rFonts w:hint="eastAsia" w:ascii="宋体" w:hAnsi="宋体" w:eastAsia="宋体" w:cs="宋体"/>
          <w:b w:val="0"/>
          <w:bCs w:val="0"/>
          <w:color w:val="auto"/>
          <w:kern w:val="0"/>
          <w:sz w:val="24"/>
          <w:szCs w:val="24"/>
          <w:highlight w:val="none"/>
          <w:lang w:val="en-US" w:eastAsia="zh-CN" w:bidi="ar-SA"/>
        </w:rPr>
        <w:t>.网站资源管理服务</w:t>
      </w:r>
    </w:p>
    <w:p w14:paraId="7AC9BF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网站资源管理服务期限为期一年。服务期内，供应商须提供 7×24 小时不间断服务，承接技术咨询、故障报修等各类服务需求。关于故障处置，应严格遵循以下响应规范，确保服务响应及时合规、问题处置高效到位。</w:t>
      </w:r>
    </w:p>
    <w:p w14:paraId="406C17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紧急故障：2小时内必须解决。（解决方式不限，可远程或现场）</w:t>
      </w:r>
    </w:p>
    <w:p w14:paraId="485D6D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严重故障：4小时内必须解决。（解决方式不限，可远程或现场）</w:t>
      </w:r>
    </w:p>
    <w:p w14:paraId="26BFF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一般故障：在不影响用户使用的前提下8小时内解决。</w:t>
      </w:r>
    </w:p>
    <w:p w14:paraId="2F894E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日常小问题：48小时内协助校方解决。</w:t>
      </w:r>
    </w:p>
    <w:p w14:paraId="478E03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服务内容：</w:t>
      </w:r>
    </w:p>
    <w:p w14:paraId="1BF8BA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（1）服务期内保障我校网站实现集中管理管控，隐藏网站源地址，网站资源统一发布。</w:t>
      </w:r>
    </w:p>
    <w:p w14:paraId="2ABA14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（2）服务期内对校内源网站只支持IPV4的网站发布代理为IPV4/IPV6双栈网站。支持IPv4到IPv4/IPv6、IPv6到IPv4/IPv6的四层地址翻译转换技术（包括TCP和UDP），可自动检测和切换后端非健康服务器。</w:t>
      </w:r>
    </w:p>
    <w:p w14:paraId="61E06D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（3）提供网站自定义时间上下线策略服务，如：重保期间，部分网站工作日早八晚五可以访问，休息日无法访问、下班后无法访问控制策略。支持创建多组自义定策略。</w:t>
      </w:r>
    </w:p>
    <w:p w14:paraId="4C2DFA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（4）提供网站内外网策略访问服务，如：用户在校内可以访问，在校外无法访问。</w:t>
      </w:r>
    </w:p>
    <w:p w14:paraId="308EB2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（5）服务期内可实现在紧急事件中对所管理网站一键断网。</w:t>
      </w:r>
    </w:p>
    <w:p w14:paraId="4E17EF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（6）服务期内对源站为HTTP的网站代理为HTTPS网站，源站无需改动配置。</w:t>
      </w:r>
    </w:p>
    <w:p w14:paraId="0C26FF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（7）服务期内对所管理的网站一键更换HTTPS证书。源站探测报警服务，当源站出现问题无法访问会自动给网络管理员发送邮件通知。</w:t>
      </w:r>
    </w:p>
    <w:p w14:paraId="4C5C31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8）提供网站自助备案服务，备案成功后二级部门管理员可对本部门站点进行上、下线操作管理。可以查看本部门或单位网站近期访问趋势、访问排名、近七天访问趋势、网站访问质量、网站访问日志数据滚动、访问URL排行数据、访问IP排行数据、网站攻击日志数据滚动、攻击URL排行数据、攻击IP排行数据等</w:t>
      </w:r>
    </w:p>
    <w:p w14:paraId="6A675D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（9）日志采集服务，保障所发布的网站日志采集完整，支持本地存储或日志转发外部存储，日志存储时间不少于180天。</w:t>
      </w:r>
    </w:p>
    <w:p w14:paraId="7F46EE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（10）弱密码防护服务，支持针对网络中存在弱密码系统的进行事件日志记录，包括时间、源IP地址、网站、URL、密码、操作等，并可导出日志。</w:t>
      </w:r>
    </w:p>
    <w:p w14:paraId="35E50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11）服务期内提供与学校智慧校园统一身份认证平台对接服务，支持对接用户不同权限分配，支持自定义权限管理，满足不同应用场景的安全认证需求。支持本地用户名口令、支持第三方认证组件LDAP、RADIUS对接；</w:t>
      </w:r>
    </w:p>
    <w:p w14:paraId="77C60B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（12）服务期内提供网站TOP排名服务，网站top统计、用户top统计、top ip访问统计、国内访问统计、国际访问统计、访问质量统计、资源UV统计、资源PV统计、IPv4/IPv6统计、HTTP协议统计、受攻击网站TOP10、攻击来源、TOP10、攻击类型TOP10、浏览器统计、操作系统统计、设备统计、请求统计等进行统计分析，并可根据时间段及不同时间维度（日、周、月、年）进行统计，通过可视化图表展示变化趋势；支持全年上线站点数量、热点网站统计分布网站、整改记录统计、备案统计、僵尸网站、在线用户分析等，通过可视化图表展示变化趋势。</w:t>
      </w:r>
    </w:p>
    <w:p w14:paraId="1EFFAC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（13）服务期内可管理学校不少于50个网站。</w:t>
      </w:r>
    </w:p>
    <w:p w14:paraId="570C51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（14）服务期内包含但不限于软件升级、BUG修复、漏洞修复等。</w:t>
      </w:r>
    </w:p>
    <w:p w14:paraId="279C52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（15）提供巡检服务，一年内不少于2次全面巡检服务，并出示巡检报告。</w:t>
      </w:r>
    </w:p>
    <w:p w14:paraId="03CF1E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w:t>
      </w:r>
      <w:r>
        <w:rPr>
          <w:rFonts w:hint="eastAsia" w:ascii="宋体" w:hAnsi="宋体" w:cs="宋体"/>
          <w:b w:val="0"/>
          <w:bCs w:val="0"/>
          <w:color w:val="auto"/>
          <w:kern w:val="0"/>
          <w:sz w:val="24"/>
          <w:szCs w:val="24"/>
          <w:highlight w:val="none"/>
          <w:lang w:val="en-US" w:eastAsia="zh-CN" w:bidi="ar-SA"/>
        </w:rPr>
        <w:t>1</w:t>
      </w:r>
      <w:r>
        <w:rPr>
          <w:rFonts w:hint="eastAsia" w:ascii="宋体" w:hAnsi="宋体" w:eastAsia="宋体" w:cs="宋体"/>
          <w:b w:val="0"/>
          <w:bCs w:val="0"/>
          <w:color w:val="auto"/>
          <w:kern w:val="0"/>
          <w:sz w:val="24"/>
          <w:szCs w:val="24"/>
          <w:highlight w:val="none"/>
          <w:lang w:val="en-US" w:eastAsia="zh-CN" w:bidi="ar-SA"/>
        </w:rPr>
        <w:t>.站群防篡改服务</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696"/>
        <w:gridCol w:w="1350"/>
        <w:gridCol w:w="5914"/>
      </w:tblGrid>
      <w:tr w14:paraId="438A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30" w:type="pct"/>
            <w:vAlign w:val="center"/>
          </w:tcPr>
          <w:p w14:paraId="349DBFC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序号</w:t>
            </w:r>
          </w:p>
        </w:tc>
        <w:tc>
          <w:tcPr>
            <w:tcW w:w="1200" w:type="pct"/>
            <w:gridSpan w:val="2"/>
            <w:vAlign w:val="center"/>
          </w:tcPr>
          <w:p w14:paraId="1087E15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要求</w:t>
            </w:r>
          </w:p>
        </w:tc>
        <w:tc>
          <w:tcPr>
            <w:tcW w:w="3469" w:type="pct"/>
            <w:vAlign w:val="center"/>
          </w:tcPr>
          <w:p w14:paraId="669167D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内容</w:t>
            </w:r>
          </w:p>
        </w:tc>
      </w:tr>
      <w:tr w14:paraId="312C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30" w:type="pct"/>
            <w:vMerge w:val="restart"/>
            <w:vAlign w:val="center"/>
          </w:tcPr>
          <w:p w14:paraId="045B715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408" w:type="pct"/>
            <w:vMerge w:val="restart"/>
          </w:tcPr>
          <w:p w14:paraId="55158C9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服务要求</w:t>
            </w:r>
          </w:p>
        </w:tc>
        <w:tc>
          <w:tcPr>
            <w:tcW w:w="792" w:type="pct"/>
            <w:vMerge w:val="restart"/>
            <w:vAlign w:val="center"/>
          </w:tcPr>
          <w:p w14:paraId="3EC7713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网页防篡改维保服务</w:t>
            </w:r>
          </w:p>
        </w:tc>
        <w:tc>
          <w:tcPr>
            <w:tcW w:w="3469" w:type="pct"/>
            <w:vAlign w:val="center"/>
          </w:tcPr>
          <w:p w14:paraId="1E96160C">
            <w:pPr>
              <w:keepNext w:val="0"/>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w:t>
            </w:r>
            <w:r>
              <w:rPr>
                <w:rFonts w:hint="default" w:ascii="Times New Roman" w:hAnsi="Times New Roman" w:eastAsia="宋体" w:cs="Times New Roman"/>
                <w:color w:val="auto"/>
                <w:sz w:val="24"/>
                <w:szCs w:val="24"/>
                <w:highlight w:val="none"/>
                <w:lang w:eastAsia="zh-CN"/>
              </w:rPr>
              <w:t>学校</w:t>
            </w:r>
            <w:r>
              <w:rPr>
                <w:rFonts w:hint="default" w:ascii="Times New Roman" w:hAnsi="Times New Roman" w:eastAsia="宋体" w:cs="Times New Roman"/>
                <w:color w:val="auto"/>
                <w:sz w:val="24"/>
                <w:szCs w:val="24"/>
                <w:highlight w:val="none"/>
              </w:rPr>
              <w:t>网站群系统</w:t>
            </w:r>
            <w:r>
              <w:rPr>
                <w:rFonts w:hint="default" w:ascii="Times New Roman" w:hAnsi="Times New Roman" w:eastAsia="宋体" w:cs="Times New Roman"/>
                <w:color w:val="auto"/>
                <w:sz w:val="24"/>
                <w:szCs w:val="24"/>
                <w:highlight w:val="none"/>
                <w:lang w:eastAsia="zh-CN"/>
              </w:rPr>
              <w:t>全部</w:t>
            </w:r>
            <w:r>
              <w:rPr>
                <w:rFonts w:hint="default" w:ascii="Times New Roman" w:hAnsi="Times New Roman" w:eastAsia="宋体" w:cs="Times New Roman"/>
                <w:color w:val="auto"/>
                <w:sz w:val="24"/>
                <w:szCs w:val="24"/>
                <w:highlight w:val="none"/>
              </w:rPr>
              <w:t>子站点</w:t>
            </w:r>
            <w:r>
              <w:rPr>
                <w:rFonts w:hint="default" w:ascii="Times New Roman" w:hAnsi="Times New Roman" w:eastAsia="宋体" w:cs="Times New Roman"/>
                <w:color w:val="auto"/>
                <w:sz w:val="24"/>
                <w:szCs w:val="24"/>
                <w:highlight w:val="none"/>
                <w:lang w:eastAsia="zh-CN"/>
              </w:rPr>
              <w:t>（不低于</w:t>
            </w:r>
            <w:r>
              <w:rPr>
                <w:rFonts w:hint="default" w:ascii="Times New Roman" w:hAnsi="Times New Roman" w:eastAsia="宋体" w:cs="Times New Roman"/>
                <w:color w:val="auto"/>
                <w:sz w:val="24"/>
                <w:szCs w:val="24"/>
                <w:highlight w:val="none"/>
              </w:rPr>
              <w:t>118个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提供1年维保服务。</w:t>
            </w:r>
          </w:p>
        </w:tc>
      </w:tr>
      <w:tr w14:paraId="53A5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 w:type="pct"/>
            <w:vMerge w:val="continue"/>
            <w:vAlign w:val="center"/>
          </w:tcPr>
          <w:p w14:paraId="4C1584E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F13B52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18A8CFF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44A559E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提供7×24小时技术响应以及应急情况下的现场支持，每年不少于4次巡检服务及3次上门应急响应，提供日常维护的相关培训。紧急情况工程师2小时内到达现场。</w:t>
            </w:r>
          </w:p>
        </w:tc>
      </w:tr>
      <w:tr w14:paraId="3D08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 w:type="pct"/>
            <w:vMerge w:val="continue"/>
            <w:vAlign w:val="center"/>
          </w:tcPr>
          <w:p w14:paraId="054AC53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3C00AD5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273F554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7C7F3073">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right="0" w:firstLine="0" w:firstLineChars="0"/>
              <w:jc w:val="left"/>
              <w:textAlignment w:val="auto"/>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服务期内对系统进行每月 1 次的定期巡检、维护工作，保证系统的正常运行。</w:t>
            </w:r>
          </w:p>
        </w:tc>
      </w:tr>
      <w:tr w14:paraId="503A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30" w:type="pct"/>
            <w:vMerge w:val="restart"/>
            <w:vAlign w:val="center"/>
          </w:tcPr>
          <w:p w14:paraId="299B668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p>
        </w:tc>
        <w:tc>
          <w:tcPr>
            <w:tcW w:w="408" w:type="pct"/>
            <w:vMerge w:val="restart"/>
          </w:tcPr>
          <w:p w14:paraId="21D689A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功能要求</w:t>
            </w:r>
          </w:p>
        </w:tc>
        <w:tc>
          <w:tcPr>
            <w:tcW w:w="792" w:type="pct"/>
            <w:vAlign w:val="center"/>
          </w:tcPr>
          <w:p w14:paraId="51600B8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防护对象分类</w:t>
            </w:r>
          </w:p>
        </w:tc>
        <w:tc>
          <w:tcPr>
            <w:tcW w:w="3469" w:type="pct"/>
            <w:vAlign w:val="center"/>
          </w:tcPr>
          <w:p w14:paraId="47AE1EA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应支持按照防护对象在Web服务中所起的作用对其进行分类，进而依据防护对象的类型和更新方式对其采用不同的防护措施。</w:t>
            </w:r>
          </w:p>
        </w:tc>
      </w:tr>
      <w:tr w14:paraId="4CAB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41358F9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06AF311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restart"/>
            <w:vAlign w:val="center"/>
          </w:tcPr>
          <w:p w14:paraId="6B9A778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篡改防护功能</w:t>
            </w:r>
          </w:p>
        </w:tc>
        <w:tc>
          <w:tcPr>
            <w:tcW w:w="3469" w:type="pct"/>
            <w:vAlign w:val="center"/>
          </w:tcPr>
          <w:p w14:paraId="6D3D378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同时支持内嵌比对、轮询比对、驱动过滤、轮询扫描、驱动扫描、发布扫描六种本地防护手段和网页监测、应用防护两种网络防护手段。</w:t>
            </w:r>
          </w:p>
        </w:tc>
      </w:tr>
      <w:tr w14:paraId="68DF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75AC222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0B839F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0899C90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7DFCDF6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内嵌比对应支持阻断响应、自动恢复、删除文件和留存快照四种篡改处理机制。</w:t>
            </w:r>
          </w:p>
        </w:tc>
      </w:tr>
      <w:tr w14:paraId="024C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0D2BD3D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283F67D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3D32687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25FAB03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驱动过滤应支持细粒度的防护规则配置，规则的配置项至少须包括用户、进程路径、文件操作模式和文件路径。</w:t>
            </w:r>
          </w:p>
        </w:tc>
      </w:tr>
      <w:tr w14:paraId="1E51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5DC6725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AD2414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089E857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4F78535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驱动过滤应支持阻止操作、自动恢复、删除文件和留存快照四种篡改处理机制。</w:t>
            </w:r>
          </w:p>
        </w:tc>
      </w:tr>
      <w:tr w14:paraId="12BA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72E0476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396E5B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173DA46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31EFE8A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驱动过滤应支持设置规则的优先级，包括但不限于作用于服务器全局的前置规则和后置规则。</w:t>
            </w:r>
          </w:p>
        </w:tc>
      </w:tr>
      <w:tr w14:paraId="214A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3EC247F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C83886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6D90C44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1546653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驱动过滤应支持记录所有文件操作。</w:t>
            </w:r>
          </w:p>
        </w:tc>
      </w:tr>
      <w:tr w14:paraId="5914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6419BBD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033219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24C6D7C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10BA21D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轮询扫描、驱动扫描和发布扫描应支持对木马文件、伪装文件和非法外链的扫描。并支持对可疑文件转存快照和删除。</w:t>
            </w:r>
          </w:p>
        </w:tc>
      </w:tr>
      <w:tr w14:paraId="5CE8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3F875DA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5BC261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7A5042A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3132FB2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轮询比对、轮询扫描应支持设置扫描频率和启动时间。</w:t>
            </w:r>
          </w:p>
        </w:tc>
      </w:tr>
      <w:tr w14:paraId="1CA2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15E6995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0AED2CC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436E02B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271CAF5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发布扫描发现可疑文件后应支持传输和拦截两种可选后续动作。</w:t>
            </w:r>
          </w:p>
        </w:tc>
      </w:tr>
      <w:tr w14:paraId="3C70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5828337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672995C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1DCD6AF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38DD13C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应用防护应支持防护规则的编辑和管理。</w:t>
            </w:r>
          </w:p>
        </w:tc>
      </w:tr>
      <w:tr w14:paraId="5280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7666297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70B1D3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restart"/>
            <w:vAlign w:val="center"/>
          </w:tcPr>
          <w:p w14:paraId="1702B95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文件发布功能</w:t>
            </w:r>
          </w:p>
        </w:tc>
        <w:tc>
          <w:tcPr>
            <w:tcW w:w="3469" w:type="pct"/>
            <w:vAlign w:val="center"/>
          </w:tcPr>
          <w:p w14:paraId="4C27A33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应支持可信更新、中间件更新、指定更新和随意更新四种防护对象更新机制。</w:t>
            </w:r>
          </w:p>
        </w:tc>
      </w:tr>
      <w:tr w14:paraId="4192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2709392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9ECA32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2EA4881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7AC5A4C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采用可信更新时，自动检测发布服务器上文件系统任何变化。</w:t>
            </w:r>
          </w:p>
        </w:tc>
      </w:tr>
      <w:tr w14:paraId="4B55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28C9A4D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6B83CA9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5C40614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3827044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采用可信更新时，发布服务器上的文件变化自动同步到多个web服务器。</w:t>
            </w:r>
          </w:p>
        </w:tc>
      </w:tr>
      <w:tr w14:paraId="631C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18ADC7C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5B8D597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143EEE2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40400BF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采用可信更新时，自动为更新对象签发水印，并在同步文件时同步更新水印。</w:t>
            </w:r>
          </w:p>
        </w:tc>
      </w:tr>
      <w:tr w14:paraId="28D2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30F2BDE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C32AD4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3A15A06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6CB4420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采用可信更新时，支持按设定条件监视并同步文件。</w:t>
            </w:r>
          </w:p>
        </w:tc>
      </w:tr>
      <w:tr w14:paraId="0B84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756D747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6D0467C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02EA449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57C82DC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支持手工同步，并支持手工签发水印。</w:t>
            </w:r>
          </w:p>
        </w:tc>
      </w:tr>
      <w:tr w14:paraId="3DF0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47D4684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583B382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0784831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75E592D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支持对web服务器上的文件进行自动备份。支持本地备份和异地备份两种模式。</w:t>
            </w:r>
          </w:p>
        </w:tc>
      </w:tr>
      <w:tr w14:paraId="6170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3DC7AAA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41FD4DC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0984CC2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06AEE36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支持备份还原。</w:t>
            </w:r>
          </w:p>
        </w:tc>
      </w:tr>
      <w:tr w14:paraId="593A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17AD55D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046994D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5A36CEC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2A8DB24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支持发布服务器集群。</w:t>
            </w:r>
          </w:p>
        </w:tc>
      </w:tr>
      <w:tr w14:paraId="5151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466F6A5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26A19BC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2AC6B20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77E4932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采用中间件更新时，支持对更新文件类型的限制。</w:t>
            </w:r>
          </w:p>
        </w:tc>
      </w:tr>
      <w:tr w14:paraId="7E07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330" w:type="pct"/>
            <w:vMerge w:val="continue"/>
            <w:vAlign w:val="center"/>
          </w:tcPr>
          <w:p w14:paraId="7650AE4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41DEF64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792" w:type="pct"/>
            <w:vMerge w:val="continue"/>
            <w:vAlign w:val="center"/>
          </w:tcPr>
          <w:p w14:paraId="617F28D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b/>
                <w:color w:val="auto"/>
                <w:sz w:val="24"/>
                <w:szCs w:val="24"/>
                <w:highlight w:val="none"/>
              </w:rPr>
            </w:pPr>
          </w:p>
        </w:tc>
        <w:tc>
          <w:tcPr>
            <w:tcW w:w="3469" w:type="pct"/>
            <w:vAlign w:val="center"/>
          </w:tcPr>
          <w:p w14:paraId="1568EFF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采用指定更新时，支持可编辑的进程白名单。</w:t>
            </w:r>
          </w:p>
        </w:tc>
      </w:tr>
      <w:tr w14:paraId="06BB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330" w:type="pct"/>
            <w:vMerge w:val="continue"/>
            <w:vAlign w:val="center"/>
          </w:tcPr>
          <w:p w14:paraId="2CD49AE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448D529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restart"/>
            <w:vAlign w:val="center"/>
          </w:tcPr>
          <w:p w14:paraId="324208A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管理功能</w:t>
            </w:r>
          </w:p>
        </w:tc>
        <w:tc>
          <w:tcPr>
            <w:tcW w:w="3469" w:type="pct"/>
            <w:vAlign w:val="center"/>
          </w:tcPr>
          <w:p w14:paraId="4C30D7B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支持防护状态显示，防护状态信息至少应包括防护对象统计、在线状态、防护手段工作状态。</w:t>
            </w:r>
          </w:p>
        </w:tc>
      </w:tr>
      <w:tr w14:paraId="6FE2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330" w:type="pct"/>
            <w:vMerge w:val="continue"/>
            <w:vAlign w:val="center"/>
          </w:tcPr>
          <w:p w14:paraId="4A9DF8E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963F6E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3666815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23C5251B">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支持防护对象的树状结构展示。</w:t>
            </w:r>
          </w:p>
        </w:tc>
      </w:tr>
      <w:tr w14:paraId="0138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0D27EEF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0B35F48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64C5218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5251C83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支持报表功能，能生成月报，月报应包括防护资产统计、防护配置总览、安全事件总览和文件发布总览。</w:t>
            </w:r>
          </w:p>
        </w:tc>
      </w:tr>
      <w:tr w14:paraId="1ED3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5878EFA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67F2AE9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68DA4BD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7843BF9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支持多用户。账户类型至少应包括管理账户、安全账户和审计账户。</w:t>
            </w:r>
          </w:p>
        </w:tc>
      </w:tr>
      <w:tr w14:paraId="7AB9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539C28C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AC5ED4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1B1A337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26A9912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支持多种告警方式，至少应包括：syslog告警、短信告警和邮件告警。</w:t>
            </w:r>
          </w:p>
        </w:tc>
      </w:tr>
      <w:tr w14:paraId="341B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65CECC2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3480A87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1880489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3E28FA2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支持告警条件的设置。</w:t>
            </w:r>
          </w:p>
        </w:tc>
      </w:tr>
      <w:tr w14:paraId="79AE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2D70B85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729B610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4CB6A4E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262187D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支持日志分类查看，至少应包括：安全日志、运行日志、操作日志和传输日志四个类别。</w:t>
            </w:r>
          </w:p>
        </w:tc>
      </w:tr>
      <w:tr w14:paraId="3FD8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70A60BF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0F9CFE1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1B1F41C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10AAE7A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支持配置的导入导出。</w:t>
            </w:r>
          </w:p>
        </w:tc>
      </w:tr>
      <w:tr w14:paraId="2658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30" w:type="pct"/>
            <w:vMerge w:val="continue"/>
            <w:vAlign w:val="center"/>
          </w:tcPr>
          <w:p w14:paraId="3DEAD6B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408" w:type="pct"/>
            <w:vMerge w:val="continue"/>
          </w:tcPr>
          <w:p w14:paraId="1105685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792" w:type="pct"/>
            <w:vMerge w:val="continue"/>
            <w:vAlign w:val="center"/>
          </w:tcPr>
          <w:p w14:paraId="07064F2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Times New Roman"/>
                <w:color w:val="auto"/>
                <w:sz w:val="24"/>
                <w:szCs w:val="24"/>
                <w:highlight w:val="none"/>
              </w:rPr>
            </w:pPr>
          </w:p>
        </w:tc>
        <w:tc>
          <w:tcPr>
            <w:tcW w:w="3469" w:type="pct"/>
            <w:vAlign w:val="center"/>
          </w:tcPr>
          <w:p w14:paraId="569AEBE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支持资产权限管理。能为防护资产（包括服务器、站点和防护对象）分配用户(属主)。</w:t>
            </w:r>
          </w:p>
        </w:tc>
      </w:tr>
    </w:tbl>
    <w:p w14:paraId="030878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（五）硬件产品运维服务要求</w:t>
      </w:r>
    </w:p>
    <w:p w14:paraId="0D6718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1.校园网维护服务</w:t>
      </w:r>
    </w:p>
    <w:p w14:paraId="577A1D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提供一年期的校园网维护服务</w:t>
      </w:r>
    </w:p>
    <w:p w14:paraId="0C804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1.1服务区域</w:t>
      </w:r>
    </w:p>
    <w:p w14:paraId="68EF95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服务区域：包含西青主校区和八里台校区内所有建筑覆盖区域。</w:t>
      </w:r>
    </w:p>
    <w:p w14:paraId="3E1DF0AE">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1.2维保服务基本构成</w:t>
      </w:r>
    </w:p>
    <w:p w14:paraId="21388A84">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对服务区域内天津师范大学所属的网络信息化设施进行日常保障，包括维护和技术服务。</w:t>
      </w:r>
    </w:p>
    <w:p w14:paraId="0760A382">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对西青主校区和八里台校区天津师范大学所属的有线网络和无线网络进行维护、报修响应和故障修复。</w:t>
      </w:r>
    </w:p>
    <w:p w14:paraId="47F9945C">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对设备间的UPS设备进行巡检，以及设备间与弱电机房的除尘工作。</w:t>
      </w:r>
    </w:p>
    <w:p w14:paraId="46FFE8DE">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进行网络运营和电话报修，排查并修复故障。</w:t>
      </w:r>
    </w:p>
    <w:p w14:paraId="5DF8404B">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学校工作日至少有5名工作人员负责网络运营、电话报修、师生上网账户管理和网络故障维护工作；非工作日（节假日、寒假）至少有2名工作人员负责上述工作。</w:t>
      </w:r>
    </w:p>
    <w:p w14:paraId="78A7CA06">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提供校园一卡通网络线路和网络技术服务，排查并修复故障。</w:t>
      </w:r>
    </w:p>
    <w:p w14:paraId="228861B3">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特殊时期（如重要考试、学校招生、校迎新、网络安全保障时期等），根据采购人要求调配驻场及附加人员进行现场网络技术保障，并安排值夜班。</w:t>
      </w:r>
    </w:p>
    <w:p w14:paraId="149ED286">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每日巡检采购人网络中心机房，了解网络运维情况。</w:t>
      </w:r>
    </w:p>
    <w:p w14:paraId="5163B1C1">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每周向天津师范大学网络设备主管部门汇报工作内容，包括网络运营情况、电话报修情况、维修情况和故障分析等。</w:t>
      </w:r>
    </w:p>
    <w:p w14:paraId="103C9222">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根据采购人要求进行校园网络运营和网络故障维护。</w:t>
      </w:r>
    </w:p>
    <w:p w14:paraId="14B7E261">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按照采购人要求对服务区域内设备机房进行日常维护，包括环境清理、线路整理和设备除尘等，所需工具和设备由供应商提供。</w:t>
      </w:r>
    </w:p>
    <w:p w14:paraId="207C8EA7">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按照采购人要求对服务区域内网络设备进行日常维护，包括系统检测更新和口令更改，并提交技术报告。</w:t>
      </w:r>
    </w:p>
    <w:p w14:paraId="7B632960">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提供八里台校区和西青主校区两校区之间8芯独立光缆的互联维护服务。</w:t>
      </w:r>
    </w:p>
    <w:p w14:paraId="1E1BA3C0">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对校园视频会议系统进行现场支持。</w:t>
      </w:r>
    </w:p>
    <w:p w14:paraId="74A002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1.3维护服务对象</w:t>
      </w:r>
    </w:p>
    <w:p w14:paraId="14C967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在天津师范大学校区内针对上述维护服务区域内的服务对象基本构成如下：</w:t>
      </w:r>
    </w:p>
    <w:p w14:paraId="5B729C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综合布线系统，含各型各级铜缆布线系统、各型各级光纤布线系统。</w:t>
      </w:r>
    </w:p>
    <w:p w14:paraId="40094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校园计算机网络系统（包括校园有线网、无线网及一卡通网络），系统包含各层各级交换设备、各层各级路由设备、校园网光传输连接器件、各型UPS系统、各型无线接入点AP、无线控制器AC、网络信息中心平台控制系统等校园网构成节点元素，及安放上述设备的配线间、设备间、机房或管理中心。</w:t>
      </w:r>
    </w:p>
    <w:p w14:paraId="50974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供应商或其委托的服务提供商在服务过程中负责梳理并编整设备详细清单，含设备品牌、设备名称、设备规格、设备数量，设备系列号，安放地点等信息。</w:t>
      </w:r>
    </w:p>
    <w:p w14:paraId="628191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供应商或其委托的服务提供商负责采购人中心机房和弱电间的物理安全，主要包括机房的动环系统检查，机房设施完整性检查，设备和电源安全检查。</w:t>
      </w:r>
    </w:p>
    <w:p w14:paraId="3C5EBB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服务对象不包含各院系自建的计算机网络系统、不包含校园内专属计算机网络系统（如劝学楼内的多媒体综合教学网络、数字校园广播网络、校园数字视频监控网络、图书馆自建内部计算机网络）及相关设备。</w:t>
      </w:r>
    </w:p>
    <w:p w14:paraId="37D07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1.4维护服务内容与时间响应要求</w:t>
      </w:r>
    </w:p>
    <w:p w14:paraId="17212F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1.4.1 服务区域的设备机房日常维护</w:t>
      </w:r>
    </w:p>
    <w:p w14:paraId="3EA72E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目前，天津师范大学校园网内整体分布在全校约有160间设备间，包括主机房和各建筑群弱电机房。设备机房日常维护含机房环境与机房内网络设备须定期除尘，包括地面、门窗、机柜机架、窗台、空调等。清洁工作不能影响网络的正常运行，要求用气泵实施设备内吹尘、吸尘器等器具进行机房内环境除尘清洁工作，所需的工具设备由成交供应商提供。</w:t>
      </w:r>
    </w:p>
    <w:p w14:paraId="404369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时间要求：每学年二次，分别安排在学期末或寒暑假期内完成该项工作。</w:t>
      </w:r>
    </w:p>
    <w:p w14:paraId="781936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1.4.2 网络设备技术维护</w:t>
      </w:r>
    </w:p>
    <w:p w14:paraId="1906DE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定期对网络设备的操作系统软件、配置文件进行备份、更新。时间：每四个月为一周期。</w:t>
      </w:r>
    </w:p>
    <w:p w14:paraId="141E2A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定期对网络设备的硬件物理工作状态进行检测与记录，提交检测报告。时间：每四个月为一周期。</w:t>
      </w:r>
    </w:p>
    <w:p w14:paraId="5E8CF1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定期对网络设备的硬件技术工作性能进行检测与记录，提交检测报告。时间：每四个月为一周期。</w:t>
      </w:r>
    </w:p>
    <w:p w14:paraId="416208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针对关键节点设备则依据使用与工作负荷情况，至少两个月检测一次，并提交分析报告。</w:t>
      </w:r>
    </w:p>
    <w:p w14:paraId="3D8BB7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定期对网络设备登录口令进行更改，检测设备配置文件中口令加密。时间：每四个月为一周期。</w:t>
      </w:r>
    </w:p>
    <w:p w14:paraId="6DC626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针对校园网关键节点设备则依据安全需要，至少两个月变更一次登录口令及加密，以预防并提高网络安全。</w:t>
      </w:r>
    </w:p>
    <w:p w14:paraId="52C26B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协助采购人依据校园网使用需要，实施网络设备配置管理。例如：IP地址分配、VLAN划分、路由配置、ACL设置等，并将变更与配置文件、网络互联拓扑图等重要信息即时记录存档。此项工作须严格按照以下工作流程（发现问题→提交方案→领导签字→实施方案→效果反馈）操作并做好详细工作记录。</w:t>
      </w:r>
    </w:p>
    <w:p w14:paraId="7FDA54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对采购人针对校园网的开发、使用与系统升级改造有义务给出实施建议或方案，并做好基础支持工作。</w:t>
      </w:r>
    </w:p>
    <w:p w14:paraId="445AB1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UPS电源每半年或每学期放电保护一次，并对电池组进行专业检测，形成检测报告交给采购人。</w:t>
      </w:r>
    </w:p>
    <w:p w14:paraId="431C2E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1.4.3 时间响应要求</w:t>
      </w:r>
    </w:p>
    <w:p w14:paraId="466933E2">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工作日期间：确保8:00--20:00有5名工作人员在岗，并做好工作人员工作时间调配；</w:t>
      </w:r>
    </w:p>
    <w:p w14:paraId="0729C0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周六日、节假日及寒暑假期间：保证至少2人在岗，需要8:00到岗，18:00离岗；</w:t>
      </w:r>
    </w:p>
    <w:p w14:paraId="1B348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重大校园活动期间：需按照用户要求，保证人员到岗数量与工作时长不低于工作日标准。</w:t>
      </w:r>
    </w:p>
    <w:p w14:paraId="593270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供应商或其委托的服务提供商须建立7×24小时应急维护体系，如遇重大网络问题，非工作时间内需1小时内到达采购人处理问题，供应商承担全部交通费用。</w:t>
      </w:r>
    </w:p>
    <w:p w14:paraId="175E41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1.5网络设备质保服务</w:t>
      </w:r>
    </w:p>
    <w:p w14:paraId="356B9C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服务对象中所有交换设备，包括有线、无线、一卡通网络，各级核心、汇聚、接入交换路由设备及相应电源、级联光缆、光模块等，均在此次质保范围之列；对于未出质保的交换设备，协助采购人与该设备厂家进行接洽和维保；对于已出质保的网络设备，具体质保要求如下：</w:t>
      </w:r>
    </w:p>
    <w:p w14:paraId="5E217A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（1）该质保范围内的网络设备如出现故障，供应商或其委托的服务提供商须提供备用设备，备用设备性能须不低于原有设备，并负责将出故障的设备送相关单位维修。</w:t>
      </w:r>
    </w:p>
    <w:p w14:paraId="45174C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针对校园网设备具体情况进行针对性安排，如出保时间较长的设备，故障率相对较高，对该区域应加强日常维护，并配备较多数量的备用设备及附属附件；对于部分区域设备有特殊要求，其备机性能不低于原有设备标准，服务期结束后，设备产权归成交供应商或其委托的服务提供商所有。</w:t>
      </w:r>
    </w:p>
    <w:p w14:paraId="6983C6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（3）供应商或其委托的服务提供商提供的备用设备</w:t>
      </w:r>
      <w:r>
        <w:rPr>
          <w:rFonts w:hint="eastAsia" w:ascii="宋体" w:hAnsi="宋体" w:cs="宋体"/>
          <w:b w:val="0"/>
          <w:bCs w:val="0"/>
          <w:color w:val="auto"/>
          <w:kern w:val="0"/>
          <w:sz w:val="24"/>
          <w:szCs w:val="24"/>
          <w:highlight w:val="none"/>
          <w:lang w:val="en-US" w:eastAsia="zh-CN" w:bidi="ar-SA"/>
        </w:rPr>
        <w:t>6</w:t>
      </w:r>
      <w:r>
        <w:rPr>
          <w:rFonts w:hint="eastAsia" w:ascii="宋体" w:hAnsi="宋体" w:eastAsia="宋体" w:cs="宋体"/>
          <w:b w:val="0"/>
          <w:bCs w:val="0"/>
          <w:color w:val="auto"/>
          <w:kern w:val="0"/>
          <w:sz w:val="24"/>
          <w:szCs w:val="24"/>
          <w:highlight w:val="none"/>
          <w:lang w:val="en-US" w:eastAsia="zh-CN" w:bidi="ar-SA"/>
        </w:rPr>
        <w:t>小时到达。</w:t>
      </w:r>
    </w:p>
    <w:p w14:paraId="409818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（4）供应商或其委托的服务提供商对故障设备的维修周期不高于15个工作日，若维修周期于15个工作日内不可修复，供应商或其委托的服务提供商应以书面方式通知采购人。设备维修费用由采购人支付。</w:t>
      </w:r>
    </w:p>
    <w:p w14:paraId="61DDEB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1.6维护服务责任要求</w:t>
      </w:r>
    </w:p>
    <w:p w14:paraId="5491DE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供应商或其委托的服务提供商须按照设备维护规程和采购人技术要求进行维护，确保天津师范大学校园网稳定安全运行，其具体责任如下：</w:t>
      </w:r>
    </w:p>
    <w:p w14:paraId="4DD12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成立专业化的运维队伍，在人员数量和质量上得到相应的保障，同时还须配备必要的维护工具，例如：光时域反射仪（OTDR）、光功率计、光纤熔接机、FLUKE系列网络测试及分析仪、维护用工器具、排水、发电设备等；另外，为了实现快速反应能力，还须配备必要的维护车辆与通讯手段。</w:t>
      </w:r>
    </w:p>
    <w:p w14:paraId="220E7D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供应商或其委托的服务提供商须做好日常和周期性的维护工作，建立健全各种技术文档资料。</w:t>
      </w:r>
    </w:p>
    <w:p w14:paraId="7367B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供应商或其委托的服务提供商须对校园网络故障应做到处理及时，上班时间或值班时间0.5小时人员到位，非上班或值班时间1.5小时人员到位。</w:t>
      </w:r>
    </w:p>
    <w:p w14:paraId="6496FF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供应商或其委托的服务提供商于每个当年维护年度的第12个起始月将当年的维护资料进行整理成册并提交采购人。</w:t>
      </w:r>
    </w:p>
    <w:p w14:paraId="2AA738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供应商或其委托的服务提供商须努力提高网络系统运行、维护质量，作好资料整理、护网宣传等日常性维护；对影响网络运行安全的外力影响点进行严格控制，采取具体措施，做到预防为主。</w:t>
      </w:r>
    </w:p>
    <w:p w14:paraId="6E0A2E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第三方事故等（如责任人施工、外力阻挠等因素）引起网络故障，如抢修时间受不确定因素影响，则由供应商或其委托的服务提供商通知采购人并会同双方相关人员及时向上级汇报协调解决。</w:t>
      </w:r>
    </w:p>
    <w:p w14:paraId="71D0BA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供应商或其委托的服务提供商须定期测试和评估，了解网络的运转状态，给出改进建议，确保校园网运行品质优良。</w:t>
      </w:r>
    </w:p>
    <w:p w14:paraId="58D034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由于实际原因，网络在需要断网施工、改造升级、割接并网时，供应商或其委托的服务提供商须立即向采购人汇报，制定网络割接方案，商定割接时间后方可进行割接工作，割接方案中应尽可能采取带电割接或通过迂回路由进行并网。</w:t>
      </w:r>
    </w:p>
    <w:p w14:paraId="6C273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须建立技术档案和技术资料，包括设备互联拓扑图、维护图、设备变更记录、障碍报告表、障碍登记表、月和年维修作业计划及完成情况表等，并于协议年底一并提交采购人并作为验收和结算依据。</w:t>
      </w:r>
    </w:p>
    <w:p w14:paraId="5C7E4C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供应商或其委托的服务提供商根据校园网维护情况，每周末向用户提交本周周报，汇报每周校园网运维情况。</w:t>
      </w:r>
    </w:p>
    <w:p w14:paraId="499877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供应商或其委托的服务提供商需配备维护校园网的必要设备配备及常用备品备件。（在服务期内使用的备件</w:t>
      </w:r>
      <w:r>
        <w:rPr>
          <w:rFonts w:hint="eastAsia" w:ascii="宋体" w:hAnsi="宋体" w:cs="宋体"/>
          <w:b w:val="0"/>
          <w:bCs w:val="0"/>
          <w:color w:val="auto"/>
          <w:kern w:val="0"/>
          <w:sz w:val="24"/>
          <w:szCs w:val="24"/>
          <w:highlight w:val="none"/>
          <w:lang w:val="en-US" w:eastAsia="zh-CN" w:bidi="ar-SA"/>
        </w:rPr>
        <w:t>使用权</w:t>
      </w:r>
      <w:r>
        <w:rPr>
          <w:rFonts w:hint="eastAsia" w:ascii="宋体" w:hAnsi="宋体" w:eastAsia="宋体" w:cs="宋体"/>
          <w:b w:val="0"/>
          <w:bCs w:val="0"/>
          <w:color w:val="auto"/>
          <w:kern w:val="0"/>
          <w:sz w:val="24"/>
          <w:szCs w:val="24"/>
          <w:highlight w:val="none"/>
          <w:lang w:val="en-US" w:eastAsia="zh-CN" w:bidi="ar-SA"/>
        </w:rPr>
        <w:t>归属于采购人）。</w:t>
      </w:r>
    </w:p>
    <w:p w14:paraId="4011ED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p>
    <w:p w14:paraId="6549E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2.原云平台维保服务</w:t>
      </w:r>
    </w:p>
    <w:p w14:paraId="65B4F7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2.1维保服务范围及时段</w:t>
      </w:r>
    </w:p>
    <w:p w14:paraId="1AB23C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原云平台包含10台华为刀片、2台DELL数据库服务器、4台NAS存储、16台浪潮X86服务器、虚拟化平台管理软件和容灾备份4台服务器等设备，管理着150台虚拟机和部分服务器，要求供应商或其委托的服务提供商提供云平台维保服务，服务期为一年，服务期内，供应商或其委托的服务提供商需提供7*24小时服务，通过公众号、小程序等工具，随时接受技术咨询和故障报修等，工程师通过通讯工具进行响应，然后根据采购人提出的服务请求类型，提供相应的支持服务，确保在接到故障申报后，第一时间（1小时内响应）提供电话支持服务。如远程无法解决问题，需提供24小时内的故障现场技术维护。项目中所有涉及费用，包括但不限于人工费、系统迁移费、硬件支出费用等均由供应商提供。</w:t>
      </w:r>
    </w:p>
    <w:p w14:paraId="217462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2.2维护服务内容</w:t>
      </w:r>
    </w:p>
    <w:p w14:paraId="6C74A055">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期内针对虚拟机集群和硬件设备，提供规范化的预防性维护，提高设备运行可靠性和稳定性。对存在问题及突发故障提供及时有效的技术支持、完善的解决方案和事后防范机制，降低故障对业务系统的影响，保证业务系统稳定运行，结合往年出现的故障修复次数，含硬件配件更换。</w:t>
      </w:r>
    </w:p>
    <w:p w14:paraId="1EF74B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①每月一次的设备和虚拟化集群健康检查。</w:t>
      </w:r>
    </w:p>
    <w:p w14:paraId="1B8152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②提供硬件设备和虚拟化集群运行分析、性能评估和配置调整服务，提高系统的可靠性、可用性和整体性能。</w:t>
      </w:r>
    </w:p>
    <w:p w14:paraId="669A33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③提供云平台资源使用量分析和趋势预测服务，以提高云平台运行的前瞻性。</w:t>
      </w:r>
    </w:p>
    <w:p w14:paraId="38E75D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提供系统故障记录分析（包括软件和硬件）和问题报告。建立维护服务档案，记录系统配置、维护记录等。</w:t>
      </w:r>
    </w:p>
    <w:p w14:paraId="2454C4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现场技术支持</w:t>
      </w:r>
    </w:p>
    <w:p w14:paraId="3762B4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云平台所涉及的安全设备、网络设备架构调整和性能优化；设备资源规划、环境搭建、磁盘空间划分等；服务器性能分析、参数调整等，含两台云主机配置调试。</w:t>
      </w:r>
    </w:p>
    <w:p w14:paraId="5F8CE0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硬件设备维修</w:t>
      </w:r>
    </w:p>
    <w:p w14:paraId="6B520A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服务期内设备硬件发生故障后，供应商或其委托的服务提供商需提供维修解决方案、维修备件明细，对故障设备进行备品备件维修更换并恢复设备正常运行，其中对突发故障须在2小时内进场维修，如硬件无法修复，须在7个工作日内提供与原有设备兼容的硬件备件，硬件备件产生的费用由采购人承担。</w:t>
      </w:r>
    </w:p>
    <w:p w14:paraId="6F9AC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云平台信息系统及数据迁移服务</w:t>
      </w:r>
    </w:p>
    <w:p w14:paraId="091416C7">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虚拟机运行状况，如需系统迁移，向采购人提出高效可行的虚拟机及数据迁移技术方案，并实施虚拟机向新云平台的迁移服务。提供重要业务系统虚拟机平滑迁移至新云平台。迁移期间，需开展相关业务系统的调试工作，保障云平台业务系统正常运行，根据采购人要求和实际情况，需迁移不超过16个应用系统，含各应用系统服务调试，且需与新云平台工程师联合设备调试。</w:t>
      </w:r>
    </w:p>
    <w:p w14:paraId="29DAB6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数据库服务器维保及重新部署服务</w:t>
      </w:r>
    </w:p>
    <w:p w14:paraId="492CA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对核心数据库服务器进行维保，根据数据库服务器运行状况，向采购人提出高效可行的数据库迁移技术方案，并协助实施，含数据库服务器双机热备，NAS存储阵列两台。</w:t>
      </w:r>
    </w:p>
    <w:p w14:paraId="4EA70F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p>
    <w:p w14:paraId="157710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3.UPS主机维保服务</w:t>
      </w:r>
    </w:p>
    <w:p w14:paraId="730D25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3.1设备日常巡检维护</w:t>
      </w:r>
    </w:p>
    <w:p w14:paraId="132E2C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针对机房UPS系统，供应商或其委托的服务提供商安排工程师巡检频次为每3月1次，全年不低于4次定期巡检。</w:t>
      </w:r>
    </w:p>
    <w:p w14:paraId="281F74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常规检查中，供应商或其委托的服务提供商主要检查机房UPS系统运行参数、日志，及时更换易耗品，定期进行维护清理，排查可能存在的安全隐患，并现场予以解决；无法及时解决的，提出解决方案和预计修复时间，每次巡检完毕，填写相应服务报告，由双方签字确认，各自留档备查。</w:t>
      </w:r>
    </w:p>
    <w:p w14:paraId="33CC90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3.2日常技术支持</w:t>
      </w:r>
    </w:p>
    <w:p w14:paraId="678667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提供7*24小时免费热线服务，随时接受技术咨询和故障报修等，热线工程师通过服务热线进行响应，然后根据维护提出的服务请求类型，提供相应的支持服务，确保在接到故障申报后，第一时间（5分钟内响应）提供电话支持服务。</w:t>
      </w:r>
    </w:p>
    <w:p w14:paraId="0E2D3D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3.3遇故障时的维修</w:t>
      </w:r>
    </w:p>
    <w:p w14:paraId="473856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工程技术人员将服务重点放在预检预修。除正常巡检外，对突发性故障，接到采购人说明故障的通知（电话、传真、邮件等）后，5分钟内做出响应，并在电话指导不能解决的情况下，立即确定故障。</w:t>
      </w:r>
    </w:p>
    <w:p w14:paraId="17A279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对于不影响运行的一般故障，供应商或其委托的服务提供商需在2小时内到达现场；</w:t>
      </w:r>
    </w:p>
    <w:p w14:paraId="52C41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对于不影响业务的预约服务（如系统功能、安装配置咨询等），供应商或其委托的服务提供商需在3小时内到达现场，若不能到达现场应向采购人说明原因并提供故障解决方案；</w:t>
      </w:r>
    </w:p>
    <w:p w14:paraId="0C8FA6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对于严重故障（如旁路、停机等）供应商或其委托的服务提供商需1小时内赶到现场，对于故障备件，需在3小时内得到更换，供应商安排工程师在排除故障并正常运行1小时后方可离开。</w:t>
      </w:r>
    </w:p>
    <w:p w14:paraId="5FF877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3.4备品备件支持</w:t>
      </w:r>
    </w:p>
    <w:p w14:paraId="1E61E6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供应商或其委托的服务提供商需在采购人机房UPS系统现场提供常用备品备件，包含但不限于风扇、电容、整流器、逆变器、通讯板、控制板、蓄电池等，每季度提供清单备查。</w:t>
      </w:r>
    </w:p>
    <w:p w14:paraId="0E6318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在采购人UPS系统出现配件故障后，经双方协商，供应商或其委托的服务提供商在24小时内更换损坏配件，缩短等待备件和维修时间，降低UPS故障引起的损失。更换设备及配品配件费用由供应商全部承担。</w:t>
      </w:r>
    </w:p>
    <w:p w14:paraId="53A8AA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3.5机房UPS系统巡检维护服务</w:t>
      </w:r>
    </w:p>
    <w:p w14:paraId="434B61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3.5.1 UPS主机：</w:t>
      </w:r>
    </w:p>
    <w:p w14:paraId="75D6F1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测UPS主机工作状态（输入\输出电压、电流、频率，在线运行情况、有无频繁切换现象，逆变情况和充电情况等有无异常）；检查UPS主机的运行日志，查看近期UPS事件，判断主机的运行状况；检查UPS的操作面板按键操作功能；设置参数是否正确；测试UPS静态旁路工作状态；测量维修旁路空开的三路电压均一一对应，闭合维修旁路空开将UPS的状态切换到外部旁路运行状态。(如果配备维修旁路)。</w:t>
      </w:r>
    </w:p>
    <w:p w14:paraId="5C4F2B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检查UPS负载是否过载，包含整体负载和分路负载量，重点是分路负载的均衡。从UPS LCD上读取输入输出电流信息，比较三相负载是否平衡。并使用电流表从市电输入端、UPS输出端分别测量实际电流值是否与UPS显示相符。如果有较大出入就要检测UPS的TSM模块、输出滤波板、主控板、SSW、交流电容等部件是否存在故障。</w:t>
      </w:r>
    </w:p>
    <w:p w14:paraId="354E1C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查UPS每一相、每一路负载的数量和种类，并做好记录。检测是否带有感性负载或大功率负载设备对单路输出造成大电流冲击，预防输出空开因突发性超空开安全范围大电流冲击而造成保护性闭合，或者对整个UPS系统造成冲击导致UPS系统的超载。</w:t>
      </w:r>
    </w:p>
    <w:p w14:paraId="5DE3EE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3.5.2 配电系统：</w:t>
      </w:r>
    </w:p>
    <w:p w14:paraId="0DCC40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查UPS的电缆：市电输入、输出，检查有无线径过细、过热、老化、变形、氧化。进行线缆电流检测，如电流超过线缆正常允许负荷，建议并协助采购人尽快更换符合标准的电缆。对市电输入、输出电缆做整理保持线缆走线安全。</w:t>
      </w:r>
    </w:p>
    <w:p w14:paraId="52AF05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检查UPS电池组的内部、外部连接电缆，检查有无过热、老化、变形、氧化，线径是否符合原厂的安全使用标准。如不符合，建议并协助采购人尽快更换符合标准的电缆，进行电缆的规范整理。</w:t>
      </w:r>
    </w:p>
    <w:p w14:paraId="7A960D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使用红外热像仪对输入、输出、电池系统的空开进行检测，如有局部热点，查找原因并进行解决。</w:t>
      </w:r>
    </w:p>
    <w:p w14:paraId="73EDB1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检查机房清洁程度，测量和记录机房内环境温度。</w:t>
      </w:r>
    </w:p>
    <w:p w14:paraId="067179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3.5.3 蓄电池系统：</w:t>
      </w:r>
    </w:p>
    <w:p w14:paraId="22DC7C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使用专业检测仪器逐个对电池内阻、温度和电压进行在线检测，做详细记录并与上一次的检测情况做全面比对和分析——由于电池性能存在正常衰竭和损耗，如果电池组的衰竭超出正常范围可以及时安排新电池更换，防止电池组出现意外事故。</w:t>
      </w:r>
    </w:p>
    <w:p w14:paraId="0036D6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逐个检查电池的连接端子，连接端子与电池线的牢固程度，防止连接端子安装松动；导致接触电阻过大，从而使端子的温升过大，引起电池端子熔化或更大的事故。检查连接处有无松动、腐蚀现象；检查电池外观是否完好，有无外观变型和渗漏、有无发热痕迹。</w:t>
      </w:r>
    </w:p>
    <w:p w14:paraId="13DADD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若长时间没有停电，巡检时做UPS放电测试，放电幅度为电池容量的30%-50%，以防极板氧化。</w:t>
      </w:r>
    </w:p>
    <w:p w14:paraId="735B88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放电时要求UPS正常带载，负载的安全性就显得尤为重要。安全放电就要掌握全部电池的使用情况，并在放电过程中随时检测整个电池组的电压波动情况，以防止在放电过程中电池突然断电而造成负载系统的突然断电。电池的温度对电池的使用寿命有很大的影响，所以应注意UPS电池的使用环境温度，保证环境温度在20-25度左右，如果温度过高就要加装空调或通风设备，以保障电池正常的使用环境。</w:t>
      </w:r>
    </w:p>
    <w:p w14:paraId="23FF7F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4.负载均衡设备维保服务</w:t>
      </w:r>
    </w:p>
    <w:p w14:paraId="35C708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负载均衡设备售后服务时间为期一年。</w:t>
      </w:r>
    </w:p>
    <w:p w14:paraId="07BCDB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保服务包含对采购人现有设备（生产厂商：启明星辰，系统：天清应用交付控制系统V7.0，型号：ADC6001）热线支持、硬件产品维修、产品库升级授权服务等。在此期间，提供7*24小时，365天全年无休的在线技术支撑，就产品的使用、技术及出现的问题等进行解答和处理；工程师通过服务热线进行响应，然后根据采购人提出的服务请求类型，提供相应的支持服务。</w:t>
      </w:r>
    </w:p>
    <w:p w14:paraId="0DEA10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4.1 故障排查服务</w:t>
      </w:r>
    </w:p>
    <w:p w14:paraId="1849CC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在接到采购人的电话通知后，应立即组织技术人员配合用户网络管理团队人员分析故障原因，提出应急措施，并安排相关技术人员到现场。</w:t>
      </w:r>
    </w:p>
    <w:p w14:paraId="0E7CDE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4.2 维修要求</w:t>
      </w:r>
    </w:p>
    <w:p w14:paraId="3692A8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对于在维保期内损坏的设备，提供返厂维修服务。</w:t>
      </w:r>
    </w:p>
    <w:p w14:paraId="0E9FAE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4.3 远程技术支持</w:t>
      </w:r>
    </w:p>
    <w:p w14:paraId="19C902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7×24全天候热线支持进行故障报修或提出技术支持请求，热线工程师通过服务热线进行响应，然后根据维护提出的服务请求类型，提供相应的支持服务，确保在接到故障申报后，第一时间（0.5小时内响应）提供电话支持服务，8小时给出解决方案。</w:t>
      </w:r>
    </w:p>
    <w:p w14:paraId="6F8214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4.4 现场服务支持</w:t>
      </w:r>
    </w:p>
    <w:p w14:paraId="40A5FA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如远程无法解决问题，需提供24小时内的故障现场技术维护。</w:t>
      </w:r>
    </w:p>
    <w:p w14:paraId="0934B5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4.5 故障处理后的工作</w:t>
      </w:r>
    </w:p>
    <w:p w14:paraId="46DEE7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故障处理完毕3个工作日内，提供《故障分析报告》和《故障处理报告》，详细说明故障原因、处理过程、解决办法、预防措施等关键内容。</w:t>
      </w:r>
    </w:p>
    <w:p w14:paraId="323509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5.流控设备维保服务</w:t>
      </w:r>
    </w:p>
    <w:p w14:paraId="355F2E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5.1 流控设备维保服务</w:t>
      </w:r>
    </w:p>
    <w:p w14:paraId="3CE7B0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时间为期一年，在此服务期间提供7*24小时远程服务，每个季度提供安全巡检服务，重要检查期间进行人工巡检服务；随时接受技术咨询和故障报修等，工程师通过服务热线进行响应，然后根据采购人提出的服务请求类型，提供相应的支持服务，确保在接到故障申报后，第一时间（1小时内响应）提供电话或远程支持服务。出现紧急情况时24小时内提供上门服务。</w:t>
      </w:r>
    </w:p>
    <w:p w14:paraId="5AEB53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5.2 流控流量控制服务</w:t>
      </w:r>
    </w:p>
    <w:p w14:paraId="11DB5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5.2.1 控制对象服务</w:t>
      </w:r>
    </w:p>
    <w:p w14:paraId="3C0038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支持基于全局、链路、数据流向、共享用户、移动终端、应用协议/协议组和IP/IP群组的速率控制。</w:t>
      </w:r>
    </w:p>
    <w:p w14:paraId="7DF92D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5.2.2 控制粒度服务</w:t>
      </w:r>
    </w:p>
    <w:p w14:paraId="2996AD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支持单条策略总控限速，可分别设置总控带宽。</w:t>
      </w:r>
    </w:p>
    <w:p w14:paraId="19889B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支持单条策略单IP限速，可分别设置单IP带宽。</w:t>
      </w:r>
    </w:p>
    <w:p w14:paraId="2F2D6C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支持带宽控制颗粒度50 kbs（精细化控制限速颗粒度可达到1kbps）。</w:t>
      </w:r>
    </w:p>
    <w:p w14:paraId="36AA56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5.2.3 控制条件服务</w:t>
      </w:r>
    </w:p>
    <w:p w14:paraId="0C5072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支持基于IP五元组的流量控制。</w:t>
      </w:r>
    </w:p>
    <w:p w14:paraId="3BE430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支持基于VLAN的流量控制。</w:t>
      </w:r>
    </w:p>
    <w:p w14:paraId="010007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支持基于会话首包的流量控制方式。</w:t>
      </w:r>
    </w:p>
    <w:p w14:paraId="565F98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支持基于应用协议和应用协议群组的流量控制。</w:t>
      </w:r>
    </w:p>
    <w:p w14:paraId="16FFDD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支持基于域名的流量控制。</w:t>
      </w:r>
    </w:p>
    <w:p w14:paraId="78E626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支持基于AD域账号/用户组的流量控制。</w:t>
      </w:r>
    </w:p>
    <w:p w14:paraId="06A37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支持基于对象库的流量控制。</w:t>
      </w:r>
    </w:p>
    <w:p w14:paraId="68DC58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支持流量控制基于当日流量配额上限的控制。</w:t>
      </w:r>
    </w:p>
    <w:p w14:paraId="5B3D5A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支持基于线路、数据流向、内网地址、外网地址、传输协议、应用协议、内网端口、外网端口、IP优先级等条件进行流量控制。</w:t>
      </w:r>
    </w:p>
    <w:p w14:paraId="3128C4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支持基于策略对数据包的IP优先级（0-6，七个优先级）标记 。</w:t>
      </w:r>
    </w:p>
    <w:p w14:paraId="4F3917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支持基于时间在线IP数调度流量控制策略。</w:t>
      </w:r>
    </w:p>
    <w:p w14:paraId="25F7BF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"支持检测并控制网关“一拖N”行为功能。</w:t>
      </w:r>
    </w:p>
    <w:p w14:paraId="7FB438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基于7层协议特征检测网关后面的私有IP地址信息，并能以“共享IP数”如“共享用户超过3人”为触发条件，对宿主IP进行两大类控制动作：流量控制和HTTP管控"。</w:t>
      </w:r>
    </w:p>
    <w:p w14:paraId="2DB6DE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支持同时基于应用协议和IP地址的优先级调度功能。</w:t>
      </w:r>
    </w:p>
    <w:p w14:paraId="3288F4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"数据通道支持“子通道优先级”功能。</w:t>
      </w:r>
    </w:p>
    <w:p w14:paraId="743548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每个数据通道中均可设置多个优先级为1-16的“带宽保证”类的子通道，保证类子通道所配置的带宽，用时自动占用，不用则自动释放，真正达到基于应用层（应用协议）的“按需占用、无需干预、智能带宽” （向下支持网络层基于IP）"。</w:t>
      </w:r>
    </w:p>
    <w:p w14:paraId="468AB6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支持“动态IP限速”功能（智能调控）， 可在启用此功能的链路中，针对单个IP设置“加速比”、“减速比”、“速度维持时间”等参数，百分比模式设置。</w:t>
      </w:r>
    </w:p>
    <w:p w14:paraId="37123D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支持设置“带宽使用阈值”功能，可对具体链路设置“带宽使用下限”和“带宽使用上限”，百分比模式设置。</w:t>
      </w:r>
    </w:p>
    <w:p w14:paraId="2575F9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支持根据内网用户MAC做控制（IP或MAC做备注，选择用户组/地址池），表项最大支持2048。</w:t>
      </w:r>
    </w:p>
    <w:p w14:paraId="316E47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支持对多个策略组进行调度，多个策略组可以同时生效。</w:t>
      </w:r>
    </w:p>
    <w:p w14:paraId="5CB4C4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支持策略嵌套，在同一条策略中，既可以针对特定对象(IP或应用)进行总的数据通道控制，也可以单IP限速，同时可并列匹配“DSCP标记”等参数，实现策略的高度灵活性和简洁性。</w:t>
      </w:r>
    </w:p>
    <w:p w14:paraId="0FBBC4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支持两级策略匹配，先匹配策略组，后匹配策略，实现策略的高度灵活性、高效率，方便维护。</w:t>
      </w:r>
    </w:p>
    <w:p w14:paraId="74F6F3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支持多条策略的一键“启用”、“禁用”和“删除”功能。</w:t>
      </w:r>
    </w:p>
    <w:p w14:paraId="41FC18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5.2.4 流量控制服务</w:t>
      </w:r>
    </w:p>
    <w:p w14:paraId="67FB1B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支持流量阻断控制。</w:t>
      </w:r>
    </w:p>
    <w:p w14:paraId="5AD558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支持流量限速控制。</w:t>
      </w:r>
    </w:p>
    <w:p w14:paraId="4E1ACE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支持URL和DNS流量重定向控制。</w:t>
      </w:r>
    </w:p>
    <w:p w14:paraId="2C0428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提供控制速率前后对比。</w:t>
      </w:r>
    </w:p>
    <w:p w14:paraId="06F0E4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5.2.5 IP黑名单服务</w:t>
      </w:r>
    </w:p>
    <w:p w14:paraId="68614E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支持单独的IP黑名单设置，阻断其连接，IP黑名单也可以批量进行导入。</w:t>
      </w:r>
    </w:p>
    <w:p w14:paraId="143CEA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支持对IP黑名单内成员设置控制时长，到期后自动放行。</w:t>
      </w:r>
    </w:p>
    <w:p w14:paraId="5D0965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5.3智能控制功能</w:t>
      </w:r>
    </w:p>
    <w:p w14:paraId="7A7CC5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5.3.1 连接数控制服务</w:t>
      </w:r>
    </w:p>
    <w:p w14:paraId="50EBF7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基于应用协议/协议组，支持针对内网每IP的TCP、UDP和总并发连接数控制。</w:t>
      </w:r>
    </w:p>
    <w:p w14:paraId="47524B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支持限制内网IP到外网特定目标地址的每IP的TCP、UDP和总的应用并发连接数控制。</w:t>
      </w:r>
    </w:p>
    <w:p w14:paraId="673529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可根据数据链路、VLAN、外网地址、内网地址和应用协议/协议组、内网端口、外网端口等参数制定连接数控制策略。</w:t>
      </w:r>
    </w:p>
    <w:p w14:paraId="64E40D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支持针对“DNS连接”的控制/不控制选项。</w:t>
      </w:r>
    </w:p>
    <w:p w14:paraId="1B7C42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支持针对“DNS连接”的控制时，被拒绝的连接可以在在指定时间内被释放。</w:t>
      </w:r>
    </w:p>
    <w:p w14:paraId="1FDDD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可根据时间和在线IP数等参数启用相应策略。</w:t>
      </w:r>
    </w:p>
    <w:p w14:paraId="3646CA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可设置内网IP最大并发连接数，超过这个阈值的连接不再创建。</w:t>
      </w:r>
    </w:p>
    <w:p w14:paraId="74871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5.3.2 HTTP管控服务</w:t>
      </w:r>
    </w:p>
    <w:p w14:paraId="0F531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支持HTTP协议的URL管控。</w:t>
      </w:r>
    </w:p>
    <w:p w14:paraId="73F872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支持HTTPS协议的SNI（域名）管控。</w:t>
      </w:r>
    </w:p>
    <w:p w14:paraId="46B708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支持IPv4和IPv6流量下的HTTP管控。</w:t>
      </w:r>
    </w:p>
    <w:p w14:paraId="1C9383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串接模式下，支持URL重定向。</w:t>
      </w:r>
    </w:p>
    <w:p w14:paraId="2D1541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旁路模式下，支持URL重定向。</w:t>
      </w:r>
    </w:p>
    <w:p w14:paraId="6241C5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支持Web信息提示。</w:t>
      </w:r>
    </w:p>
    <w:p w14:paraId="5007A3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支持（HTTP方式）文件类型的访问控制， 控制用户通过HTTP方式访问或下载.exe、 .rmvb、 .mp3等类型的文件。</w:t>
      </w:r>
    </w:p>
    <w:p w14:paraId="2F98E5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支持根据内网IP、文件类型、访问方法(GET或POST)和目标URL等参数设置控制策略。</w:t>
      </w:r>
    </w:p>
    <w:p w14:paraId="7922A6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可根据时间和在线IP数等参数启用相应策略。</w:t>
      </w:r>
    </w:p>
    <w:p w14:paraId="530D25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执行阻断、URL重定向、TCP重置等管控时，支持记录并发送命中日志，内容包括：MAC地址、源IP、源端口、目标IP、目标端口、访问域名、执行动作、新域名（如果为跳转）。</w:t>
      </w:r>
    </w:p>
    <w:p w14:paraId="43118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支持策略“启用”和禁用功能。</w:t>
      </w:r>
    </w:p>
    <w:p w14:paraId="0B56FF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5.3.3 智能DNS控制服务</w:t>
      </w:r>
    </w:p>
    <w:p w14:paraId="15F1B4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可根据源IP、目标IP、访问域名、所在线路等组合条件实现对域名访问的控制。</w:t>
      </w:r>
    </w:p>
    <w:p w14:paraId="4859DB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域名控制方式支持阻断、劫持和重定向和QPS限制。</w:t>
      </w:r>
    </w:p>
    <w:p w14:paraId="3A68E1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可以对DNS QPS做限制，可以在一条策略里做总限制，同时对单IP再做一个子项限制。</w:t>
      </w:r>
    </w:p>
    <w:p w14:paraId="5CE14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可根据源IP、目标IP、访问域名、所在线路等组合条件实现对域名访问的QPS速率做总量控制和单IP控制。</w:t>
      </w:r>
    </w:p>
    <w:p w14:paraId="292BE3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支持DNS QPS策略前后趋势图，可以显示一天，一周和一月趋势。</w:t>
      </w:r>
    </w:p>
    <w:p w14:paraId="46E727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支持策略“启用”和禁用功能。</w:t>
      </w:r>
    </w:p>
    <w:p w14:paraId="15BC5A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5.3.4 移动终端识别与控制服务</w:t>
      </w:r>
    </w:p>
    <w:p w14:paraId="22BCBA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自动对移动终端型号进行识别，不依赖特征库。</w:t>
      </w:r>
    </w:p>
    <w:p w14:paraId="61AFAC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移动终端信息统计，如访问IP、首次访问时间、最近访问时间。</w:t>
      </w:r>
    </w:p>
    <w:p w14:paraId="6070A3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对移动设备的网络访问进行控制和管理。</w:t>
      </w:r>
    </w:p>
    <w:p w14:paraId="65CE54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支持黑名单，当误识别时，将时别错误的终端类型放入黑名单，避免误识别。</w:t>
      </w:r>
    </w:p>
    <w:p w14:paraId="06D75B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5.3.5共享检测服务</w:t>
      </w:r>
    </w:p>
    <w:p w14:paraId="34C479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能够及时检测通过路由共享上网的PC个数。</w:t>
      </w:r>
    </w:p>
    <w:p w14:paraId="4382C4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支持禁止二级路由功能，可设置白名单，白名单中的IP不受限制。</w:t>
      </w:r>
    </w:p>
    <w:p w14:paraId="0B61FA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可以根据PC终端个数做条件，对流量做控制。</w:t>
      </w:r>
    </w:p>
    <w:p w14:paraId="4DA9A8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可以根据QQ号，微信ID，邮箱等信息作为共享判断依据，并对流量做控制。</w:t>
      </w:r>
    </w:p>
    <w:p w14:paraId="0862D3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5.4业务质量测量服务</w:t>
      </w:r>
    </w:p>
    <w:p w14:paraId="5608A6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支持分析流量中每一条会话，进行基于应用级的质量测量。</w:t>
      </w:r>
    </w:p>
    <w:p w14:paraId="1772A1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支持对每条会话监测客户时延，服务时延，应用时延的指标测量。</w:t>
      </w:r>
    </w:p>
    <w:p w14:paraId="095036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（设备到客户端的网络时延），服务时延（设备到服务器的网络时延），应用时延（会话上下行首包时间差），最大包长（会话上下行最大包的长度）。</w:t>
      </w:r>
    </w:p>
    <w:p w14:paraId="10DA1F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支持每IP用户的实时连接应用的质量监测。</w:t>
      </w:r>
    </w:p>
    <w:p w14:paraId="2D1A67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支持每IP用户对端服务应用的质量监测。</w:t>
      </w:r>
    </w:p>
    <w:p w14:paraId="151C56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支持基于五元组进行业务质量分析。</w:t>
      </w:r>
    </w:p>
    <w:p w14:paraId="4446C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支持基于应用进行业务质量分析。</w:t>
      </w:r>
    </w:p>
    <w:p w14:paraId="21EFC0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支持基于域名进行业务质量分析。</w:t>
      </w:r>
    </w:p>
    <w:p w14:paraId="1689F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5.5 流量镜像服务</w:t>
      </w:r>
    </w:p>
    <w:p w14:paraId="54961D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5.5.1本地流量镜像服务</w:t>
      </w:r>
    </w:p>
    <w:p w14:paraId="22FB90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支持基于IP五元组、VLAN的流量镜像。</w:t>
      </w:r>
    </w:p>
    <w:p w14:paraId="5C86E8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支持基于应用协议的流量镜像。</w:t>
      </w:r>
    </w:p>
    <w:p w14:paraId="71708A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支持基于协议群组的流量镜像。</w:t>
      </w:r>
    </w:p>
    <w:p w14:paraId="7B010A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支持基于域名和URL的流量镜像。</w:t>
      </w:r>
    </w:p>
    <w:p w14:paraId="41B9F8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支持端口镜像只镜像会话前N个包功能。</w:t>
      </w:r>
    </w:p>
    <w:p w14:paraId="64C9ED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支持基于时间的流量镜像调度。</w:t>
      </w:r>
    </w:p>
    <w:p w14:paraId="090C1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5.5.2远程流量镜像服务</w:t>
      </w:r>
    </w:p>
    <w:p w14:paraId="497008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支持将镜像流量指定到SD-WAN线路封装和转发到指定的目的地。</w:t>
      </w:r>
    </w:p>
    <w:p w14:paraId="4E93FB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支持基于IP五元组、VLAN的流量镜像。</w:t>
      </w:r>
    </w:p>
    <w:p w14:paraId="1E0947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支持基于协议群组的流量镜像。</w:t>
      </w:r>
    </w:p>
    <w:p w14:paraId="6569AE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支持基于域名和URL的流量镜像。</w:t>
      </w:r>
    </w:p>
    <w:p w14:paraId="0874D2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支持端口镜像只镜像会话前N个包功能。</w:t>
      </w:r>
    </w:p>
    <w:p w14:paraId="17E07C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支持基于时间的流量镜像调度。</w:t>
      </w:r>
    </w:p>
    <w:p w14:paraId="14D1D7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5.5.3应用分流服务</w:t>
      </w:r>
    </w:p>
    <w:p w14:paraId="61E432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流量按流量调度策略筛选后，支持将筛选后流量进行多出口复制，最多可达到15份无性能消耗的流量复制。</w:t>
      </w:r>
    </w:p>
    <w:p w14:paraId="1937ED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可提供“应用分流”前后的速率对比。</w:t>
      </w:r>
    </w:p>
    <w:p w14:paraId="33F350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5.6 提供威胁情报服务</w:t>
      </w:r>
    </w:p>
    <w:p w14:paraId="6AE83E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在校园网中基于DPI技术，以及结合精确的协议识别规则库，对校园网会话进行应用特征识别、行为模式识别，并输出存储记录。</w:t>
      </w:r>
    </w:p>
    <w:p w14:paraId="56D9A2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配置实现 HTTP管控：通过HTTP管控，对校内用户访问非法域名和IP地址进行阻断。</w:t>
      </w:r>
    </w:p>
    <w:p w14:paraId="57221C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配置实现DNS管控：丢弃到非法域名的DNS解析，避免校内DNS对这些非法域名的递归解析。</w:t>
      </w:r>
    </w:p>
    <w:p w14:paraId="3CEBCA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威胁情报服务包含但不限于数字货币、C&amp;C节点、APT攻击、网站后门、钓鱼网址、僵尸网络等16类威胁情报，支持查询命中情报规则的详细会话，包括会话发起时间、源IP/目标IP、请求域名、源/目标地理位置、传输协议、应用协议、情报类型、账号备注等信息，对于命中情报规则的会话，支持查看会话日志分析内容，可实现快递查询实现溯源到内网的主机信息，包含ip五元组信息，时间、上下行流量、连接数、账号信息（账号需要认证数据）等信息，根据溯源信息，可以通过有效方式的对主机/服务器进行杀毒。</w:t>
      </w:r>
    </w:p>
    <w:p w14:paraId="47622B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6.异常流量检测系统维保服务</w:t>
      </w:r>
    </w:p>
    <w:p w14:paraId="711F2C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异常流量检测系统售后服务时间为期一年。</w:t>
      </w:r>
    </w:p>
    <w:p w14:paraId="3A2EBE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保服务包含对采购人现有设备（生产厂商：启明星辰，系统：天清ADM异常流量检测系统，型号：ADM-Detector）热线支持、硬件产品维修等。在此期间，提供7*24小时，365天全年无休的在线技术支撑，就产品的使用、技术及出现的问题等进行解答和处理；工程师通过服务热线进行响应，然后根据采购人提出的服务请求类型，提供相应的支持服务。</w:t>
      </w:r>
    </w:p>
    <w:p w14:paraId="340D94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6.1 故障排查服务</w:t>
      </w:r>
    </w:p>
    <w:p w14:paraId="5680E5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在接到采购人的电话通知后，应立即组织技术人员配合用户网络管理团队人员分析故障原因，提出应急措施，并安排相关技术人员到现场。</w:t>
      </w:r>
    </w:p>
    <w:p w14:paraId="7742CA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6.2 维修要求</w:t>
      </w:r>
    </w:p>
    <w:p w14:paraId="4AB6DC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对于在维保期内损坏的设备，提供返厂维修服务。</w:t>
      </w:r>
    </w:p>
    <w:p w14:paraId="4E510E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6.3 远程技术支持</w:t>
      </w:r>
    </w:p>
    <w:p w14:paraId="046579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7×24全天候热线支持进行故障报修或提出技术支持请求，热线工程师通过服务热线进行响应，然后根据维护提出的服务请求类型，提供相应的支持服务，确保在接到故障申报后，第一时间（0.5小时内响应）提供电话支持服务，8小时给出解决方案。</w:t>
      </w:r>
    </w:p>
    <w:p w14:paraId="596427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6.4 现场服务支持</w:t>
      </w:r>
    </w:p>
    <w:p w14:paraId="500484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如远程无法解决问题，需提供24小时内的故障现场技术维护。</w:t>
      </w:r>
    </w:p>
    <w:p w14:paraId="5A2CD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6.5 故障处理后的工作</w:t>
      </w:r>
    </w:p>
    <w:p w14:paraId="7E98E5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故障处理完毕3个工作日内，提供《故障分析报告》和《故障处理报告》，详细说明故障原因、处理过程、解决办法、预防措施等关键内容。</w:t>
      </w:r>
    </w:p>
    <w:p w14:paraId="2C1E76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cs="宋体"/>
          <w:b w:val="0"/>
          <w:bCs w:val="0"/>
          <w:color w:val="auto"/>
          <w:kern w:val="0"/>
          <w:sz w:val="24"/>
          <w:szCs w:val="24"/>
          <w:highlight w:val="none"/>
          <w:lang w:val="en-US" w:eastAsia="zh-CN" w:bidi="ar-SA"/>
        </w:rPr>
        <w:t>7</w:t>
      </w:r>
      <w:r>
        <w:rPr>
          <w:rFonts w:hint="eastAsia" w:ascii="宋体" w:hAnsi="宋体" w:eastAsia="宋体" w:cs="宋体"/>
          <w:b w:val="0"/>
          <w:bCs w:val="0"/>
          <w:color w:val="auto"/>
          <w:kern w:val="0"/>
          <w:sz w:val="24"/>
          <w:szCs w:val="24"/>
          <w:highlight w:val="none"/>
          <w:lang w:val="en-US" w:eastAsia="zh-CN" w:bidi="ar-SA"/>
        </w:rPr>
        <w:t>.边界防火墙维保</w:t>
      </w:r>
    </w:p>
    <w:p w14:paraId="3270B8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防火墙设备售后服务时间为期一年。</w:t>
      </w:r>
    </w:p>
    <w:p w14:paraId="55BC58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维保服务包含对采购人现有设备（生产厂商：网御星云，系统：网御安全网关系统v3.0(万兆)，型号：PowerV6000-F5510）热线支持、硬件产品维修、产品库升级授权服务等。在此期间，提供7*24小时，365天全年无休的在线技术支撑，就产品的使用、技术及出现的问题等进行解答和处理；工程师通过服务热线进行响应，然后根据需方提出的服务请求类型，提供相应的支持服务。</w:t>
      </w:r>
    </w:p>
    <w:p w14:paraId="7064D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（1）故障排查服务</w:t>
      </w:r>
    </w:p>
    <w:p w14:paraId="378ECD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在接到用户的电话通知后，应立即组织技术人员配合用户网络管理团队人员分析故障原因，提出应急措施，并安排相关技术人员到现场。</w:t>
      </w:r>
    </w:p>
    <w:p w14:paraId="179612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（2）维修要求</w:t>
      </w:r>
    </w:p>
    <w:p w14:paraId="0D73F8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对于在维保期内损坏的设备，提供返厂维修服务,产生的维修服务费用由服务供应商承担。</w:t>
      </w:r>
    </w:p>
    <w:p w14:paraId="7CF80A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（3）远程技术支持</w:t>
      </w:r>
    </w:p>
    <w:p w14:paraId="1C898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提供7×24全天候热线支持进行故障报修或提出技术支持请求，热线工程师通过服务热线进行响应，然后根据维护提出的服务请求类型，提供相应的支持服务，确保在接到故障申报后，第一时间（0.5小时内响应）提供电话支持服务，8小时给出解决方案。</w:t>
      </w:r>
    </w:p>
    <w:p w14:paraId="60EE57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（4）现场服务支持</w:t>
      </w:r>
    </w:p>
    <w:p w14:paraId="79523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如远程无法解决问题，需提供24小时内的故障现场技术维护。</w:t>
      </w:r>
    </w:p>
    <w:p w14:paraId="2F6F90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（5）故障处理后的工作</w:t>
      </w:r>
    </w:p>
    <w:p w14:paraId="401F6A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故障处理完毕2个工作日内，提供《故障分析报告》和《故障处理报告》，详细说明故障原因、处理过程、解决办法、预防措施等关键内容。</w:t>
      </w:r>
    </w:p>
    <w:p w14:paraId="2B389661">
      <w:pPr>
        <w:spacing w:line="360" w:lineRule="auto"/>
        <w:ind w:firstLine="480" w:firstLineChars="200"/>
        <w:outlineLvl w:val="0"/>
        <w:rPr>
          <w:color w:val="auto"/>
          <w:sz w:val="24"/>
          <w:highlight w:val="none"/>
        </w:rPr>
      </w:pPr>
    </w:p>
    <w:p w14:paraId="41ED2A96">
      <w:pPr>
        <w:spacing w:line="360" w:lineRule="auto"/>
        <w:ind w:firstLine="480" w:firstLineChars="200"/>
        <w:outlineLvl w:val="0"/>
        <w:rPr>
          <w:color w:val="auto"/>
          <w:sz w:val="24"/>
          <w:highlight w:val="none"/>
        </w:rPr>
      </w:pPr>
    </w:p>
    <w:p w14:paraId="6F2AB324">
      <w:pPr>
        <w:pStyle w:val="29"/>
        <w:spacing w:line="360" w:lineRule="auto"/>
        <w:jc w:val="both"/>
        <w:rPr>
          <w:rFonts w:ascii="Times New Roman" w:hAnsi="Times New Roman" w:eastAsia="宋体" w:cs="Times New Roman"/>
          <w:color w:val="auto"/>
          <w:kern w:val="2"/>
          <w:highlight w:val="none"/>
        </w:rPr>
      </w:pPr>
    </w:p>
    <w:p w14:paraId="6115CCD5">
      <w:pPr>
        <w:spacing w:line="360" w:lineRule="auto"/>
        <w:ind w:firstLine="480" w:firstLineChars="200"/>
        <w:jc w:val="left"/>
        <w:rPr>
          <w:color w:val="auto"/>
          <w:sz w:val="24"/>
          <w:highlight w:val="none"/>
        </w:rPr>
      </w:pPr>
    </w:p>
    <w:p w14:paraId="2F3F8FF0">
      <w:pPr>
        <w:pStyle w:val="11"/>
        <w:rPr>
          <w:rFonts w:ascii="Times New Roman" w:hAnsi="Times New Roman"/>
          <w:color w:val="auto"/>
          <w:highlight w:val="none"/>
          <w:lang w:val="en-US"/>
        </w:rPr>
        <w:sectPr>
          <w:headerReference r:id="rId6" w:type="default"/>
          <w:pgSz w:w="11906" w:h="16838"/>
          <w:pgMar w:top="1440" w:right="1800" w:bottom="1440" w:left="1800" w:header="851" w:footer="992" w:gutter="0"/>
          <w:cols w:space="720" w:num="1"/>
          <w:docGrid w:type="lines" w:linePitch="312" w:charSpace="0"/>
        </w:sectPr>
      </w:pPr>
    </w:p>
    <w:p w14:paraId="3D734436">
      <w:pPr>
        <w:pStyle w:val="11"/>
        <w:rPr>
          <w:rFonts w:ascii="Times New Roman" w:hAnsi="Times New Roman"/>
          <w:color w:val="auto"/>
          <w:highlight w:val="none"/>
        </w:rPr>
      </w:pPr>
      <w:r>
        <w:rPr>
          <w:rFonts w:ascii="Times New Roman" w:hAnsi="Times New Roman"/>
          <w:color w:val="auto"/>
          <w:highlight w:val="none"/>
        </w:rPr>
        <w:t>第三部分  供应商须知</w:t>
      </w:r>
      <w:bookmarkEnd w:id="1"/>
    </w:p>
    <w:p w14:paraId="53E87C7A">
      <w:pPr>
        <w:pStyle w:val="29"/>
        <w:spacing w:line="360" w:lineRule="auto"/>
        <w:jc w:val="center"/>
        <w:rPr>
          <w:rFonts w:ascii="Times New Roman" w:hAnsi="Times New Roman" w:eastAsia="宋体" w:cs="Times New Roman"/>
          <w:color w:val="auto"/>
          <w:highlight w:val="none"/>
        </w:rPr>
      </w:pPr>
      <w:bookmarkStart w:id="7" w:name="_Toc411426751"/>
    </w:p>
    <w:p w14:paraId="42C497CE">
      <w:pPr>
        <w:pStyle w:val="29"/>
        <w:spacing w:line="360" w:lineRule="auto"/>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A  说明</w:t>
      </w:r>
    </w:p>
    <w:p w14:paraId="7E2575C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概述</w:t>
      </w:r>
    </w:p>
    <w:p w14:paraId="2C7E6215">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 根据《中华人民共和国政府采购法》、《中华人民共和国政府采购法实施条例》等有关法律、法规和规章的规定，本采购项目已具备竞争性磋商条件。</w:t>
      </w:r>
    </w:p>
    <w:p w14:paraId="787155F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 本竞争性磋商文件仅适用于磋商邀请函中所叙述项目货物和服务的采购。</w:t>
      </w:r>
    </w:p>
    <w:p w14:paraId="50A85A40">
      <w:pPr>
        <w:pStyle w:val="29"/>
        <w:adjustRightInd/>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 参与磋商活动的所有各方，对在参与磋商过程中获悉的国家、商业和技术秘密以及其它依法应当保密的内容，均负有保密义务，违者应对由此造成的后果承担全部法律责任。</w:t>
      </w:r>
    </w:p>
    <w:p w14:paraId="0EDA74A7">
      <w:pPr>
        <w:pStyle w:val="29"/>
        <w:adjustRightInd/>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定义</w:t>
      </w:r>
    </w:p>
    <w:p w14:paraId="797D967A">
      <w:pPr>
        <w:pStyle w:val="29"/>
        <w:adjustRightInd/>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 “采购人”系指本次磋商活动的采购单位。“采购代理机构”系指组织本次磋商活动的机构，即“天津市政府采购中心”。</w:t>
      </w:r>
    </w:p>
    <w:p w14:paraId="79C8D1F2">
      <w:pPr>
        <w:pStyle w:val="29"/>
        <w:adjustRightInd/>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 “投标人”系指向采购代理机构提交响应文件的供应商。</w:t>
      </w:r>
    </w:p>
    <w:p w14:paraId="0E2B006B">
      <w:pPr>
        <w:pStyle w:val="29"/>
        <w:adjustRightInd/>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r>
        <w:rPr>
          <w:rFonts w:ascii="Times New Roman" w:hAnsi="Times New Roman" w:eastAsia="宋体" w:cs="Times New Roman"/>
          <w:color w:val="auto"/>
          <w:highlight w:val="none"/>
        </w:rPr>
        <w:t>3. “服务”系指按本竞争性磋商文件规定供应商须承担的相关服务和竞争性磋商文件中规定供应商应承担的相关义务。</w:t>
      </w:r>
    </w:p>
    <w:p w14:paraId="1F21BAB5">
      <w:pPr>
        <w:pStyle w:val="29"/>
        <w:adjustRightInd/>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解释权</w:t>
      </w:r>
    </w:p>
    <w:p w14:paraId="09CDCD10">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 本次磋商的最终解释权归为采购人、采购代理机构。</w:t>
      </w:r>
    </w:p>
    <w:p w14:paraId="3FFCA3A5">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3.2 本文件未作须知明示，而又有相关法律、法规规定的，采购人、采购代理机构将对此解释为依据有关法律、法规的规定。</w:t>
      </w:r>
    </w:p>
    <w:p w14:paraId="4F331AA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合格的投标人</w:t>
      </w:r>
    </w:p>
    <w:p w14:paraId="50BD7B3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 符合《中华人民共和国政府采购法》第二十二条供应商参加政府采购活动应当具备的条件及其他有关法律、法规关于供应商的有关规定，有能力提供磋商采购货物及服务的供应商。</w:t>
      </w:r>
    </w:p>
    <w:p w14:paraId="1A1B3470">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 符合《磋商邀请函》中关于供应商资格要求（实质性要求）的规定。</w:t>
      </w:r>
    </w:p>
    <w:p w14:paraId="29804351">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4.3 关于联合体参与磋商</w:t>
      </w:r>
    </w:p>
    <w:p w14:paraId="5257D453">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《磋商邀请函》接受联合体参与磋商的：</w:t>
      </w:r>
    </w:p>
    <w:p w14:paraId="096E6635">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（1）两个以上的自然人、法人或者其他组织可以组成一个联合体，以一个供应商的身份共同参加政府采购。</w:t>
      </w:r>
    </w:p>
    <w:p w14:paraId="0318A944">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69809336">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color w:val="auto"/>
          <w:highlight w:val="none"/>
        </w:rPr>
        <w:t>不得再以自己名义单独在</w:t>
      </w:r>
      <w:r>
        <w:rPr>
          <w:rFonts w:hint="eastAsia" w:ascii="Times New Roman" w:hAnsi="Times New Roman" w:eastAsia="宋体" w:cs="Times New Roman"/>
          <w:color w:val="auto"/>
          <w:highlight w:val="none"/>
        </w:rPr>
        <w:t>同一合同项下</w:t>
      </w:r>
      <w:r>
        <w:rPr>
          <w:rFonts w:ascii="Times New Roman" w:hAnsi="Times New Roman" w:eastAsia="宋体" w:cs="Times New Roman"/>
          <w:color w:val="auto"/>
          <w:highlight w:val="none"/>
        </w:rPr>
        <w:t>投标，也不得组成新的联合体参加同一</w:t>
      </w:r>
      <w:r>
        <w:rPr>
          <w:rFonts w:hint="eastAsia" w:ascii="Times New Roman" w:hAnsi="Times New Roman" w:eastAsia="宋体" w:cs="Times New Roman"/>
          <w:color w:val="auto"/>
          <w:highlight w:val="none"/>
        </w:rPr>
        <w:t>合同</w:t>
      </w:r>
      <w:r>
        <w:rPr>
          <w:rFonts w:ascii="Times New Roman" w:hAnsi="Times New Roman" w:eastAsia="宋体" w:cs="Times New Roman"/>
          <w:color w:val="auto"/>
          <w:highlight w:val="none"/>
        </w:rPr>
        <w:t>项下的投标。</w:t>
      </w:r>
    </w:p>
    <w:p w14:paraId="7B72129F">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hint="eastAsia" w:ascii="宋体" w:hAnsi="宋体" w:eastAsia="宋体" w:cs="Times New Roman"/>
          <w:color w:val="auto"/>
          <w:highlight w:val="none"/>
        </w:rPr>
        <w:t>下载竞争性磋商文件时，应以联合体协议中确定的主体方名义下载。</w:t>
      </w:r>
    </w:p>
    <w:p w14:paraId="5683849B">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（5）联合体参与磋商的，应以主体方名义提交投标保证金（如有），对联合体各方均具有约束力。</w:t>
      </w:r>
    </w:p>
    <w:p w14:paraId="51F9673D">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246A34D4">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cs="Times New Roman"/>
          <w:color w:val="auto"/>
          <w:highlight w:val="none"/>
        </w:rPr>
        <w:t>（7）联合体中任意一方为中小企业的，该方应提供《中小企业声明函》。</w:t>
      </w:r>
    </w:p>
    <w:p w14:paraId="5E9ABAC1">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（8）联合体各方应当共同与采购人签订采购合同，就采购合同约定的事项对采购人承担连带责任。</w:t>
      </w:r>
    </w:p>
    <w:p w14:paraId="1DE748FF">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4.4 关于关联企业</w:t>
      </w:r>
    </w:p>
    <w:p w14:paraId="210C5AF6">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除联合体外，法定代表人或单位负责人为同一个人或者存在直接控股、管理关系的不同供应商，</w:t>
      </w:r>
      <w:r>
        <w:rPr>
          <w:rFonts w:ascii="Times New Roman" w:hAnsi="Times New Roman" w:eastAsia="宋体" w:cs="Times New Roman"/>
          <w:color w:val="auto"/>
          <w:highlight w:val="none"/>
        </w:rPr>
        <w:t>不得同时参加同一</w:t>
      </w:r>
      <w:r>
        <w:rPr>
          <w:rFonts w:hint="eastAsia" w:ascii="Times New Roman" w:hAnsi="Times New Roman" w:eastAsia="宋体" w:cs="Times New Roman"/>
          <w:color w:val="auto"/>
          <w:highlight w:val="none"/>
        </w:rPr>
        <w:t>合同</w:t>
      </w:r>
      <w:r>
        <w:rPr>
          <w:rFonts w:ascii="Times New Roman" w:hAnsi="Times New Roman" w:eastAsia="宋体" w:cs="Times New Roman"/>
          <w:color w:val="auto"/>
          <w:highlight w:val="none"/>
        </w:rPr>
        <w:t>项下的投标</w:t>
      </w:r>
      <w:r>
        <w:rPr>
          <w:rFonts w:hint="eastAsia" w:ascii="Times New Roman" w:hAnsi="Times New Roman" w:eastAsia="宋体" w:cs="Times New Roman"/>
          <w:color w:val="auto"/>
          <w:highlight w:val="none"/>
        </w:rPr>
        <w:t>。如同时参加，则评审时将同时被拒绝。</w:t>
      </w:r>
    </w:p>
    <w:p w14:paraId="65C2BD68">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4.5 关于分公司参与磋商</w:t>
      </w:r>
    </w:p>
    <w:p w14:paraId="7E6608C1">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2313CE0">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4.6 关于提供前期服务的供应商</w:t>
      </w:r>
    </w:p>
    <w:p w14:paraId="3BC54EAC">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为采购项目提供整体设计、规范编制或者项目管理、监理、检测等服务的供应商，不得再参加该采购项目的其他采购活动。</w:t>
      </w:r>
    </w:p>
    <w:p w14:paraId="15D59BDF">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4.7 关于中小微企业参与磋商</w:t>
      </w:r>
    </w:p>
    <w:p w14:paraId="1CF66D03">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中小微企业是指符合《政府采购促进中小企业发展管理办法》（财库[2020]46号）规定的供应商。中小微企业参与磋商应提供《中小企业声明函》。</w:t>
      </w:r>
    </w:p>
    <w:p w14:paraId="2D03F69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A44ADE4">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color w:val="auto"/>
          <w:szCs w:val="21"/>
          <w:highlight w:val="none"/>
        </w:rPr>
        <w:t>根据《财政部 民政部 中国残疾人联合会关于促进残疾人就业政府采购政策的通知》（财库〔2017〕141号）的规定，残疾人福利性单位视同为小型、微型企业。</w:t>
      </w:r>
    </w:p>
    <w:p w14:paraId="555DC50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 合格的货物和相关服务</w:t>
      </w:r>
    </w:p>
    <w:p w14:paraId="486090D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1074F52C">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5.2 除《磋商项目需求》有特殊规定外，投标人提供的货物应当是全新的、未使用过的，货物和相关服务应当符合竞争性磋商文件的要求，并且其质量完全符合国家标准、行业标准或地方标准。</w:t>
      </w:r>
    </w:p>
    <w:p w14:paraId="507B5492">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 投标人应当说明投标货物的来源地，如投标的货物非投标人生产或制造的，则交货时有义务提供其从合法途径获得该货物的相关证明。</w:t>
      </w:r>
    </w:p>
    <w:p w14:paraId="1CAD6E90">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5.4 系统软件、通用软件必须是具有在中国境内的合法使用权或版权的正版软件，涉及到第三方提出侵权或知识产权的起诉及支付版税等费用由投标人承担所有责任及费用。</w:t>
      </w:r>
    </w:p>
    <w:p w14:paraId="6B90EA7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6. 投标费用</w:t>
      </w:r>
    </w:p>
    <w:p w14:paraId="221E8A6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无论投标过程中的做法和结果如何，投标人自行承担所有与参加磋商有关的费用。</w:t>
      </w:r>
    </w:p>
    <w:p w14:paraId="27DC09C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7. 信息发布</w:t>
      </w:r>
    </w:p>
    <w:p w14:paraId="050C3AA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highlight w:val="none"/>
        </w:rPr>
        <w:t>天津市政府采购网（http://tjgp.cz.tj.gov.cn）</w:t>
      </w:r>
      <w:r>
        <w:rPr>
          <w:rFonts w:hint="eastAsia" w:ascii="Times New Roman" w:hAnsi="Times New Roman" w:eastAsia="宋体" w:cs="Times New Roman"/>
          <w:color w:val="auto"/>
          <w:highlight w:val="none"/>
        </w:rPr>
        <w:t>”和“</w:t>
      </w:r>
      <w:r>
        <w:rPr>
          <w:rFonts w:ascii="Times New Roman" w:hAnsi="Times New Roman" w:eastAsia="宋体" w:cs="Times New Roman"/>
          <w:color w:val="auto"/>
          <w:highlight w:val="none"/>
        </w:rPr>
        <w:t>天津市政府采购</w:t>
      </w:r>
      <w:r>
        <w:rPr>
          <w:rFonts w:hint="eastAsia" w:ascii="Times New Roman" w:hAnsi="Times New Roman" w:eastAsia="宋体" w:cs="Times New Roman"/>
          <w:color w:val="auto"/>
          <w:highlight w:val="none"/>
        </w:rPr>
        <w:t>中心</w:t>
      </w:r>
      <w:r>
        <w:rPr>
          <w:rFonts w:ascii="Times New Roman" w:hAnsi="Times New Roman" w:eastAsia="宋体" w:cs="Times New Roman"/>
          <w:color w:val="auto"/>
          <w:highlight w:val="none"/>
        </w:rPr>
        <w:t>网（http://tjgpc.zwfwb.tj.gov.cn）</w:t>
      </w:r>
      <w:r>
        <w:rPr>
          <w:rFonts w:hint="eastAsia" w:ascii="Times New Roman" w:hAnsi="Times New Roman" w:eastAsia="宋体" w:cs="Times New Roman"/>
          <w:color w:val="auto"/>
          <w:highlight w:val="none"/>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highlight w:val="none"/>
        </w:rPr>
        <w:t>承担由此可能产生的风险。</w:t>
      </w:r>
    </w:p>
    <w:p w14:paraId="3FD0A20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 询问与质疑</w:t>
      </w:r>
    </w:p>
    <w:p w14:paraId="4ED037E8">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42312703">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 询问</w:t>
      </w:r>
    </w:p>
    <w:p w14:paraId="12D9C67D">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（1）询问可以采取电话、当面或书面等形式。</w:t>
      </w:r>
    </w:p>
    <w:p w14:paraId="44F8E46C">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（2）采购人应当自收到供应商询问之日起3个工作日内作出答复，但答复的内容不得涉及商业秘密或者依法应当保密的内容。</w:t>
      </w:r>
    </w:p>
    <w:p w14:paraId="41615862">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8.3 质疑</w:t>
      </w:r>
    </w:p>
    <w:p w14:paraId="1463678A">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（1）提出质疑的供应商应当是参与所质疑项目采购活动的供应商。</w:t>
      </w:r>
    </w:p>
    <w:p w14:paraId="3B2D7ADD">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02D9C29D">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针对采购结果的质疑，供应商可通过天津市政府采购中心招投标系统“质疑”模块在线提出。</w:t>
      </w:r>
    </w:p>
    <w:p w14:paraId="294BA4E9">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787B0542">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01DFB78">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8.4 针对询问或质疑的答复内容需要修改采购文件的，其修改内容应当以天津市政府采购网发布的更正公告为准。</w:t>
      </w:r>
    </w:p>
    <w:p w14:paraId="548125E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9. 其他</w:t>
      </w:r>
    </w:p>
    <w:p w14:paraId="0A26172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本《供应商须知》的条款如与《磋商邀请函》、《磋商项目需求》就同一内容的表述不一致的，以《磋商邀请函》、《磋商项目需求》中规定的内容为准。</w:t>
      </w:r>
    </w:p>
    <w:p w14:paraId="487AB91B">
      <w:pPr>
        <w:pStyle w:val="29"/>
        <w:spacing w:line="360" w:lineRule="auto"/>
        <w:ind w:firstLine="480" w:firstLineChars="200"/>
        <w:jc w:val="both"/>
        <w:rPr>
          <w:rFonts w:ascii="Times New Roman" w:hAnsi="Times New Roman" w:eastAsia="宋体" w:cs="Times New Roman"/>
          <w:color w:val="auto"/>
          <w:highlight w:val="none"/>
        </w:rPr>
      </w:pPr>
    </w:p>
    <w:p w14:paraId="4BFEA1AF">
      <w:pPr>
        <w:pStyle w:val="29"/>
        <w:spacing w:line="360" w:lineRule="auto"/>
        <w:ind w:firstLine="480" w:firstLineChars="200"/>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B  竞争性磋商文件</w:t>
      </w:r>
    </w:p>
    <w:p w14:paraId="68EECF4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 竞争性磋商文件的构成</w:t>
      </w:r>
    </w:p>
    <w:p w14:paraId="65694ED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10.1 竞争性磋商文件由下述部分组成：</w:t>
      </w:r>
    </w:p>
    <w:p w14:paraId="058D47AF">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（1）磋商邀请函；</w:t>
      </w:r>
    </w:p>
    <w:p w14:paraId="5E1C6705">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（2）磋商项目要求；</w:t>
      </w:r>
    </w:p>
    <w:p w14:paraId="68E9DEA7">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（3）供应商须知；</w:t>
      </w:r>
    </w:p>
    <w:p w14:paraId="5C91D8B0">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（4）合同草案；</w:t>
      </w:r>
    </w:p>
    <w:p w14:paraId="0F41299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（5）响应文件格式；</w:t>
      </w:r>
    </w:p>
    <w:p w14:paraId="13FF9392">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（6）竞争性磋商文件的更正公告内容（如有）。</w:t>
      </w:r>
    </w:p>
    <w:p w14:paraId="3FB0C74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10.2 除非有特殊要求，竞争性磋商文件不单独提供磋商项目使用地的自然环境、气候条件、公用设施等情况，投标人被视为熟悉上述与履行合同有关的一切情况。</w:t>
      </w:r>
    </w:p>
    <w:p w14:paraId="354009A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10.3 《磋商项目需求》加注“★”号条款为实质性技术条款，不得出现负偏离，发生负偏离即做无效标处理。</w:t>
      </w:r>
    </w:p>
    <w:p w14:paraId="0D540FF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10.4 竞争性磋商文件中涉及的参照品牌、型号仅起说明作用，并没有任何限制性，投标人在投标中可以选用其他替代品牌或型号，但这些替代要实质上优于或相当于磋商要求。</w:t>
      </w:r>
    </w:p>
    <w:p w14:paraId="018E103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10.5 除竞争性磋商文件另有规定外，竞争性磋商文件中要求的每一项产品只允许一种产品投标，每一项产品的采购数量不允许变更。</w:t>
      </w:r>
    </w:p>
    <w:p w14:paraId="4B4E738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 竞争性磋商文件的澄清和修改</w:t>
      </w:r>
    </w:p>
    <w:p w14:paraId="1BC9FD3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 提交首次响应文件截止之日前，采购人、采购代理机构需要对磋商文件进行补充或修改的，采购人、采购代理机构将会通过“天津市政府采购网”、“天津市政府采购中心网”以更正公告形式发布。</w:t>
      </w:r>
    </w:p>
    <w:p w14:paraId="7E489212">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1CF5CA8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5946ED1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 更正公告的内容为竞争性磋商文件的组成部分。当竞争性磋商文件与更正公告就同一内容的表述不一致时，以最后发出的更正公告内容为准。</w:t>
      </w:r>
    </w:p>
    <w:p w14:paraId="64747C7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BA44A3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 答疑会和踏勘现场</w:t>
      </w:r>
    </w:p>
    <w:p w14:paraId="53BB6A60">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 采购人、采购代理机构召开答疑会的，所有投标人应按《磋商邀请函》规定的时间、地点参加答疑会。投标人如不参加，其风险由投标人自行承担，采购人、采购代理机构不承担任何责任。</w:t>
      </w:r>
    </w:p>
    <w:p w14:paraId="42301EC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 采购人、采购代理机构组织踏勘现场的，所有投标人按《磋商邀请函》规定的时间、地点参加踏勘现场活动。投标人如不参加，其风险由投标人自行承担，采购人、采购代理机构不承担任何责任。</w:t>
      </w:r>
    </w:p>
    <w:p w14:paraId="6D12807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6E7BF802">
      <w:pPr>
        <w:pStyle w:val="29"/>
        <w:spacing w:line="360" w:lineRule="auto"/>
        <w:ind w:firstLine="480" w:firstLineChars="200"/>
        <w:jc w:val="both"/>
        <w:rPr>
          <w:rFonts w:ascii="Times New Roman" w:hAnsi="Times New Roman" w:eastAsia="宋体" w:cs="Times New Roman"/>
          <w:color w:val="auto"/>
          <w:highlight w:val="none"/>
        </w:rPr>
      </w:pPr>
    </w:p>
    <w:p w14:paraId="132F1EDE">
      <w:pPr>
        <w:pStyle w:val="29"/>
        <w:spacing w:line="360" w:lineRule="auto"/>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C  响应文件的编制</w:t>
      </w:r>
    </w:p>
    <w:p w14:paraId="26B5B6D5">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 要求</w:t>
      </w:r>
    </w:p>
    <w:p w14:paraId="3CB747E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77669F6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13.2 投标人应根据磋商项目需求和响应文件格式编制响应文件，保证其真实有效，并承担相应的法律责任。</w:t>
      </w:r>
    </w:p>
    <w:p w14:paraId="5B85C797">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E94E2A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 投标语言及计量单位</w:t>
      </w:r>
    </w:p>
    <w:p w14:paraId="551C48B7">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7C849FE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14.2 除竞争性磋商文件中另有规定外，响应文件所使用的计量单位均应使用中华人民共和国法定计量单位。</w:t>
      </w:r>
    </w:p>
    <w:p w14:paraId="5A8BB4C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 响应文件格式</w:t>
      </w:r>
    </w:p>
    <w:p w14:paraId="4789810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 投标人应按竞争性磋商文件第五部分提供的响应文件格式完整填写。因不按要求编制而引起系统无法检索、读取相关信息时，其后果由投标人自行承担。</w:t>
      </w:r>
    </w:p>
    <w:p w14:paraId="095E03B8">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 投标人可对本竞争性磋商文件“磋商项目要求”所列的所有货物进行投标，也可只对其中一包或几包的货物投标；若无特殊说明，每一包的内容不得分项投标，原则上按照整包确定成交供应商。</w:t>
      </w:r>
    </w:p>
    <w:p w14:paraId="020CFC6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15.3 如投标多个包的，要求按包分别独立制作响应文件。</w:t>
      </w:r>
    </w:p>
    <w:p w14:paraId="5C23C34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15.4 响应文件（包括封面和目录）的每一页，从封面开始按阿拉伯数字1、2、3</w:t>
      </w:r>
      <w:r>
        <w:rPr>
          <w:rFonts w:hint="eastAsia" w:ascii="宋体" w:hAnsi="宋体" w:eastAsia="宋体" w:cs="Times New Roman"/>
          <w:color w:val="auto"/>
          <w:highlight w:val="none"/>
        </w:rPr>
        <w:t>…</w:t>
      </w:r>
      <w:r>
        <w:rPr>
          <w:rFonts w:hint="eastAsia" w:ascii="Times New Roman" w:hAnsi="Times New Roman" w:eastAsia="宋体" w:cs="Times New Roman"/>
          <w:color w:val="auto"/>
          <w:highlight w:val="none"/>
        </w:rPr>
        <w:t>顺序编制页码。</w:t>
      </w:r>
    </w:p>
    <w:p w14:paraId="3F892EB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16. 响应文件的组成</w:t>
      </w:r>
    </w:p>
    <w:p w14:paraId="01F0191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16.1 按照《磋商邀请函》规定的时间分别上传加盖电子签章的两阶段电子响应文件。</w:t>
      </w:r>
    </w:p>
    <w:p w14:paraId="0CA27D2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 报价</w:t>
      </w:r>
    </w:p>
    <w:p w14:paraId="3E09543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17.1 报价书、报价分项一览表等各表中的报价，若无特殊说明应采用人民币填报。</w:t>
      </w:r>
    </w:p>
    <w:p w14:paraId="010704C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17.2 报价是</w:t>
      </w:r>
      <w:r>
        <w:rPr>
          <w:rFonts w:hint="eastAsia"/>
          <w:color w:val="auto"/>
          <w:highlight w:val="none"/>
        </w:rPr>
        <w:t>为完成竞争性磋商文件规定的一切工作所需的全部费用的最终优惠价格。</w:t>
      </w:r>
    </w:p>
    <w:p w14:paraId="5BB42F4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17.3 除《磋商项目需求》中说明并允许外，投标的每一个货物、服务的单项报价以及采购项目的投标总价均只允许有一个报价，任何有选择的报价，采购人、采购代理机构均将予以拒绝。</w:t>
      </w:r>
    </w:p>
    <w:p w14:paraId="2D77576C">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18. 投标人资格证明文件</w:t>
      </w:r>
    </w:p>
    <w:p w14:paraId="71C251A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投标人必须提交证明其有资格进行投标和有能力履行合同的文件，作为响应文件的一部分。</w:t>
      </w:r>
    </w:p>
    <w:p w14:paraId="2E3F1F1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（1）《磋商邀请函》中规定的供应商资格要求（实质性要求）证明文件；</w:t>
      </w:r>
    </w:p>
    <w:p w14:paraId="65D18102">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（2）若国家及行业对投标项目有特殊资格要求的，还须提供特殊资格证明文件；</w:t>
      </w:r>
    </w:p>
    <w:p w14:paraId="4459DF9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（3）涉及本须知中“4. 合格的投标人”相关要求的，按其要求执行。</w:t>
      </w:r>
    </w:p>
    <w:p w14:paraId="67A280E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 技术响应文件</w:t>
      </w:r>
    </w:p>
    <w:p w14:paraId="3F1A7B3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19.1 投标人须提交证明其拟供货物符合竞争性磋商文件规定的技术响应文件，作为响应文件的一部分。</w:t>
      </w:r>
    </w:p>
    <w:p w14:paraId="09A72D1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19.2 上述文件可以是文字资料、图纸或数据，并须提供：</w:t>
      </w:r>
    </w:p>
    <w:p w14:paraId="7CD4B9D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（1）货物主要技术性能的详细描述；</w:t>
      </w:r>
    </w:p>
    <w:p w14:paraId="1965E9D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（2）保证货物从采购人开始使用至竞争性磋商文件规定的保修期内正常和连续运转期间所需要的所有备件和专用工具的详细清单，包括其现行价格和供货来源资料；</w:t>
      </w:r>
    </w:p>
    <w:p w14:paraId="345CC99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5465B0C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7FEF4AA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 投标保证金</w:t>
      </w:r>
    </w:p>
    <w:p w14:paraId="3BF27D1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20.1 按照《磋商项目需求》要求执行。</w:t>
      </w:r>
    </w:p>
    <w:p w14:paraId="61833E2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20.2 符合《政府采购法实施条例》和《政府采购竞争性磋商采购方式管理暂行办法》相关规定。</w:t>
      </w:r>
    </w:p>
    <w:p w14:paraId="35EC315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 磋商有效期</w:t>
      </w:r>
    </w:p>
    <w:p w14:paraId="79911862">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21.1 磋商有效期为响应文件开启之日起60天。响应书中规定的有效期短于竞争性磋商文件规定的，其投标将被拒绝。</w:t>
      </w:r>
    </w:p>
    <w:p w14:paraId="5B3BED8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2A2BB870">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 响应文件的签署及规定</w:t>
      </w:r>
    </w:p>
    <w:p w14:paraId="4562F82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22.1 响应文件应按《磋商项目需求》和《响应文件格式》如实编写，未尽事宜可自行补充。响应文件内容不完整、格式不符合导致响应文件被误读、漏读或者查找不到相关内容的，投标人自行承担由此产生的风险。</w:t>
      </w:r>
    </w:p>
    <w:p w14:paraId="5920EB8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22.2 投标人按照《磋商邀请函》的要求提交网上应答并分别</w:t>
      </w:r>
      <w:r>
        <w:rPr>
          <w:rFonts w:hint="eastAsia" w:ascii="Times New Roman" w:hAnsi="Times New Roman" w:cs="Times New Roman" w:eastAsiaTheme="minorEastAsia"/>
          <w:color w:val="auto"/>
          <w:szCs w:val="32"/>
          <w:highlight w:val="none"/>
        </w:rPr>
        <w:t>上传加盖电子签章的第一、第二阶段电子响应文件</w:t>
      </w:r>
      <w:r>
        <w:rPr>
          <w:rFonts w:hint="eastAsia" w:ascii="Times New Roman" w:hAnsi="Times New Roman" w:eastAsia="宋体" w:cs="Times New Roman"/>
          <w:color w:val="auto"/>
          <w:highlight w:val="none"/>
        </w:rPr>
        <w:t>（以通过天津公共资源电子签章客户端正确读取签章信息为准）。加盖电子签章的电子响应文件应与网上应答填报内容一致。</w:t>
      </w:r>
    </w:p>
    <w:p w14:paraId="0761C5F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22.3 响应文件因模糊不清或表达不清所引起的后果由投标人自负。</w:t>
      </w:r>
    </w:p>
    <w:p w14:paraId="3BE5ECFC">
      <w:pPr>
        <w:pStyle w:val="29"/>
        <w:spacing w:line="360" w:lineRule="auto"/>
        <w:jc w:val="center"/>
        <w:rPr>
          <w:rFonts w:ascii="Times New Roman" w:hAnsi="Times New Roman" w:eastAsia="宋体" w:cs="Times New Roman"/>
          <w:color w:val="auto"/>
          <w:highlight w:val="none"/>
        </w:rPr>
      </w:pPr>
    </w:p>
    <w:p w14:paraId="54685D65">
      <w:pPr>
        <w:pStyle w:val="29"/>
        <w:spacing w:line="360" w:lineRule="auto"/>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D  响应文件的网上应答和提交</w:t>
      </w:r>
    </w:p>
    <w:p w14:paraId="5E0B7F6B">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highlight w:val="none"/>
        </w:rPr>
        <w:t>登录</w:t>
      </w:r>
      <w:r>
        <w:rPr>
          <w:rFonts w:hint="eastAsia" w:ascii="Times New Roman" w:hAnsi="Times New Roman" w:eastAsia="宋体" w:cs="Times New Roman"/>
          <w:color w:val="auto"/>
          <w:highlight w:val="none"/>
        </w:rPr>
        <w:t>天津市政府采购中心网（网址：http://tjgpc.zwfwb.tj.gov.cn）-”网上招投标”-“供应商登录”-“市级集采机构入口”，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79号天津市政府采购中心窗口完成应答上传提交。</w:t>
      </w:r>
    </w:p>
    <w:p w14:paraId="4AF7943E">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 制作和上传电子响应文件要求</w:t>
      </w:r>
    </w:p>
    <w:p w14:paraId="459A4495">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24.1 投标人须下载天津市政府采购中心网-下载中心-《天津公共资源电子签章客户端安装包及使用说明》。</w:t>
      </w:r>
    </w:p>
    <w:p w14:paraId="61CDD7D4">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637053B8">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特别提醒：</w:t>
      </w:r>
    </w:p>
    <w:p w14:paraId="63CE34AA">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1A59E928">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39E1E8AE">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24.3 投标人应保证电子响应文件清晰，便于识别，如因上传、扫描、格式等原因导致评审时受到影响，由投标人自行承担相应责任。</w:t>
      </w:r>
    </w:p>
    <w:p w14:paraId="1D8ACC10">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24.4 未按规定提交网上应答和上传加盖电子签章的电子响应文件的投标将被拒绝。</w:t>
      </w:r>
    </w:p>
    <w:p w14:paraId="5C420EEE">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 投标人须承诺接受电子投标的方式，并自行承担由此带来的废标、无效投标的风险。</w:t>
      </w:r>
    </w:p>
    <w:p w14:paraId="235197AA">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26. 未按竞争性磋商文件的规定提交网上应答和上传加盖投标人电子签章的电子响应文件（以通过天津公共资源电子签章客户端正确读取签章信息为准）的投标将被拒绝。</w:t>
      </w:r>
    </w:p>
    <w:p w14:paraId="4276C4E0">
      <w:pPr>
        <w:pStyle w:val="29"/>
        <w:spacing w:line="360" w:lineRule="auto"/>
        <w:ind w:firstLine="480" w:firstLineChars="200"/>
        <w:jc w:val="both"/>
        <w:rPr>
          <w:rFonts w:ascii="Times New Roman" w:hAnsi="Times New Roman" w:eastAsia="宋体" w:cs="Times New Roman"/>
          <w:color w:val="auto"/>
          <w:highlight w:val="none"/>
        </w:rPr>
      </w:pPr>
    </w:p>
    <w:p w14:paraId="6364EC65">
      <w:pPr>
        <w:pStyle w:val="29"/>
        <w:spacing w:line="360" w:lineRule="auto"/>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E  磋商程序</w:t>
      </w:r>
    </w:p>
    <w:p w14:paraId="10519BB4">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27. </w:t>
      </w:r>
      <w:r>
        <w:rPr>
          <w:rFonts w:hint="eastAsia" w:ascii="Times New Roman" w:hAnsi="Times New Roman" w:eastAsia="宋体" w:cs="Times New Roman"/>
          <w:color w:val="auto"/>
          <w:highlight w:val="none"/>
        </w:rPr>
        <w:t>磋商步骤</w:t>
      </w:r>
    </w:p>
    <w:p w14:paraId="43E269F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highlight w:val="none"/>
        </w:rPr>
        <w:t xml:space="preserve">27.1 </w:t>
      </w:r>
      <w:r>
        <w:rPr>
          <w:rFonts w:hint="eastAsia" w:ascii="Times New Roman" w:hAnsi="Times New Roman" w:eastAsia="宋体" w:cs="Times New Roman"/>
          <w:color w:val="auto"/>
          <w:highlight w:val="none"/>
        </w:rPr>
        <w:t>第一步：磋商小组对响应文件的有效性、完整性和响应程度进行审查。审查时，可以要求供应商对响应文件中</w:t>
      </w:r>
      <w:r>
        <w:rPr>
          <w:rFonts w:hint="eastAsia" w:ascii="Times New Roman" w:hAnsi="Times New Roman" w:eastAsia="宋体" w:cs="Times New Roman"/>
          <w:color w:val="auto"/>
        </w:rPr>
        <w:t>含义不明确、同类问题表述不一致或者有明显文字和计算错误的内容等做出必要的澄清、说明或者更正。供应商的澄清、说明或者更正不得超出响应文件的范围或者改变响应文件的实质性内容。</w:t>
      </w:r>
    </w:p>
    <w:p w14:paraId="6593337A">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764BDAE2">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59A7D2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46516D9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04852FB4">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0146E77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502F24B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7301235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7566410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130DCA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72519D7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4FEC2FE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59FCC19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7D53443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09F0D12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43A0324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4BFE83C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2CD927B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3876059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48B3B32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15EFDB2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2CA59CD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224CCA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538C4AF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2E47E8B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5789AAE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28C02AC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3AF0E1A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28B5B24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2DA8CA5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2C47E89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151F36A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6783502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7EB32CF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8C6692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4E7B925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1C419F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75EC46B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06C1E64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137DA6B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16CB33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17143C98">
      <w:pPr>
        <w:pStyle w:val="29"/>
        <w:spacing w:line="360" w:lineRule="auto"/>
        <w:ind w:firstLine="480" w:firstLineChars="200"/>
        <w:jc w:val="both"/>
        <w:rPr>
          <w:rFonts w:ascii="Times New Roman" w:hAnsi="Times New Roman" w:eastAsia="宋体" w:cs="Times New Roman"/>
          <w:color w:val="auto"/>
        </w:rPr>
      </w:pPr>
    </w:p>
    <w:p w14:paraId="08403574">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576EEE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1110579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1F5B38F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49DEAF5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5851600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01AC861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261A323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3E1562A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427C677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6C0C16B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7EC402E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2C65FA4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6605825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0A4F13E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496FD3D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65A9FAA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164879B4">
      <w:pPr>
        <w:pStyle w:val="29"/>
        <w:spacing w:line="360" w:lineRule="auto"/>
        <w:ind w:firstLine="480" w:firstLineChars="200"/>
        <w:jc w:val="both"/>
        <w:rPr>
          <w:rFonts w:ascii="Times New Roman" w:hAnsi="Times New Roman" w:eastAsia="宋体" w:cs="Times New Roman"/>
          <w:color w:val="auto"/>
        </w:rPr>
      </w:pPr>
    </w:p>
    <w:p w14:paraId="3C87AB1D">
      <w:pPr>
        <w:pStyle w:val="29"/>
        <w:snapToGrid w:val="0"/>
        <w:spacing w:line="360" w:lineRule="auto"/>
        <w:ind w:firstLine="480" w:firstLineChars="200"/>
        <w:jc w:val="both"/>
        <w:rPr>
          <w:rFonts w:ascii="Times New Roman" w:hAnsi="Times New Roman" w:eastAsia="宋体" w:cs="Times New Roman"/>
          <w:color w:val="auto"/>
        </w:rPr>
      </w:pPr>
    </w:p>
    <w:p w14:paraId="714E7152">
      <w:pPr>
        <w:pStyle w:val="29"/>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108F2AD7">
      <w:pPr>
        <w:pStyle w:val="11"/>
        <w:rPr>
          <w:rFonts w:ascii="Times New Roman" w:hAnsi="Times New Roman"/>
        </w:rPr>
      </w:pPr>
      <w:r>
        <w:rPr>
          <w:rFonts w:ascii="Times New Roman" w:hAnsi="Times New Roman"/>
        </w:rPr>
        <w:t>第四部分  合同草案</w:t>
      </w:r>
      <w:bookmarkEnd w:id="7"/>
    </w:p>
    <w:p w14:paraId="06302654">
      <w:pPr>
        <w:tabs>
          <w:tab w:val="left" w:pos="412"/>
          <w:tab w:val="left" w:pos="618"/>
        </w:tabs>
        <w:spacing w:line="520" w:lineRule="exact"/>
        <w:jc w:val="center"/>
        <w:rPr>
          <w:b/>
          <w:sz w:val="30"/>
          <w:szCs w:val="30"/>
        </w:rPr>
      </w:pPr>
      <w:r>
        <w:rPr>
          <w:b/>
          <w:sz w:val="30"/>
          <w:szCs w:val="30"/>
        </w:rPr>
        <w:t>合同一般条款</w:t>
      </w:r>
    </w:p>
    <w:p w14:paraId="6277A172">
      <w:pPr>
        <w:tabs>
          <w:tab w:val="left" w:pos="0"/>
          <w:tab w:val="left" w:pos="315"/>
        </w:tabs>
        <w:spacing w:line="520" w:lineRule="exact"/>
        <w:ind w:firstLine="480"/>
        <w:rPr>
          <w:sz w:val="24"/>
          <w:szCs w:val="24"/>
        </w:rPr>
      </w:pPr>
      <w:r>
        <w:rPr>
          <w:sz w:val="24"/>
          <w:szCs w:val="24"/>
        </w:rPr>
        <w:t xml:space="preserve">需方：  </w:t>
      </w:r>
    </w:p>
    <w:p w14:paraId="2D765593">
      <w:pPr>
        <w:tabs>
          <w:tab w:val="left" w:pos="0"/>
          <w:tab w:val="left" w:pos="315"/>
        </w:tabs>
        <w:spacing w:line="520" w:lineRule="exact"/>
        <w:ind w:firstLine="480"/>
        <w:rPr>
          <w:sz w:val="24"/>
          <w:szCs w:val="24"/>
        </w:rPr>
      </w:pPr>
      <w:r>
        <w:rPr>
          <w:sz w:val="24"/>
          <w:szCs w:val="24"/>
        </w:rPr>
        <w:t xml:space="preserve">供方： </w:t>
      </w:r>
    </w:p>
    <w:p w14:paraId="1BA19105">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竞争性磋商</w:t>
      </w:r>
      <w:r>
        <w:rPr>
          <w:sz w:val="24"/>
          <w:szCs w:val="24"/>
        </w:rPr>
        <w:t>文件的要求，并经双方协商一致，达成  合同：</w:t>
      </w:r>
    </w:p>
    <w:p w14:paraId="4B58C537">
      <w:pPr>
        <w:pStyle w:val="37"/>
        <w:numPr>
          <w:ilvl w:val="0"/>
          <w:numId w:val="1"/>
        </w:numPr>
        <w:spacing w:line="480" w:lineRule="exact"/>
        <w:ind w:firstLineChars="0"/>
        <w:rPr>
          <w:sz w:val="24"/>
        </w:rPr>
      </w:pPr>
      <w:r>
        <w:rPr>
          <w:rFonts w:hint="eastAsia"/>
          <w:sz w:val="24"/>
        </w:rPr>
        <w:t>本合同为中小企业预留合同</w:t>
      </w:r>
    </w:p>
    <w:p w14:paraId="7DF1ADB8">
      <w:pPr>
        <w:pStyle w:val="37"/>
        <w:numPr>
          <w:ilvl w:val="0"/>
          <w:numId w:val="1"/>
        </w:numPr>
        <w:spacing w:line="480" w:lineRule="exact"/>
        <w:ind w:firstLineChars="0"/>
        <w:rPr>
          <w:sz w:val="24"/>
        </w:rPr>
      </w:pPr>
      <w:r>
        <w:rPr>
          <w:rFonts w:hint="eastAsia"/>
          <w:sz w:val="24"/>
        </w:rPr>
        <w:t>本合同非中小企业预留合同</w:t>
      </w:r>
    </w:p>
    <w:p w14:paraId="6EC1622E">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4EBAB3AF">
      <w:pPr>
        <w:tabs>
          <w:tab w:val="left" w:pos="1133"/>
        </w:tabs>
        <w:spacing w:line="520" w:lineRule="exact"/>
        <w:ind w:firstLine="480" w:firstLineChars="200"/>
        <w:rPr>
          <w:sz w:val="24"/>
          <w:szCs w:val="24"/>
        </w:rPr>
      </w:pPr>
      <w:r>
        <w:rPr>
          <w:sz w:val="24"/>
          <w:szCs w:val="24"/>
        </w:rPr>
        <w:t>一、采购内容：  （详见附件）</w:t>
      </w:r>
    </w:p>
    <w:p w14:paraId="2D129BC4">
      <w:pPr>
        <w:tabs>
          <w:tab w:val="left" w:pos="1133"/>
        </w:tabs>
        <w:spacing w:line="520" w:lineRule="exact"/>
        <w:ind w:firstLine="480" w:firstLineChars="200"/>
        <w:rPr>
          <w:sz w:val="24"/>
          <w:szCs w:val="24"/>
        </w:rPr>
      </w:pPr>
      <w:r>
        <w:rPr>
          <w:sz w:val="24"/>
          <w:szCs w:val="24"/>
        </w:rPr>
        <w:t xml:space="preserve">    合同总价款：人民币  元</w:t>
      </w:r>
    </w:p>
    <w:p w14:paraId="4347D88E">
      <w:pPr>
        <w:tabs>
          <w:tab w:val="left" w:pos="1133"/>
        </w:tabs>
        <w:spacing w:line="520" w:lineRule="exact"/>
        <w:ind w:firstLine="480" w:firstLineChars="200"/>
        <w:rPr>
          <w:sz w:val="24"/>
          <w:szCs w:val="24"/>
        </w:rPr>
      </w:pPr>
      <w:r>
        <w:rPr>
          <w:sz w:val="24"/>
          <w:szCs w:val="24"/>
        </w:rPr>
        <w:t xml:space="preserve">    大写：人民币  元整</w:t>
      </w:r>
    </w:p>
    <w:p w14:paraId="28B963C0">
      <w:pPr>
        <w:tabs>
          <w:tab w:val="left" w:pos="360"/>
        </w:tabs>
        <w:spacing w:line="520" w:lineRule="exact"/>
        <w:ind w:firstLine="480" w:firstLineChars="200"/>
        <w:rPr>
          <w:sz w:val="24"/>
          <w:szCs w:val="24"/>
        </w:rPr>
      </w:pPr>
      <w:r>
        <w:rPr>
          <w:sz w:val="24"/>
          <w:szCs w:val="24"/>
        </w:rPr>
        <w:t>二、质量要求及对质量负责条件和期限：见附件。</w:t>
      </w:r>
    </w:p>
    <w:p w14:paraId="37A1F9F3">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070E7552">
      <w:pPr>
        <w:tabs>
          <w:tab w:val="left" w:pos="360"/>
        </w:tabs>
        <w:spacing w:line="520" w:lineRule="exact"/>
        <w:ind w:firstLine="480" w:firstLineChars="200"/>
        <w:rPr>
          <w:sz w:val="24"/>
          <w:szCs w:val="24"/>
        </w:rPr>
      </w:pPr>
      <w:r>
        <w:rPr>
          <w:sz w:val="24"/>
          <w:szCs w:val="24"/>
        </w:rPr>
        <w:t>四、</w:t>
      </w:r>
      <w:r>
        <w:rPr>
          <w:rFonts w:hint="eastAsia"/>
          <w:sz w:val="24"/>
          <w:szCs w:val="24"/>
        </w:rPr>
        <w:t>服务</w:t>
      </w:r>
      <w:r>
        <w:rPr>
          <w:sz w:val="24"/>
          <w:szCs w:val="24"/>
        </w:rPr>
        <w:t>时间、地点、方式：见附件。</w:t>
      </w:r>
    </w:p>
    <w:p w14:paraId="0D7C40E8">
      <w:pPr>
        <w:tabs>
          <w:tab w:val="left" w:pos="360"/>
        </w:tabs>
        <w:spacing w:line="520" w:lineRule="exact"/>
        <w:ind w:firstLine="480"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5BA7CBF8">
      <w:pPr>
        <w:tabs>
          <w:tab w:val="left" w:pos="360"/>
          <w:tab w:val="left" w:pos="721"/>
        </w:tabs>
        <w:spacing w:line="520" w:lineRule="exact"/>
        <w:rPr>
          <w:sz w:val="24"/>
          <w:szCs w:val="24"/>
        </w:rPr>
      </w:pPr>
      <w:r>
        <w:rPr>
          <w:sz w:val="24"/>
          <w:szCs w:val="24"/>
        </w:rPr>
        <w:t xml:space="preserve">    六、验收工作由需方负责对合同进行验收。</w:t>
      </w:r>
    </w:p>
    <w:p w14:paraId="1FBDD1F5">
      <w:pPr>
        <w:tabs>
          <w:tab w:val="left" w:pos="360"/>
        </w:tabs>
        <w:spacing w:line="520" w:lineRule="exact"/>
        <w:rPr>
          <w:sz w:val="24"/>
          <w:szCs w:val="24"/>
        </w:rPr>
      </w:pPr>
      <w:r>
        <w:rPr>
          <w:sz w:val="24"/>
          <w:szCs w:val="24"/>
        </w:rPr>
        <w:t xml:space="preserve">    七、货款支付方式：见附件。</w:t>
      </w:r>
    </w:p>
    <w:p w14:paraId="3FAFD60C">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7BEB86A6">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364AC1ED">
      <w:pPr>
        <w:tabs>
          <w:tab w:val="left" w:pos="0"/>
          <w:tab w:val="left" w:pos="721"/>
        </w:tabs>
        <w:spacing w:line="520" w:lineRule="exact"/>
        <w:ind w:firstLine="513"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18E690DC">
      <w:pPr>
        <w:pStyle w:val="6"/>
        <w:spacing w:line="520" w:lineRule="exact"/>
        <w:ind w:leftChars="-50" w:firstLine="480" w:firstLineChars="20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lang w:eastAsia="zh-CN"/>
        </w:rPr>
        <w:t>响应</w:t>
      </w:r>
      <w:r>
        <w:rPr>
          <w:sz w:val="24"/>
          <w:szCs w:val="24"/>
        </w:rPr>
        <w:t>文件及有关澄清资料和服务承诺均视为本合同不可分割的部分，对供方具有约束力。</w:t>
      </w:r>
    </w:p>
    <w:p w14:paraId="5A74B875">
      <w:pPr>
        <w:tabs>
          <w:tab w:val="left" w:pos="0"/>
          <w:tab w:val="left" w:pos="315"/>
        </w:tabs>
        <w:spacing w:line="520" w:lineRule="exact"/>
        <w:ind w:firstLine="480"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271031B4">
        <w:tblPrEx>
          <w:tblCellMar>
            <w:top w:w="0" w:type="dxa"/>
            <w:left w:w="108" w:type="dxa"/>
            <w:bottom w:w="0" w:type="dxa"/>
            <w:right w:w="108" w:type="dxa"/>
          </w:tblCellMar>
        </w:tblPrEx>
        <w:tc>
          <w:tcPr>
            <w:tcW w:w="4261" w:type="dxa"/>
          </w:tcPr>
          <w:p w14:paraId="6A2E6A2C">
            <w:pPr>
              <w:tabs>
                <w:tab w:val="left" w:pos="0"/>
                <w:tab w:val="left" w:pos="315"/>
              </w:tabs>
              <w:spacing w:line="520" w:lineRule="exact"/>
              <w:rPr>
                <w:sz w:val="24"/>
                <w:szCs w:val="24"/>
              </w:rPr>
            </w:pPr>
            <w:r>
              <w:rPr>
                <w:sz w:val="24"/>
                <w:szCs w:val="24"/>
              </w:rPr>
              <w:t xml:space="preserve">供方（公章）： </w:t>
            </w:r>
          </w:p>
        </w:tc>
        <w:tc>
          <w:tcPr>
            <w:tcW w:w="4261" w:type="dxa"/>
          </w:tcPr>
          <w:p w14:paraId="5F8ACF07">
            <w:pPr>
              <w:tabs>
                <w:tab w:val="left" w:pos="0"/>
                <w:tab w:val="left" w:pos="315"/>
              </w:tabs>
              <w:spacing w:line="520" w:lineRule="exact"/>
              <w:rPr>
                <w:sz w:val="24"/>
                <w:szCs w:val="24"/>
              </w:rPr>
            </w:pPr>
            <w:r>
              <w:rPr>
                <w:sz w:val="24"/>
                <w:szCs w:val="24"/>
              </w:rPr>
              <w:t xml:space="preserve">需方（公章）： </w:t>
            </w:r>
          </w:p>
        </w:tc>
      </w:tr>
      <w:tr w14:paraId="44D4CDDE">
        <w:tblPrEx>
          <w:tblCellMar>
            <w:top w:w="0" w:type="dxa"/>
            <w:left w:w="108" w:type="dxa"/>
            <w:bottom w:w="0" w:type="dxa"/>
            <w:right w:w="108" w:type="dxa"/>
          </w:tblCellMar>
        </w:tblPrEx>
        <w:tc>
          <w:tcPr>
            <w:tcW w:w="4261" w:type="dxa"/>
          </w:tcPr>
          <w:p w14:paraId="24BCADB8">
            <w:pPr>
              <w:tabs>
                <w:tab w:val="left" w:pos="0"/>
                <w:tab w:val="left" w:pos="315"/>
              </w:tabs>
              <w:spacing w:line="520" w:lineRule="exact"/>
              <w:rPr>
                <w:sz w:val="24"/>
                <w:szCs w:val="24"/>
              </w:rPr>
            </w:pPr>
            <w:r>
              <w:rPr>
                <w:sz w:val="24"/>
                <w:szCs w:val="24"/>
              </w:rPr>
              <w:t xml:space="preserve">地址：  </w:t>
            </w:r>
          </w:p>
        </w:tc>
        <w:tc>
          <w:tcPr>
            <w:tcW w:w="4261" w:type="dxa"/>
          </w:tcPr>
          <w:p w14:paraId="491B1B85">
            <w:pPr>
              <w:tabs>
                <w:tab w:val="left" w:pos="0"/>
                <w:tab w:val="left" w:pos="315"/>
              </w:tabs>
              <w:spacing w:line="520" w:lineRule="exact"/>
              <w:rPr>
                <w:sz w:val="24"/>
                <w:szCs w:val="24"/>
              </w:rPr>
            </w:pPr>
            <w:r>
              <w:rPr>
                <w:sz w:val="24"/>
                <w:szCs w:val="24"/>
              </w:rPr>
              <w:t xml:space="preserve">地址： </w:t>
            </w:r>
          </w:p>
        </w:tc>
      </w:tr>
      <w:tr w14:paraId="474752E4">
        <w:tblPrEx>
          <w:tblCellMar>
            <w:top w:w="0" w:type="dxa"/>
            <w:left w:w="108" w:type="dxa"/>
            <w:bottom w:w="0" w:type="dxa"/>
            <w:right w:w="108" w:type="dxa"/>
          </w:tblCellMar>
        </w:tblPrEx>
        <w:tc>
          <w:tcPr>
            <w:tcW w:w="4261" w:type="dxa"/>
          </w:tcPr>
          <w:p w14:paraId="01C91F49">
            <w:pPr>
              <w:tabs>
                <w:tab w:val="left" w:pos="360"/>
              </w:tabs>
              <w:spacing w:line="520" w:lineRule="exact"/>
              <w:rPr>
                <w:sz w:val="24"/>
                <w:szCs w:val="24"/>
              </w:rPr>
            </w:pPr>
            <w:r>
              <w:rPr>
                <w:sz w:val="24"/>
                <w:szCs w:val="24"/>
              </w:rPr>
              <w:t xml:space="preserve">法定代表人： </w:t>
            </w:r>
          </w:p>
        </w:tc>
        <w:tc>
          <w:tcPr>
            <w:tcW w:w="4261" w:type="dxa"/>
          </w:tcPr>
          <w:p w14:paraId="52189DF1">
            <w:pPr>
              <w:tabs>
                <w:tab w:val="left" w:pos="360"/>
              </w:tabs>
              <w:spacing w:line="520" w:lineRule="exact"/>
              <w:rPr>
                <w:sz w:val="24"/>
                <w:szCs w:val="24"/>
              </w:rPr>
            </w:pPr>
            <w:r>
              <w:rPr>
                <w:sz w:val="24"/>
                <w:szCs w:val="24"/>
              </w:rPr>
              <w:t xml:space="preserve">法定代表人： </w:t>
            </w:r>
          </w:p>
        </w:tc>
      </w:tr>
      <w:tr w14:paraId="5C7B1845">
        <w:tblPrEx>
          <w:tblCellMar>
            <w:top w:w="0" w:type="dxa"/>
            <w:left w:w="108" w:type="dxa"/>
            <w:bottom w:w="0" w:type="dxa"/>
            <w:right w:w="108" w:type="dxa"/>
          </w:tblCellMar>
        </w:tblPrEx>
        <w:tc>
          <w:tcPr>
            <w:tcW w:w="4261" w:type="dxa"/>
          </w:tcPr>
          <w:p w14:paraId="6F8B8D1C">
            <w:pPr>
              <w:tabs>
                <w:tab w:val="left" w:pos="360"/>
              </w:tabs>
              <w:spacing w:line="520" w:lineRule="exact"/>
              <w:rPr>
                <w:sz w:val="24"/>
                <w:szCs w:val="24"/>
              </w:rPr>
            </w:pPr>
            <w:r>
              <w:rPr>
                <w:sz w:val="24"/>
                <w:szCs w:val="24"/>
              </w:rPr>
              <w:t xml:space="preserve">委托代理人： </w:t>
            </w:r>
          </w:p>
        </w:tc>
        <w:tc>
          <w:tcPr>
            <w:tcW w:w="4261" w:type="dxa"/>
          </w:tcPr>
          <w:p w14:paraId="0B24BF89">
            <w:pPr>
              <w:tabs>
                <w:tab w:val="left" w:pos="360"/>
              </w:tabs>
              <w:spacing w:line="520" w:lineRule="exact"/>
              <w:rPr>
                <w:sz w:val="24"/>
                <w:szCs w:val="24"/>
              </w:rPr>
            </w:pPr>
            <w:r>
              <w:rPr>
                <w:sz w:val="24"/>
                <w:szCs w:val="24"/>
              </w:rPr>
              <w:t xml:space="preserve">委托代理人： </w:t>
            </w:r>
          </w:p>
        </w:tc>
      </w:tr>
      <w:tr w14:paraId="749FFBA7">
        <w:tblPrEx>
          <w:tblCellMar>
            <w:top w:w="0" w:type="dxa"/>
            <w:left w:w="108" w:type="dxa"/>
            <w:bottom w:w="0" w:type="dxa"/>
            <w:right w:w="108" w:type="dxa"/>
          </w:tblCellMar>
        </w:tblPrEx>
        <w:tc>
          <w:tcPr>
            <w:tcW w:w="4261" w:type="dxa"/>
          </w:tcPr>
          <w:p w14:paraId="35518CA5">
            <w:pPr>
              <w:tabs>
                <w:tab w:val="left" w:pos="360"/>
              </w:tabs>
              <w:spacing w:line="520" w:lineRule="exact"/>
              <w:rPr>
                <w:sz w:val="24"/>
                <w:szCs w:val="24"/>
              </w:rPr>
            </w:pPr>
            <w:r>
              <w:rPr>
                <w:sz w:val="24"/>
                <w:szCs w:val="24"/>
              </w:rPr>
              <w:t>电话：</w:t>
            </w:r>
          </w:p>
        </w:tc>
        <w:tc>
          <w:tcPr>
            <w:tcW w:w="4261" w:type="dxa"/>
          </w:tcPr>
          <w:p w14:paraId="73C237F6">
            <w:pPr>
              <w:tabs>
                <w:tab w:val="left" w:pos="360"/>
              </w:tabs>
              <w:spacing w:line="520" w:lineRule="exact"/>
              <w:rPr>
                <w:sz w:val="24"/>
                <w:szCs w:val="24"/>
              </w:rPr>
            </w:pPr>
            <w:r>
              <w:rPr>
                <w:sz w:val="24"/>
                <w:szCs w:val="24"/>
              </w:rPr>
              <w:t>电话：</w:t>
            </w:r>
          </w:p>
        </w:tc>
      </w:tr>
    </w:tbl>
    <w:p w14:paraId="6FC2130B">
      <w:pPr>
        <w:rPr>
          <w:sz w:val="24"/>
          <w:szCs w:val="24"/>
        </w:rPr>
      </w:pPr>
    </w:p>
    <w:p w14:paraId="32B00358">
      <w:pPr>
        <w:rPr>
          <w:szCs w:val="24"/>
        </w:rPr>
      </w:pPr>
      <w:r>
        <w:rPr>
          <w:sz w:val="24"/>
          <w:szCs w:val="24"/>
        </w:rPr>
        <w:t>时间：20</w:t>
      </w:r>
      <w:r>
        <w:rPr>
          <w:rFonts w:hint="eastAsia"/>
          <w:sz w:val="24"/>
          <w:szCs w:val="24"/>
        </w:rPr>
        <w:t xml:space="preserve">  </w:t>
      </w:r>
      <w:r>
        <w:rPr>
          <w:sz w:val="24"/>
          <w:szCs w:val="24"/>
        </w:rPr>
        <w:t>年  月  日</w:t>
      </w:r>
    </w:p>
    <w:p w14:paraId="71B89A8A">
      <w:pPr>
        <w:jc w:val="center"/>
        <w:rPr>
          <w:b/>
          <w:sz w:val="30"/>
          <w:szCs w:val="30"/>
        </w:rPr>
      </w:pPr>
      <w:r>
        <w:rPr>
          <w:b/>
          <w:sz w:val="30"/>
          <w:szCs w:val="30"/>
        </w:rPr>
        <w:br w:type="page"/>
      </w:r>
      <w:r>
        <w:rPr>
          <w:b/>
          <w:sz w:val="30"/>
          <w:szCs w:val="30"/>
        </w:rPr>
        <w:t>合同特殊条款</w:t>
      </w:r>
    </w:p>
    <w:p w14:paraId="6AD140EF">
      <w:pPr>
        <w:tabs>
          <w:tab w:val="left" w:pos="360"/>
        </w:tabs>
        <w:spacing w:line="520" w:lineRule="exact"/>
        <w:ind w:firstLine="410" w:firstLineChars="171"/>
        <w:rPr>
          <w:color w:val="000000"/>
          <w:sz w:val="24"/>
          <w:szCs w:val="24"/>
        </w:rPr>
      </w:pPr>
    </w:p>
    <w:p w14:paraId="3CB75E7E">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437D9322">
      <w:pPr>
        <w:tabs>
          <w:tab w:val="left" w:pos="360"/>
        </w:tabs>
        <w:spacing w:line="520" w:lineRule="exact"/>
        <w:ind w:firstLine="410"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51867429">
      <w:pPr>
        <w:tabs>
          <w:tab w:val="left" w:pos="360"/>
        </w:tabs>
        <w:spacing w:line="520" w:lineRule="exact"/>
        <w:ind w:firstLine="410" w:firstLineChars="171"/>
        <w:rPr>
          <w:sz w:val="24"/>
          <w:szCs w:val="24"/>
        </w:rPr>
      </w:pPr>
    </w:p>
    <w:p w14:paraId="35D9FC2A">
      <w:pPr>
        <w:tabs>
          <w:tab w:val="left" w:pos="360"/>
        </w:tabs>
        <w:spacing w:line="520" w:lineRule="exact"/>
        <w:ind w:firstLine="410" w:firstLineChars="171"/>
        <w:rPr>
          <w:sz w:val="24"/>
          <w:szCs w:val="24"/>
        </w:rPr>
        <w:sectPr>
          <w:headerReference r:id="rId8" w:type="default"/>
          <w:pgSz w:w="11906" w:h="16838"/>
          <w:pgMar w:top="1440" w:right="1800" w:bottom="1440" w:left="1800" w:header="851" w:footer="992" w:gutter="0"/>
          <w:cols w:space="720" w:num="1"/>
          <w:docGrid w:type="lines" w:linePitch="312" w:charSpace="0"/>
        </w:sectPr>
      </w:pPr>
    </w:p>
    <w:p w14:paraId="2F4EC03B">
      <w:pPr>
        <w:pStyle w:val="2"/>
        <w:jc w:val="center"/>
      </w:pPr>
      <w:bookmarkStart w:id="8" w:name="_Toc411426753"/>
      <w:r>
        <w:t>第五部分  响应文件格式</w:t>
      </w:r>
      <w:bookmarkEnd w:id="8"/>
    </w:p>
    <w:p w14:paraId="74E3E2A9">
      <w:pPr>
        <w:autoSpaceDE w:val="0"/>
        <w:autoSpaceDN w:val="0"/>
        <w:adjustRightInd w:val="0"/>
        <w:spacing w:line="520" w:lineRule="exact"/>
        <w:rPr>
          <w:b/>
          <w:kern w:val="0"/>
          <w:sz w:val="24"/>
        </w:rPr>
      </w:pPr>
    </w:p>
    <w:p w14:paraId="3F957DD8">
      <w:pPr>
        <w:autoSpaceDE w:val="0"/>
        <w:autoSpaceDN w:val="0"/>
        <w:adjustRightInd w:val="0"/>
        <w:spacing w:line="520" w:lineRule="exact"/>
        <w:rPr>
          <w:b/>
          <w:kern w:val="0"/>
          <w:sz w:val="24"/>
        </w:rPr>
      </w:pPr>
    </w:p>
    <w:p w14:paraId="0299D41D">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02C6DF2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430DC095">
      <w:pPr>
        <w:autoSpaceDE w:val="0"/>
        <w:autoSpaceDN w:val="0"/>
        <w:adjustRightInd w:val="0"/>
        <w:spacing w:line="520" w:lineRule="exact"/>
        <w:rPr>
          <w:b/>
          <w:kern w:val="0"/>
          <w:sz w:val="24"/>
        </w:rPr>
      </w:pPr>
    </w:p>
    <w:p w14:paraId="2AF8F3B8">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067A0BF7">
      <w:pPr>
        <w:autoSpaceDE w:val="0"/>
        <w:autoSpaceDN w:val="0"/>
        <w:adjustRightInd w:val="0"/>
        <w:spacing w:line="520" w:lineRule="exact"/>
        <w:rPr>
          <w:b/>
          <w:kern w:val="0"/>
          <w:sz w:val="24"/>
        </w:rPr>
      </w:pPr>
    </w:p>
    <w:p w14:paraId="61805F74">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2583C8C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D509D5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3166286A">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2129997B">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0D133A42">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60B16A1C">
      <w:pPr>
        <w:spacing w:before="93" w:beforeLines="30" w:after="218" w:afterLines="70" w:line="540" w:lineRule="exact"/>
        <w:ind w:left="630" w:leftChars="300"/>
        <w:rPr>
          <w:rFonts w:eastAsia="方正楷体简体"/>
          <w:b/>
          <w:sz w:val="34"/>
          <w:szCs w:val="34"/>
        </w:rPr>
      </w:pPr>
    </w:p>
    <w:p w14:paraId="74F07453">
      <w:pPr>
        <w:spacing w:before="93" w:beforeLines="30" w:after="218" w:afterLines="70" w:line="540" w:lineRule="exact"/>
        <w:ind w:left="630" w:leftChars="300"/>
        <w:rPr>
          <w:rFonts w:eastAsia="方正楷体简体"/>
          <w:b/>
          <w:sz w:val="34"/>
          <w:szCs w:val="34"/>
        </w:rPr>
      </w:pPr>
    </w:p>
    <w:p w14:paraId="59A23D6A">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11B61898">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6D5D34F5">
      <w:pPr>
        <w:autoSpaceDN w:val="0"/>
        <w:spacing w:line="360" w:lineRule="auto"/>
        <w:jc w:val="center"/>
        <w:rPr>
          <w:b/>
          <w:bCs/>
          <w:sz w:val="24"/>
        </w:rPr>
      </w:pPr>
    </w:p>
    <w:p w14:paraId="50F11971">
      <w:pPr>
        <w:autoSpaceDN w:val="0"/>
        <w:spacing w:line="360" w:lineRule="auto"/>
        <w:jc w:val="center"/>
        <w:rPr>
          <w:b/>
          <w:bCs/>
          <w:sz w:val="24"/>
        </w:rPr>
      </w:pPr>
      <w:r>
        <w:rPr>
          <w:rFonts w:hint="eastAsia"/>
          <w:b/>
          <w:bCs/>
          <w:sz w:val="24"/>
        </w:rPr>
        <w:t>（投标人自行编制）</w:t>
      </w:r>
    </w:p>
    <w:p w14:paraId="2533912D">
      <w:pPr>
        <w:widowControl/>
        <w:spacing w:line="360" w:lineRule="auto"/>
        <w:jc w:val="center"/>
        <w:rPr>
          <w:b/>
          <w:sz w:val="24"/>
        </w:rPr>
      </w:pPr>
      <w:r>
        <w:rPr>
          <w:b/>
          <w:sz w:val="24"/>
        </w:rPr>
        <w:br w:type="page"/>
      </w:r>
      <w:r>
        <w:rPr>
          <w:rFonts w:hint="eastAsia"/>
          <w:b/>
          <w:sz w:val="24"/>
        </w:rPr>
        <w:t>评分因素及评标标准页码检索</w:t>
      </w:r>
    </w:p>
    <w:p w14:paraId="58412DF4">
      <w:pPr>
        <w:widowControl/>
        <w:spacing w:line="360" w:lineRule="auto"/>
        <w:jc w:val="center"/>
        <w:rPr>
          <w:b/>
          <w:sz w:val="24"/>
        </w:rPr>
      </w:pPr>
    </w:p>
    <w:p w14:paraId="4CE963E1">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615B0526">
      <w:pPr>
        <w:spacing w:line="460" w:lineRule="exact"/>
        <w:rPr>
          <w:b/>
          <w:sz w:val="24"/>
        </w:rPr>
      </w:pPr>
      <w:r>
        <w:rPr>
          <w:b/>
          <w:sz w:val="24"/>
        </w:rPr>
        <w:br w:type="page"/>
      </w:r>
      <w:r>
        <w:rPr>
          <w:b/>
          <w:sz w:val="24"/>
        </w:rPr>
        <w:t>附件1</w:t>
      </w:r>
    </w:p>
    <w:p w14:paraId="0C9313E2">
      <w:pPr>
        <w:tabs>
          <w:tab w:val="left" w:pos="360"/>
        </w:tabs>
        <w:spacing w:line="560" w:lineRule="exact"/>
        <w:jc w:val="center"/>
        <w:rPr>
          <w:b/>
          <w:sz w:val="24"/>
        </w:rPr>
      </w:pPr>
      <w:r>
        <w:rPr>
          <w:b/>
          <w:sz w:val="24"/>
        </w:rPr>
        <w:t>响应书</w:t>
      </w:r>
    </w:p>
    <w:p w14:paraId="02567340">
      <w:pPr>
        <w:autoSpaceDE w:val="0"/>
        <w:autoSpaceDN w:val="0"/>
        <w:adjustRightInd w:val="0"/>
        <w:spacing w:line="520" w:lineRule="exact"/>
        <w:jc w:val="left"/>
        <w:rPr>
          <w:kern w:val="0"/>
          <w:sz w:val="24"/>
        </w:rPr>
      </w:pPr>
      <w:r>
        <w:rPr>
          <w:kern w:val="0"/>
          <w:sz w:val="24"/>
        </w:rPr>
        <w:t>致：天津市政府采购中心</w:t>
      </w:r>
    </w:p>
    <w:p w14:paraId="66BB4B9F">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rFonts w:hint="eastAsia"/>
          <w:kern w:val="0"/>
          <w:sz w:val="24"/>
          <w:u w:val="single"/>
        </w:rPr>
        <w:t xml:space="preserve">          </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w:t>
      </w:r>
      <w:r>
        <w:rPr>
          <w:rFonts w:hint="eastAsia"/>
          <w:sz w:val="24"/>
        </w:rPr>
        <w:t>网上应答及上传加盖电子签章的响应文件</w:t>
      </w:r>
      <w:r>
        <w:rPr>
          <w:sz w:val="24"/>
        </w:rPr>
        <w:t>。</w:t>
      </w:r>
    </w:p>
    <w:p w14:paraId="574CC9C4">
      <w:pPr>
        <w:autoSpaceDE w:val="0"/>
        <w:autoSpaceDN w:val="0"/>
        <w:adjustRightInd w:val="0"/>
        <w:spacing w:line="360" w:lineRule="auto"/>
        <w:jc w:val="left"/>
        <w:rPr>
          <w:kern w:val="0"/>
          <w:sz w:val="24"/>
        </w:rPr>
      </w:pPr>
      <w:r>
        <w:rPr>
          <w:kern w:val="0"/>
          <w:sz w:val="24"/>
        </w:rPr>
        <w:t>据此函，签字代表宣布同意如下：</w:t>
      </w:r>
    </w:p>
    <w:p w14:paraId="2CB6BAAB">
      <w:pPr>
        <w:numPr>
          <w:ilvl w:val="0"/>
          <w:numId w:val="2"/>
        </w:numPr>
        <w:spacing w:line="360" w:lineRule="auto"/>
        <w:ind w:left="0" w:firstLine="480" w:firstLineChars="200"/>
        <w:jc w:val="left"/>
        <w:rPr>
          <w:sz w:val="24"/>
        </w:rPr>
      </w:pPr>
      <w:r>
        <w:rPr>
          <w:sz w:val="24"/>
        </w:rPr>
        <w:t>我公司将按磋商文件的规定履行合同责任和义务。</w:t>
      </w:r>
    </w:p>
    <w:p w14:paraId="2857A9E7">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2A24F7D0">
      <w:pPr>
        <w:numPr>
          <w:ilvl w:val="0"/>
          <w:numId w:val="2"/>
        </w:numPr>
        <w:spacing w:line="360" w:lineRule="auto"/>
        <w:ind w:left="0" w:firstLine="480" w:firstLineChars="200"/>
        <w:jc w:val="left"/>
        <w:rPr>
          <w:sz w:val="24"/>
        </w:rPr>
      </w:pPr>
      <w:r>
        <w:rPr>
          <w:sz w:val="24"/>
        </w:rPr>
        <w:t>我公司的磋商有效期为开标之日起60天。</w:t>
      </w:r>
    </w:p>
    <w:p w14:paraId="13E90FDB">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00E62B06">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4C754FC8">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2F899F1">
      <w:pPr>
        <w:numPr>
          <w:ilvl w:val="0"/>
          <w:numId w:val="2"/>
        </w:numPr>
        <w:spacing w:line="360" w:lineRule="auto"/>
        <w:ind w:left="0" w:firstLine="480" w:firstLineChars="200"/>
        <w:jc w:val="left"/>
        <w:rPr>
          <w:sz w:val="24"/>
        </w:rPr>
      </w:pPr>
      <w:r>
        <w:rPr>
          <w:sz w:val="24"/>
        </w:rPr>
        <w:t>我公司承诺完全符合《政府采购法》、《政府采购法实施条例》等法律法规规定，并随时接受采购人、采购代理机构的检查验证。在整个</w:t>
      </w:r>
      <w:r>
        <w:rPr>
          <w:rFonts w:hint="eastAsia"/>
          <w:sz w:val="24"/>
          <w:lang w:val="en-US" w:eastAsia="zh-CN"/>
        </w:rPr>
        <w:t>采购</w:t>
      </w:r>
      <w:r>
        <w:rPr>
          <w:sz w:val="24"/>
        </w:rPr>
        <w:t>过程中，我公司若有违规行为，我公司完全接受贵中心依照相关法律法规和磋商文件的规定给予处罚。</w:t>
      </w:r>
    </w:p>
    <w:p w14:paraId="4F8C395B">
      <w:pPr>
        <w:numPr>
          <w:ilvl w:val="0"/>
          <w:numId w:val="2"/>
        </w:numPr>
        <w:spacing w:line="360" w:lineRule="auto"/>
        <w:ind w:left="0" w:firstLine="480" w:firstLineChars="200"/>
        <w:jc w:val="left"/>
        <w:rPr>
          <w:sz w:val="24"/>
        </w:rPr>
      </w:pPr>
      <w:r>
        <w:rPr>
          <w:rFonts w:hint="eastAsia"/>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74DA9C79">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27C2A202">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如违反上述承诺，我公司投标无效且接受相关部门依法作出的处罚，并承担通过“天津市政府采购网”等相关媒体予以公布的任何风险和责任。</w:t>
      </w:r>
    </w:p>
    <w:p w14:paraId="6A987697">
      <w:pPr>
        <w:spacing w:line="360" w:lineRule="auto"/>
        <w:ind w:firstLine="480" w:firstLineChars="200"/>
        <w:rPr>
          <w:sz w:val="24"/>
        </w:rPr>
      </w:pPr>
      <w:r>
        <w:rPr>
          <w:sz w:val="24"/>
        </w:rPr>
        <w:t>1</w:t>
      </w:r>
      <w:r>
        <w:rPr>
          <w:rFonts w:hint="eastAsia"/>
          <w:sz w:val="24"/>
        </w:rPr>
        <w:t>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05B806C7">
      <w:pPr>
        <w:spacing w:line="360" w:lineRule="auto"/>
        <w:ind w:firstLine="480" w:firstLineChars="200"/>
        <w:rPr>
          <w:sz w:val="24"/>
        </w:rPr>
      </w:pPr>
      <w:r>
        <w:rPr>
          <w:rFonts w:hint="eastAsia"/>
          <w:sz w:val="24"/>
        </w:rPr>
        <w:t>纳税人识别号：</w:t>
      </w:r>
    </w:p>
    <w:p w14:paraId="3FFEAB28">
      <w:pPr>
        <w:spacing w:line="360" w:lineRule="auto"/>
        <w:ind w:firstLine="480" w:firstLineChars="200"/>
        <w:rPr>
          <w:sz w:val="24"/>
        </w:rPr>
      </w:pPr>
      <w:r>
        <w:rPr>
          <w:rFonts w:hint="eastAsia"/>
          <w:sz w:val="24"/>
        </w:rPr>
        <w:t>地址、电话：</w:t>
      </w:r>
    </w:p>
    <w:p w14:paraId="1D34D17B">
      <w:pPr>
        <w:spacing w:line="360" w:lineRule="auto"/>
        <w:ind w:firstLine="480" w:firstLineChars="200"/>
        <w:rPr>
          <w:sz w:val="24"/>
        </w:rPr>
      </w:pPr>
      <w:r>
        <w:rPr>
          <w:rFonts w:hint="eastAsia"/>
          <w:sz w:val="24"/>
        </w:rPr>
        <w:t>开户行及账号：</w:t>
      </w:r>
    </w:p>
    <w:p w14:paraId="7F390988">
      <w:pPr>
        <w:spacing w:line="360" w:lineRule="auto"/>
        <w:ind w:firstLine="480" w:firstLineChars="200"/>
        <w:rPr>
          <w:sz w:val="24"/>
        </w:rPr>
      </w:pPr>
      <w:r>
        <w:rPr>
          <w:rFonts w:hint="eastAsia"/>
          <w:sz w:val="24"/>
        </w:rPr>
        <w:t>开具发票类型：□增值税专用发票         □增值税普通发票</w:t>
      </w:r>
    </w:p>
    <w:p w14:paraId="438D3DF5">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177AD95C">
      <w:pPr>
        <w:spacing w:line="360" w:lineRule="auto"/>
        <w:ind w:firstLine="482" w:firstLineChars="200"/>
        <w:rPr>
          <w:b/>
          <w:sz w:val="24"/>
        </w:rPr>
      </w:pPr>
      <w:r>
        <w:rPr>
          <w:rFonts w:hint="eastAsia"/>
          <w:b/>
          <w:sz w:val="24"/>
        </w:rPr>
        <w:t>□</w:t>
      </w:r>
      <w:r>
        <w:rPr>
          <w:b/>
          <w:sz w:val="24"/>
        </w:rPr>
        <w:t>上门自取</w:t>
      </w:r>
    </w:p>
    <w:p w14:paraId="7BDB10C4">
      <w:pPr>
        <w:spacing w:line="360" w:lineRule="auto"/>
        <w:ind w:firstLine="480" w:firstLineChars="200"/>
        <w:rPr>
          <w:sz w:val="24"/>
        </w:rPr>
      </w:pPr>
    </w:p>
    <w:p w14:paraId="7EB26442">
      <w:pPr>
        <w:spacing w:line="360" w:lineRule="auto"/>
        <w:ind w:firstLine="482" w:firstLineChars="200"/>
        <w:rPr>
          <w:b/>
          <w:sz w:val="24"/>
        </w:rPr>
      </w:pPr>
      <w:r>
        <w:rPr>
          <w:rFonts w:hint="eastAsia"/>
          <w:b/>
          <w:sz w:val="24"/>
        </w:rPr>
        <w:t>□</w:t>
      </w:r>
      <w:r>
        <w:rPr>
          <w:b/>
          <w:sz w:val="24"/>
        </w:rPr>
        <w:t>到付邮寄</w:t>
      </w:r>
    </w:p>
    <w:p w14:paraId="72FA8C09">
      <w:pPr>
        <w:spacing w:line="360" w:lineRule="auto"/>
        <w:ind w:firstLine="480" w:firstLineChars="200"/>
        <w:rPr>
          <w:sz w:val="24"/>
        </w:rPr>
      </w:pPr>
      <w:r>
        <w:rPr>
          <w:sz w:val="24"/>
        </w:rPr>
        <w:t>邮寄地址</w:t>
      </w:r>
      <w:r>
        <w:rPr>
          <w:rFonts w:hint="eastAsia"/>
          <w:sz w:val="24"/>
        </w:rPr>
        <w:t>、邮编</w:t>
      </w:r>
      <w:r>
        <w:rPr>
          <w:sz w:val="24"/>
        </w:rPr>
        <w:t>：</w:t>
      </w:r>
    </w:p>
    <w:p w14:paraId="6B86067C">
      <w:pPr>
        <w:spacing w:line="360" w:lineRule="auto"/>
        <w:ind w:firstLine="480" w:firstLineChars="200"/>
        <w:rPr>
          <w:sz w:val="24"/>
        </w:rPr>
      </w:pPr>
      <w:r>
        <w:rPr>
          <w:sz w:val="24"/>
        </w:rPr>
        <w:t>邮寄联系人、手机号码：</w:t>
      </w:r>
    </w:p>
    <w:p w14:paraId="7729B652">
      <w:pPr>
        <w:pStyle w:val="37"/>
        <w:spacing w:line="360" w:lineRule="auto"/>
        <w:ind w:left="900" w:firstLine="0" w:firstLineChars="0"/>
        <w:rPr>
          <w:sz w:val="24"/>
          <w:lang w:val="en-US" w:eastAsia="zh-CN"/>
        </w:rPr>
      </w:pPr>
    </w:p>
    <w:p w14:paraId="4593D1D8">
      <w:pPr>
        <w:pStyle w:val="37"/>
        <w:spacing w:line="360" w:lineRule="auto"/>
        <w:ind w:left="900" w:firstLine="0" w:firstLineChars="0"/>
        <w:rPr>
          <w:sz w:val="24"/>
          <w:lang w:eastAsia="zh-CN"/>
        </w:rPr>
      </w:pPr>
    </w:p>
    <w:p w14:paraId="214BF97A">
      <w:pPr>
        <w:pStyle w:val="37"/>
        <w:spacing w:line="360" w:lineRule="auto"/>
        <w:ind w:left="900" w:firstLine="0" w:firstLineChars="0"/>
        <w:rPr>
          <w:sz w:val="24"/>
          <w:lang w:eastAsia="zh-CN"/>
        </w:rPr>
      </w:pPr>
    </w:p>
    <w:p w14:paraId="26A41B3A">
      <w:pPr>
        <w:spacing w:line="360" w:lineRule="auto"/>
        <w:ind w:firstLine="4080" w:firstLineChars="1700"/>
        <w:rPr>
          <w:sz w:val="24"/>
        </w:rPr>
      </w:pPr>
      <w:r>
        <w:rPr>
          <w:sz w:val="24"/>
        </w:rPr>
        <w:t>投标人名称：</w:t>
      </w:r>
    </w:p>
    <w:p w14:paraId="7D40F792">
      <w:pPr>
        <w:spacing w:line="360" w:lineRule="auto"/>
        <w:ind w:firstLine="4080" w:firstLineChars="1700"/>
        <w:rPr>
          <w:sz w:val="24"/>
        </w:rPr>
      </w:pPr>
    </w:p>
    <w:p w14:paraId="6D902975">
      <w:pPr>
        <w:pStyle w:val="37"/>
        <w:spacing w:line="360" w:lineRule="auto"/>
        <w:ind w:left="901" w:leftChars="429" w:firstLine="3240" w:firstLineChars="1350"/>
        <w:rPr>
          <w:sz w:val="24"/>
          <w:lang w:eastAsia="zh-CN"/>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9347DC">
      <w:pPr>
        <w:spacing w:line="460" w:lineRule="exact"/>
        <w:rPr>
          <w:b/>
          <w:sz w:val="24"/>
        </w:rPr>
      </w:pPr>
      <w:r>
        <w:rPr>
          <w:b/>
          <w:sz w:val="24"/>
        </w:rPr>
        <w:br w:type="page"/>
      </w:r>
      <w:r>
        <w:rPr>
          <w:b/>
          <w:sz w:val="24"/>
        </w:rPr>
        <w:t>附件2</w:t>
      </w:r>
    </w:p>
    <w:p w14:paraId="6E900666">
      <w:pPr>
        <w:ind w:right="84"/>
        <w:jc w:val="center"/>
        <w:rPr>
          <w:b/>
          <w:sz w:val="24"/>
        </w:rPr>
      </w:pPr>
    </w:p>
    <w:p w14:paraId="7AA01E91">
      <w:pPr>
        <w:ind w:right="84"/>
        <w:jc w:val="center"/>
        <w:rPr>
          <w:b/>
          <w:sz w:val="24"/>
        </w:rPr>
      </w:pPr>
      <w:r>
        <w:rPr>
          <w:rFonts w:hint="eastAsia"/>
          <w:b/>
          <w:sz w:val="24"/>
        </w:rPr>
        <w:t>供应商资格声明函</w:t>
      </w:r>
    </w:p>
    <w:p w14:paraId="00AF1D23">
      <w:pPr>
        <w:spacing w:line="360" w:lineRule="auto"/>
        <w:ind w:firstLine="420"/>
        <w:jc w:val="center"/>
        <w:rPr>
          <w:b/>
          <w:sz w:val="24"/>
        </w:rPr>
      </w:pPr>
    </w:p>
    <w:p w14:paraId="2C6AA38A">
      <w:pPr>
        <w:spacing w:line="360" w:lineRule="auto"/>
        <w:rPr>
          <w:sz w:val="24"/>
        </w:rPr>
      </w:pPr>
      <w:r>
        <w:rPr>
          <w:rFonts w:hint="eastAsia"/>
          <w:sz w:val="24"/>
        </w:rPr>
        <w:t>天津市政府采购中心：</w:t>
      </w:r>
    </w:p>
    <w:p w14:paraId="65939D50">
      <w:pPr>
        <w:spacing w:line="360" w:lineRule="auto"/>
        <w:ind w:firstLine="480" w:firstLineChars="200"/>
        <w:rPr>
          <w:sz w:val="24"/>
        </w:rPr>
      </w:pPr>
      <w:r>
        <w:rPr>
          <w:rFonts w:hint="eastAsia"/>
          <w:sz w:val="24"/>
        </w:rPr>
        <w:t>我单位自愿参与本项目的政府采购活动，郑重承诺如下：</w:t>
      </w:r>
    </w:p>
    <w:p w14:paraId="63C361DF">
      <w:pPr>
        <w:spacing w:line="360" w:lineRule="auto"/>
        <w:ind w:firstLine="480" w:firstLineChars="200"/>
        <w:rPr>
          <w:sz w:val="24"/>
        </w:rPr>
      </w:pPr>
      <w:r>
        <w:rPr>
          <w:rFonts w:hint="eastAsia"/>
          <w:sz w:val="24"/>
        </w:rPr>
        <w:t>（一）我单位具有良好的商业信誉和健全的财务会计制度；</w:t>
      </w:r>
    </w:p>
    <w:p w14:paraId="2BD96E0A">
      <w:pPr>
        <w:spacing w:line="360" w:lineRule="auto"/>
        <w:ind w:firstLine="480" w:firstLineChars="200"/>
        <w:rPr>
          <w:sz w:val="24"/>
        </w:rPr>
      </w:pPr>
      <w:r>
        <w:rPr>
          <w:rFonts w:hint="eastAsia"/>
          <w:sz w:val="24"/>
        </w:rPr>
        <w:t>（二）我单位依法缴纳税收和社会保障资金；</w:t>
      </w:r>
    </w:p>
    <w:p w14:paraId="0F77E85C">
      <w:pPr>
        <w:spacing w:line="360" w:lineRule="auto"/>
        <w:ind w:firstLine="480" w:firstLineChars="200"/>
        <w:rPr>
          <w:sz w:val="24"/>
        </w:rPr>
      </w:pPr>
      <w:r>
        <w:rPr>
          <w:rFonts w:hint="eastAsia"/>
          <w:sz w:val="24"/>
        </w:rPr>
        <w:t>（三）我单位具备履行合同所必需的设备和专业技术能力；</w:t>
      </w:r>
    </w:p>
    <w:p w14:paraId="4F5C43B2">
      <w:pPr>
        <w:spacing w:line="360" w:lineRule="auto"/>
        <w:ind w:firstLine="480" w:firstLineChars="200"/>
        <w:rPr>
          <w:sz w:val="24"/>
        </w:rPr>
      </w:pPr>
      <w:r>
        <w:rPr>
          <w:rFonts w:hint="eastAsia"/>
          <w:sz w:val="24"/>
        </w:rPr>
        <w:t>（四）参加政府采购活动前3年我单位在经营活动中没有重大违法记录；</w:t>
      </w:r>
    </w:p>
    <w:p w14:paraId="3E130A69">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46113266">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3877"/>
        <w:gridCol w:w="2842"/>
      </w:tblGrid>
      <w:tr w14:paraId="6E6C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403AB614">
            <w:pPr>
              <w:jc w:val="center"/>
              <w:rPr>
                <w:szCs w:val="21"/>
              </w:rPr>
            </w:pPr>
            <w:r>
              <w:rPr>
                <w:rFonts w:hint="eastAsia"/>
                <w:szCs w:val="21"/>
              </w:rPr>
              <w:t>序号</w:t>
            </w:r>
          </w:p>
        </w:tc>
        <w:tc>
          <w:tcPr>
            <w:tcW w:w="2273" w:type="pct"/>
            <w:vAlign w:val="center"/>
          </w:tcPr>
          <w:p w14:paraId="129B5AA6">
            <w:pPr>
              <w:jc w:val="center"/>
              <w:rPr>
                <w:szCs w:val="21"/>
              </w:rPr>
            </w:pPr>
            <w:r>
              <w:rPr>
                <w:rFonts w:hint="eastAsia"/>
                <w:szCs w:val="21"/>
              </w:rPr>
              <w:t>单位名称</w:t>
            </w:r>
          </w:p>
        </w:tc>
        <w:tc>
          <w:tcPr>
            <w:tcW w:w="1667" w:type="pct"/>
            <w:vAlign w:val="center"/>
          </w:tcPr>
          <w:p w14:paraId="71AFDEEB">
            <w:pPr>
              <w:jc w:val="center"/>
              <w:rPr>
                <w:szCs w:val="21"/>
              </w:rPr>
            </w:pPr>
            <w:r>
              <w:rPr>
                <w:rFonts w:hint="eastAsia"/>
                <w:szCs w:val="21"/>
              </w:rPr>
              <w:t>相互关系类型</w:t>
            </w:r>
          </w:p>
        </w:tc>
      </w:tr>
      <w:tr w14:paraId="2223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5977866">
            <w:pPr>
              <w:jc w:val="center"/>
              <w:rPr>
                <w:szCs w:val="21"/>
              </w:rPr>
            </w:pPr>
            <w:r>
              <w:rPr>
                <w:rFonts w:hint="eastAsia"/>
                <w:szCs w:val="21"/>
              </w:rPr>
              <w:t>1</w:t>
            </w:r>
          </w:p>
        </w:tc>
        <w:tc>
          <w:tcPr>
            <w:tcW w:w="2273" w:type="pct"/>
            <w:vAlign w:val="center"/>
          </w:tcPr>
          <w:p w14:paraId="38C8382E">
            <w:pPr>
              <w:jc w:val="center"/>
              <w:rPr>
                <w:szCs w:val="21"/>
              </w:rPr>
            </w:pPr>
          </w:p>
        </w:tc>
        <w:tc>
          <w:tcPr>
            <w:tcW w:w="1667" w:type="pct"/>
            <w:vAlign w:val="center"/>
          </w:tcPr>
          <w:p w14:paraId="1574FFC4">
            <w:pPr>
              <w:jc w:val="center"/>
              <w:rPr>
                <w:szCs w:val="21"/>
              </w:rPr>
            </w:pPr>
          </w:p>
        </w:tc>
      </w:tr>
      <w:tr w14:paraId="4BC6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F3CBA86">
            <w:pPr>
              <w:jc w:val="center"/>
              <w:rPr>
                <w:szCs w:val="21"/>
              </w:rPr>
            </w:pPr>
            <w:r>
              <w:rPr>
                <w:rFonts w:hint="eastAsia"/>
                <w:szCs w:val="21"/>
              </w:rPr>
              <w:t>2</w:t>
            </w:r>
          </w:p>
        </w:tc>
        <w:tc>
          <w:tcPr>
            <w:tcW w:w="2273" w:type="pct"/>
            <w:vAlign w:val="center"/>
          </w:tcPr>
          <w:p w14:paraId="5559C82E">
            <w:pPr>
              <w:jc w:val="center"/>
              <w:rPr>
                <w:szCs w:val="21"/>
              </w:rPr>
            </w:pPr>
          </w:p>
        </w:tc>
        <w:tc>
          <w:tcPr>
            <w:tcW w:w="1667" w:type="pct"/>
            <w:vAlign w:val="center"/>
          </w:tcPr>
          <w:p w14:paraId="46073B51">
            <w:pPr>
              <w:jc w:val="center"/>
              <w:rPr>
                <w:szCs w:val="21"/>
              </w:rPr>
            </w:pPr>
          </w:p>
        </w:tc>
      </w:tr>
      <w:tr w14:paraId="1341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E7F61B1">
            <w:pPr>
              <w:jc w:val="center"/>
              <w:rPr>
                <w:szCs w:val="21"/>
              </w:rPr>
            </w:pPr>
            <w:r>
              <w:rPr>
                <w:rFonts w:hint="eastAsia"/>
                <w:szCs w:val="21"/>
              </w:rPr>
              <w:t>3</w:t>
            </w:r>
          </w:p>
        </w:tc>
        <w:tc>
          <w:tcPr>
            <w:tcW w:w="2273" w:type="pct"/>
            <w:vAlign w:val="center"/>
          </w:tcPr>
          <w:p w14:paraId="7DDC658F">
            <w:pPr>
              <w:jc w:val="center"/>
              <w:rPr>
                <w:szCs w:val="21"/>
              </w:rPr>
            </w:pPr>
          </w:p>
        </w:tc>
        <w:tc>
          <w:tcPr>
            <w:tcW w:w="1667" w:type="pct"/>
            <w:vAlign w:val="center"/>
          </w:tcPr>
          <w:p w14:paraId="4CC418E3">
            <w:pPr>
              <w:jc w:val="center"/>
              <w:rPr>
                <w:szCs w:val="21"/>
              </w:rPr>
            </w:pPr>
          </w:p>
        </w:tc>
      </w:tr>
    </w:tbl>
    <w:p w14:paraId="1D09CB16">
      <w:pPr>
        <w:spacing w:line="360" w:lineRule="auto"/>
        <w:ind w:firstLine="480" w:firstLineChars="200"/>
        <w:rPr>
          <w:sz w:val="24"/>
        </w:rPr>
      </w:pPr>
      <w:r>
        <w:rPr>
          <w:rFonts w:hint="eastAsia"/>
          <w:sz w:val="24"/>
        </w:rPr>
        <w:t>上表未填写的，视为不存在第（六）条所列情形</w:t>
      </w:r>
    </w:p>
    <w:p w14:paraId="6AC6B632">
      <w:pPr>
        <w:spacing w:line="360" w:lineRule="auto"/>
        <w:ind w:firstLine="480" w:firstLineChars="200"/>
        <w:rPr>
          <w:sz w:val="24"/>
        </w:rPr>
      </w:pPr>
    </w:p>
    <w:p w14:paraId="04359873">
      <w:pPr>
        <w:spacing w:line="360" w:lineRule="auto"/>
        <w:ind w:firstLine="480" w:firstLineChars="200"/>
        <w:rPr>
          <w:sz w:val="24"/>
        </w:rPr>
      </w:pPr>
      <w:r>
        <w:rPr>
          <w:rFonts w:hint="eastAsia"/>
          <w:sz w:val="24"/>
        </w:rPr>
        <w:t>上述声明真实有效，否则我单位承担全部责任和不利后果。</w:t>
      </w:r>
    </w:p>
    <w:p w14:paraId="33FD0935">
      <w:pPr>
        <w:spacing w:line="360" w:lineRule="auto"/>
        <w:ind w:firstLine="480" w:firstLineChars="200"/>
        <w:rPr>
          <w:sz w:val="24"/>
        </w:rPr>
      </w:pPr>
    </w:p>
    <w:p w14:paraId="637829AD">
      <w:pPr>
        <w:spacing w:line="360" w:lineRule="auto"/>
        <w:ind w:firstLine="240" w:firstLineChars="100"/>
        <w:rPr>
          <w:sz w:val="24"/>
        </w:rPr>
      </w:pPr>
      <w:r>
        <w:rPr>
          <w:sz w:val="24"/>
        </w:rPr>
        <w:t>投标人名称：</w:t>
      </w:r>
    </w:p>
    <w:p w14:paraId="761C1037">
      <w:pPr>
        <w:spacing w:line="360" w:lineRule="auto"/>
        <w:ind w:firstLine="240" w:firstLineChars="100"/>
        <w:rPr>
          <w:sz w:val="24"/>
        </w:rPr>
      </w:pPr>
    </w:p>
    <w:p w14:paraId="274C85A2">
      <w:pPr>
        <w:spacing w:line="360" w:lineRule="auto"/>
        <w:ind w:firstLine="240" w:firstLineChars="100"/>
        <w:rPr>
          <w:sz w:val="24"/>
        </w:rPr>
      </w:pPr>
      <w:r>
        <w:rPr>
          <w:sz w:val="24"/>
        </w:rPr>
        <w:t xml:space="preserve">日期：  </w:t>
      </w:r>
    </w:p>
    <w:p w14:paraId="6672E141">
      <w:pPr>
        <w:spacing w:line="460" w:lineRule="exact"/>
        <w:rPr>
          <w:b/>
          <w:sz w:val="24"/>
        </w:rPr>
      </w:pPr>
    </w:p>
    <w:p w14:paraId="76075930">
      <w:pPr>
        <w:spacing w:line="460" w:lineRule="exact"/>
        <w:rPr>
          <w:b/>
          <w:sz w:val="24"/>
        </w:rPr>
      </w:pPr>
    </w:p>
    <w:p w14:paraId="57DBFFD0">
      <w:pPr>
        <w:spacing w:line="460" w:lineRule="exact"/>
        <w:rPr>
          <w:b/>
          <w:sz w:val="24"/>
        </w:rPr>
      </w:pPr>
    </w:p>
    <w:p w14:paraId="67BD67CE">
      <w:pPr>
        <w:spacing w:line="460" w:lineRule="exact"/>
        <w:rPr>
          <w:b/>
          <w:sz w:val="24"/>
        </w:rPr>
      </w:pPr>
    </w:p>
    <w:p w14:paraId="6317D8EF">
      <w:pPr>
        <w:spacing w:line="460" w:lineRule="exact"/>
        <w:rPr>
          <w:b/>
          <w:sz w:val="24"/>
        </w:rPr>
      </w:pPr>
    </w:p>
    <w:p w14:paraId="37C70624">
      <w:pPr>
        <w:spacing w:line="460" w:lineRule="exact"/>
        <w:rPr>
          <w:b/>
          <w:sz w:val="24"/>
        </w:rPr>
      </w:pPr>
    </w:p>
    <w:p w14:paraId="5E10738B">
      <w:pPr>
        <w:spacing w:line="460" w:lineRule="exact"/>
        <w:rPr>
          <w:b/>
          <w:sz w:val="24"/>
        </w:rPr>
      </w:pPr>
      <w:r>
        <w:rPr>
          <w:rFonts w:hint="eastAsia"/>
          <w:b/>
          <w:bCs/>
          <w:sz w:val="24"/>
        </w:rPr>
        <w:t>附件2-1：磋商文件第一部分供应商资格要求的证件</w:t>
      </w:r>
    </w:p>
    <w:p w14:paraId="4454C606">
      <w:pPr>
        <w:spacing w:line="460" w:lineRule="exact"/>
        <w:rPr>
          <w:b/>
          <w:sz w:val="24"/>
        </w:rPr>
      </w:pPr>
    </w:p>
    <w:p w14:paraId="3E7F476B">
      <w:pPr>
        <w:spacing w:line="460" w:lineRule="exact"/>
        <w:jc w:val="left"/>
        <w:rPr>
          <w:b/>
          <w:sz w:val="24"/>
        </w:rPr>
      </w:pPr>
      <w:r>
        <w:rPr>
          <w:b/>
          <w:sz w:val="24"/>
        </w:rPr>
        <w:br w:type="page"/>
      </w:r>
      <w:r>
        <w:rPr>
          <w:b/>
          <w:sz w:val="24"/>
        </w:rPr>
        <w:t>附件3</w:t>
      </w:r>
    </w:p>
    <w:p w14:paraId="5E7CADA1">
      <w:pPr>
        <w:autoSpaceDN w:val="0"/>
        <w:spacing w:line="360" w:lineRule="auto"/>
        <w:jc w:val="center"/>
        <w:rPr>
          <w:b/>
          <w:bCs/>
          <w:sz w:val="24"/>
        </w:rPr>
      </w:pPr>
      <w:r>
        <w:rPr>
          <w:rFonts w:hint="eastAsia"/>
          <w:b/>
          <w:bCs/>
          <w:sz w:val="24"/>
        </w:rPr>
        <w:t>磋商</w:t>
      </w:r>
      <w:r>
        <w:rPr>
          <w:b/>
          <w:bCs/>
          <w:sz w:val="24"/>
        </w:rPr>
        <w:t>代表人授权书</w:t>
      </w:r>
    </w:p>
    <w:p w14:paraId="7F74ACFD">
      <w:pPr>
        <w:spacing w:line="360" w:lineRule="auto"/>
        <w:rPr>
          <w:sz w:val="24"/>
          <w:szCs w:val="21"/>
        </w:rPr>
      </w:pPr>
    </w:p>
    <w:p w14:paraId="149F713F">
      <w:pPr>
        <w:spacing w:line="360" w:lineRule="auto"/>
        <w:rPr>
          <w:sz w:val="24"/>
          <w:szCs w:val="21"/>
        </w:rPr>
      </w:pPr>
      <w:r>
        <w:rPr>
          <w:sz w:val="24"/>
          <w:szCs w:val="21"/>
        </w:rPr>
        <w:t>致：天津市政府采购中心</w:t>
      </w:r>
    </w:p>
    <w:p w14:paraId="6A04A9A0">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2EB09D22">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31410012">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758B70D4">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7302D6C8">
      <w:pPr>
        <w:spacing w:line="360" w:lineRule="auto"/>
        <w:ind w:firstLine="480" w:firstLineChars="200"/>
        <w:rPr>
          <w:sz w:val="24"/>
        </w:rPr>
      </w:pPr>
    </w:p>
    <w:p w14:paraId="08FBC236">
      <w:pPr>
        <w:spacing w:line="360" w:lineRule="auto"/>
        <w:ind w:firstLine="480" w:firstLineChars="200"/>
        <w:rPr>
          <w:sz w:val="24"/>
        </w:rPr>
      </w:pPr>
    </w:p>
    <w:p w14:paraId="4A027786">
      <w:pPr>
        <w:spacing w:line="360" w:lineRule="auto"/>
        <w:ind w:firstLine="480" w:firstLineChars="200"/>
        <w:rPr>
          <w:sz w:val="24"/>
        </w:rPr>
      </w:pPr>
    </w:p>
    <w:p w14:paraId="1572A281">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C91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6B7FA467">
            <w:pPr>
              <w:spacing w:line="360" w:lineRule="auto"/>
              <w:jc w:val="left"/>
              <w:rPr>
                <w:sz w:val="24"/>
              </w:rPr>
            </w:pPr>
            <w:r>
              <w:rPr>
                <w:sz w:val="24"/>
              </w:rPr>
              <w:t>磋商代表人身份证正面</w:t>
            </w:r>
          </w:p>
          <w:p w14:paraId="0AD5DBB0">
            <w:pPr>
              <w:spacing w:line="360" w:lineRule="auto"/>
              <w:jc w:val="left"/>
              <w:rPr>
                <w:sz w:val="24"/>
              </w:rPr>
            </w:pPr>
          </w:p>
          <w:p w14:paraId="032D5087">
            <w:pPr>
              <w:spacing w:line="360" w:lineRule="auto"/>
              <w:jc w:val="left"/>
              <w:rPr>
                <w:sz w:val="24"/>
              </w:rPr>
            </w:pPr>
          </w:p>
          <w:p w14:paraId="16F3107C">
            <w:pPr>
              <w:spacing w:line="360" w:lineRule="auto"/>
              <w:jc w:val="left"/>
              <w:rPr>
                <w:sz w:val="24"/>
              </w:rPr>
            </w:pPr>
          </w:p>
          <w:p w14:paraId="2E66A646">
            <w:pPr>
              <w:spacing w:line="360" w:lineRule="auto"/>
              <w:jc w:val="left"/>
              <w:rPr>
                <w:sz w:val="24"/>
              </w:rPr>
            </w:pPr>
          </w:p>
          <w:p w14:paraId="63EF3BB0">
            <w:pPr>
              <w:spacing w:line="360" w:lineRule="auto"/>
              <w:jc w:val="left"/>
              <w:rPr>
                <w:sz w:val="24"/>
              </w:rPr>
            </w:pPr>
          </w:p>
        </w:tc>
        <w:tc>
          <w:tcPr>
            <w:tcW w:w="4264" w:type="dxa"/>
            <w:shd w:val="clear" w:color="auto" w:fill="auto"/>
          </w:tcPr>
          <w:p w14:paraId="322C2F0F">
            <w:pPr>
              <w:spacing w:line="360" w:lineRule="auto"/>
              <w:jc w:val="left"/>
              <w:rPr>
                <w:sz w:val="24"/>
              </w:rPr>
            </w:pPr>
            <w:r>
              <w:rPr>
                <w:sz w:val="24"/>
              </w:rPr>
              <w:t>磋商代表人身份证背面</w:t>
            </w:r>
          </w:p>
        </w:tc>
      </w:tr>
    </w:tbl>
    <w:p w14:paraId="4D2208E1">
      <w:pPr>
        <w:spacing w:line="360" w:lineRule="auto"/>
        <w:rPr>
          <w:sz w:val="24"/>
        </w:rPr>
      </w:pPr>
    </w:p>
    <w:p w14:paraId="27A5A70A">
      <w:pPr>
        <w:spacing w:line="460" w:lineRule="exact"/>
        <w:jc w:val="left"/>
        <w:rPr>
          <w:b/>
          <w:sz w:val="24"/>
        </w:rPr>
      </w:pPr>
      <w:r>
        <w:rPr>
          <w:b/>
          <w:sz w:val="24"/>
        </w:rPr>
        <w:br w:type="page"/>
      </w:r>
      <w:r>
        <w:rPr>
          <w:b/>
          <w:sz w:val="24"/>
        </w:rPr>
        <w:t>附件4-1</w:t>
      </w:r>
    </w:p>
    <w:p w14:paraId="4197E843">
      <w:pPr>
        <w:spacing w:line="460" w:lineRule="exact"/>
        <w:ind w:left="181"/>
        <w:jc w:val="center"/>
        <w:rPr>
          <w:b/>
          <w:sz w:val="24"/>
        </w:rPr>
      </w:pPr>
    </w:p>
    <w:p w14:paraId="32CCD57A">
      <w:pPr>
        <w:autoSpaceDN w:val="0"/>
        <w:spacing w:line="360" w:lineRule="auto"/>
        <w:jc w:val="center"/>
        <w:rPr>
          <w:b/>
          <w:bCs/>
          <w:sz w:val="24"/>
        </w:rPr>
      </w:pPr>
      <w:r>
        <w:rPr>
          <w:b/>
          <w:bCs/>
          <w:sz w:val="24"/>
        </w:rPr>
        <w:t>商务要求点对点应答表</w:t>
      </w:r>
    </w:p>
    <w:p w14:paraId="4D6B0BFB">
      <w:pPr>
        <w:spacing w:line="460" w:lineRule="exact"/>
        <w:rPr>
          <w:sz w:val="24"/>
        </w:rPr>
      </w:pPr>
    </w:p>
    <w:p w14:paraId="36FF6F78">
      <w:pPr>
        <w:spacing w:line="460" w:lineRule="exact"/>
        <w:rPr>
          <w:sz w:val="24"/>
        </w:rPr>
      </w:pPr>
      <w:r>
        <w:rPr>
          <w:sz w:val="24"/>
        </w:rPr>
        <w:t>项目名称：</w:t>
      </w:r>
      <w:r>
        <w:rPr>
          <w:sz w:val="24"/>
          <w:u w:val="single"/>
        </w:rPr>
        <w:t xml:space="preserve">                    </w:t>
      </w:r>
    </w:p>
    <w:p w14:paraId="6FDC3A6D">
      <w:pPr>
        <w:spacing w:line="460" w:lineRule="exact"/>
        <w:rPr>
          <w:sz w:val="24"/>
        </w:rPr>
      </w:pPr>
      <w:r>
        <w:rPr>
          <w:sz w:val="24"/>
        </w:rPr>
        <w:t>项目编号：</w:t>
      </w:r>
      <w:r>
        <w:rPr>
          <w:sz w:val="24"/>
          <w:u w:val="single"/>
        </w:rPr>
        <w:t xml:space="preserve">                    </w:t>
      </w:r>
    </w:p>
    <w:p w14:paraId="67C1BF4E">
      <w:pPr>
        <w:spacing w:line="460" w:lineRule="exact"/>
        <w:rPr>
          <w:sz w:val="24"/>
          <w:u w:val="single"/>
        </w:rPr>
      </w:pPr>
      <w:r>
        <w:rPr>
          <w:sz w:val="24"/>
        </w:rPr>
        <w:t>包号：</w:t>
      </w:r>
      <w:r>
        <w:rPr>
          <w:sz w:val="24"/>
          <w:u w:val="single"/>
        </w:rPr>
        <w:t xml:space="preserve">                        </w:t>
      </w:r>
    </w:p>
    <w:p w14:paraId="2A6BC7BF">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79687325">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39CC8F82">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5EF7ABA">
            <w:pPr>
              <w:widowControl/>
              <w:jc w:val="center"/>
              <w:rPr>
                <w:kern w:val="0"/>
                <w:szCs w:val="21"/>
              </w:rPr>
            </w:pPr>
            <w:r>
              <w:rPr>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63C46B62">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5CA588F">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11109167">
            <w:pPr>
              <w:widowControl/>
              <w:jc w:val="center"/>
              <w:rPr>
                <w:kern w:val="0"/>
                <w:szCs w:val="21"/>
              </w:rPr>
            </w:pPr>
            <w:r>
              <w:rPr>
                <w:kern w:val="0"/>
                <w:szCs w:val="21"/>
              </w:rPr>
              <w:t>备注</w:t>
            </w:r>
          </w:p>
        </w:tc>
      </w:tr>
      <w:tr w14:paraId="09B6310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7F1074C">
            <w:pPr>
              <w:widowControl/>
              <w:jc w:val="left"/>
              <w:rPr>
                <w:kern w:val="0"/>
                <w:szCs w:val="21"/>
              </w:rPr>
            </w:pPr>
            <w:r>
              <w:rPr>
                <w:kern w:val="0"/>
                <w:szCs w:val="21"/>
              </w:rPr>
              <w:t>（一）报价要求</w:t>
            </w:r>
          </w:p>
        </w:tc>
      </w:tr>
      <w:tr w14:paraId="73663F74">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7A7ED94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A1B4A87">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E42C82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C25CD7E">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1AA98C2">
            <w:pPr>
              <w:widowControl/>
              <w:jc w:val="left"/>
              <w:rPr>
                <w:kern w:val="0"/>
                <w:szCs w:val="21"/>
              </w:rPr>
            </w:pPr>
            <w:r>
              <w:rPr>
                <w:kern w:val="0"/>
                <w:szCs w:val="21"/>
              </w:rPr>
              <w:t>　</w:t>
            </w:r>
          </w:p>
        </w:tc>
      </w:tr>
      <w:tr w14:paraId="70B2D4C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13EB613">
            <w:pPr>
              <w:widowControl/>
              <w:jc w:val="left"/>
              <w:rPr>
                <w:kern w:val="0"/>
                <w:szCs w:val="21"/>
              </w:rPr>
            </w:pPr>
            <w:r>
              <w:rPr>
                <w:kern w:val="0"/>
                <w:szCs w:val="21"/>
              </w:rPr>
              <w:t>（二）时间、地点要求</w:t>
            </w:r>
          </w:p>
        </w:tc>
      </w:tr>
      <w:tr w14:paraId="4B4F2210">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D9C6BF5">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5352C15">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7C25A8C">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BDAF67E">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A920FA2">
            <w:pPr>
              <w:widowControl/>
              <w:jc w:val="left"/>
              <w:rPr>
                <w:kern w:val="0"/>
                <w:szCs w:val="21"/>
              </w:rPr>
            </w:pPr>
            <w:r>
              <w:rPr>
                <w:kern w:val="0"/>
                <w:szCs w:val="21"/>
              </w:rPr>
              <w:t>　</w:t>
            </w:r>
          </w:p>
        </w:tc>
      </w:tr>
      <w:tr w14:paraId="14D51C6E">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914E588">
            <w:pPr>
              <w:widowControl/>
              <w:jc w:val="left"/>
              <w:rPr>
                <w:kern w:val="0"/>
                <w:szCs w:val="21"/>
              </w:rPr>
            </w:pPr>
            <w:r>
              <w:rPr>
                <w:kern w:val="0"/>
                <w:szCs w:val="21"/>
              </w:rPr>
              <w:t>（三）付款方式</w:t>
            </w:r>
          </w:p>
        </w:tc>
      </w:tr>
      <w:tr w14:paraId="4A837924">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1BFB2E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DCB3D5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A89EF6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AE5EE0C">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09C65DC">
            <w:pPr>
              <w:widowControl/>
              <w:jc w:val="left"/>
              <w:rPr>
                <w:kern w:val="0"/>
                <w:szCs w:val="21"/>
              </w:rPr>
            </w:pPr>
            <w:r>
              <w:rPr>
                <w:kern w:val="0"/>
                <w:szCs w:val="21"/>
              </w:rPr>
              <w:t>　</w:t>
            </w:r>
          </w:p>
        </w:tc>
      </w:tr>
      <w:tr w14:paraId="60ADB99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1431FD4">
            <w:pPr>
              <w:widowControl/>
              <w:jc w:val="left"/>
              <w:rPr>
                <w:kern w:val="0"/>
                <w:szCs w:val="21"/>
              </w:rPr>
            </w:pPr>
            <w:r>
              <w:rPr>
                <w:kern w:val="0"/>
                <w:szCs w:val="21"/>
              </w:rPr>
              <w:t>（四）投标保证金和履约保证金</w:t>
            </w:r>
          </w:p>
        </w:tc>
      </w:tr>
      <w:tr w14:paraId="599A360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6A7D5C0">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7A82DC8">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2261CA1">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4D95A27">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2E2C2E6">
            <w:pPr>
              <w:widowControl/>
              <w:jc w:val="left"/>
              <w:rPr>
                <w:kern w:val="0"/>
                <w:szCs w:val="21"/>
              </w:rPr>
            </w:pPr>
            <w:r>
              <w:rPr>
                <w:kern w:val="0"/>
                <w:szCs w:val="21"/>
              </w:rPr>
              <w:t>　</w:t>
            </w:r>
          </w:p>
        </w:tc>
      </w:tr>
    </w:tbl>
    <w:p w14:paraId="7F514837">
      <w:pPr>
        <w:spacing w:line="620" w:lineRule="exact"/>
        <w:rPr>
          <w:sz w:val="24"/>
        </w:rPr>
      </w:pPr>
      <w:r>
        <w:rPr>
          <w:sz w:val="24"/>
        </w:rPr>
        <w:t>注：</w:t>
      </w:r>
    </w:p>
    <w:p w14:paraId="311132D6">
      <w:pPr>
        <w:spacing w:line="360" w:lineRule="auto"/>
        <w:rPr>
          <w:sz w:val="24"/>
        </w:rPr>
      </w:pPr>
      <w:r>
        <w:rPr>
          <w:sz w:val="24"/>
        </w:rPr>
        <w:t>1. 不如实填写偏离情况的响应文件将视为虚假材料。</w:t>
      </w:r>
    </w:p>
    <w:p w14:paraId="6FD6D200">
      <w:pPr>
        <w:spacing w:line="360" w:lineRule="auto"/>
        <w:rPr>
          <w:sz w:val="24"/>
        </w:rPr>
      </w:pPr>
      <w:r>
        <w:rPr>
          <w:sz w:val="24"/>
        </w:rPr>
        <w:t>2. 磋商要求指磋商文件中规定的具体要求，投标应答指响应文件的具体内容。</w:t>
      </w:r>
    </w:p>
    <w:p w14:paraId="6D7C0D95">
      <w:pPr>
        <w:spacing w:line="360" w:lineRule="auto"/>
        <w:rPr>
          <w:sz w:val="24"/>
        </w:rPr>
      </w:pPr>
      <w:r>
        <w:rPr>
          <w:rFonts w:hint="eastAsia"/>
          <w:sz w:val="24"/>
        </w:rPr>
        <w:t>3</w:t>
      </w:r>
      <w:r>
        <w:rPr>
          <w:sz w:val="24"/>
        </w:rPr>
        <w:t>. 偏离说明指磋商要求与投标应答之间的不同之处。</w:t>
      </w:r>
    </w:p>
    <w:p w14:paraId="38EC6D55">
      <w:pPr>
        <w:spacing w:line="360" w:lineRule="auto"/>
        <w:rPr>
          <w:sz w:val="24"/>
        </w:rPr>
      </w:pPr>
    </w:p>
    <w:p w14:paraId="7FB11CCF">
      <w:pPr>
        <w:spacing w:line="360" w:lineRule="auto"/>
        <w:ind w:firstLine="4080" w:firstLineChars="1700"/>
        <w:rPr>
          <w:sz w:val="24"/>
        </w:rPr>
      </w:pPr>
      <w:r>
        <w:rPr>
          <w:sz w:val="24"/>
        </w:rPr>
        <w:t>投标人名称：</w:t>
      </w:r>
    </w:p>
    <w:p w14:paraId="2D6CE90D">
      <w:pPr>
        <w:spacing w:line="360" w:lineRule="auto"/>
        <w:ind w:firstLine="4080" w:firstLineChars="1700"/>
        <w:rPr>
          <w:sz w:val="24"/>
        </w:rPr>
      </w:pPr>
    </w:p>
    <w:p w14:paraId="33B8AC8F">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271FC4">
      <w:pPr>
        <w:tabs>
          <w:tab w:val="left" w:pos="360"/>
        </w:tabs>
        <w:spacing w:after="312" w:afterLines="100" w:line="360" w:lineRule="auto"/>
        <w:rPr>
          <w:b/>
          <w:sz w:val="24"/>
        </w:rPr>
      </w:pPr>
      <w:r>
        <w:rPr>
          <w:sz w:val="24"/>
        </w:rPr>
        <w:br w:type="page"/>
      </w:r>
      <w:r>
        <w:rPr>
          <w:b/>
          <w:sz w:val="24"/>
        </w:rPr>
        <w:t>附件4-2</w:t>
      </w:r>
    </w:p>
    <w:p w14:paraId="6999E09A">
      <w:pPr>
        <w:autoSpaceDN w:val="0"/>
        <w:spacing w:line="360" w:lineRule="auto"/>
        <w:jc w:val="center"/>
        <w:rPr>
          <w:b/>
          <w:bCs/>
          <w:sz w:val="24"/>
        </w:rPr>
      </w:pPr>
      <w:r>
        <w:rPr>
          <w:b/>
          <w:bCs/>
          <w:sz w:val="24"/>
        </w:rPr>
        <w:t>技术要求点对点应答表</w:t>
      </w:r>
    </w:p>
    <w:p w14:paraId="6A103648">
      <w:pPr>
        <w:spacing w:line="460" w:lineRule="exact"/>
        <w:rPr>
          <w:sz w:val="24"/>
        </w:rPr>
      </w:pPr>
    </w:p>
    <w:p w14:paraId="5FA2B798">
      <w:pPr>
        <w:spacing w:line="460" w:lineRule="exact"/>
        <w:rPr>
          <w:sz w:val="24"/>
        </w:rPr>
      </w:pPr>
      <w:r>
        <w:rPr>
          <w:sz w:val="24"/>
        </w:rPr>
        <w:t>项目名称：</w:t>
      </w:r>
      <w:r>
        <w:rPr>
          <w:sz w:val="24"/>
          <w:u w:val="single"/>
        </w:rPr>
        <w:t xml:space="preserve">                    </w:t>
      </w:r>
    </w:p>
    <w:p w14:paraId="18892F10">
      <w:pPr>
        <w:spacing w:line="460" w:lineRule="exact"/>
        <w:rPr>
          <w:sz w:val="24"/>
        </w:rPr>
      </w:pPr>
      <w:r>
        <w:rPr>
          <w:sz w:val="24"/>
        </w:rPr>
        <w:t>项目编号：</w:t>
      </w:r>
      <w:r>
        <w:rPr>
          <w:sz w:val="24"/>
          <w:u w:val="single"/>
        </w:rPr>
        <w:t xml:space="preserve">                    </w:t>
      </w:r>
    </w:p>
    <w:p w14:paraId="414D0681">
      <w:pPr>
        <w:spacing w:line="460" w:lineRule="exact"/>
        <w:rPr>
          <w:sz w:val="24"/>
          <w:u w:val="single"/>
        </w:rPr>
      </w:pPr>
      <w:r>
        <w:rPr>
          <w:sz w:val="24"/>
        </w:rPr>
        <w:t>包号：</w:t>
      </w:r>
      <w:r>
        <w:rPr>
          <w:sz w:val="24"/>
          <w:u w:val="single"/>
        </w:rPr>
        <w:t xml:space="preserve">                        </w:t>
      </w:r>
    </w:p>
    <w:p w14:paraId="13AE48D4">
      <w:pPr>
        <w:spacing w:line="460" w:lineRule="exact"/>
        <w:rPr>
          <w:sz w:val="24"/>
          <w:u w:val="single"/>
        </w:rPr>
      </w:pPr>
    </w:p>
    <w:tbl>
      <w:tblPr>
        <w:tblStyle w:val="16"/>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07B4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090EF102">
            <w:pPr>
              <w:widowControl/>
              <w:snapToGrid w:val="0"/>
              <w:jc w:val="center"/>
              <w:rPr>
                <w:kern w:val="0"/>
                <w:sz w:val="24"/>
                <w:szCs w:val="21"/>
              </w:rPr>
            </w:pPr>
            <w:r>
              <w:rPr>
                <w:kern w:val="0"/>
                <w:sz w:val="24"/>
                <w:szCs w:val="21"/>
              </w:rPr>
              <w:t>序号</w:t>
            </w:r>
          </w:p>
        </w:tc>
        <w:tc>
          <w:tcPr>
            <w:tcW w:w="3922" w:type="dxa"/>
            <w:shd w:val="clear" w:color="auto" w:fill="auto"/>
            <w:vAlign w:val="center"/>
          </w:tcPr>
          <w:p w14:paraId="3FAEAEA1">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6F5B8B26">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0E9E36D">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5445DFE6">
            <w:pPr>
              <w:widowControl/>
              <w:snapToGrid w:val="0"/>
              <w:jc w:val="center"/>
              <w:rPr>
                <w:kern w:val="0"/>
                <w:sz w:val="24"/>
                <w:szCs w:val="21"/>
              </w:rPr>
            </w:pPr>
            <w:r>
              <w:rPr>
                <w:kern w:val="0"/>
                <w:sz w:val="24"/>
                <w:szCs w:val="21"/>
              </w:rPr>
              <w:t>备注</w:t>
            </w:r>
          </w:p>
        </w:tc>
      </w:tr>
      <w:tr w14:paraId="54DA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D36D505">
            <w:pPr>
              <w:widowControl/>
              <w:snapToGrid w:val="0"/>
              <w:jc w:val="center"/>
              <w:rPr>
                <w:kern w:val="0"/>
                <w:sz w:val="24"/>
                <w:szCs w:val="21"/>
              </w:rPr>
            </w:pPr>
            <w:r>
              <w:rPr>
                <w:kern w:val="0"/>
                <w:sz w:val="24"/>
                <w:szCs w:val="21"/>
              </w:rPr>
              <w:t>1</w:t>
            </w:r>
          </w:p>
        </w:tc>
        <w:tc>
          <w:tcPr>
            <w:tcW w:w="3922" w:type="dxa"/>
            <w:shd w:val="clear" w:color="auto" w:fill="auto"/>
            <w:vAlign w:val="center"/>
          </w:tcPr>
          <w:p w14:paraId="3578A017">
            <w:pPr>
              <w:widowControl/>
              <w:snapToGrid w:val="0"/>
              <w:jc w:val="left"/>
              <w:rPr>
                <w:kern w:val="0"/>
                <w:sz w:val="24"/>
                <w:szCs w:val="21"/>
              </w:rPr>
            </w:pPr>
            <w:r>
              <w:rPr>
                <w:rFonts w:hint="eastAsia"/>
                <w:kern w:val="0"/>
                <w:sz w:val="24"/>
                <w:szCs w:val="21"/>
              </w:rPr>
              <w:t>（一）供应商须承诺所提供的服务、人员及设备符合相关国家强制性规定。供应商须承诺在项目实施过程中，遵守《中华人民共和国特种设备安全法》、《中华人民共和国安全生产法》等相关法律法规，若涉及特种作业或特种设备的操作，供应商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14:paraId="3E48B3B4">
            <w:pPr>
              <w:widowControl/>
              <w:snapToGrid w:val="0"/>
              <w:jc w:val="center"/>
              <w:rPr>
                <w:kern w:val="0"/>
                <w:sz w:val="24"/>
                <w:szCs w:val="21"/>
              </w:rPr>
            </w:pPr>
          </w:p>
        </w:tc>
        <w:tc>
          <w:tcPr>
            <w:tcW w:w="1289" w:type="dxa"/>
            <w:shd w:val="clear" w:color="auto" w:fill="auto"/>
            <w:vAlign w:val="center"/>
          </w:tcPr>
          <w:p w14:paraId="0B354BB7">
            <w:pPr>
              <w:widowControl/>
              <w:snapToGrid w:val="0"/>
              <w:jc w:val="center"/>
              <w:rPr>
                <w:kern w:val="0"/>
                <w:sz w:val="24"/>
                <w:szCs w:val="21"/>
              </w:rPr>
            </w:pPr>
          </w:p>
        </w:tc>
        <w:tc>
          <w:tcPr>
            <w:tcW w:w="843" w:type="dxa"/>
            <w:shd w:val="clear" w:color="auto" w:fill="auto"/>
            <w:vAlign w:val="center"/>
          </w:tcPr>
          <w:p w14:paraId="3787B805">
            <w:pPr>
              <w:widowControl/>
              <w:snapToGrid w:val="0"/>
              <w:jc w:val="center"/>
              <w:rPr>
                <w:kern w:val="0"/>
                <w:sz w:val="24"/>
                <w:szCs w:val="21"/>
              </w:rPr>
            </w:pPr>
          </w:p>
        </w:tc>
      </w:tr>
      <w:tr w14:paraId="0E79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673952D">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14:paraId="1921718D">
            <w:pPr>
              <w:widowControl/>
              <w:snapToGrid w:val="0"/>
              <w:jc w:val="left"/>
              <w:rPr>
                <w:kern w:val="0"/>
                <w:sz w:val="24"/>
                <w:szCs w:val="21"/>
              </w:rPr>
            </w:pPr>
            <w:r>
              <w:rPr>
                <w:rFonts w:hint="eastAsia"/>
                <w:kern w:val="0"/>
                <w:sz w:val="24"/>
                <w:szCs w:val="21"/>
              </w:rPr>
              <w:t>（二）供应商须承诺，若涉及安全技术防范系统、防雷系统、消防系统的服务内容，将分别由具备安全技术防范系统设计、安装、维修企业备案登记证明、安装、维修企业备案登记证、防雷工程专业施工资质、消防技术服务机构（含消防设施维护保养检测）资质的单位完成，其费用由供应商承担。采购人有权查验服务单位的资质，若不符合要求，采购人有权要求更换服务单位。</w:t>
            </w:r>
          </w:p>
        </w:tc>
        <w:tc>
          <w:tcPr>
            <w:tcW w:w="2438" w:type="dxa"/>
            <w:shd w:val="clear" w:color="auto" w:fill="auto"/>
            <w:vAlign w:val="center"/>
          </w:tcPr>
          <w:p w14:paraId="2204EF90">
            <w:pPr>
              <w:widowControl/>
              <w:snapToGrid w:val="0"/>
              <w:jc w:val="center"/>
              <w:rPr>
                <w:kern w:val="0"/>
                <w:sz w:val="24"/>
                <w:szCs w:val="21"/>
              </w:rPr>
            </w:pPr>
          </w:p>
        </w:tc>
        <w:tc>
          <w:tcPr>
            <w:tcW w:w="1289" w:type="dxa"/>
            <w:shd w:val="clear" w:color="auto" w:fill="auto"/>
            <w:vAlign w:val="center"/>
          </w:tcPr>
          <w:p w14:paraId="721FAC34">
            <w:pPr>
              <w:widowControl/>
              <w:snapToGrid w:val="0"/>
              <w:jc w:val="center"/>
              <w:rPr>
                <w:kern w:val="0"/>
                <w:sz w:val="24"/>
                <w:szCs w:val="21"/>
              </w:rPr>
            </w:pPr>
          </w:p>
        </w:tc>
        <w:tc>
          <w:tcPr>
            <w:tcW w:w="843" w:type="dxa"/>
            <w:shd w:val="clear" w:color="auto" w:fill="auto"/>
            <w:vAlign w:val="center"/>
          </w:tcPr>
          <w:p w14:paraId="32300896">
            <w:pPr>
              <w:widowControl/>
              <w:snapToGrid w:val="0"/>
              <w:jc w:val="center"/>
              <w:rPr>
                <w:kern w:val="0"/>
                <w:sz w:val="24"/>
                <w:szCs w:val="21"/>
              </w:rPr>
            </w:pPr>
          </w:p>
        </w:tc>
      </w:tr>
      <w:tr w14:paraId="2703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F5280A2">
            <w:pPr>
              <w:widowControl/>
              <w:snapToGrid w:val="0"/>
              <w:jc w:val="center"/>
              <w:rPr>
                <w:kern w:val="0"/>
                <w:sz w:val="24"/>
                <w:szCs w:val="21"/>
              </w:rPr>
            </w:pPr>
            <w:r>
              <w:rPr>
                <w:rFonts w:hint="eastAsia"/>
                <w:kern w:val="0"/>
                <w:sz w:val="24"/>
                <w:szCs w:val="21"/>
              </w:rPr>
              <w:t>3</w:t>
            </w:r>
          </w:p>
        </w:tc>
        <w:tc>
          <w:tcPr>
            <w:tcW w:w="3922" w:type="dxa"/>
            <w:shd w:val="clear" w:color="auto" w:fill="auto"/>
            <w:vAlign w:val="center"/>
          </w:tcPr>
          <w:p w14:paraId="0E0055C2">
            <w:pPr>
              <w:widowControl/>
              <w:snapToGrid w:val="0"/>
              <w:jc w:val="left"/>
              <w:rPr>
                <w:kern w:val="0"/>
                <w:sz w:val="24"/>
                <w:szCs w:val="21"/>
              </w:rPr>
            </w:pPr>
            <w:r>
              <w:rPr>
                <w:rFonts w:hint="eastAsia"/>
                <w:kern w:val="0"/>
                <w:sz w:val="24"/>
                <w:szCs w:val="21"/>
              </w:rPr>
              <w:t>（三）本项目不接受赠品或者与采购无关的其他商品、服务，供应商亦不得以采购人要求实施前述馈赠、回扣等行为。</w:t>
            </w:r>
          </w:p>
        </w:tc>
        <w:tc>
          <w:tcPr>
            <w:tcW w:w="2438" w:type="dxa"/>
            <w:shd w:val="clear" w:color="auto" w:fill="auto"/>
            <w:vAlign w:val="center"/>
          </w:tcPr>
          <w:p w14:paraId="27E7C59D">
            <w:pPr>
              <w:widowControl/>
              <w:snapToGrid w:val="0"/>
              <w:jc w:val="center"/>
              <w:rPr>
                <w:kern w:val="0"/>
                <w:sz w:val="24"/>
                <w:szCs w:val="21"/>
              </w:rPr>
            </w:pPr>
          </w:p>
        </w:tc>
        <w:tc>
          <w:tcPr>
            <w:tcW w:w="1289" w:type="dxa"/>
            <w:shd w:val="clear" w:color="auto" w:fill="auto"/>
            <w:vAlign w:val="center"/>
          </w:tcPr>
          <w:p w14:paraId="66807428">
            <w:pPr>
              <w:widowControl/>
              <w:snapToGrid w:val="0"/>
              <w:jc w:val="center"/>
              <w:rPr>
                <w:kern w:val="0"/>
                <w:sz w:val="24"/>
                <w:szCs w:val="21"/>
              </w:rPr>
            </w:pPr>
          </w:p>
        </w:tc>
        <w:tc>
          <w:tcPr>
            <w:tcW w:w="843" w:type="dxa"/>
            <w:shd w:val="clear" w:color="auto" w:fill="auto"/>
            <w:vAlign w:val="center"/>
          </w:tcPr>
          <w:p w14:paraId="2982EC32">
            <w:pPr>
              <w:widowControl/>
              <w:snapToGrid w:val="0"/>
              <w:jc w:val="center"/>
              <w:rPr>
                <w:kern w:val="0"/>
                <w:sz w:val="24"/>
                <w:szCs w:val="21"/>
              </w:rPr>
            </w:pPr>
          </w:p>
        </w:tc>
      </w:tr>
      <w:tr w14:paraId="3C28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408B3B2">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14:paraId="49DD983A">
            <w:pPr>
              <w:widowControl/>
              <w:snapToGrid w:val="0"/>
              <w:jc w:val="left"/>
              <w:rPr>
                <w:kern w:val="0"/>
                <w:sz w:val="24"/>
                <w:szCs w:val="21"/>
              </w:rPr>
            </w:pPr>
            <w:r>
              <w:rPr>
                <w:rFonts w:hint="eastAsia"/>
                <w:kern w:val="0"/>
                <w:sz w:val="24"/>
                <w:szCs w:val="21"/>
              </w:rPr>
              <w:t>（四）供应商须提供本项目相关技术人员简历(含各成员的姓名、职务、职称、毕业学校、专业、专长、业绩等) 原则上不允许更换，如需更换人员，必须经采购人同意。</w:t>
            </w:r>
          </w:p>
        </w:tc>
        <w:tc>
          <w:tcPr>
            <w:tcW w:w="2438" w:type="dxa"/>
            <w:shd w:val="clear" w:color="auto" w:fill="auto"/>
            <w:vAlign w:val="center"/>
          </w:tcPr>
          <w:p w14:paraId="53049E47">
            <w:pPr>
              <w:widowControl/>
              <w:snapToGrid w:val="0"/>
              <w:jc w:val="center"/>
              <w:rPr>
                <w:kern w:val="0"/>
                <w:sz w:val="24"/>
                <w:szCs w:val="21"/>
              </w:rPr>
            </w:pPr>
          </w:p>
        </w:tc>
        <w:tc>
          <w:tcPr>
            <w:tcW w:w="1289" w:type="dxa"/>
            <w:shd w:val="clear" w:color="auto" w:fill="auto"/>
            <w:vAlign w:val="center"/>
          </w:tcPr>
          <w:p w14:paraId="0DF9F081">
            <w:pPr>
              <w:widowControl/>
              <w:snapToGrid w:val="0"/>
              <w:jc w:val="center"/>
              <w:rPr>
                <w:kern w:val="0"/>
                <w:sz w:val="24"/>
                <w:szCs w:val="21"/>
              </w:rPr>
            </w:pPr>
          </w:p>
        </w:tc>
        <w:tc>
          <w:tcPr>
            <w:tcW w:w="843" w:type="dxa"/>
            <w:shd w:val="clear" w:color="auto" w:fill="auto"/>
            <w:vAlign w:val="center"/>
          </w:tcPr>
          <w:p w14:paraId="7FA9C3D2">
            <w:pPr>
              <w:widowControl/>
              <w:snapToGrid w:val="0"/>
              <w:jc w:val="center"/>
              <w:rPr>
                <w:kern w:val="0"/>
                <w:sz w:val="24"/>
                <w:szCs w:val="21"/>
              </w:rPr>
            </w:pPr>
          </w:p>
        </w:tc>
      </w:tr>
      <w:tr w14:paraId="3D3B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ECA68CF">
            <w:pPr>
              <w:widowControl/>
              <w:snapToGrid w:val="0"/>
              <w:jc w:val="center"/>
              <w:rPr>
                <w:kern w:val="0"/>
                <w:sz w:val="24"/>
                <w:szCs w:val="21"/>
              </w:rPr>
            </w:pPr>
            <w:r>
              <w:rPr>
                <w:rFonts w:hint="eastAsia"/>
                <w:kern w:val="0"/>
                <w:sz w:val="24"/>
                <w:szCs w:val="21"/>
              </w:rPr>
              <w:t>5</w:t>
            </w:r>
          </w:p>
        </w:tc>
        <w:tc>
          <w:tcPr>
            <w:tcW w:w="3922" w:type="dxa"/>
            <w:shd w:val="clear" w:color="auto" w:fill="auto"/>
            <w:vAlign w:val="center"/>
          </w:tcPr>
          <w:p w14:paraId="507BC330">
            <w:pPr>
              <w:widowControl/>
              <w:snapToGrid w:val="0"/>
              <w:jc w:val="left"/>
              <w:rPr>
                <w:kern w:val="0"/>
                <w:sz w:val="24"/>
                <w:szCs w:val="21"/>
              </w:rPr>
            </w:pPr>
            <w:r>
              <w:rPr>
                <w:rFonts w:hint="eastAsia"/>
                <w:kern w:val="0"/>
                <w:sz w:val="24"/>
                <w:szCs w:val="21"/>
              </w:rPr>
              <w:t>（五）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tc>
        <w:tc>
          <w:tcPr>
            <w:tcW w:w="2438" w:type="dxa"/>
            <w:shd w:val="clear" w:color="auto" w:fill="auto"/>
            <w:vAlign w:val="center"/>
          </w:tcPr>
          <w:p w14:paraId="637DCB3A">
            <w:pPr>
              <w:widowControl/>
              <w:snapToGrid w:val="0"/>
              <w:jc w:val="center"/>
              <w:rPr>
                <w:kern w:val="0"/>
                <w:sz w:val="24"/>
                <w:szCs w:val="21"/>
              </w:rPr>
            </w:pPr>
          </w:p>
        </w:tc>
        <w:tc>
          <w:tcPr>
            <w:tcW w:w="1289" w:type="dxa"/>
            <w:shd w:val="clear" w:color="auto" w:fill="auto"/>
            <w:vAlign w:val="center"/>
          </w:tcPr>
          <w:p w14:paraId="2FC0682E">
            <w:pPr>
              <w:widowControl/>
              <w:snapToGrid w:val="0"/>
              <w:jc w:val="center"/>
              <w:rPr>
                <w:kern w:val="0"/>
                <w:sz w:val="24"/>
                <w:szCs w:val="21"/>
              </w:rPr>
            </w:pPr>
          </w:p>
        </w:tc>
        <w:tc>
          <w:tcPr>
            <w:tcW w:w="843" w:type="dxa"/>
            <w:shd w:val="clear" w:color="auto" w:fill="auto"/>
            <w:vAlign w:val="center"/>
          </w:tcPr>
          <w:p w14:paraId="795BCFBC">
            <w:pPr>
              <w:widowControl/>
              <w:snapToGrid w:val="0"/>
              <w:jc w:val="center"/>
              <w:rPr>
                <w:kern w:val="0"/>
                <w:sz w:val="24"/>
                <w:szCs w:val="21"/>
              </w:rPr>
            </w:pPr>
          </w:p>
        </w:tc>
      </w:tr>
      <w:tr w14:paraId="4D94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3BF12F0A">
            <w:pPr>
              <w:widowControl/>
              <w:snapToGrid w:val="0"/>
              <w:ind w:firstLine="360" w:firstLineChars="150"/>
              <w:rPr>
                <w:kern w:val="0"/>
                <w:sz w:val="24"/>
                <w:szCs w:val="21"/>
              </w:rPr>
            </w:pPr>
            <w:r>
              <w:rPr>
                <w:rFonts w:hint="eastAsia"/>
                <w:kern w:val="0"/>
                <w:sz w:val="24"/>
                <w:szCs w:val="21"/>
              </w:rPr>
              <w:t>6</w:t>
            </w:r>
            <w:r>
              <w:rPr>
                <w:kern w:val="0"/>
                <w:sz w:val="24"/>
                <w:szCs w:val="21"/>
              </w:rPr>
              <w:t>. 项目需求书要求</w:t>
            </w:r>
          </w:p>
        </w:tc>
      </w:tr>
      <w:tr w14:paraId="5CD8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55FF8D1">
            <w:pPr>
              <w:widowControl/>
              <w:snapToGrid w:val="0"/>
              <w:jc w:val="center"/>
              <w:rPr>
                <w:kern w:val="0"/>
                <w:sz w:val="24"/>
                <w:szCs w:val="21"/>
              </w:rPr>
            </w:pPr>
            <w:r>
              <w:rPr>
                <w:kern w:val="0"/>
                <w:sz w:val="24"/>
                <w:szCs w:val="21"/>
              </w:rPr>
              <w:t>序号</w:t>
            </w:r>
          </w:p>
        </w:tc>
        <w:tc>
          <w:tcPr>
            <w:tcW w:w="3922" w:type="dxa"/>
            <w:shd w:val="clear" w:color="auto" w:fill="auto"/>
            <w:vAlign w:val="center"/>
          </w:tcPr>
          <w:p w14:paraId="0931830C">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2E816E00">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60576871">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858AB7F">
            <w:pPr>
              <w:widowControl/>
              <w:snapToGrid w:val="0"/>
              <w:jc w:val="center"/>
              <w:rPr>
                <w:kern w:val="0"/>
                <w:sz w:val="24"/>
                <w:szCs w:val="21"/>
              </w:rPr>
            </w:pPr>
            <w:r>
              <w:rPr>
                <w:kern w:val="0"/>
                <w:sz w:val="24"/>
                <w:szCs w:val="21"/>
              </w:rPr>
              <w:t>备注</w:t>
            </w:r>
          </w:p>
        </w:tc>
      </w:tr>
      <w:tr w14:paraId="6FDB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CF5A6B5">
            <w:pPr>
              <w:widowControl/>
              <w:snapToGrid w:val="0"/>
              <w:jc w:val="center"/>
              <w:rPr>
                <w:kern w:val="0"/>
                <w:sz w:val="24"/>
                <w:szCs w:val="21"/>
              </w:rPr>
            </w:pPr>
          </w:p>
        </w:tc>
        <w:tc>
          <w:tcPr>
            <w:tcW w:w="3922" w:type="dxa"/>
            <w:shd w:val="clear" w:color="auto" w:fill="auto"/>
            <w:vAlign w:val="center"/>
          </w:tcPr>
          <w:p w14:paraId="56A4D1AE">
            <w:pPr>
              <w:widowControl/>
              <w:snapToGrid w:val="0"/>
              <w:jc w:val="center"/>
              <w:rPr>
                <w:kern w:val="0"/>
                <w:sz w:val="24"/>
                <w:szCs w:val="21"/>
              </w:rPr>
            </w:pPr>
          </w:p>
        </w:tc>
        <w:tc>
          <w:tcPr>
            <w:tcW w:w="2438" w:type="dxa"/>
            <w:shd w:val="clear" w:color="auto" w:fill="auto"/>
            <w:vAlign w:val="center"/>
          </w:tcPr>
          <w:p w14:paraId="633223C1">
            <w:pPr>
              <w:widowControl/>
              <w:snapToGrid w:val="0"/>
              <w:jc w:val="center"/>
              <w:rPr>
                <w:kern w:val="0"/>
                <w:sz w:val="24"/>
                <w:szCs w:val="21"/>
              </w:rPr>
            </w:pPr>
          </w:p>
        </w:tc>
        <w:tc>
          <w:tcPr>
            <w:tcW w:w="1289" w:type="dxa"/>
            <w:shd w:val="clear" w:color="auto" w:fill="auto"/>
            <w:vAlign w:val="center"/>
          </w:tcPr>
          <w:p w14:paraId="66038603">
            <w:pPr>
              <w:widowControl/>
              <w:snapToGrid w:val="0"/>
              <w:jc w:val="center"/>
              <w:rPr>
                <w:kern w:val="0"/>
                <w:sz w:val="24"/>
                <w:szCs w:val="21"/>
              </w:rPr>
            </w:pPr>
          </w:p>
        </w:tc>
        <w:tc>
          <w:tcPr>
            <w:tcW w:w="843" w:type="dxa"/>
            <w:shd w:val="clear" w:color="auto" w:fill="auto"/>
            <w:vAlign w:val="center"/>
          </w:tcPr>
          <w:p w14:paraId="69E25A75">
            <w:pPr>
              <w:widowControl/>
              <w:snapToGrid w:val="0"/>
              <w:jc w:val="center"/>
              <w:rPr>
                <w:kern w:val="0"/>
                <w:sz w:val="24"/>
                <w:szCs w:val="21"/>
              </w:rPr>
            </w:pPr>
          </w:p>
        </w:tc>
      </w:tr>
      <w:tr w14:paraId="705F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3179068">
            <w:pPr>
              <w:widowControl/>
              <w:snapToGrid w:val="0"/>
              <w:jc w:val="center"/>
              <w:rPr>
                <w:kern w:val="0"/>
                <w:sz w:val="24"/>
                <w:szCs w:val="21"/>
              </w:rPr>
            </w:pPr>
          </w:p>
        </w:tc>
        <w:tc>
          <w:tcPr>
            <w:tcW w:w="3922" w:type="dxa"/>
            <w:shd w:val="clear" w:color="auto" w:fill="auto"/>
            <w:vAlign w:val="center"/>
          </w:tcPr>
          <w:p w14:paraId="26403D42">
            <w:pPr>
              <w:widowControl/>
              <w:snapToGrid w:val="0"/>
              <w:jc w:val="center"/>
              <w:rPr>
                <w:kern w:val="0"/>
                <w:sz w:val="24"/>
                <w:szCs w:val="21"/>
              </w:rPr>
            </w:pPr>
          </w:p>
        </w:tc>
        <w:tc>
          <w:tcPr>
            <w:tcW w:w="2438" w:type="dxa"/>
            <w:shd w:val="clear" w:color="auto" w:fill="auto"/>
            <w:vAlign w:val="center"/>
          </w:tcPr>
          <w:p w14:paraId="5ADC1A1B">
            <w:pPr>
              <w:widowControl/>
              <w:snapToGrid w:val="0"/>
              <w:jc w:val="center"/>
              <w:rPr>
                <w:kern w:val="0"/>
                <w:sz w:val="24"/>
                <w:szCs w:val="21"/>
              </w:rPr>
            </w:pPr>
          </w:p>
        </w:tc>
        <w:tc>
          <w:tcPr>
            <w:tcW w:w="1289" w:type="dxa"/>
            <w:shd w:val="clear" w:color="auto" w:fill="auto"/>
            <w:vAlign w:val="center"/>
          </w:tcPr>
          <w:p w14:paraId="301EE746">
            <w:pPr>
              <w:widowControl/>
              <w:snapToGrid w:val="0"/>
              <w:jc w:val="center"/>
              <w:rPr>
                <w:kern w:val="0"/>
                <w:sz w:val="24"/>
                <w:szCs w:val="21"/>
              </w:rPr>
            </w:pPr>
          </w:p>
        </w:tc>
        <w:tc>
          <w:tcPr>
            <w:tcW w:w="843" w:type="dxa"/>
            <w:shd w:val="clear" w:color="auto" w:fill="auto"/>
            <w:vAlign w:val="center"/>
          </w:tcPr>
          <w:p w14:paraId="70A93ED1">
            <w:pPr>
              <w:widowControl/>
              <w:snapToGrid w:val="0"/>
              <w:jc w:val="center"/>
              <w:rPr>
                <w:kern w:val="0"/>
                <w:sz w:val="24"/>
                <w:szCs w:val="21"/>
              </w:rPr>
            </w:pPr>
          </w:p>
        </w:tc>
      </w:tr>
      <w:tr w14:paraId="3865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DB1ACFF">
            <w:pPr>
              <w:widowControl/>
              <w:snapToGrid w:val="0"/>
              <w:jc w:val="center"/>
              <w:rPr>
                <w:kern w:val="0"/>
                <w:sz w:val="24"/>
                <w:szCs w:val="21"/>
              </w:rPr>
            </w:pPr>
          </w:p>
        </w:tc>
        <w:tc>
          <w:tcPr>
            <w:tcW w:w="3922" w:type="dxa"/>
            <w:shd w:val="clear" w:color="auto" w:fill="auto"/>
            <w:vAlign w:val="center"/>
          </w:tcPr>
          <w:p w14:paraId="78DC0ACE">
            <w:pPr>
              <w:widowControl/>
              <w:snapToGrid w:val="0"/>
              <w:jc w:val="center"/>
              <w:rPr>
                <w:kern w:val="0"/>
                <w:sz w:val="24"/>
                <w:szCs w:val="21"/>
              </w:rPr>
            </w:pPr>
          </w:p>
        </w:tc>
        <w:tc>
          <w:tcPr>
            <w:tcW w:w="2438" w:type="dxa"/>
            <w:shd w:val="clear" w:color="auto" w:fill="auto"/>
            <w:vAlign w:val="center"/>
          </w:tcPr>
          <w:p w14:paraId="0425EA0A">
            <w:pPr>
              <w:widowControl/>
              <w:snapToGrid w:val="0"/>
              <w:jc w:val="center"/>
              <w:rPr>
                <w:kern w:val="0"/>
                <w:sz w:val="24"/>
                <w:szCs w:val="21"/>
              </w:rPr>
            </w:pPr>
          </w:p>
        </w:tc>
        <w:tc>
          <w:tcPr>
            <w:tcW w:w="1289" w:type="dxa"/>
            <w:shd w:val="clear" w:color="auto" w:fill="auto"/>
            <w:vAlign w:val="center"/>
          </w:tcPr>
          <w:p w14:paraId="002FF88A">
            <w:pPr>
              <w:widowControl/>
              <w:snapToGrid w:val="0"/>
              <w:jc w:val="center"/>
              <w:rPr>
                <w:kern w:val="0"/>
                <w:sz w:val="24"/>
                <w:szCs w:val="21"/>
              </w:rPr>
            </w:pPr>
          </w:p>
        </w:tc>
        <w:tc>
          <w:tcPr>
            <w:tcW w:w="843" w:type="dxa"/>
            <w:shd w:val="clear" w:color="auto" w:fill="auto"/>
            <w:vAlign w:val="center"/>
          </w:tcPr>
          <w:p w14:paraId="514FFDC0">
            <w:pPr>
              <w:widowControl/>
              <w:snapToGrid w:val="0"/>
              <w:jc w:val="center"/>
              <w:rPr>
                <w:kern w:val="0"/>
                <w:sz w:val="24"/>
                <w:szCs w:val="21"/>
              </w:rPr>
            </w:pPr>
          </w:p>
        </w:tc>
      </w:tr>
      <w:tr w14:paraId="1B77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4E6613">
            <w:pPr>
              <w:widowControl/>
              <w:snapToGrid w:val="0"/>
              <w:jc w:val="center"/>
              <w:rPr>
                <w:kern w:val="0"/>
                <w:sz w:val="24"/>
                <w:szCs w:val="21"/>
              </w:rPr>
            </w:pPr>
          </w:p>
        </w:tc>
        <w:tc>
          <w:tcPr>
            <w:tcW w:w="3922" w:type="dxa"/>
            <w:shd w:val="clear" w:color="auto" w:fill="auto"/>
            <w:vAlign w:val="center"/>
          </w:tcPr>
          <w:p w14:paraId="625F85C9">
            <w:pPr>
              <w:widowControl/>
              <w:snapToGrid w:val="0"/>
              <w:jc w:val="center"/>
              <w:rPr>
                <w:kern w:val="0"/>
                <w:sz w:val="24"/>
                <w:szCs w:val="21"/>
              </w:rPr>
            </w:pPr>
          </w:p>
        </w:tc>
        <w:tc>
          <w:tcPr>
            <w:tcW w:w="2438" w:type="dxa"/>
            <w:shd w:val="clear" w:color="auto" w:fill="auto"/>
            <w:vAlign w:val="center"/>
          </w:tcPr>
          <w:p w14:paraId="0F974B30">
            <w:pPr>
              <w:widowControl/>
              <w:snapToGrid w:val="0"/>
              <w:jc w:val="center"/>
              <w:rPr>
                <w:kern w:val="0"/>
                <w:sz w:val="24"/>
                <w:szCs w:val="21"/>
              </w:rPr>
            </w:pPr>
          </w:p>
        </w:tc>
        <w:tc>
          <w:tcPr>
            <w:tcW w:w="1289" w:type="dxa"/>
            <w:shd w:val="clear" w:color="auto" w:fill="auto"/>
            <w:vAlign w:val="center"/>
          </w:tcPr>
          <w:p w14:paraId="7D88C4D8">
            <w:pPr>
              <w:widowControl/>
              <w:snapToGrid w:val="0"/>
              <w:jc w:val="center"/>
              <w:rPr>
                <w:kern w:val="0"/>
                <w:sz w:val="24"/>
                <w:szCs w:val="21"/>
              </w:rPr>
            </w:pPr>
          </w:p>
        </w:tc>
        <w:tc>
          <w:tcPr>
            <w:tcW w:w="843" w:type="dxa"/>
            <w:shd w:val="clear" w:color="auto" w:fill="auto"/>
            <w:vAlign w:val="center"/>
          </w:tcPr>
          <w:p w14:paraId="2F380DE5">
            <w:pPr>
              <w:widowControl/>
              <w:snapToGrid w:val="0"/>
              <w:jc w:val="center"/>
              <w:rPr>
                <w:kern w:val="0"/>
                <w:sz w:val="24"/>
                <w:szCs w:val="21"/>
              </w:rPr>
            </w:pPr>
          </w:p>
        </w:tc>
      </w:tr>
      <w:tr w14:paraId="02DE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4BFCE26">
            <w:pPr>
              <w:widowControl/>
              <w:snapToGrid w:val="0"/>
              <w:jc w:val="center"/>
              <w:rPr>
                <w:kern w:val="0"/>
                <w:sz w:val="24"/>
                <w:szCs w:val="21"/>
              </w:rPr>
            </w:pPr>
          </w:p>
        </w:tc>
        <w:tc>
          <w:tcPr>
            <w:tcW w:w="3922" w:type="dxa"/>
            <w:shd w:val="clear" w:color="auto" w:fill="auto"/>
            <w:vAlign w:val="center"/>
          </w:tcPr>
          <w:p w14:paraId="5D0C685E">
            <w:pPr>
              <w:widowControl/>
              <w:snapToGrid w:val="0"/>
              <w:jc w:val="center"/>
              <w:rPr>
                <w:kern w:val="0"/>
                <w:sz w:val="24"/>
                <w:szCs w:val="21"/>
              </w:rPr>
            </w:pPr>
          </w:p>
        </w:tc>
        <w:tc>
          <w:tcPr>
            <w:tcW w:w="2438" w:type="dxa"/>
            <w:shd w:val="clear" w:color="auto" w:fill="auto"/>
            <w:vAlign w:val="center"/>
          </w:tcPr>
          <w:p w14:paraId="44177489">
            <w:pPr>
              <w:widowControl/>
              <w:snapToGrid w:val="0"/>
              <w:jc w:val="center"/>
              <w:rPr>
                <w:kern w:val="0"/>
                <w:sz w:val="24"/>
                <w:szCs w:val="21"/>
              </w:rPr>
            </w:pPr>
          </w:p>
        </w:tc>
        <w:tc>
          <w:tcPr>
            <w:tcW w:w="1289" w:type="dxa"/>
            <w:shd w:val="clear" w:color="auto" w:fill="auto"/>
            <w:vAlign w:val="center"/>
          </w:tcPr>
          <w:p w14:paraId="2C9657EE">
            <w:pPr>
              <w:widowControl/>
              <w:snapToGrid w:val="0"/>
              <w:jc w:val="center"/>
              <w:rPr>
                <w:kern w:val="0"/>
                <w:sz w:val="24"/>
                <w:szCs w:val="21"/>
              </w:rPr>
            </w:pPr>
          </w:p>
        </w:tc>
        <w:tc>
          <w:tcPr>
            <w:tcW w:w="843" w:type="dxa"/>
            <w:shd w:val="clear" w:color="auto" w:fill="auto"/>
            <w:vAlign w:val="center"/>
          </w:tcPr>
          <w:p w14:paraId="571EDFF0">
            <w:pPr>
              <w:widowControl/>
              <w:snapToGrid w:val="0"/>
              <w:jc w:val="center"/>
              <w:rPr>
                <w:kern w:val="0"/>
                <w:sz w:val="24"/>
                <w:szCs w:val="21"/>
              </w:rPr>
            </w:pPr>
          </w:p>
        </w:tc>
      </w:tr>
    </w:tbl>
    <w:p w14:paraId="0B4D7507">
      <w:pPr>
        <w:spacing w:line="620" w:lineRule="exact"/>
        <w:rPr>
          <w:sz w:val="24"/>
        </w:rPr>
      </w:pPr>
      <w:r>
        <w:rPr>
          <w:sz w:val="24"/>
        </w:rPr>
        <w:t>注：</w:t>
      </w:r>
    </w:p>
    <w:p w14:paraId="0B90E818">
      <w:pPr>
        <w:spacing w:line="360" w:lineRule="auto"/>
        <w:rPr>
          <w:sz w:val="24"/>
        </w:rPr>
      </w:pPr>
      <w:r>
        <w:rPr>
          <w:sz w:val="24"/>
        </w:rPr>
        <w:t>1. 不如实填写偏离情况的响应文件将视为虚假材料。</w:t>
      </w:r>
    </w:p>
    <w:p w14:paraId="5229A78E">
      <w:pPr>
        <w:spacing w:line="360" w:lineRule="auto"/>
        <w:rPr>
          <w:sz w:val="24"/>
        </w:rPr>
      </w:pPr>
      <w:r>
        <w:rPr>
          <w:sz w:val="24"/>
        </w:rPr>
        <w:t>2. 磋商要求指磋商文件中规定的具体要求，投标应答指响应文件的具体内容。</w:t>
      </w:r>
    </w:p>
    <w:p w14:paraId="6122F58A">
      <w:pPr>
        <w:spacing w:line="360" w:lineRule="auto"/>
        <w:rPr>
          <w:sz w:val="24"/>
        </w:rPr>
      </w:pPr>
      <w:r>
        <w:rPr>
          <w:sz w:val="24"/>
        </w:rPr>
        <w:t>3. 偏离说明指磋商要求与投标应答之间的不同之处。</w:t>
      </w:r>
    </w:p>
    <w:p w14:paraId="6BBFBF2E">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495EA008">
      <w:pPr>
        <w:spacing w:line="360" w:lineRule="auto"/>
        <w:rPr>
          <w:sz w:val="24"/>
        </w:rPr>
      </w:pPr>
    </w:p>
    <w:p w14:paraId="2A4D2696">
      <w:pPr>
        <w:spacing w:line="360" w:lineRule="auto"/>
        <w:ind w:firstLine="4080" w:firstLineChars="1700"/>
        <w:rPr>
          <w:sz w:val="24"/>
        </w:rPr>
      </w:pPr>
      <w:r>
        <w:rPr>
          <w:sz w:val="24"/>
        </w:rPr>
        <w:t>投标人名称：</w:t>
      </w:r>
    </w:p>
    <w:p w14:paraId="390B21E9">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2269913">
      <w:pPr>
        <w:spacing w:line="480" w:lineRule="auto"/>
        <w:rPr>
          <w:b/>
          <w:color w:val="000000"/>
          <w:sz w:val="24"/>
        </w:rPr>
      </w:pPr>
      <w:r>
        <w:rPr>
          <w:b/>
          <w:sz w:val="24"/>
        </w:rPr>
        <w:br w:type="page"/>
      </w:r>
      <w:r>
        <w:rPr>
          <w:b/>
          <w:sz w:val="24"/>
        </w:rPr>
        <w:t>附件4-</w:t>
      </w:r>
      <w:r>
        <w:rPr>
          <w:rFonts w:hint="eastAsia"/>
          <w:b/>
          <w:sz w:val="24"/>
        </w:rPr>
        <w:t>3</w:t>
      </w:r>
    </w:p>
    <w:p w14:paraId="62EEACEA">
      <w:pPr>
        <w:spacing w:line="480" w:lineRule="auto"/>
        <w:jc w:val="center"/>
        <w:rPr>
          <w:rFonts w:ascii="宋体" w:hAnsi="宋体"/>
          <w:b/>
          <w:color w:val="000000"/>
          <w:sz w:val="28"/>
        </w:rPr>
      </w:pPr>
      <w:r>
        <w:rPr>
          <w:rFonts w:hint="eastAsia"/>
          <w:b/>
          <w:color w:val="000000"/>
          <w:sz w:val="24"/>
        </w:rPr>
        <w:t>专业人员组成及任务分配</w:t>
      </w:r>
    </w:p>
    <w:p w14:paraId="0107FD07">
      <w:pPr>
        <w:spacing w:line="440" w:lineRule="exact"/>
        <w:rPr>
          <w:rFonts w:ascii="宋体" w:hAnsi="宋体"/>
          <w:color w:val="000000"/>
          <w:sz w:val="18"/>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7608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4C81494F">
            <w:pPr>
              <w:spacing w:line="440" w:lineRule="exact"/>
              <w:jc w:val="center"/>
              <w:rPr>
                <w:rFonts w:ascii="宋体" w:hAnsi="宋体"/>
                <w:b/>
                <w:bCs/>
                <w:color w:val="000000"/>
                <w:sz w:val="24"/>
              </w:rPr>
            </w:pPr>
            <w:r>
              <w:rPr>
                <w:rFonts w:hint="eastAsia" w:ascii="宋体" w:hAnsi="宋体"/>
                <w:b/>
                <w:bCs/>
                <w:color w:val="000000"/>
                <w:sz w:val="24"/>
              </w:rPr>
              <w:t>姓名</w:t>
            </w:r>
          </w:p>
        </w:tc>
        <w:tc>
          <w:tcPr>
            <w:tcW w:w="2669" w:type="dxa"/>
            <w:tcBorders>
              <w:top w:val="single" w:color="auto" w:sz="4" w:space="0"/>
              <w:bottom w:val="single" w:color="auto" w:sz="4" w:space="0"/>
            </w:tcBorders>
          </w:tcPr>
          <w:p w14:paraId="3BA55A11">
            <w:pPr>
              <w:spacing w:line="440" w:lineRule="exact"/>
              <w:jc w:val="center"/>
              <w:rPr>
                <w:rFonts w:ascii="宋体" w:hAnsi="宋体"/>
                <w:b/>
                <w:bCs/>
                <w:color w:val="000000"/>
                <w:sz w:val="24"/>
              </w:rPr>
            </w:pPr>
            <w:r>
              <w:rPr>
                <w:rFonts w:hint="eastAsia" w:ascii="宋体" w:hAnsi="宋体"/>
                <w:b/>
                <w:bCs/>
                <w:color w:val="000000"/>
                <w:sz w:val="24"/>
              </w:rPr>
              <w:t>职位</w:t>
            </w:r>
          </w:p>
        </w:tc>
        <w:tc>
          <w:tcPr>
            <w:tcW w:w="1620" w:type="dxa"/>
            <w:tcBorders>
              <w:top w:val="single" w:color="auto" w:sz="4" w:space="0"/>
              <w:bottom w:val="single" w:color="auto" w:sz="4" w:space="0"/>
            </w:tcBorders>
            <w:vAlign w:val="center"/>
          </w:tcPr>
          <w:p w14:paraId="6A86AC75">
            <w:pPr>
              <w:spacing w:line="440" w:lineRule="exact"/>
              <w:jc w:val="center"/>
              <w:rPr>
                <w:rFonts w:ascii="宋体" w:hAnsi="宋体"/>
                <w:b/>
                <w:bCs/>
                <w:color w:val="000000"/>
                <w:sz w:val="24"/>
              </w:rPr>
            </w:pPr>
            <w:r>
              <w:rPr>
                <w:rFonts w:hint="eastAsia" w:ascii="宋体" w:hAnsi="宋体"/>
                <w:b/>
                <w:bCs/>
                <w:color w:val="000000"/>
                <w:sz w:val="24"/>
              </w:rPr>
              <w:t>学历</w:t>
            </w:r>
          </w:p>
        </w:tc>
        <w:tc>
          <w:tcPr>
            <w:tcW w:w="2967" w:type="dxa"/>
            <w:tcBorders>
              <w:top w:val="single" w:color="auto" w:sz="4" w:space="0"/>
              <w:bottom w:val="single" w:color="auto" w:sz="4" w:space="0"/>
              <w:right w:val="single" w:color="auto" w:sz="4" w:space="0"/>
            </w:tcBorders>
          </w:tcPr>
          <w:p w14:paraId="7CBD96FA">
            <w:pPr>
              <w:spacing w:line="440" w:lineRule="exact"/>
              <w:jc w:val="center"/>
              <w:rPr>
                <w:rFonts w:ascii="宋体" w:hAnsi="宋体"/>
                <w:b/>
                <w:bCs/>
                <w:color w:val="000000"/>
                <w:sz w:val="24"/>
              </w:rPr>
            </w:pPr>
            <w:r>
              <w:rPr>
                <w:rFonts w:hint="eastAsia" w:ascii="宋体" w:hAnsi="宋体"/>
                <w:b/>
                <w:bCs/>
                <w:color w:val="000000"/>
                <w:sz w:val="24"/>
              </w:rPr>
              <w:t>任务</w:t>
            </w:r>
          </w:p>
        </w:tc>
      </w:tr>
      <w:tr w14:paraId="09BE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41D3C724">
            <w:pPr>
              <w:spacing w:line="440" w:lineRule="exact"/>
              <w:rPr>
                <w:rFonts w:ascii="宋体" w:hAnsi="宋体"/>
                <w:color w:val="000000"/>
                <w:sz w:val="24"/>
              </w:rPr>
            </w:pPr>
          </w:p>
        </w:tc>
        <w:tc>
          <w:tcPr>
            <w:tcW w:w="2669" w:type="dxa"/>
            <w:tcBorders>
              <w:top w:val="nil"/>
            </w:tcBorders>
          </w:tcPr>
          <w:p w14:paraId="1E8B0F55">
            <w:pPr>
              <w:spacing w:line="440" w:lineRule="exact"/>
              <w:rPr>
                <w:rFonts w:ascii="宋体" w:hAnsi="宋体"/>
                <w:color w:val="000000"/>
                <w:sz w:val="24"/>
              </w:rPr>
            </w:pPr>
          </w:p>
        </w:tc>
        <w:tc>
          <w:tcPr>
            <w:tcW w:w="1620" w:type="dxa"/>
            <w:tcBorders>
              <w:top w:val="nil"/>
            </w:tcBorders>
            <w:vAlign w:val="center"/>
          </w:tcPr>
          <w:p w14:paraId="11E511B7">
            <w:pPr>
              <w:spacing w:line="440" w:lineRule="exact"/>
              <w:jc w:val="center"/>
              <w:rPr>
                <w:rFonts w:ascii="宋体" w:hAnsi="宋体"/>
                <w:color w:val="000000"/>
                <w:sz w:val="24"/>
              </w:rPr>
            </w:pPr>
          </w:p>
        </w:tc>
        <w:tc>
          <w:tcPr>
            <w:tcW w:w="2967" w:type="dxa"/>
            <w:tcBorders>
              <w:top w:val="nil"/>
            </w:tcBorders>
          </w:tcPr>
          <w:p w14:paraId="79D25E68">
            <w:pPr>
              <w:spacing w:line="440" w:lineRule="exact"/>
              <w:rPr>
                <w:rFonts w:ascii="宋体" w:hAnsi="宋体"/>
                <w:color w:val="000000"/>
                <w:sz w:val="24"/>
              </w:rPr>
            </w:pPr>
          </w:p>
        </w:tc>
      </w:tr>
      <w:tr w14:paraId="37D7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D3950D5">
            <w:pPr>
              <w:spacing w:line="440" w:lineRule="exact"/>
              <w:rPr>
                <w:rFonts w:ascii="宋体" w:hAnsi="宋体"/>
                <w:color w:val="000000"/>
                <w:sz w:val="24"/>
              </w:rPr>
            </w:pPr>
          </w:p>
        </w:tc>
        <w:tc>
          <w:tcPr>
            <w:tcW w:w="2669" w:type="dxa"/>
          </w:tcPr>
          <w:p w14:paraId="27F20D85">
            <w:pPr>
              <w:spacing w:line="440" w:lineRule="exact"/>
              <w:rPr>
                <w:rFonts w:ascii="宋体" w:hAnsi="宋体"/>
                <w:color w:val="000000"/>
                <w:sz w:val="24"/>
              </w:rPr>
            </w:pPr>
          </w:p>
        </w:tc>
        <w:tc>
          <w:tcPr>
            <w:tcW w:w="1620" w:type="dxa"/>
            <w:vAlign w:val="center"/>
          </w:tcPr>
          <w:p w14:paraId="33950770">
            <w:pPr>
              <w:spacing w:line="440" w:lineRule="exact"/>
              <w:jc w:val="center"/>
              <w:rPr>
                <w:rFonts w:ascii="宋体" w:hAnsi="宋体"/>
                <w:color w:val="000000"/>
                <w:sz w:val="24"/>
              </w:rPr>
            </w:pPr>
          </w:p>
        </w:tc>
        <w:tc>
          <w:tcPr>
            <w:tcW w:w="2967" w:type="dxa"/>
          </w:tcPr>
          <w:p w14:paraId="47CAF08B">
            <w:pPr>
              <w:spacing w:line="440" w:lineRule="exact"/>
              <w:rPr>
                <w:rFonts w:ascii="宋体" w:hAnsi="宋体"/>
                <w:color w:val="000000"/>
                <w:sz w:val="24"/>
              </w:rPr>
            </w:pPr>
          </w:p>
        </w:tc>
      </w:tr>
      <w:tr w14:paraId="5A54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778ACE0">
            <w:pPr>
              <w:spacing w:line="440" w:lineRule="exact"/>
              <w:rPr>
                <w:rFonts w:ascii="宋体" w:hAnsi="宋体"/>
                <w:color w:val="000000"/>
                <w:sz w:val="24"/>
              </w:rPr>
            </w:pPr>
          </w:p>
        </w:tc>
        <w:tc>
          <w:tcPr>
            <w:tcW w:w="2669" w:type="dxa"/>
          </w:tcPr>
          <w:p w14:paraId="76A9E861">
            <w:pPr>
              <w:spacing w:line="440" w:lineRule="exact"/>
              <w:rPr>
                <w:rFonts w:ascii="宋体" w:hAnsi="宋体"/>
                <w:color w:val="000000"/>
                <w:sz w:val="24"/>
              </w:rPr>
            </w:pPr>
          </w:p>
        </w:tc>
        <w:tc>
          <w:tcPr>
            <w:tcW w:w="1620" w:type="dxa"/>
            <w:vAlign w:val="center"/>
          </w:tcPr>
          <w:p w14:paraId="28721727">
            <w:pPr>
              <w:spacing w:line="440" w:lineRule="exact"/>
              <w:jc w:val="center"/>
              <w:rPr>
                <w:rFonts w:ascii="宋体" w:hAnsi="宋体"/>
                <w:color w:val="000000"/>
                <w:sz w:val="24"/>
              </w:rPr>
            </w:pPr>
          </w:p>
        </w:tc>
        <w:tc>
          <w:tcPr>
            <w:tcW w:w="2967" w:type="dxa"/>
          </w:tcPr>
          <w:p w14:paraId="2728396C">
            <w:pPr>
              <w:spacing w:line="440" w:lineRule="exact"/>
              <w:rPr>
                <w:rFonts w:ascii="宋体" w:hAnsi="宋体"/>
                <w:color w:val="000000"/>
                <w:sz w:val="24"/>
              </w:rPr>
            </w:pPr>
          </w:p>
        </w:tc>
      </w:tr>
      <w:tr w14:paraId="1C46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1E8C1CF">
            <w:pPr>
              <w:spacing w:line="440" w:lineRule="exact"/>
              <w:rPr>
                <w:rFonts w:ascii="宋体" w:hAnsi="宋体"/>
                <w:color w:val="000000"/>
                <w:sz w:val="24"/>
              </w:rPr>
            </w:pPr>
          </w:p>
        </w:tc>
        <w:tc>
          <w:tcPr>
            <w:tcW w:w="2669" w:type="dxa"/>
          </w:tcPr>
          <w:p w14:paraId="6813722A">
            <w:pPr>
              <w:spacing w:line="440" w:lineRule="exact"/>
              <w:rPr>
                <w:rFonts w:ascii="宋体" w:hAnsi="宋体"/>
                <w:color w:val="000000"/>
                <w:sz w:val="24"/>
              </w:rPr>
            </w:pPr>
          </w:p>
        </w:tc>
        <w:tc>
          <w:tcPr>
            <w:tcW w:w="1620" w:type="dxa"/>
            <w:vAlign w:val="center"/>
          </w:tcPr>
          <w:p w14:paraId="6CB2A145">
            <w:pPr>
              <w:spacing w:line="440" w:lineRule="exact"/>
              <w:jc w:val="center"/>
              <w:rPr>
                <w:rFonts w:ascii="宋体" w:hAnsi="宋体"/>
                <w:color w:val="000000"/>
                <w:sz w:val="24"/>
              </w:rPr>
            </w:pPr>
          </w:p>
        </w:tc>
        <w:tc>
          <w:tcPr>
            <w:tcW w:w="2967" w:type="dxa"/>
          </w:tcPr>
          <w:p w14:paraId="797BA67E">
            <w:pPr>
              <w:spacing w:line="440" w:lineRule="exact"/>
              <w:rPr>
                <w:rFonts w:ascii="宋体" w:hAnsi="宋体"/>
                <w:color w:val="000000"/>
                <w:sz w:val="24"/>
              </w:rPr>
            </w:pPr>
          </w:p>
        </w:tc>
      </w:tr>
      <w:tr w14:paraId="60F3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DCD7B35">
            <w:pPr>
              <w:spacing w:line="440" w:lineRule="exact"/>
              <w:rPr>
                <w:rFonts w:ascii="宋体" w:hAnsi="宋体"/>
                <w:color w:val="000000"/>
                <w:sz w:val="24"/>
              </w:rPr>
            </w:pPr>
          </w:p>
        </w:tc>
        <w:tc>
          <w:tcPr>
            <w:tcW w:w="2669" w:type="dxa"/>
          </w:tcPr>
          <w:p w14:paraId="0F6F9A7C">
            <w:pPr>
              <w:spacing w:line="440" w:lineRule="exact"/>
              <w:rPr>
                <w:rFonts w:ascii="宋体" w:hAnsi="宋体"/>
                <w:color w:val="000000"/>
                <w:sz w:val="24"/>
              </w:rPr>
            </w:pPr>
          </w:p>
        </w:tc>
        <w:tc>
          <w:tcPr>
            <w:tcW w:w="1620" w:type="dxa"/>
            <w:vAlign w:val="center"/>
          </w:tcPr>
          <w:p w14:paraId="2B81BA91">
            <w:pPr>
              <w:spacing w:line="440" w:lineRule="exact"/>
              <w:jc w:val="center"/>
              <w:rPr>
                <w:rFonts w:ascii="宋体" w:hAnsi="宋体"/>
                <w:color w:val="000000"/>
                <w:sz w:val="24"/>
              </w:rPr>
            </w:pPr>
          </w:p>
        </w:tc>
        <w:tc>
          <w:tcPr>
            <w:tcW w:w="2967" w:type="dxa"/>
          </w:tcPr>
          <w:p w14:paraId="124FA22E">
            <w:pPr>
              <w:spacing w:line="440" w:lineRule="exact"/>
              <w:rPr>
                <w:rFonts w:ascii="宋体" w:hAnsi="宋体"/>
                <w:color w:val="000000"/>
                <w:sz w:val="24"/>
              </w:rPr>
            </w:pPr>
          </w:p>
        </w:tc>
      </w:tr>
      <w:tr w14:paraId="6905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182C6AD">
            <w:pPr>
              <w:spacing w:line="440" w:lineRule="exact"/>
              <w:rPr>
                <w:rFonts w:ascii="宋体" w:hAnsi="宋体"/>
                <w:color w:val="000000"/>
                <w:sz w:val="24"/>
              </w:rPr>
            </w:pPr>
          </w:p>
        </w:tc>
        <w:tc>
          <w:tcPr>
            <w:tcW w:w="2669" w:type="dxa"/>
          </w:tcPr>
          <w:p w14:paraId="0D710875">
            <w:pPr>
              <w:spacing w:line="440" w:lineRule="exact"/>
              <w:rPr>
                <w:rFonts w:ascii="宋体" w:hAnsi="宋体"/>
                <w:color w:val="000000"/>
                <w:sz w:val="24"/>
              </w:rPr>
            </w:pPr>
          </w:p>
        </w:tc>
        <w:tc>
          <w:tcPr>
            <w:tcW w:w="1620" w:type="dxa"/>
            <w:vAlign w:val="center"/>
          </w:tcPr>
          <w:p w14:paraId="406019B2">
            <w:pPr>
              <w:spacing w:line="440" w:lineRule="exact"/>
              <w:jc w:val="center"/>
              <w:rPr>
                <w:rFonts w:ascii="宋体" w:hAnsi="宋体"/>
                <w:color w:val="000000"/>
                <w:sz w:val="24"/>
              </w:rPr>
            </w:pPr>
          </w:p>
        </w:tc>
        <w:tc>
          <w:tcPr>
            <w:tcW w:w="2967" w:type="dxa"/>
          </w:tcPr>
          <w:p w14:paraId="2175694A">
            <w:pPr>
              <w:spacing w:line="440" w:lineRule="exact"/>
              <w:rPr>
                <w:rFonts w:ascii="宋体" w:hAnsi="宋体"/>
                <w:color w:val="000000"/>
                <w:sz w:val="24"/>
              </w:rPr>
            </w:pPr>
          </w:p>
        </w:tc>
      </w:tr>
      <w:tr w14:paraId="43AF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5FAF2A4">
            <w:pPr>
              <w:spacing w:line="440" w:lineRule="exact"/>
              <w:rPr>
                <w:rFonts w:ascii="宋体" w:hAnsi="宋体"/>
                <w:color w:val="000000"/>
                <w:sz w:val="24"/>
              </w:rPr>
            </w:pPr>
          </w:p>
        </w:tc>
        <w:tc>
          <w:tcPr>
            <w:tcW w:w="2669" w:type="dxa"/>
          </w:tcPr>
          <w:p w14:paraId="0000F18C">
            <w:pPr>
              <w:spacing w:line="440" w:lineRule="exact"/>
              <w:rPr>
                <w:rFonts w:ascii="宋体" w:hAnsi="宋体"/>
                <w:color w:val="000000"/>
                <w:sz w:val="24"/>
              </w:rPr>
            </w:pPr>
          </w:p>
        </w:tc>
        <w:tc>
          <w:tcPr>
            <w:tcW w:w="1620" w:type="dxa"/>
            <w:vAlign w:val="center"/>
          </w:tcPr>
          <w:p w14:paraId="05C4A1B0">
            <w:pPr>
              <w:spacing w:line="440" w:lineRule="exact"/>
              <w:jc w:val="center"/>
              <w:rPr>
                <w:rFonts w:ascii="宋体" w:hAnsi="宋体"/>
                <w:color w:val="000000"/>
                <w:sz w:val="24"/>
              </w:rPr>
            </w:pPr>
          </w:p>
        </w:tc>
        <w:tc>
          <w:tcPr>
            <w:tcW w:w="2967" w:type="dxa"/>
          </w:tcPr>
          <w:p w14:paraId="22C40710">
            <w:pPr>
              <w:spacing w:line="440" w:lineRule="exact"/>
              <w:rPr>
                <w:rFonts w:ascii="宋体" w:hAnsi="宋体"/>
                <w:color w:val="000000"/>
                <w:sz w:val="24"/>
              </w:rPr>
            </w:pPr>
          </w:p>
        </w:tc>
      </w:tr>
      <w:tr w14:paraId="59AF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31693EF">
            <w:pPr>
              <w:spacing w:line="440" w:lineRule="exact"/>
              <w:rPr>
                <w:rFonts w:ascii="宋体" w:hAnsi="宋体"/>
                <w:color w:val="000000"/>
                <w:sz w:val="24"/>
              </w:rPr>
            </w:pPr>
          </w:p>
        </w:tc>
        <w:tc>
          <w:tcPr>
            <w:tcW w:w="2669" w:type="dxa"/>
          </w:tcPr>
          <w:p w14:paraId="0EE37B59">
            <w:pPr>
              <w:spacing w:line="440" w:lineRule="exact"/>
              <w:rPr>
                <w:rFonts w:ascii="宋体" w:hAnsi="宋体"/>
                <w:color w:val="000000"/>
                <w:sz w:val="24"/>
              </w:rPr>
            </w:pPr>
          </w:p>
        </w:tc>
        <w:tc>
          <w:tcPr>
            <w:tcW w:w="1620" w:type="dxa"/>
            <w:vAlign w:val="center"/>
          </w:tcPr>
          <w:p w14:paraId="248EF173">
            <w:pPr>
              <w:spacing w:line="440" w:lineRule="exact"/>
              <w:jc w:val="center"/>
              <w:rPr>
                <w:rFonts w:ascii="宋体" w:hAnsi="宋体"/>
                <w:color w:val="000000"/>
                <w:sz w:val="24"/>
              </w:rPr>
            </w:pPr>
          </w:p>
        </w:tc>
        <w:tc>
          <w:tcPr>
            <w:tcW w:w="2967" w:type="dxa"/>
          </w:tcPr>
          <w:p w14:paraId="49DDB114">
            <w:pPr>
              <w:spacing w:line="440" w:lineRule="exact"/>
              <w:rPr>
                <w:rFonts w:ascii="宋体" w:hAnsi="宋体"/>
                <w:color w:val="000000"/>
                <w:sz w:val="24"/>
              </w:rPr>
            </w:pPr>
          </w:p>
        </w:tc>
      </w:tr>
      <w:tr w14:paraId="2CF8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D1EBF53">
            <w:pPr>
              <w:spacing w:line="440" w:lineRule="exact"/>
              <w:rPr>
                <w:rFonts w:ascii="宋体" w:hAnsi="宋体"/>
                <w:color w:val="000000"/>
                <w:sz w:val="24"/>
              </w:rPr>
            </w:pPr>
          </w:p>
        </w:tc>
        <w:tc>
          <w:tcPr>
            <w:tcW w:w="2669" w:type="dxa"/>
          </w:tcPr>
          <w:p w14:paraId="774B2E09">
            <w:pPr>
              <w:spacing w:line="440" w:lineRule="exact"/>
              <w:rPr>
                <w:rFonts w:ascii="宋体" w:hAnsi="宋体"/>
                <w:color w:val="000000"/>
                <w:sz w:val="24"/>
              </w:rPr>
            </w:pPr>
          </w:p>
        </w:tc>
        <w:tc>
          <w:tcPr>
            <w:tcW w:w="1620" w:type="dxa"/>
            <w:vAlign w:val="center"/>
          </w:tcPr>
          <w:p w14:paraId="6FD46223">
            <w:pPr>
              <w:spacing w:line="440" w:lineRule="exact"/>
              <w:jc w:val="center"/>
              <w:rPr>
                <w:rFonts w:ascii="宋体" w:hAnsi="宋体"/>
                <w:color w:val="000000"/>
                <w:sz w:val="24"/>
              </w:rPr>
            </w:pPr>
          </w:p>
        </w:tc>
        <w:tc>
          <w:tcPr>
            <w:tcW w:w="2967" w:type="dxa"/>
          </w:tcPr>
          <w:p w14:paraId="70CD7029">
            <w:pPr>
              <w:spacing w:line="440" w:lineRule="exact"/>
              <w:rPr>
                <w:rFonts w:ascii="宋体" w:hAnsi="宋体"/>
                <w:color w:val="000000"/>
                <w:sz w:val="24"/>
              </w:rPr>
            </w:pPr>
          </w:p>
        </w:tc>
      </w:tr>
      <w:tr w14:paraId="25B3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D580AAE">
            <w:pPr>
              <w:spacing w:line="440" w:lineRule="exact"/>
              <w:rPr>
                <w:rFonts w:ascii="宋体" w:hAnsi="宋体"/>
                <w:color w:val="000000"/>
                <w:sz w:val="24"/>
              </w:rPr>
            </w:pPr>
          </w:p>
        </w:tc>
        <w:tc>
          <w:tcPr>
            <w:tcW w:w="2669" w:type="dxa"/>
          </w:tcPr>
          <w:p w14:paraId="6888FADB">
            <w:pPr>
              <w:spacing w:line="440" w:lineRule="exact"/>
              <w:rPr>
                <w:rFonts w:ascii="宋体" w:hAnsi="宋体"/>
                <w:color w:val="000000"/>
                <w:sz w:val="24"/>
              </w:rPr>
            </w:pPr>
          </w:p>
        </w:tc>
        <w:tc>
          <w:tcPr>
            <w:tcW w:w="1620" w:type="dxa"/>
            <w:vAlign w:val="center"/>
          </w:tcPr>
          <w:p w14:paraId="53BDA7C8">
            <w:pPr>
              <w:spacing w:line="440" w:lineRule="exact"/>
              <w:jc w:val="center"/>
              <w:rPr>
                <w:rFonts w:ascii="宋体" w:hAnsi="宋体"/>
                <w:color w:val="000000"/>
                <w:sz w:val="24"/>
              </w:rPr>
            </w:pPr>
          </w:p>
        </w:tc>
        <w:tc>
          <w:tcPr>
            <w:tcW w:w="2967" w:type="dxa"/>
          </w:tcPr>
          <w:p w14:paraId="0264B075">
            <w:pPr>
              <w:spacing w:line="440" w:lineRule="exact"/>
              <w:rPr>
                <w:rFonts w:ascii="宋体" w:hAnsi="宋体"/>
                <w:color w:val="000000"/>
                <w:sz w:val="24"/>
              </w:rPr>
            </w:pPr>
          </w:p>
        </w:tc>
      </w:tr>
      <w:tr w14:paraId="7C01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D163CCA">
            <w:pPr>
              <w:spacing w:line="440" w:lineRule="exact"/>
              <w:rPr>
                <w:rFonts w:ascii="宋体" w:hAnsi="宋体"/>
                <w:color w:val="000000"/>
                <w:sz w:val="24"/>
              </w:rPr>
            </w:pPr>
          </w:p>
        </w:tc>
        <w:tc>
          <w:tcPr>
            <w:tcW w:w="2669" w:type="dxa"/>
          </w:tcPr>
          <w:p w14:paraId="5C253EBF">
            <w:pPr>
              <w:spacing w:line="440" w:lineRule="exact"/>
              <w:rPr>
                <w:rFonts w:ascii="宋体" w:hAnsi="宋体"/>
                <w:color w:val="000000"/>
                <w:sz w:val="24"/>
              </w:rPr>
            </w:pPr>
          </w:p>
        </w:tc>
        <w:tc>
          <w:tcPr>
            <w:tcW w:w="1620" w:type="dxa"/>
            <w:vAlign w:val="center"/>
          </w:tcPr>
          <w:p w14:paraId="54F2757B">
            <w:pPr>
              <w:spacing w:line="440" w:lineRule="exact"/>
              <w:jc w:val="center"/>
              <w:rPr>
                <w:rFonts w:ascii="宋体" w:hAnsi="宋体"/>
                <w:color w:val="000000"/>
                <w:sz w:val="24"/>
              </w:rPr>
            </w:pPr>
          </w:p>
        </w:tc>
        <w:tc>
          <w:tcPr>
            <w:tcW w:w="2967" w:type="dxa"/>
          </w:tcPr>
          <w:p w14:paraId="305F58FE">
            <w:pPr>
              <w:spacing w:line="440" w:lineRule="exact"/>
              <w:rPr>
                <w:rFonts w:ascii="宋体" w:hAnsi="宋体"/>
                <w:color w:val="000000"/>
                <w:sz w:val="24"/>
              </w:rPr>
            </w:pPr>
          </w:p>
        </w:tc>
      </w:tr>
      <w:tr w14:paraId="3BB3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E36776D">
            <w:pPr>
              <w:spacing w:line="440" w:lineRule="exact"/>
              <w:rPr>
                <w:rFonts w:ascii="宋体" w:hAnsi="宋体"/>
                <w:color w:val="000000"/>
                <w:sz w:val="24"/>
              </w:rPr>
            </w:pPr>
          </w:p>
        </w:tc>
        <w:tc>
          <w:tcPr>
            <w:tcW w:w="2669" w:type="dxa"/>
          </w:tcPr>
          <w:p w14:paraId="18B7FDBB">
            <w:pPr>
              <w:spacing w:line="440" w:lineRule="exact"/>
              <w:rPr>
                <w:rFonts w:ascii="宋体" w:hAnsi="宋体"/>
                <w:color w:val="000000"/>
                <w:sz w:val="24"/>
              </w:rPr>
            </w:pPr>
          </w:p>
        </w:tc>
        <w:tc>
          <w:tcPr>
            <w:tcW w:w="1620" w:type="dxa"/>
            <w:vAlign w:val="center"/>
          </w:tcPr>
          <w:p w14:paraId="7AD9686B">
            <w:pPr>
              <w:spacing w:line="440" w:lineRule="exact"/>
              <w:jc w:val="center"/>
              <w:rPr>
                <w:rFonts w:ascii="宋体" w:hAnsi="宋体"/>
                <w:color w:val="000000"/>
                <w:sz w:val="24"/>
              </w:rPr>
            </w:pPr>
          </w:p>
        </w:tc>
        <w:tc>
          <w:tcPr>
            <w:tcW w:w="2967" w:type="dxa"/>
          </w:tcPr>
          <w:p w14:paraId="11A0C5D5">
            <w:pPr>
              <w:spacing w:line="440" w:lineRule="exact"/>
              <w:rPr>
                <w:rFonts w:ascii="宋体" w:hAnsi="宋体"/>
                <w:color w:val="000000"/>
                <w:sz w:val="24"/>
              </w:rPr>
            </w:pPr>
          </w:p>
        </w:tc>
      </w:tr>
      <w:tr w14:paraId="6189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FDB0C7F">
            <w:pPr>
              <w:spacing w:line="440" w:lineRule="exact"/>
              <w:rPr>
                <w:rFonts w:ascii="宋体" w:hAnsi="宋体"/>
                <w:color w:val="000000"/>
                <w:sz w:val="24"/>
              </w:rPr>
            </w:pPr>
          </w:p>
        </w:tc>
        <w:tc>
          <w:tcPr>
            <w:tcW w:w="2669" w:type="dxa"/>
          </w:tcPr>
          <w:p w14:paraId="31515A28">
            <w:pPr>
              <w:spacing w:line="440" w:lineRule="exact"/>
              <w:rPr>
                <w:rFonts w:ascii="宋体" w:hAnsi="宋体"/>
                <w:color w:val="000000"/>
                <w:sz w:val="24"/>
              </w:rPr>
            </w:pPr>
          </w:p>
        </w:tc>
        <w:tc>
          <w:tcPr>
            <w:tcW w:w="1620" w:type="dxa"/>
            <w:vAlign w:val="center"/>
          </w:tcPr>
          <w:p w14:paraId="4117EDEF">
            <w:pPr>
              <w:spacing w:line="440" w:lineRule="exact"/>
              <w:jc w:val="center"/>
              <w:rPr>
                <w:rFonts w:ascii="宋体" w:hAnsi="宋体"/>
                <w:color w:val="000000"/>
                <w:sz w:val="24"/>
              </w:rPr>
            </w:pPr>
          </w:p>
        </w:tc>
        <w:tc>
          <w:tcPr>
            <w:tcW w:w="2967" w:type="dxa"/>
          </w:tcPr>
          <w:p w14:paraId="5D1E6D6A">
            <w:pPr>
              <w:spacing w:line="440" w:lineRule="exact"/>
              <w:rPr>
                <w:rFonts w:ascii="宋体" w:hAnsi="宋体"/>
                <w:color w:val="000000"/>
                <w:sz w:val="24"/>
              </w:rPr>
            </w:pPr>
          </w:p>
        </w:tc>
      </w:tr>
      <w:tr w14:paraId="2825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15377BE">
            <w:pPr>
              <w:spacing w:line="440" w:lineRule="exact"/>
              <w:rPr>
                <w:rFonts w:ascii="宋体" w:hAnsi="宋体"/>
                <w:color w:val="000000"/>
                <w:sz w:val="24"/>
              </w:rPr>
            </w:pPr>
          </w:p>
        </w:tc>
        <w:tc>
          <w:tcPr>
            <w:tcW w:w="2669" w:type="dxa"/>
          </w:tcPr>
          <w:p w14:paraId="7ABCEA28">
            <w:pPr>
              <w:spacing w:line="440" w:lineRule="exact"/>
              <w:rPr>
                <w:rFonts w:ascii="宋体" w:hAnsi="宋体"/>
                <w:color w:val="000000"/>
                <w:sz w:val="24"/>
              </w:rPr>
            </w:pPr>
          </w:p>
        </w:tc>
        <w:tc>
          <w:tcPr>
            <w:tcW w:w="1620" w:type="dxa"/>
            <w:vAlign w:val="center"/>
          </w:tcPr>
          <w:p w14:paraId="2B49C903">
            <w:pPr>
              <w:spacing w:line="440" w:lineRule="exact"/>
              <w:jc w:val="center"/>
              <w:rPr>
                <w:rFonts w:ascii="宋体" w:hAnsi="宋体"/>
                <w:color w:val="000000"/>
                <w:sz w:val="24"/>
              </w:rPr>
            </w:pPr>
          </w:p>
        </w:tc>
        <w:tc>
          <w:tcPr>
            <w:tcW w:w="2967" w:type="dxa"/>
          </w:tcPr>
          <w:p w14:paraId="2282E79B">
            <w:pPr>
              <w:spacing w:line="440" w:lineRule="exact"/>
              <w:rPr>
                <w:rFonts w:ascii="宋体" w:hAnsi="宋体"/>
                <w:color w:val="000000"/>
                <w:sz w:val="24"/>
              </w:rPr>
            </w:pPr>
          </w:p>
        </w:tc>
      </w:tr>
      <w:tr w14:paraId="47CA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E78262A">
            <w:pPr>
              <w:spacing w:line="440" w:lineRule="exact"/>
              <w:rPr>
                <w:rFonts w:ascii="宋体" w:hAnsi="宋体"/>
                <w:color w:val="000000"/>
                <w:sz w:val="24"/>
              </w:rPr>
            </w:pPr>
          </w:p>
        </w:tc>
        <w:tc>
          <w:tcPr>
            <w:tcW w:w="2669" w:type="dxa"/>
          </w:tcPr>
          <w:p w14:paraId="0BD37AAB">
            <w:pPr>
              <w:spacing w:line="440" w:lineRule="exact"/>
              <w:rPr>
                <w:rFonts w:ascii="宋体" w:hAnsi="宋体"/>
                <w:color w:val="000000"/>
                <w:sz w:val="24"/>
              </w:rPr>
            </w:pPr>
          </w:p>
        </w:tc>
        <w:tc>
          <w:tcPr>
            <w:tcW w:w="1620" w:type="dxa"/>
            <w:vAlign w:val="center"/>
          </w:tcPr>
          <w:p w14:paraId="5EB04F01">
            <w:pPr>
              <w:spacing w:line="440" w:lineRule="exact"/>
              <w:jc w:val="center"/>
              <w:rPr>
                <w:rFonts w:ascii="宋体" w:hAnsi="宋体"/>
                <w:color w:val="000000"/>
                <w:sz w:val="24"/>
              </w:rPr>
            </w:pPr>
          </w:p>
        </w:tc>
        <w:tc>
          <w:tcPr>
            <w:tcW w:w="2967" w:type="dxa"/>
          </w:tcPr>
          <w:p w14:paraId="138447CA">
            <w:pPr>
              <w:spacing w:line="440" w:lineRule="exact"/>
              <w:rPr>
                <w:rFonts w:ascii="宋体" w:hAnsi="宋体"/>
                <w:color w:val="000000"/>
                <w:sz w:val="24"/>
              </w:rPr>
            </w:pPr>
          </w:p>
        </w:tc>
      </w:tr>
      <w:tr w14:paraId="4A9A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9F934C4">
            <w:pPr>
              <w:spacing w:line="440" w:lineRule="exact"/>
              <w:rPr>
                <w:rFonts w:ascii="宋体" w:hAnsi="宋体"/>
                <w:color w:val="000000"/>
                <w:sz w:val="24"/>
              </w:rPr>
            </w:pPr>
          </w:p>
        </w:tc>
        <w:tc>
          <w:tcPr>
            <w:tcW w:w="2669" w:type="dxa"/>
          </w:tcPr>
          <w:p w14:paraId="37B3F076">
            <w:pPr>
              <w:spacing w:line="440" w:lineRule="exact"/>
              <w:rPr>
                <w:rFonts w:ascii="宋体" w:hAnsi="宋体"/>
                <w:color w:val="000000"/>
                <w:sz w:val="24"/>
              </w:rPr>
            </w:pPr>
          </w:p>
        </w:tc>
        <w:tc>
          <w:tcPr>
            <w:tcW w:w="1620" w:type="dxa"/>
            <w:vAlign w:val="center"/>
          </w:tcPr>
          <w:p w14:paraId="7B30577B">
            <w:pPr>
              <w:spacing w:line="440" w:lineRule="exact"/>
              <w:jc w:val="center"/>
              <w:rPr>
                <w:rFonts w:ascii="宋体" w:hAnsi="宋体"/>
                <w:color w:val="000000"/>
                <w:sz w:val="24"/>
              </w:rPr>
            </w:pPr>
          </w:p>
        </w:tc>
        <w:tc>
          <w:tcPr>
            <w:tcW w:w="2967" w:type="dxa"/>
          </w:tcPr>
          <w:p w14:paraId="24AD5584">
            <w:pPr>
              <w:spacing w:line="440" w:lineRule="exact"/>
              <w:rPr>
                <w:rFonts w:ascii="宋体" w:hAnsi="宋体"/>
                <w:color w:val="000000"/>
                <w:sz w:val="24"/>
              </w:rPr>
            </w:pPr>
          </w:p>
        </w:tc>
      </w:tr>
      <w:tr w14:paraId="37BE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4686C2F">
            <w:pPr>
              <w:spacing w:line="440" w:lineRule="exact"/>
              <w:rPr>
                <w:rFonts w:ascii="宋体" w:hAnsi="宋体"/>
                <w:color w:val="000000"/>
                <w:sz w:val="24"/>
              </w:rPr>
            </w:pPr>
          </w:p>
        </w:tc>
        <w:tc>
          <w:tcPr>
            <w:tcW w:w="2669" w:type="dxa"/>
          </w:tcPr>
          <w:p w14:paraId="36E57DB8">
            <w:pPr>
              <w:spacing w:line="440" w:lineRule="exact"/>
              <w:rPr>
                <w:rFonts w:ascii="宋体" w:hAnsi="宋体"/>
                <w:color w:val="000000"/>
                <w:sz w:val="24"/>
              </w:rPr>
            </w:pPr>
          </w:p>
        </w:tc>
        <w:tc>
          <w:tcPr>
            <w:tcW w:w="1620" w:type="dxa"/>
            <w:vAlign w:val="center"/>
          </w:tcPr>
          <w:p w14:paraId="6D99B5DB">
            <w:pPr>
              <w:spacing w:line="440" w:lineRule="exact"/>
              <w:jc w:val="center"/>
              <w:rPr>
                <w:rFonts w:ascii="宋体" w:hAnsi="宋体"/>
                <w:color w:val="000000"/>
                <w:sz w:val="24"/>
              </w:rPr>
            </w:pPr>
          </w:p>
        </w:tc>
        <w:tc>
          <w:tcPr>
            <w:tcW w:w="2967" w:type="dxa"/>
          </w:tcPr>
          <w:p w14:paraId="086D5606">
            <w:pPr>
              <w:spacing w:line="440" w:lineRule="exact"/>
              <w:rPr>
                <w:rFonts w:ascii="宋体" w:hAnsi="宋体"/>
                <w:color w:val="000000"/>
                <w:sz w:val="24"/>
              </w:rPr>
            </w:pPr>
          </w:p>
        </w:tc>
      </w:tr>
      <w:tr w14:paraId="1A30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86AC65F">
            <w:pPr>
              <w:spacing w:line="440" w:lineRule="exact"/>
              <w:rPr>
                <w:rFonts w:ascii="宋体" w:hAnsi="宋体"/>
                <w:color w:val="000000"/>
                <w:sz w:val="24"/>
              </w:rPr>
            </w:pPr>
          </w:p>
        </w:tc>
        <w:tc>
          <w:tcPr>
            <w:tcW w:w="2669" w:type="dxa"/>
          </w:tcPr>
          <w:p w14:paraId="4C736477">
            <w:pPr>
              <w:spacing w:line="440" w:lineRule="exact"/>
              <w:rPr>
                <w:rFonts w:ascii="宋体" w:hAnsi="宋体"/>
                <w:color w:val="000000"/>
                <w:sz w:val="24"/>
              </w:rPr>
            </w:pPr>
          </w:p>
        </w:tc>
        <w:tc>
          <w:tcPr>
            <w:tcW w:w="1620" w:type="dxa"/>
            <w:vAlign w:val="center"/>
          </w:tcPr>
          <w:p w14:paraId="19751D3B">
            <w:pPr>
              <w:spacing w:line="440" w:lineRule="exact"/>
              <w:jc w:val="center"/>
              <w:rPr>
                <w:rFonts w:ascii="宋体" w:hAnsi="宋体"/>
                <w:color w:val="000000"/>
                <w:sz w:val="24"/>
              </w:rPr>
            </w:pPr>
          </w:p>
        </w:tc>
        <w:tc>
          <w:tcPr>
            <w:tcW w:w="2967" w:type="dxa"/>
          </w:tcPr>
          <w:p w14:paraId="236A8B59">
            <w:pPr>
              <w:spacing w:line="440" w:lineRule="exact"/>
              <w:rPr>
                <w:rFonts w:ascii="宋体" w:hAnsi="宋体"/>
                <w:color w:val="000000"/>
                <w:sz w:val="24"/>
              </w:rPr>
            </w:pPr>
          </w:p>
        </w:tc>
      </w:tr>
      <w:tr w14:paraId="3EE8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1EA5B6C">
            <w:pPr>
              <w:spacing w:line="440" w:lineRule="exact"/>
              <w:rPr>
                <w:rFonts w:ascii="宋体" w:hAnsi="宋体"/>
                <w:color w:val="000000"/>
                <w:sz w:val="24"/>
              </w:rPr>
            </w:pPr>
          </w:p>
        </w:tc>
        <w:tc>
          <w:tcPr>
            <w:tcW w:w="2669" w:type="dxa"/>
          </w:tcPr>
          <w:p w14:paraId="099E331C">
            <w:pPr>
              <w:spacing w:line="440" w:lineRule="exact"/>
              <w:rPr>
                <w:rFonts w:ascii="宋体" w:hAnsi="宋体"/>
                <w:color w:val="000000"/>
                <w:sz w:val="24"/>
              </w:rPr>
            </w:pPr>
          </w:p>
        </w:tc>
        <w:tc>
          <w:tcPr>
            <w:tcW w:w="1620" w:type="dxa"/>
            <w:vAlign w:val="center"/>
          </w:tcPr>
          <w:p w14:paraId="08E69144">
            <w:pPr>
              <w:spacing w:line="440" w:lineRule="exact"/>
              <w:jc w:val="center"/>
              <w:rPr>
                <w:rFonts w:ascii="宋体" w:hAnsi="宋体"/>
                <w:color w:val="000000"/>
                <w:sz w:val="24"/>
              </w:rPr>
            </w:pPr>
          </w:p>
        </w:tc>
        <w:tc>
          <w:tcPr>
            <w:tcW w:w="2967" w:type="dxa"/>
          </w:tcPr>
          <w:p w14:paraId="65520C6E">
            <w:pPr>
              <w:spacing w:line="440" w:lineRule="exact"/>
              <w:rPr>
                <w:rFonts w:ascii="宋体" w:hAnsi="宋体"/>
                <w:color w:val="000000"/>
                <w:sz w:val="24"/>
              </w:rPr>
            </w:pPr>
          </w:p>
        </w:tc>
      </w:tr>
    </w:tbl>
    <w:p w14:paraId="348A0719">
      <w:pPr>
        <w:spacing w:after="120" w:line="440" w:lineRule="exact"/>
        <w:rPr>
          <w:rFonts w:ascii="宋体" w:hAnsi="宋体"/>
          <w:b/>
          <w:bCs/>
          <w:color w:val="000000"/>
          <w:sz w:val="24"/>
        </w:rPr>
      </w:pPr>
      <w:r>
        <w:rPr>
          <w:rFonts w:hint="eastAsia" w:ascii="宋体" w:hAnsi="宋体"/>
          <w:b/>
          <w:bCs/>
          <w:color w:val="000000"/>
          <w:sz w:val="24"/>
        </w:rPr>
        <w:t>注：列出所有参加本项目专业人员名单及在本项目中所承担职位和工作。</w:t>
      </w:r>
    </w:p>
    <w:p w14:paraId="079C927C">
      <w:pPr>
        <w:spacing w:after="120" w:line="440" w:lineRule="exact"/>
        <w:rPr>
          <w:rFonts w:ascii="宋体" w:hAnsi="宋体"/>
          <w:b/>
          <w:bCs/>
          <w:color w:val="000000"/>
          <w:sz w:val="24"/>
        </w:rPr>
      </w:pPr>
    </w:p>
    <w:p w14:paraId="1086B96C">
      <w:pPr>
        <w:spacing w:line="360" w:lineRule="auto"/>
        <w:rPr>
          <w:sz w:val="24"/>
        </w:rPr>
      </w:pPr>
      <w:r>
        <w:rPr>
          <w:sz w:val="24"/>
        </w:rPr>
        <w:t>投标人名称：</w:t>
      </w:r>
    </w:p>
    <w:p w14:paraId="329E4A50">
      <w:pPr>
        <w:spacing w:after="120" w:line="440" w:lineRule="exact"/>
        <w:rPr>
          <w:rFonts w:ascii="宋体" w:hAnsi="宋体"/>
          <w:b/>
          <w:bCs/>
          <w:color w:val="000000"/>
          <w:sz w:val="24"/>
        </w:rPr>
        <w:sectPr>
          <w:headerReference r:id="rId10" w:type="first"/>
          <w:footerReference r:id="rId13" w:type="first"/>
          <w:headerReference r:id="rId9" w:type="default"/>
          <w:footerReference r:id="rId11" w:type="default"/>
          <w:footerReference r:id="rId12" w:type="even"/>
          <w:pgSz w:w="11907" w:h="16840"/>
          <w:pgMar w:top="1440" w:right="1797" w:bottom="1440" w:left="1797" w:header="851" w:footer="992" w:gutter="0"/>
          <w:cols w:space="425" w:num="1"/>
          <w:titlePg/>
          <w:docGrid w:type="lines" w:linePitch="312" w:charSpace="0"/>
        </w:sect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990825C">
      <w:pPr>
        <w:spacing w:line="480" w:lineRule="auto"/>
        <w:rPr>
          <w:b/>
          <w:color w:val="000000"/>
          <w:sz w:val="24"/>
        </w:rPr>
      </w:pPr>
      <w:r>
        <w:rPr>
          <w:rFonts w:hint="eastAsia"/>
          <w:b/>
          <w:color w:val="000000"/>
          <w:sz w:val="24"/>
        </w:rPr>
        <w:t>附件</w:t>
      </w:r>
      <w:r>
        <w:rPr>
          <w:b/>
          <w:sz w:val="24"/>
        </w:rPr>
        <w:t>4</w:t>
      </w:r>
      <w:r>
        <w:rPr>
          <w:rFonts w:hint="eastAsia"/>
          <w:b/>
          <w:color w:val="000000"/>
          <w:sz w:val="24"/>
        </w:rPr>
        <w:t>-4</w:t>
      </w:r>
    </w:p>
    <w:p w14:paraId="66B25AB4">
      <w:pPr>
        <w:spacing w:line="480" w:lineRule="auto"/>
        <w:jc w:val="center"/>
        <w:rPr>
          <w:rFonts w:ascii="宋体" w:hAnsi="宋体"/>
          <w:b/>
          <w:color w:val="000000"/>
          <w:sz w:val="30"/>
        </w:rPr>
      </w:pPr>
      <w:r>
        <w:rPr>
          <w:rFonts w:hint="eastAsia"/>
          <w:b/>
          <w:color w:val="000000"/>
          <w:sz w:val="24"/>
        </w:rPr>
        <w:t>专业人员简历格式</w:t>
      </w:r>
    </w:p>
    <w:p w14:paraId="77BF7BCD">
      <w:pPr>
        <w:spacing w:after="120" w:line="440" w:lineRule="exact"/>
        <w:rPr>
          <w:rFonts w:ascii="宋体" w:hAnsi="宋体"/>
          <w:color w:val="000000"/>
          <w:sz w:val="24"/>
        </w:rPr>
      </w:pPr>
      <w:r>
        <w:rPr>
          <w:rFonts w:hint="eastAsia" w:ascii="宋体" w:hAnsi="宋体"/>
          <w:color w:val="000000"/>
          <w:sz w:val="24"/>
        </w:rPr>
        <w:t>建议职位：</w:t>
      </w:r>
      <w:r>
        <w:rPr>
          <w:rFonts w:hint="eastAsia" w:ascii="宋体" w:hAnsi="宋体"/>
          <w:color w:val="000000"/>
          <w:sz w:val="24"/>
          <w:u w:val="single"/>
        </w:rPr>
        <w:t xml:space="preserve">                                          </w:t>
      </w:r>
    </w:p>
    <w:p w14:paraId="19F7E8CC">
      <w:pPr>
        <w:spacing w:after="120" w:line="440" w:lineRule="exact"/>
        <w:rPr>
          <w:rFonts w:ascii="宋体" w:hAnsi="宋体"/>
          <w:color w:val="000000"/>
          <w:sz w:val="24"/>
        </w:rPr>
      </w:pPr>
      <w:r>
        <w:rPr>
          <w:rFonts w:hint="eastAsia" w:ascii="宋体" w:hAnsi="宋体"/>
          <w:color w:val="000000"/>
          <w:sz w:val="24"/>
        </w:rPr>
        <w:t>公司名称：</w:t>
      </w:r>
      <w:r>
        <w:rPr>
          <w:rFonts w:hint="eastAsia" w:ascii="宋体" w:hAnsi="宋体"/>
          <w:color w:val="000000"/>
          <w:sz w:val="24"/>
          <w:u w:val="single"/>
        </w:rPr>
        <w:t xml:space="preserve">                                          </w:t>
      </w:r>
    </w:p>
    <w:p w14:paraId="509FE919">
      <w:pPr>
        <w:spacing w:after="120" w:line="440" w:lineRule="exact"/>
        <w:rPr>
          <w:rFonts w:ascii="宋体" w:hAnsi="宋体"/>
          <w:color w:val="000000"/>
          <w:sz w:val="24"/>
          <w:u w:val="single"/>
        </w:rPr>
      </w:pPr>
      <w:r>
        <w:rPr>
          <w:rFonts w:hint="eastAsia" w:ascii="宋体" w:hAnsi="宋体"/>
          <w:color w:val="000000"/>
          <w:sz w:val="24"/>
        </w:rPr>
        <w:t>人员姓名：</w:t>
      </w:r>
      <w:r>
        <w:rPr>
          <w:rFonts w:hint="eastAsia" w:ascii="宋体" w:hAnsi="宋体"/>
          <w:color w:val="000000"/>
          <w:sz w:val="24"/>
          <w:u w:val="single"/>
        </w:rPr>
        <w:t xml:space="preserve">                                          </w:t>
      </w:r>
    </w:p>
    <w:p w14:paraId="26CF30F4">
      <w:pPr>
        <w:spacing w:after="120" w:line="440" w:lineRule="exact"/>
        <w:rPr>
          <w:rFonts w:ascii="宋体" w:hAnsi="宋体"/>
          <w:color w:val="000000"/>
          <w:sz w:val="24"/>
        </w:rPr>
      </w:pPr>
      <w:r>
        <w:rPr>
          <w:rFonts w:hint="eastAsia" w:ascii="宋体" w:hAnsi="宋体"/>
          <w:color w:val="000000"/>
          <w:sz w:val="24"/>
        </w:rPr>
        <w:t>学历：</w:t>
      </w:r>
      <w:r>
        <w:rPr>
          <w:rFonts w:hint="eastAsia" w:ascii="宋体" w:hAnsi="宋体"/>
          <w:color w:val="000000"/>
          <w:sz w:val="24"/>
          <w:u w:val="single"/>
        </w:rPr>
        <w:t xml:space="preserve">                                     　        </w:t>
      </w:r>
    </w:p>
    <w:p w14:paraId="5E03AF1F">
      <w:pPr>
        <w:spacing w:after="120" w:line="440" w:lineRule="exact"/>
        <w:rPr>
          <w:rFonts w:ascii="宋体" w:hAnsi="宋体"/>
          <w:color w:val="000000"/>
          <w:sz w:val="24"/>
        </w:rPr>
      </w:pPr>
      <w:r>
        <w:rPr>
          <w:rFonts w:hint="eastAsia" w:ascii="宋体" w:hAnsi="宋体"/>
          <w:color w:val="000000"/>
          <w:sz w:val="24"/>
        </w:rPr>
        <w:t>专业：</w:t>
      </w:r>
      <w:r>
        <w:rPr>
          <w:rFonts w:hint="eastAsia" w:ascii="宋体" w:hAnsi="宋体"/>
          <w:color w:val="000000"/>
          <w:sz w:val="24"/>
          <w:u w:val="single"/>
        </w:rPr>
        <w:t xml:space="preserve">                                     　        </w:t>
      </w:r>
    </w:p>
    <w:p w14:paraId="10C04F63">
      <w:pPr>
        <w:spacing w:after="120" w:line="440" w:lineRule="exact"/>
        <w:rPr>
          <w:rFonts w:ascii="宋体" w:hAnsi="宋体"/>
          <w:color w:val="000000"/>
          <w:sz w:val="24"/>
        </w:rPr>
      </w:pPr>
      <w:r>
        <w:rPr>
          <w:rFonts w:hint="eastAsia" w:ascii="宋体" w:hAnsi="宋体"/>
          <w:color w:val="000000"/>
          <w:sz w:val="24"/>
        </w:rPr>
        <w:t>出生日期：</w:t>
      </w:r>
      <w:r>
        <w:rPr>
          <w:rFonts w:hint="eastAsia" w:ascii="宋体" w:hAnsi="宋体"/>
          <w:color w:val="000000"/>
          <w:sz w:val="24"/>
          <w:u w:val="single"/>
        </w:rPr>
        <w:t xml:space="preserve">                                   　      </w:t>
      </w:r>
    </w:p>
    <w:p w14:paraId="185497CA">
      <w:pPr>
        <w:spacing w:after="120" w:line="440" w:lineRule="exact"/>
        <w:rPr>
          <w:rFonts w:ascii="宋体" w:hAnsi="宋体"/>
          <w:color w:val="000000"/>
          <w:sz w:val="24"/>
        </w:rPr>
      </w:pPr>
      <w:r>
        <w:rPr>
          <w:rFonts w:hint="eastAsia" w:ascii="宋体" w:hAnsi="宋体"/>
          <w:color w:val="000000"/>
          <w:sz w:val="24"/>
        </w:rPr>
        <w:t>在此公司工作年限：</w:t>
      </w:r>
      <w:r>
        <w:rPr>
          <w:rFonts w:hint="eastAsia" w:ascii="宋体" w:hAnsi="宋体"/>
          <w:color w:val="000000"/>
          <w:sz w:val="24"/>
          <w:u w:val="single"/>
        </w:rPr>
        <w:t xml:space="preserve">         　　 　　　　　　　　　　</w:t>
      </w:r>
    </w:p>
    <w:p w14:paraId="0F5BC994">
      <w:pPr>
        <w:spacing w:after="120" w:line="440" w:lineRule="exact"/>
        <w:rPr>
          <w:rFonts w:ascii="宋体" w:hAnsi="宋体"/>
          <w:b/>
          <w:color w:val="000000"/>
          <w:sz w:val="24"/>
        </w:rPr>
      </w:pPr>
      <w:r>
        <w:rPr>
          <w:rFonts w:hint="eastAsia" w:ascii="宋体" w:hAnsi="宋体"/>
          <w:b/>
          <w:color w:val="000000"/>
          <w:sz w:val="24"/>
        </w:rPr>
        <w:t>关键资格条件：</w:t>
      </w:r>
    </w:p>
    <w:p w14:paraId="541C3326">
      <w:pPr>
        <w:pStyle w:val="5"/>
        <w:pBdr>
          <w:bottom w:val="single" w:color="auto" w:sz="6" w:space="1"/>
        </w:pBdr>
        <w:rPr>
          <w:rFonts w:ascii="宋体" w:hAnsi="宋体"/>
          <w:b/>
          <w:i/>
          <w:color w:val="000000"/>
          <w:sz w:val="24"/>
        </w:rPr>
      </w:pPr>
      <w:r>
        <w:rPr>
          <w:rFonts w:hint="eastAsia" w:ascii="宋体" w:hAnsi="宋体"/>
          <w:b/>
          <w:i/>
          <w:color w:val="000000"/>
          <w:sz w:val="24"/>
        </w:rPr>
        <w:t>（概述此人员与本任务最相关的经验和培训情况以及所获与本项目内容相关的资格证书，描述其在以前的有关任务中承担的责任度，给出日期和地点。）</w:t>
      </w:r>
    </w:p>
    <w:p w14:paraId="49424381">
      <w:pPr>
        <w:pStyle w:val="5"/>
        <w:pBdr>
          <w:bottom w:val="single" w:color="auto" w:sz="6" w:space="1"/>
        </w:pBdr>
        <w:rPr>
          <w:rFonts w:ascii="宋体" w:hAnsi="宋体"/>
          <w:i/>
          <w:color w:val="000000"/>
          <w:sz w:val="24"/>
        </w:rPr>
      </w:pPr>
    </w:p>
    <w:p w14:paraId="5972CA5D">
      <w:pPr>
        <w:spacing w:after="120" w:line="440" w:lineRule="exact"/>
        <w:rPr>
          <w:rFonts w:ascii="宋体" w:hAnsi="宋体"/>
          <w:b/>
          <w:color w:val="000000"/>
          <w:sz w:val="24"/>
        </w:rPr>
      </w:pPr>
      <w:r>
        <w:rPr>
          <w:rFonts w:hint="eastAsia" w:ascii="宋体" w:hAnsi="宋体"/>
          <w:b/>
          <w:color w:val="000000"/>
          <w:sz w:val="24"/>
        </w:rPr>
        <w:t>教育：</w:t>
      </w:r>
    </w:p>
    <w:p w14:paraId="2C4D7B4B">
      <w:pPr>
        <w:spacing w:after="120" w:line="440" w:lineRule="exact"/>
        <w:rPr>
          <w:rFonts w:ascii="宋体" w:hAnsi="宋体"/>
          <w:i/>
          <w:color w:val="000000"/>
          <w:sz w:val="24"/>
        </w:rPr>
      </w:pPr>
      <w:r>
        <w:rPr>
          <w:rFonts w:hint="eastAsia" w:ascii="宋体" w:hAnsi="宋体"/>
          <w:i/>
          <w:color w:val="000000"/>
          <w:sz w:val="24"/>
        </w:rPr>
        <w:t>（概述此人员的大学和其他专业化教育和培训情况，给出学校的名称、入学日期、所获学位。）</w:t>
      </w:r>
    </w:p>
    <w:p w14:paraId="3ABFC332">
      <w:pPr>
        <w:spacing w:after="120" w:line="360" w:lineRule="exact"/>
        <w:rPr>
          <w:rFonts w:ascii="宋体" w:hAnsi="宋体"/>
          <w:b/>
          <w:color w:val="000000"/>
          <w:sz w:val="24"/>
        </w:rPr>
      </w:pPr>
      <w:r>
        <w:rPr>
          <w:rFonts w:hint="eastAsia" w:ascii="宋体" w:hAnsi="宋体"/>
          <w:b/>
          <w:color w:val="000000"/>
          <w:sz w:val="24"/>
        </w:rPr>
        <w:t>所获证书：</w:t>
      </w:r>
    </w:p>
    <w:p w14:paraId="66743406">
      <w:pPr>
        <w:spacing w:after="120" w:line="360" w:lineRule="exact"/>
        <w:rPr>
          <w:rFonts w:ascii="宋体" w:hAnsi="宋体"/>
          <w:i/>
          <w:color w:val="000000"/>
          <w:sz w:val="24"/>
        </w:rPr>
      </w:pPr>
      <w:r>
        <w:rPr>
          <w:rFonts w:hint="eastAsia" w:ascii="宋体" w:hAnsi="宋体"/>
          <w:i/>
          <w:color w:val="000000"/>
          <w:sz w:val="24"/>
        </w:rPr>
        <w:t>（提供此人与本项目相关的证书扫描件）</w:t>
      </w:r>
    </w:p>
    <w:p w14:paraId="041FC967">
      <w:pPr>
        <w:pBdr>
          <w:bottom w:val="single" w:color="auto" w:sz="6" w:space="1"/>
        </w:pBdr>
        <w:spacing w:after="120" w:line="360" w:lineRule="exact"/>
        <w:rPr>
          <w:rFonts w:ascii="宋体" w:hAnsi="宋体"/>
          <w:color w:val="000000"/>
          <w:sz w:val="24"/>
        </w:rPr>
      </w:pPr>
    </w:p>
    <w:p w14:paraId="27A943FB">
      <w:pPr>
        <w:spacing w:after="120" w:line="360" w:lineRule="exact"/>
        <w:rPr>
          <w:rFonts w:ascii="宋体" w:hAnsi="宋体"/>
          <w:b/>
          <w:color w:val="000000"/>
          <w:sz w:val="24"/>
        </w:rPr>
      </w:pPr>
      <w:r>
        <w:rPr>
          <w:rFonts w:hint="eastAsia" w:ascii="宋体" w:hAnsi="宋体"/>
          <w:b/>
          <w:color w:val="000000"/>
          <w:sz w:val="24"/>
        </w:rPr>
        <w:t>工作简历：</w:t>
      </w:r>
    </w:p>
    <w:p w14:paraId="6109EAF8">
      <w:pPr>
        <w:pStyle w:val="13"/>
        <w:spacing w:line="360" w:lineRule="exact"/>
        <w:rPr>
          <w:rFonts w:ascii="宋体" w:hAnsi="宋体"/>
          <w:color w:val="000000"/>
        </w:rPr>
      </w:pPr>
      <w:r>
        <w:rPr>
          <w:rFonts w:hint="eastAsia" w:ascii="宋体" w:hAnsi="宋体"/>
          <w:color w:val="000000"/>
        </w:rPr>
        <w:t>（从现任职位开始，倒叙列出自毕业后所任所有职务、日期、受雇单位名称、职位头衔、任务地点。近五年的经验应给出从事活动的类型和适当的用户信息。）</w:t>
      </w:r>
    </w:p>
    <w:p w14:paraId="7F850E62">
      <w:pPr>
        <w:pBdr>
          <w:bottom w:val="single" w:color="auto" w:sz="6" w:space="1"/>
        </w:pBdr>
        <w:spacing w:after="120" w:line="440" w:lineRule="exact"/>
        <w:rPr>
          <w:rFonts w:ascii="宋体" w:hAnsi="宋体"/>
          <w:color w:val="000000"/>
          <w:sz w:val="24"/>
        </w:rPr>
      </w:pPr>
    </w:p>
    <w:p w14:paraId="5A47E97B">
      <w:pPr>
        <w:spacing w:after="120" w:line="440" w:lineRule="exact"/>
        <w:rPr>
          <w:rFonts w:ascii="宋体" w:hAnsi="宋体"/>
          <w:b/>
          <w:color w:val="000000"/>
          <w:sz w:val="24"/>
        </w:rPr>
      </w:pPr>
    </w:p>
    <w:p w14:paraId="5CF3DE23">
      <w:pPr>
        <w:spacing w:line="360" w:lineRule="auto"/>
        <w:rPr>
          <w:sz w:val="24"/>
        </w:rPr>
      </w:pPr>
      <w:r>
        <w:rPr>
          <w:sz w:val="24"/>
        </w:rPr>
        <w:t>投标人名称：</w:t>
      </w:r>
    </w:p>
    <w:p w14:paraId="64608CD8">
      <w:pPr>
        <w:spacing w:after="120" w:line="440" w:lineRule="exact"/>
        <w:rPr>
          <w:rFonts w:ascii="宋体" w:hAnsi="宋体"/>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C3FA2C">
      <w:pPr>
        <w:rPr>
          <w:color w:val="000000"/>
        </w:rPr>
      </w:pPr>
      <w:r>
        <w:rPr>
          <w:rFonts w:hint="eastAsia" w:ascii="宋体" w:hAnsi="宋体"/>
          <w:b/>
          <w:bCs/>
          <w:color w:val="000000"/>
          <w:sz w:val="24"/>
        </w:rPr>
        <w:t>注：所建议的关键专业人员均需填写此表。</w:t>
      </w:r>
    </w:p>
    <w:p w14:paraId="27231FD4">
      <w:pPr>
        <w:spacing w:line="480" w:lineRule="auto"/>
        <w:rPr>
          <w:b/>
          <w:color w:val="000000"/>
          <w:sz w:val="24"/>
        </w:rPr>
      </w:pPr>
      <w:r>
        <w:rPr>
          <w:b/>
          <w:sz w:val="24"/>
        </w:rPr>
        <w:br w:type="page"/>
      </w:r>
      <w:r>
        <w:rPr>
          <w:rFonts w:hint="eastAsia"/>
          <w:b/>
          <w:color w:val="000000"/>
          <w:sz w:val="24"/>
        </w:rPr>
        <w:t>附件</w:t>
      </w:r>
      <w:r>
        <w:rPr>
          <w:b/>
          <w:sz w:val="24"/>
        </w:rPr>
        <w:t>4</w:t>
      </w:r>
      <w:r>
        <w:rPr>
          <w:rFonts w:hint="eastAsia"/>
          <w:b/>
          <w:color w:val="000000"/>
          <w:sz w:val="24"/>
        </w:rPr>
        <w:t>-5</w:t>
      </w:r>
    </w:p>
    <w:p w14:paraId="265B7569">
      <w:pPr>
        <w:spacing w:line="560" w:lineRule="exact"/>
        <w:jc w:val="center"/>
        <w:rPr>
          <w:rFonts w:ascii="宋体"/>
          <w:b/>
          <w:sz w:val="24"/>
        </w:rPr>
      </w:pPr>
      <w:r>
        <w:rPr>
          <w:rFonts w:hint="eastAsia" w:ascii="宋体"/>
          <w:b/>
          <w:sz w:val="24"/>
        </w:rPr>
        <w:t>主要相关项目业绩一览表</w:t>
      </w:r>
    </w:p>
    <w:p w14:paraId="7C21B11F">
      <w:pPr>
        <w:spacing w:line="460" w:lineRule="exact"/>
        <w:rPr>
          <w:sz w:val="24"/>
        </w:rPr>
      </w:pPr>
      <w:r>
        <w:rPr>
          <w:sz w:val="24"/>
        </w:rPr>
        <w:t>项目名称：</w:t>
      </w:r>
      <w:r>
        <w:rPr>
          <w:sz w:val="24"/>
          <w:u w:val="single"/>
        </w:rPr>
        <w:t xml:space="preserve">                    </w:t>
      </w:r>
    </w:p>
    <w:p w14:paraId="32249CDF">
      <w:pPr>
        <w:spacing w:line="460" w:lineRule="exact"/>
        <w:rPr>
          <w:sz w:val="24"/>
        </w:rPr>
      </w:pPr>
      <w:r>
        <w:rPr>
          <w:sz w:val="24"/>
        </w:rPr>
        <w:t>项目编号：</w:t>
      </w:r>
      <w:r>
        <w:rPr>
          <w:sz w:val="24"/>
          <w:u w:val="single"/>
        </w:rPr>
        <w:t xml:space="preserve">                    </w:t>
      </w:r>
    </w:p>
    <w:p w14:paraId="3777706F">
      <w:pPr>
        <w:spacing w:line="460" w:lineRule="exact"/>
        <w:rPr>
          <w:sz w:val="24"/>
          <w:u w:val="single"/>
        </w:rPr>
      </w:pPr>
      <w:r>
        <w:rPr>
          <w:sz w:val="24"/>
        </w:rPr>
        <w:t>包号：</w:t>
      </w:r>
      <w:r>
        <w:rPr>
          <w:sz w:val="24"/>
          <w:u w:val="single"/>
        </w:rPr>
        <w:t xml:space="preserve">                        </w:t>
      </w:r>
    </w:p>
    <w:p w14:paraId="4D396682">
      <w:pPr>
        <w:spacing w:line="560" w:lineRule="exact"/>
        <w:jc w:val="center"/>
        <w:rPr>
          <w:rFonts w:ascii="宋体"/>
          <w:b/>
          <w:sz w:val="24"/>
        </w:rPr>
      </w:pPr>
    </w:p>
    <w:tbl>
      <w:tblPr>
        <w:tblStyle w:val="16"/>
        <w:tblW w:w="0" w:type="auto"/>
        <w:tblInd w:w="-8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261"/>
        <w:gridCol w:w="1356"/>
        <w:gridCol w:w="1356"/>
        <w:gridCol w:w="1217"/>
        <w:gridCol w:w="1596"/>
        <w:gridCol w:w="900"/>
        <w:gridCol w:w="1440"/>
      </w:tblGrid>
      <w:tr w14:paraId="7989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33F5408F">
            <w:pPr>
              <w:spacing w:line="500" w:lineRule="exact"/>
              <w:jc w:val="center"/>
              <w:rPr>
                <w:rFonts w:ascii="宋体"/>
                <w:sz w:val="24"/>
              </w:rPr>
            </w:pPr>
            <w:r>
              <w:rPr>
                <w:rFonts w:hint="eastAsia" w:ascii="宋体"/>
                <w:sz w:val="24"/>
              </w:rPr>
              <w:t>序号</w:t>
            </w:r>
          </w:p>
        </w:tc>
        <w:tc>
          <w:tcPr>
            <w:tcW w:w="1261" w:type="dxa"/>
            <w:tcBorders>
              <w:top w:val="single" w:color="auto" w:sz="4" w:space="0"/>
              <w:left w:val="single" w:color="auto" w:sz="4" w:space="0"/>
              <w:bottom w:val="single" w:color="auto" w:sz="4" w:space="0"/>
              <w:right w:val="single" w:color="auto" w:sz="4" w:space="0"/>
            </w:tcBorders>
            <w:vAlign w:val="center"/>
          </w:tcPr>
          <w:p w14:paraId="0E0DD75A">
            <w:pPr>
              <w:spacing w:line="500" w:lineRule="exact"/>
              <w:jc w:val="center"/>
              <w:rPr>
                <w:rFonts w:ascii="宋体"/>
                <w:sz w:val="24"/>
              </w:rPr>
            </w:pPr>
            <w:r>
              <w:rPr>
                <w:rFonts w:hint="eastAsia" w:ascii="宋体"/>
                <w:sz w:val="24"/>
              </w:rPr>
              <w:t>用户单位名称</w:t>
            </w:r>
          </w:p>
        </w:tc>
        <w:tc>
          <w:tcPr>
            <w:tcW w:w="1356" w:type="dxa"/>
            <w:tcBorders>
              <w:top w:val="single" w:color="auto" w:sz="4" w:space="0"/>
              <w:left w:val="single" w:color="auto" w:sz="4" w:space="0"/>
              <w:bottom w:val="single" w:color="auto" w:sz="4" w:space="0"/>
              <w:right w:val="single" w:color="auto" w:sz="4" w:space="0"/>
            </w:tcBorders>
            <w:vAlign w:val="center"/>
          </w:tcPr>
          <w:p w14:paraId="12C378C3">
            <w:pPr>
              <w:spacing w:line="500" w:lineRule="exact"/>
              <w:jc w:val="center"/>
              <w:rPr>
                <w:rFonts w:ascii="宋体"/>
                <w:sz w:val="24"/>
              </w:rPr>
            </w:pPr>
            <w:r>
              <w:rPr>
                <w:rFonts w:hint="eastAsia" w:ascii="宋体"/>
                <w:sz w:val="24"/>
              </w:rPr>
              <w:t>项目内容</w:t>
            </w:r>
          </w:p>
        </w:tc>
        <w:tc>
          <w:tcPr>
            <w:tcW w:w="1356" w:type="dxa"/>
            <w:tcBorders>
              <w:top w:val="single" w:color="auto" w:sz="4" w:space="0"/>
              <w:left w:val="single" w:color="auto" w:sz="4" w:space="0"/>
              <w:bottom w:val="single" w:color="auto" w:sz="4" w:space="0"/>
              <w:right w:val="single" w:color="auto" w:sz="4" w:space="0"/>
            </w:tcBorders>
            <w:vAlign w:val="center"/>
          </w:tcPr>
          <w:p w14:paraId="41C27E96">
            <w:pPr>
              <w:spacing w:line="500" w:lineRule="exact"/>
              <w:jc w:val="center"/>
              <w:rPr>
                <w:rFonts w:ascii="宋体"/>
                <w:sz w:val="24"/>
              </w:rPr>
            </w:pPr>
            <w:r>
              <w:rPr>
                <w:rFonts w:hint="eastAsia" w:ascii="宋体"/>
                <w:sz w:val="24"/>
              </w:rPr>
              <w:t>项目实施地点</w:t>
            </w:r>
          </w:p>
        </w:tc>
        <w:tc>
          <w:tcPr>
            <w:tcW w:w="1217" w:type="dxa"/>
            <w:tcBorders>
              <w:top w:val="single" w:color="auto" w:sz="4" w:space="0"/>
              <w:left w:val="single" w:color="auto" w:sz="4" w:space="0"/>
              <w:bottom w:val="single" w:color="auto" w:sz="4" w:space="0"/>
              <w:right w:val="single" w:color="auto" w:sz="4" w:space="0"/>
            </w:tcBorders>
            <w:vAlign w:val="center"/>
          </w:tcPr>
          <w:p w14:paraId="0BB8BC60">
            <w:pPr>
              <w:spacing w:line="500" w:lineRule="exact"/>
              <w:jc w:val="center"/>
              <w:rPr>
                <w:rFonts w:ascii="宋体"/>
                <w:sz w:val="24"/>
              </w:rPr>
            </w:pPr>
            <w:r>
              <w:rPr>
                <w:rFonts w:hint="eastAsia" w:ascii="宋体"/>
                <w:sz w:val="24"/>
              </w:rPr>
              <w:t>联系人及联系方式</w:t>
            </w:r>
          </w:p>
        </w:tc>
        <w:tc>
          <w:tcPr>
            <w:tcW w:w="1596" w:type="dxa"/>
            <w:tcBorders>
              <w:top w:val="single" w:color="auto" w:sz="4" w:space="0"/>
              <w:left w:val="single" w:color="auto" w:sz="4" w:space="0"/>
              <w:bottom w:val="single" w:color="auto" w:sz="4" w:space="0"/>
              <w:right w:val="single" w:color="auto" w:sz="4" w:space="0"/>
            </w:tcBorders>
            <w:vAlign w:val="center"/>
          </w:tcPr>
          <w:p w14:paraId="512186CD">
            <w:pPr>
              <w:spacing w:line="500" w:lineRule="exact"/>
              <w:jc w:val="center"/>
              <w:rPr>
                <w:rFonts w:ascii="宋体"/>
                <w:sz w:val="24"/>
              </w:rPr>
            </w:pPr>
            <w:r>
              <w:rPr>
                <w:rFonts w:hint="eastAsia" w:ascii="宋体"/>
                <w:sz w:val="24"/>
              </w:rPr>
              <w:t>开始日期—</w:t>
            </w:r>
          </w:p>
          <w:p w14:paraId="3C50DEBF">
            <w:pPr>
              <w:spacing w:line="500" w:lineRule="exact"/>
              <w:jc w:val="center"/>
              <w:rPr>
                <w:rFonts w:ascii="宋体"/>
                <w:sz w:val="24"/>
              </w:rPr>
            </w:pPr>
            <w:r>
              <w:rPr>
                <w:rFonts w:hint="eastAsia" w:ascii="宋体"/>
                <w:sz w:val="24"/>
              </w:rPr>
              <w:t>完工日期</w:t>
            </w:r>
          </w:p>
        </w:tc>
        <w:tc>
          <w:tcPr>
            <w:tcW w:w="900" w:type="dxa"/>
            <w:tcBorders>
              <w:top w:val="single" w:color="auto" w:sz="4" w:space="0"/>
              <w:left w:val="single" w:color="auto" w:sz="4" w:space="0"/>
              <w:bottom w:val="single" w:color="auto" w:sz="4" w:space="0"/>
              <w:right w:val="single" w:color="auto" w:sz="4" w:space="0"/>
            </w:tcBorders>
            <w:vAlign w:val="center"/>
          </w:tcPr>
          <w:p w14:paraId="2A7C6BA7">
            <w:pPr>
              <w:spacing w:line="500" w:lineRule="exact"/>
              <w:jc w:val="center"/>
              <w:rPr>
                <w:rFonts w:ascii="宋体"/>
                <w:sz w:val="24"/>
              </w:rPr>
            </w:pPr>
            <w:r>
              <w:rPr>
                <w:rFonts w:hint="eastAsia" w:ascii="宋体"/>
                <w:sz w:val="24"/>
              </w:rPr>
              <w:t>合同金额</w:t>
            </w:r>
          </w:p>
        </w:tc>
        <w:tc>
          <w:tcPr>
            <w:tcW w:w="1440" w:type="dxa"/>
            <w:tcBorders>
              <w:top w:val="single" w:color="auto" w:sz="4" w:space="0"/>
              <w:left w:val="single" w:color="auto" w:sz="4" w:space="0"/>
              <w:bottom w:val="single" w:color="auto" w:sz="4" w:space="0"/>
              <w:right w:val="single" w:color="auto" w:sz="4" w:space="0"/>
            </w:tcBorders>
            <w:vAlign w:val="center"/>
          </w:tcPr>
          <w:p w14:paraId="0F440300">
            <w:pPr>
              <w:spacing w:line="500" w:lineRule="exact"/>
              <w:jc w:val="center"/>
              <w:rPr>
                <w:rFonts w:ascii="宋体"/>
                <w:sz w:val="24"/>
              </w:rPr>
            </w:pPr>
            <w:r>
              <w:rPr>
                <w:rFonts w:hint="eastAsia" w:ascii="宋体"/>
                <w:sz w:val="24"/>
              </w:rPr>
              <w:t>合同编号</w:t>
            </w:r>
          </w:p>
        </w:tc>
      </w:tr>
      <w:tr w14:paraId="79E5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4903CB5D">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3D6944D8">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61ECA180">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39ACB3D2">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569053B2">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0D1E7C25">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2F82F00B">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2957DB40">
            <w:pPr>
              <w:spacing w:line="560" w:lineRule="exact"/>
              <w:jc w:val="center"/>
              <w:rPr>
                <w:rFonts w:ascii="宋体"/>
                <w:b/>
                <w:sz w:val="24"/>
              </w:rPr>
            </w:pPr>
          </w:p>
        </w:tc>
      </w:tr>
      <w:tr w14:paraId="77B7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15DB7F63">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03C0C81A">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4B61AB78">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54D3DA6E">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0FE0667A">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7220D8B9">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5AB25CC9">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64D7D414">
            <w:pPr>
              <w:spacing w:line="560" w:lineRule="exact"/>
              <w:jc w:val="center"/>
              <w:rPr>
                <w:rFonts w:ascii="宋体"/>
                <w:b/>
                <w:sz w:val="24"/>
              </w:rPr>
            </w:pPr>
          </w:p>
        </w:tc>
      </w:tr>
      <w:tr w14:paraId="5374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4B74B5A9">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571E77BF">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70D48149">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680B6750">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0F120FD6">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0C5694DA">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58941938">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1AA19351">
            <w:pPr>
              <w:spacing w:line="560" w:lineRule="exact"/>
              <w:jc w:val="center"/>
              <w:rPr>
                <w:rFonts w:ascii="宋体"/>
                <w:b/>
                <w:sz w:val="24"/>
              </w:rPr>
            </w:pPr>
          </w:p>
        </w:tc>
      </w:tr>
      <w:tr w14:paraId="6B24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5A871344">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34A30387">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73A58222">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66A0F403">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25F0704E">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14D2C86A">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558F51FB">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763D11A4">
            <w:pPr>
              <w:spacing w:line="560" w:lineRule="exact"/>
              <w:jc w:val="center"/>
              <w:rPr>
                <w:rFonts w:ascii="宋体"/>
                <w:b/>
                <w:sz w:val="24"/>
              </w:rPr>
            </w:pPr>
          </w:p>
        </w:tc>
      </w:tr>
      <w:tr w14:paraId="28A5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3C829487">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5CBF7D0B">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1D61C992">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361BAFC9">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204DD6F7">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137AFC65">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26BAB100">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01B31A3D">
            <w:pPr>
              <w:spacing w:line="560" w:lineRule="exact"/>
              <w:jc w:val="center"/>
              <w:rPr>
                <w:rFonts w:ascii="宋体"/>
                <w:b/>
                <w:sz w:val="24"/>
              </w:rPr>
            </w:pPr>
          </w:p>
        </w:tc>
      </w:tr>
      <w:tr w14:paraId="775B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0C37329A">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575E9ACC">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3D3A468F">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2A7FFCD1">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3A7FD154">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79E15DAD">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4F64EF90">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04A12ED5">
            <w:pPr>
              <w:spacing w:line="560" w:lineRule="exact"/>
              <w:jc w:val="center"/>
              <w:rPr>
                <w:rFonts w:ascii="宋体"/>
                <w:b/>
                <w:sz w:val="24"/>
              </w:rPr>
            </w:pPr>
          </w:p>
        </w:tc>
      </w:tr>
      <w:tr w14:paraId="7126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1701C0AA">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274E1310">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06CD7E12">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0656E4D6">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33C82AF3">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1FAEE04D">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78FFD215">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7B68613D">
            <w:pPr>
              <w:spacing w:line="560" w:lineRule="exact"/>
              <w:jc w:val="center"/>
              <w:rPr>
                <w:rFonts w:ascii="宋体"/>
                <w:b/>
                <w:sz w:val="24"/>
              </w:rPr>
            </w:pPr>
          </w:p>
        </w:tc>
      </w:tr>
      <w:tr w14:paraId="6F7C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6C714B42">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03BDCBE8">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0E8D6D78">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298C99F9">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17707F2C">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5D485147">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6FE9B991">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69C3D10A">
            <w:pPr>
              <w:spacing w:line="560" w:lineRule="exact"/>
              <w:jc w:val="center"/>
              <w:rPr>
                <w:rFonts w:ascii="宋体"/>
                <w:b/>
                <w:sz w:val="24"/>
              </w:rPr>
            </w:pPr>
          </w:p>
        </w:tc>
      </w:tr>
      <w:tr w14:paraId="50CE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67A566F9">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4CD309EB">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666390DD">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7C669B88">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119BE14B">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0704CFA3">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3E1362E0">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0080F030">
            <w:pPr>
              <w:spacing w:line="560" w:lineRule="exact"/>
              <w:jc w:val="center"/>
              <w:rPr>
                <w:rFonts w:ascii="宋体"/>
                <w:b/>
                <w:sz w:val="24"/>
              </w:rPr>
            </w:pPr>
          </w:p>
        </w:tc>
      </w:tr>
      <w:tr w14:paraId="6CC8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23367C47">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4A5CAB96">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4E6F5617">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3288F25B">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71A0ADD5">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05645CA6">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69A1A7E0">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2E1542A5">
            <w:pPr>
              <w:spacing w:line="560" w:lineRule="exact"/>
              <w:jc w:val="center"/>
              <w:rPr>
                <w:rFonts w:ascii="宋体"/>
                <w:b/>
                <w:sz w:val="24"/>
              </w:rPr>
            </w:pPr>
          </w:p>
        </w:tc>
      </w:tr>
      <w:tr w14:paraId="3E13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0A3C2CAF">
            <w:pPr>
              <w:spacing w:line="560" w:lineRule="exact"/>
              <w:jc w:val="center"/>
              <w:rPr>
                <w:rFonts w:ascii="宋体"/>
                <w:b/>
                <w:sz w:val="24"/>
              </w:rPr>
            </w:pPr>
          </w:p>
        </w:tc>
        <w:tc>
          <w:tcPr>
            <w:tcW w:w="1261" w:type="dxa"/>
            <w:tcBorders>
              <w:top w:val="single" w:color="auto" w:sz="4" w:space="0"/>
              <w:left w:val="single" w:color="auto" w:sz="4" w:space="0"/>
              <w:bottom w:val="single" w:color="auto" w:sz="4" w:space="0"/>
              <w:right w:val="single" w:color="auto" w:sz="4" w:space="0"/>
            </w:tcBorders>
          </w:tcPr>
          <w:p w14:paraId="497CD64E">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52C91345">
            <w:pPr>
              <w:spacing w:line="560" w:lineRule="exact"/>
              <w:jc w:val="center"/>
              <w:rPr>
                <w:rFonts w:ascii="宋体"/>
                <w:b/>
                <w:sz w:val="24"/>
              </w:rPr>
            </w:pPr>
          </w:p>
        </w:tc>
        <w:tc>
          <w:tcPr>
            <w:tcW w:w="1356" w:type="dxa"/>
            <w:tcBorders>
              <w:top w:val="single" w:color="auto" w:sz="4" w:space="0"/>
              <w:left w:val="single" w:color="auto" w:sz="4" w:space="0"/>
              <w:bottom w:val="single" w:color="auto" w:sz="4" w:space="0"/>
              <w:right w:val="single" w:color="auto" w:sz="4" w:space="0"/>
            </w:tcBorders>
          </w:tcPr>
          <w:p w14:paraId="2F677060">
            <w:pPr>
              <w:spacing w:line="560" w:lineRule="exact"/>
              <w:jc w:val="center"/>
              <w:rPr>
                <w:rFonts w:ascii="宋体"/>
                <w:b/>
                <w:sz w:val="24"/>
              </w:rPr>
            </w:pPr>
          </w:p>
        </w:tc>
        <w:tc>
          <w:tcPr>
            <w:tcW w:w="1217" w:type="dxa"/>
            <w:tcBorders>
              <w:top w:val="single" w:color="auto" w:sz="4" w:space="0"/>
              <w:left w:val="single" w:color="auto" w:sz="4" w:space="0"/>
              <w:bottom w:val="single" w:color="auto" w:sz="4" w:space="0"/>
              <w:right w:val="single" w:color="auto" w:sz="4" w:space="0"/>
            </w:tcBorders>
          </w:tcPr>
          <w:p w14:paraId="64581472">
            <w:pPr>
              <w:spacing w:line="560" w:lineRule="exact"/>
              <w:jc w:val="center"/>
              <w:rPr>
                <w:rFonts w:ascii="宋体"/>
                <w:b/>
                <w:sz w:val="24"/>
              </w:rPr>
            </w:pPr>
          </w:p>
        </w:tc>
        <w:tc>
          <w:tcPr>
            <w:tcW w:w="1596" w:type="dxa"/>
            <w:tcBorders>
              <w:top w:val="single" w:color="auto" w:sz="4" w:space="0"/>
              <w:left w:val="single" w:color="auto" w:sz="4" w:space="0"/>
              <w:bottom w:val="single" w:color="auto" w:sz="4" w:space="0"/>
              <w:right w:val="single" w:color="auto" w:sz="4" w:space="0"/>
            </w:tcBorders>
          </w:tcPr>
          <w:p w14:paraId="33A4AC61">
            <w:pPr>
              <w:spacing w:line="560" w:lineRule="exact"/>
              <w:jc w:val="center"/>
              <w:rPr>
                <w:rFonts w:ascii="宋体"/>
                <w:b/>
                <w:sz w:val="24"/>
              </w:rPr>
            </w:pPr>
          </w:p>
        </w:tc>
        <w:tc>
          <w:tcPr>
            <w:tcW w:w="900" w:type="dxa"/>
            <w:tcBorders>
              <w:top w:val="single" w:color="auto" w:sz="4" w:space="0"/>
              <w:left w:val="single" w:color="auto" w:sz="4" w:space="0"/>
              <w:bottom w:val="single" w:color="auto" w:sz="4" w:space="0"/>
              <w:right w:val="single" w:color="auto" w:sz="4" w:space="0"/>
            </w:tcBorders>
          </w:tcPr>
          <w:p w14:paraId="4896FFDA">
            <w:pPr>
              <w:spacing w:line="560" w:lineRule="exact"/>
              <w:jc w:val="center"/>
              <w:rPr>
                <w:rFonts w:ascii="宋体"/>
                <w:b/>
                <w:sz w:val="24"/>
              </w:rPr>
            </w:pPr>
          </w:p>
        </w:tc>
        <w:tc>
          <w:tcPr>
            <w:tcW w:w="1440" w:type="dxa"/>
            <w:tcBorders>
              <w:top w:val="single" w:color="auto" w:sz="4" w:space="0"/>
              <w:left w:val="single" w:color="auto" w:sz="4" w:space="0"/>
              <w:bottom w:val="single" w:color="auto" w:sz="4" w:space="0"/>
              <w:right w:val="single" w:color="auto" w:sz="4" w:space="0"/>
            </w:tcBorders>
          </w:tcPr>
          <w:p w14:paraId="466E9BFE">
            <w:pPr>
              <w:spacing w:line="560" w:lineRule="exact"/>
              <w:jc w:val="center"/>
              <w:rPr>
                <w:rFonts w:ascii="宋体"/>
                <w:b/>
                <w:sz w:val="24"/>
              </w:rPr>
            </w:pPr>
          </w:p>
        </w:tc>
      </w:tr>
    </w:tbl>
    <w:p w14:paraId="18AC421A">
      <w:pPr>
        <w:spacing w:line="560" w:lineRule="exact"/>
        <w:rPr>
          <w:rFonts w:ascii="宋体"/>
          <w:sz w:val="24"/>
        </w:rPr>
      </w:pPr>
      <w:r>
        <w:rPr>
          <w:rFonts w:hint="eastAsia" w:ascii="宋体"/>
          <w:sz w:val="24"/>
        </w:rPr>
        <w:t>备注：投标人所列业绩应按第二部分的要求将证明材料按顺序附后。</w:t>
      </w:r>
    </w:p>
    <w:p w14:paraId="02CF965A">
      <w:pPr>
        <w:spacing w:line="560" w:lineRule="exact"/>
        <w:rPr>
          <w:rFonts w:ascii="宋体"/>
          <w:sz w:val="24"/>
        </w:rPr>
      </w:pPr>
    </w:p>
    <w:p w14:paraId="0268491D">
      <w:pPr>
        <w:spacing w:line="360" w:lineRule="auto"/>
        <w:rPr>
          <w:sz w:val="24"/>
        </w:rPr>
      </w:pPr>
      <w:r>
        <w:rPr>
          <w:sz w:val="24"/>
        </w:rPr>
        <w:t>投标人名称：</w:t>
      </w:r>
    </w:p>
    <w:p w14:paraId="234675D0">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A627F45">
      <w:pPr>
        <w:widowControl/>
        <w:jc w:val="left"/>
        <w:rPr>
          <w:sz w:val="24"/>
        </w:rPr>
      </w:pPr>
      <w:r>
        <w:rPr>
          <w:sz w:val="24"/>
        </w:rPr>
        <w:br w:type="page"/>
      </w:r>
    </w:p>
    <w:p w14:paraId="1058CAB8">
      <w:pPr>
        <w:spacing w:line="460" w:lineRule="exact"/>
        <w:rPr>
          <w:b/>
          <w:sz w:val="24"/>
        </w:rPr>
      </w:pPr>
      <w:r>
        <w:rPr>
          <w:b/>
          <w:sz w:val="24"/>
        </w:rPr>
        <w:t>附件5：评分因素中要求的各项方案、证明材料等</w:t>
      </w:r>
    </w:p>
    <w:p w14:paraId="47B29EAE">
      <w:pPr>
        <w:spacing w:line="620" w:lineRule="exact"/>
        <w:rPr>
          <w:b/>
          <w:sz w:val="24"/>
        </w:rPr>
      </w:pPr>
      <w:r>
        <w:rPr>
          <w:b/>
          <w:sz w:val="24"/>
        </w:rPr>
        <w:br w:type="page"/>
      </w:r>
      <w:r>
        <w:rPr>
          <w:b/>
          <w:sz w:val="24"/>
        </w:rPr>
        <w:t>附件6</w:t>
      </w:r>
      <w:r>
        <w:rPr>
          <w:rFonts w:hint="eastAsia"/>
          <w:b/>
          <w:sz w:val="24"/>
        </w:rPr>
        <w:t>-1</w:t>
      </w:r>
    </w:p>
    <w:p w14:paraId="42BA9D3E">
      <w:pPr>
        <w:autoSpaceDE w:val="0"/>
        <w:autoSpaceDN w:val="0"/>
        <w:spacing w:line="480" w:lineRule="auto"/>
        <w:jc w:val="center"/>
        <w:rPr>
          <w:sz w:val="24"/>
          <w:szCs w:val="24"/>
        </w:rPr>
      </w:pPr>
      <w:r>
        <w:rPr>
          <w:b/>
          <w:sz w:val="24"/>
          <w:szCs w:val="24"/>
        </w:rPr>
        <w:t>中小企业声明函（服务）</w:t>
      </w:r>
    </w:p>
    <w:p w14:paraId="2B73D747">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2CA48C2">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8BE9A0C">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B75C9A2">
      <w:pPr>
        <w:autoSpaceDE w:val="0"/>
        <w:autoSpaceDN w:val="0"/>
        <w:spacing w:line="500" w:lineRule="exact"/>
        <w:ind w:left="641"/>
        <w:jc w:val="left"/>
        <w:rPr>
          <w:sz w:val="24"/>
          <w:szCs w:val="24"/>
        </w:rPr>
      </w:pPr>
      <w:r>
        <w:rPr>
          <w:sz w:val="24"/>
          <w:szCs w:val="24"/>
        </w:rPr>
        <w:t>……</w:t>
      </w:r>
    </w:p>
    <w:p w14:paraId="6F412DBA">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B77E82A">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3E283C60">
      <w:pPr>
        <w:autoSpaceDE w:val="0"/>
        <w:autoSpaceDN w:val="0"/>
        <w:spacing w:line="500" w:lineRule="exact"/>
        <w:ind w:left="3840"/>
        <w:jc w:val="left"/>
        <w:rPr>
          <w:sz w:val="24"/>
          <w:szCs w:val="24"/>
        </w:rPr>
      </w:pPr>
      <w:r>
        <w:rPr>
          <w:sz w:val="24"/>
          <w:szCs w:val="24"/>
        </w:rPr>
        <w:t>投标人名称：</w:t>
      </w:r>
    </w:p>
    <w:p w14:paraId="52213B2B">
      <w:pPr>
        <w:autoSpaceDE w:val="0"/>
        <w:autoSpaceDN w:val="0"/>
        <w:spacing w:line="500" w:lineRule="exact"/>
        <w:ind w:left="3840"/>
        <w:jc w:val="left"/>
        <w:rPr>
          <w:sz w:val="32"/>
        </w:rPr>
      </w:pPr>
      <w:r>
        <w:rPr>
          <w:sz w:val="24"/>
          <w:szCs w:val="24"/>
        </w:rPr>
        <w:t>日期：</w:t>
      </w:r>
    </w:p>
    <w:p w14:paraId="73AFF87F">
      <w:pPr>
        <w:spacing w:line="360" w:lineRule="auto"/>
        <w:ind w:right="84" w:firstLine="241" w:firstLineChars="100"/>
        <w:rPr>
          <w:b/>
          <w:sz w:val="24"/>
          <w:szCs w:val="24"/>
        </w:rPr>
      </w:pPr>
      <w:r>
        <w:rPr>
          <w:b/>
          <w:sz w:val="24"/>
          <w:szCs w:val="24"/>
        </w:rPr>
        <w:t>注：</w:t>
      </w:r>
    </w:p>
    <w:p w14:paraId="2620F4C0">
      <w:pPr>
        <w:spacing w:line="360" w:lineRule="auto"/>
        <w:ind w:right="84" w:firstLine="241"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4D6398C9">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65169A94">
      <w:pPr>
        <w:spacing w:line="360" w:lineRule="auto"/>
        <w:ind w:right="84" w:firstLine="241" w:firstLineChars="100"/>
        <w:rPr>
          <w:b/>
          <w:sz w:val="24"/>
          <w:szCs w:val="24"/>
        </w:rPr>
      </w:pPr>
      <w:r>
        <w:rPr>
          <w:b/>
          <w:sz w:val="24"/>
          <w:szCs w:val="24"/>
        </w:rPr>
        <w:t>3.中标（成交）供应商享受中小企业扶持政策的，将随中标（成交）结果同时公告其《中小企业声明函》，接受社会监督。</w:t>
      </w:r>
    </w:p>
    <w:p w14:paraId="4FECCA81">
      <w:pPr>
        <w:widowControl/>
        <w:jc w:val="left"/>
        <w:rPr>
          <w:b/>
          <w:bCs/>
          <w:sz w:val="24"/>
        </w:rPr>
      </w:pPr>
      <w:bookmarkStart w:id="9" w:name="OLE_LINK13"/>
      <w:bookmarkStart w:id="10" w:name="OLE_LINK14"/>
      <w:r>
        <w:rPr>
          <w:b/>
          <w:bCs/>
          <w:sz w:val="24"/>
        </w:rPr>
        <w:br w:type="page"/>
      </w:r>
    </w:p>
    <w:p w14:paraId="76408565">
      <w:pPr>
        <w:autoSpaceDN w:val="0"/>
        <w:spacing w:line="360" w:lineRule="auto"/>
        <w:rPr>
          <w:b/>
          <w:bCs/>
          <w:sz w:val="24"/>
        </w:rPr>
      </w:pPr>
      <w:r>
        <w:rPr>
          <w:rFonts w:hint="eastAsia"/>
          <w:b/>
          <w:bCs/>
          <w:sz w:val="24"/>
        </w:rPr>
        <w:t>附件6-2</w:t>
      </w:r>
    </w:p>
    <w:bookmarkEnd w:id="9"/>
    <w:bookmarkEnd w:id="10"/>
    <w:p w14:paraId="3EB540CB">
      <w:pPr>
        <w:autoSpaceDN w:val="0"/>
        <w:spacing w:line="360" w:lineRule="auto"/>
        <w:jc w:val="left"/>
        <w:rPr>
          <w:b/>
          <w:bCs/>
          <w:sz w:val="24"/>
        </w:rPr>
      </w:pPr>
      <w:r>
        <w:rPr>
          <w:rFonts w:hint="eastAsia"/>
          <w:b/>
          <w:kern w:val="0"/>
          <w:sz w:val="24"/>
          <w:szCs w:val="21"/>
        </w:rPr>
        <w:t>若不是残疾人福利性单位，响应文件中可不提供此声明函</w:t>
      </w:r>
    </w:p>
    <w:p w14:paraId="7D29CF92">
      <w:pPr>
        <w:autoSpaceDN w:val="0"/>
        <w:spacing w:line="360" w:lineRule="auto"/>
        <w:jc w:val="center"/>
        <w:rPr>
          <w:b/>
          <w:bCs/>
          <w:sz w:val="24"/>
        </w:rPr>
      </w:pPr>
    </w:p>
    <w:p w14:paraId="6F4C935C">
      <w:pPr>
        <w:snapToGrid w:val="0"/>
        <w:spacing w:line="360" w:lineRule="auto"/>
        <w:jc w:val="center"/>
        <w:rPr>
          <w:b/>
          <w:bCs/>
          <w:sz w:val="24"/>
        </w:rPr>
      </w:pPr>
      <w:r>
        <w:rPr>
          <w:rFonts w:hint="eastAsia"/>
          <w:b/>
          <w:bCs/>
          <w:sz w:val="24"/>
        </w:rPr>
        <w:t>残疾人福利性单位声明函</w:t>
      </w:r>
    </w:p>
    <w:p w14:paraId="73A01316">
      <w:pPr>
        <w:snapToGrid w:val="0"/>
        <w:spacing w:line="360" w:lineRule="auto"/>
        <w:ind w:firstLine="482" w:firstLineChars="200"/>
        <w:jc w:val="left"/>
        <w:rPr>
          <w:b/>
          <w:bCs/>
          <w:sz w:val="24"/>
        </w:rPr>
      </w:pPr>
    </w:p>
    <w:p w14:paraId="42D5DAD8">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1ED4549">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5C01525B">
      <w:pPr>
        <w:snapToGrid w:val="0"/>
        <w:spacing w:line="360" w:lineRule="auto"/>
        <w:ind w:firstLine="480" w:firstLineChars="200"/>
        <w:jc w:val="left"/>
        <w:rPr>
          <w:bCs/>
          <w:sz w:val="24"/>
        </w:rPr>
      </w:pPr>
    </w:p>
    <w:p w14:paraId="28A34CB2">
      <w:pPr>
        <w:snapToGrid w:val="0"/>
        <w:spacing w:line="360" w:lineRule="auto"/>
        <w:ind w:firstLine="480" w:firstLineChars="200"/>
        <w:jc w:val="left"/>
        <w:rPr>
          <w:bCs/>
          <w:sz w:val="24"/>
        </w:rPr>
      </w:pPr>
    </w:p>
    <w:p w14:paraId="4F5C266E">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0858EA47">
      <w:pPr>
        <w:snapToGrid w:val="0"/>
        <w:spacing w:line="360" w:lineRule="auto"/>
        <w:ind w:firstLine="480" w:firstLineChars="200"/>
        <w:jc w:val="left"/>
        <w:rPr>
          <w:bCs/>
          <w:sz w:val="24"/>
        </w:rPr>
      </w:pPr>
    </w:p>
    <w:p w14:paraId="395ACC55">
      <w:pPr>
        <w:snapToGrid w:val="0"/>
        <w:spacing w:line="360" w:lineRule="auto"/>
        <w:ind w:firstLine="480" w:firstLineChars="200"/>
        <w:jc w:val="left"/>
        <w:rPr>
          <w:sz w:val="24"/>
          <w:szCs w:val="21"/>
        </w:rPr>
      </w:pPr>
      <w:r>
        <w:rPr>
          <w:rFonts w:hint="eastAsia"/>
          <w:bCs/>
          <w:sz w:val="24"/>
        </w:rPr>
        <w:t xml:space="preserve">               日  期：</w:t>
      </w:r>
    </w:p>
    <w:p w14:paraId="132D3EF3">
      <w:pPr>
        <w:snapToGrid w:val="0"/>
        <w:spacing w:line="360" w:lineRule="auto"/>
        <w:ind w:firstLine="480" w:firstLineChars="200"/>
        <w:jc w:val="left"/>
        <w:rPr>
          <w:sz w:val="24"/>
          <w:szCs w:val="21"/>
        </w:rPr>
      </w:pPr>
    </w:p>
    <w:p w14:paraId="2E6A83ED">
      <w:pPr>
        <w:snapToGrid w:val="0"/>
        <w:spacing w:line="360" w:lineRule="auto"/>
        <w:ind w:firstLine="480" w:firstLineChars="200"/>
        <w:rPr>
          <w:sz w:val="24"/>
          <w:szCs w:val="21"/>
        </w:rPr>
      </w:pPr>
      <w:r>
        <w:rPr>
          <w:sz w:val="24"/>
          <w:szCs w:val="21"/>
        </w:rPr>
        <w:t>注：</w:t>
      </w:r>
    </w:p>
    <w:p w14:paraId="47934215">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2593573C">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1D4257FF">
      <w:pPr>
        <w:tabs>
          <w:tab w:val="left" w:pos="360"/>
        </w:tabs>
        <w:spacing w:line="360" w:lineRule="auto"/>
        <w:ind w:firstLine="480" w:firstLineChars="200"/>
        <w:rPr>
          <w:sz w:val="24"/>
        </w:rPr>
      </w:pPr>
    </w:p>
    <w:p w14:paraId="3DAC7868">
      <w:pPr>
        <w:tabs>
          <w:tab w:val="left" w:pos="360"/>
        </w:tabs>
        <w:spacing w:line="360" w:lineRule="auto"/>
        <w:rPr>
          <w:szCs w:val="21"/>
        </w:rPr>
      </w:pPr>
      <w:r>
        <w:rPr>
          <w:szCs w:val="21"/>
        </w:rPr>
        <w:br w:type="page"/>
      </w:r>
      <w:r>
        <w:rPr>
          <w:b/>
          <w:sz w:val="24"/>
        </w:rPr>
        <w:t>附件7</w:t>
      </w:r>
      <w:r>
        <w:rPr>
          <w:rFonts w:hint="eastAsia"/>
          <w:b/>
          <w:sz w:val="24"/>
          <w:szCs w:val="24"/>
        </w:rPr>
        <w:t>：</w:t>
      </w:r>
      <w:r>
        <w:rPr>
          <w:b/>
          <w:sz w:val="24"/>
          <w:szCs w:val="24"/>
        </w:rPr>
        <w:t>投标人认为需要提交的其他资料</w:t>
      </w:r>
    </w:p>
    <w:p w14:paraId="01BDB836">
      <w:pPr>
        <w:spacing w:line="460" w:lineRule="exact"/>
        <w:ind w:left="192"/>
        <w:rPr>
          <w:b/>
          <w:sz w:val="24"/>
        </w:rPr>
      </w:pPr>
    </w:p>
    <w:p w14:paraId="6BED6FD6">
      <w:pPr>
        <w:autoSpaceDE w:val="0"/>
        <w:autoSpaceDN w:val="0"/>
        <w:adjustRightInd w:val="0"/>
        <w:jc w:val="center"/>
        <w:rPr>
          <w:sz w:val="24"/>
        </w:rPr>
      </w:pPr>
      <w:r>
        <w:rPr>
          <w:sz w:val="24"/>
        </w:rPr>
        <w:br w:type="page"/>
      </w:r>
    </w:p>
    <w:p w14:paraId="27DFB5E3">
      <w:pPr>
        <w:autoSpaceDE w:val="0"/>
        <w:autoSpaceDN w:val="0"/>
        <w:adjustRightInd w:val="0"/>
        <w:jc w:val="center"/>
        <w:rPr>
          <w:sz w:val="24"/>
        </w:rPr>
      </w:pPr>
    </w:p>
    <w:p w14:paraId="718FC652">
      <w:pPr>
        <w:autoSpaceDE w:val="0"/>
        <w:autoSpaceDN w:val="0"/>
        <w:adjustRightInd w:val="0"/>
        <w:jc w:val="center"/>
        <w:rPr>
          <w:sz w:val="24"/>
        </w:rPr>
      </w:pPr>
    </w:p>
    <w:p w14:paraId="1CE2B964">
      <w:pPr>
        <w:autoSpaceDE w:val="0"/>
        <w:autoSpaceDN w:val="0"/>
        <w:adjustRightInd w:val="0"/>
        <w:jc w:val="center"/>
        <w:rPr>
          <w:sz w:val="24"/>
        </w:rPr>
      </w:pPr>
    </w:p>
    <w:p w14:paraId="30FA70C8">
      <w:pPr>
        <w:autoSpaceDE w:val="0"/>
        <w:autoSpaceDN w:val="0"/>
        <w:adjustRightInd w:val="0"/>
        <w:jc w:val="center"/>
        <w:rPr>
          <w:sz w:val="24"/>
        </w:rPr>
      </w:pPr>
    </w:p>
    <w:p w14:paraId="2B4D435E">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5A5B158A">
      <w:pPr>
        <w:autoSpaceDE w:val="0"/>
        <w:autoSpaceDN w:val="0"/>
        <w:adjustRightInd w:val="0"/>
        <w:spacing w:line="520" w:lineRule="exact"/>
        <w:rPr>
          <w:b/>
          <w:kern w:val="0"/>
          <w:sz w:val="24"/>
        </w:rPr>
      </w:pPr>
    </w:p>
    <w:p w14:paraId="7891D7D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2B2DC9F0">
      <w:pPr>
        <w:autoSpaceDE w:val="0"/>
        <w:autoSpaceDN w:val="0"/>
        <w:adjustRightInd w:val="0"/>
        <w:spacing w:line="520" w:lineRule="exact"/>
        <w:rPr>
          <w:b/>
          <w:kern w:val="0"/>
          <w:sz w:val="24"/>
        </w:rPr>
      </w:pPr>
    </w:p>
    <w:p w14:paraId="1D93C4C0">
      <w:pPr>
        <w:autoSpaceDE w:val="0"/>
        <w:autoSpaceDN w:val="0"/>
        <w:adjustRightInd w:val="0"/>
        <w:spacing w:line="520" w:lineRule="exact"/>
        <w:jc w:val="center"/>
        <w:rPr>
          <w:b/>
          <w:kern w:val="0"/>
          <w:sz w:val="24"/>
        </w:rPr>
      </w:pPr>
      <w:r>
        <w:rPr>
          <w:b/>
          <w:kern w:val="0"/>
          <w:sz w:val="24"/>
        </w:rPr>
        <w:t>第</w:t>
      </w:r>
      <w:r>
        <w:rPr>
          <w:rFonts w:hint="eastAsia"/>
          <w:b/>
          <w:kern w:val="0"/>
          <w:sz w:val="24"/>
        </w:rPr>
        <w:t>二</w:t>
      </w:r>
      <w:r>
        <w:rPr>
          <w:b/>
          <w:kern w:val="0"/>
          <w:sz w:val="24"/>
        </w:rPr>
        <w:t>阶段</w:t>
      </w:r>
      <w:r>
        <w:rPr>
          <w:rFonts w:hint="eastAsia"/>
          <w:b/>
          <w:kern w:val="0"/>
          <w:sz w:val="24"/>
        </w:rPr>
        <w:t>响应</w:t>
      </w:r>
      <w:r>
        <w:rPr>
          <w:b/>
          <w:kern w:val="0"/>
          <w:sz w:val="24"/>
        </w:rPr>
        <w:t>文件</w:t>
      </w:r>
    </w:p>
    <w:p w14:paraId="2C7C9FA2">
      <w:pPr>
        <w:autoSpaceDE w:val="0"/>
        <w:autoSpaceDN w:val="0"/>
        <w:adjustRightInd w:val="0"/>
        <w:spacing w:line="520" w:lineRule="exact"/>
        <w:rPr>
          <w:b/>
          <w:kern w:val="0"/>
          <w:sz w:val="24"/>
        </w:rPr>
      </w:pPr>
    </w:p>
    <w:p w14:paraId="1FB56090">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74806E56">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90E684E">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3A039DCB">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1E4DEA1A">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16325F56">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253EEF05">
      <w:pPr>
        <w:spacing w:before="93" w:beforeLines="30" w:after="218" w:afterLines="70" w:line="540" w:lineRule="exact"/>
        <w:ind w:left="630" w:leftChars="300"/>
        <w:rPr>
          <w:rFonts w:eastAsia="方正楷体简体"/>
          <w:b/>
          <w:sz w:val="34"/>
          <w:szCs w:val="34"/>
        </w:rPr>
      </w:pPr>
    </w:p>
    <w:p w14:paraId="5E44320D">
      <w:pPr>
        <w:spacing w:before="93" w:beforeLines="30" w:after="218" w:afterLines="70" w:line="540" w:lineRule="exact"/>
        <w:ind w:left="630" w:leftChars="300"/>
        <w:rPr>
          <w:rFonts w:eastAsia="方正楷体简体"/>
          <w:b/>
          <w:sz w:val="34"/>
          <w:szCs w:val="34"/>
        </w:rPr>
      </w:pPr>
    </w:p>
    <w:p w14:paraId="709C9F34">
      <w:pPr>
        <w:spacing w:before="93" w:beforeLines="30" w:after="218" w:afterLines="70" w:line="540" w:lineRule="exact"/>
        <w:ind w:left="630" w:leftChars="300"/>
        <w:rPr>
          <w:b/>
          <w:kern w:val="0"/>
          <w:sz w:val="24"/>
        </w:rPr>
      </w:pPr>
      <w:r>
        <w:rPr>
          <w:rFonts w:eastAsia="方正楷体简体"/>
          <w:b/>
          <w:sz w:val="34"/>
          <w:szCs w:val="34"/>
        </w:rPr>
        <w:t>递交日期：</w:t>
      </w:r>
    </w:p>
    <w:p w14:paraId="04B0F449">
      <w:pPr>
        <w:tabs>
          <w:tab w:val="left" w:pos="360"/>
        </w:tabs>
        <w:spacing w:line="460" w:lineRule="exact"/>
        <w:jc w:val="center"/>
        <w:rPr>
          <w:b/>
          <w:sz w:val="24"/>
        </w:rPr>
      </w:pPr>
      <w:r>
        <w:rPr>
          <w:sz w:val="24"/>
        </w:rPr>
        <w:br w:type="page"/>
      </w:r>
      <w:r>
        <w:rPr>
          <w:b/>
          <w:sz w:val="24"/>
        </w:rPr>
        <w:t>报价书</w:t>
      </w:r>
    </w:p>
    <w:p w14:paraId="5ABCE5EE">
      <w:pPr>
        <w:spacing w:line="460" w:lineRule="exact"/>
        <w:rPr>
          <w:sz w:val="24"/>
        </w:rPr>
      </w:pPr>
      <w:r>
        <w:rPr>
          <w:sz w:val="24"/>
        </w:rPr>
        <w:t>致：天津市政府采购中心</w:t>
      </w:r>
    </w:p>
    <w:p w14:paraId="2493903D">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375EBD51">
      <w:pPr>
        <w:spacing w:line="460" w:lineRule="exact"/>
        <w:ind w:firstLine="480" w:firstLineChars="200"/>
        <w:rPr>
          <w:sz w:val="24"/>
        </w:rPr>
      </w:pPr>
      <w:r>
        <w:rPr>
          <w:sz w:val="24"/>
        </w:rPr>
        <w:t>据此函，签字代表宣布同意如下：</w:t>
      </w:r>
    </w:p>
    <w:p w14:paraId="32B66B76">
      <w:pPr>
        <w:spacing w:line="460" w:lineRule="exact"/>
        <w:ind w:left="480"/>
        <w:jc w:val="left"/>
        <w:rPr>
          <w:sz w:val="24"/>
        </w:rPr>
      </w:pPr>
      <w:r>
        <w:rPr>
          <w:sz w:val="24"/>
        </w:rPr>
        <w:t>1. 所附报价表中规定的应提供服务价格为</w:t>
      </w:r>
    </w:p>
    <w:p w14:paraId="7D7D2857">
      <w:pPr>
        <w:spacing w:line="460" w:lineRule="exact"/>
        <w:ind w:left="480"/>
        <w:jc w:val="left"/>
        <w:rPr>
          <w:sz w:val="24"/>
        </w:rPr>
      </w:pPr>
      <w:r>
        <w:rPr>
          <w:sz w:val="24"/>
        </w:rPr>
        <w:t>第一包：</w:t>
      </w:r>
    </w:p>
    <w:p w14:paraId="53C2C2C4">
      <w:pPr>
        <w:spacing w:line="460" w:lineRule="exact"/>
        <w:ind w:left="480"/>
        <w:jc w:val="left"/>
        <w:rPr>
          <w:sz w:val="24"/>
        </w:rPr>
      </w:pPr>
      <w:r>
        <w:rPr>
          <w:sz w:val="24"/>
        </w:rPr>
        <w:t xml:space="preserve">  报价</w:t>
      </w:r>
      <w:r>
        <w:rPr>
          <w:sz w:val="24"/>
          <w:u w:val="single"/>
        </w:rPr>
        <w:t xml:space="preserve">         </w:t>
      </w:r>
      <w:r>
        <w:rPr>
          <w:sz w:val="24"/>
        </w:rPr>
        <w:t>元（注明币种）</w:t>
      </w:r>
    </w:p>
    <w:p w14:paraId="407F0D43">
      <w:pPr>
        <w:spacing w:line="460" w:lineRule="exact"/>
        <w:ind w:left="472" w:firstLine="237"/>
        <w:jc w:val="left"/>
        <w:rPr>
          <w:sz w:val="24"/>
        </w:rPr>
      </w:pPr>
      <w:r>
        <w:rPr>
          <w:sz w:val="24"/>
        </w:rPr>
        <w:t>大写</w:t>
      </w:r>
      <w:r>
        <w:rPr>
          <w:sz w:val="24"/>
          <w:u w:val="single"/>
        </w:rPr>
        <w:t xml:space="preserve">                    </w:t>
      </w:r>
      <w:r>
        <w:rPr>
          <w:sz w:val="24"/>
        </w:rPr>
        <w:t>（文字表述）。</w:t>
      </w:r>
    </w:p>
    <w:p w14:paraId="378539EF">
      <w:pPr>
        <w:spacing w:line="460" w:lineRule="exact"/>
        <w:ind w:firstLine="471"/>
        <w:rPr>
          <w:sz w:val="24"/>
        </w:rPr>
      </w:pPr>
      <w:r>
        <w:rPr>
          <w:sz w:val="24"/>
        </w:rPr>
        <w:t>2. 投标人已经对全部价格进行了认真核对，保证本报价真实、准确无误，并承担本价格所对应本项目的一切责任和义务。</w:t>
      </w:r>
    </w:p>
    <w:p w14:paraId="0BB53537">
      <w:pPr>
        <w:spacing w:line="460" w:lineRule="exact"/>
        <w:ind w:firstLine="471"/>
        <w:rPr>
          <w:sz w:val="24"/>
        </w:rPr>
      </w:pPr>
      <w:r>
        <w:rPr>
          <w:sz w:val="24"/>
        </w:rPr>
        <w:t>3. 两个阶段响应文件一一对应、不可分割，共同构成我方对本项目的所有承诺。</w:t>
      </w:r>
    </w:p>
    <w:p w14:paraId="4B16868A">
      <w:pPr>
        <w:spacing w:line="460" w:lineRule="exact"/>
        <w:ind w:firstLine="471"/>
        <w:rPr>
          <w:sz w:val="24"/>
        </w:rPr>
      </w:pPr>
    </w:p>
    <w:p w14:paraId="1949E7C3">
      <w:pPr>
        <w:spacing w:line="460" w:lineRule="exact"/>
        <w:ind w:firstLine="471"/>
        <w:rPr>
          <w:sz w:val="24"/>
        </w:rPr>
      </w:pPr>
    </w:p>
    <w:p w14:paraId="42018AB1">
      <w:pPr>
        <w:spacing w:line="360" w:lineRule="auto"/>
        <w:ind w:firstLine="4080" w:firstLineChars="1700"/>
        <w:rPr>
          <w:sz w:val="24"/>
        </w:rPr>
      </w:pPr>
      <w:r>
        <w:rPr>
          <w:sz w:val="24"/>
        </w:rPr>
        <w:t>投标人名称：</w:t>
      </w:r>
    </w:p>
    <w:p w14:paraId="772937DA">
      <w:pPr>
        <w:spacing w:line="360" w:lineRule="auto"/>
        <w:ind w:firstLine="4080" w:firstLineChars="1700"/>
        <w:rPr>
          <w:sz w:val="24"/>
        </w:rPr>
      </w:pPr>
    </w:p>
    <w:p w14:paraId="7A3AE29C">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1DBBAD9">
      <w:pPr>
        <w:spacing w:line="460" w:lineRule="exact"/>
        <w:ind w:firstLine="471"/>
        <w:rPr>
          <w:sz w:val="24"/>
        </w:rPr>
      </w:pPr>
    </w:p>
    <w:p w14:paraId="40EC29B4">
      <w:pPr>
        <w:spacing w:line="460" w:lineRule="exact"/>
        <w:rPr>
          <w:b/>
          <w:sz w:val="24"/>
        </w:rPr>
      </w:pPr>
      <w:r>
        <w:rPr>
          <w:b/>
          <w:sz w:val="24"/>
        </w:rPr>
        <w:br w:type="page"/>
      </w:r>
      <w:r>
        <w:rPr>
          <w:b/>
          <w:sz w:val="24"/>
        </w:rPr>
        <w:t>附件1</w:t>
      </w:r>
    </w:p>
    <w:p w14:paraId="6D2D64DA">
      <w:pPr>
        <w:tabs>
          <w:tab w:val="left" w:pos="3780"/>
          <w:tab w:val="left" w:pos="3960"/>
        </w:tabs>
        <w:spacing w:line="460" w:lineRule="exact"/>
        <w:jc w:val="center"/>
        <w:rPr>
          <w:b/>
          <w:sz w:val="24"/>
        </w:rPr>
      </w:pPr>
      <w:r>
        <w:rPr>
          <w:b/>
          <w:sz w:val="24"/>
        </w:rPr>
        <w:t>报价分项一览表</w:t>
      </w:r>
    </w:p>
    <w:p w14:paraId="6D7C4FD7">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5D5F48B9">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208401E3">
      <w:pPr>
        <w:spacing w:line="460" w:lineRule="exact"/>
        <w:rPr>
          <w:sz w:val="24"/>
        </w:rPr>
      </w:pPr>
    </w:p>
    <w:p w14:paraId="546B8639">
      <w:pPr>
        <w:spacing w:line="460" w:lineRule="exact"/>
        <w:rPr>
          <w:b/>
          <w:sz w:val="24"/>
        </w:rPr>
      </w:pPr>
      <w:r>
        <w:rPr>
          <w:sz w:val="24"/>
        </w:rPr>
        <w:t xml:space="preserve">                                                     单位：元</w:t>
      </w:r>
    </w:p>
    <w:tbl>
      <w:tblPr>
        <w:tblStyle w:val="16"/>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4A9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77DD5303">
            <w:pPr>
              <w:widowControl/>
              <w:jc w:val="center"/>
              <w:rPr>
                <w:b/>
                <w:bCs/>
                <w:kern w:val="0"/>
                <w:sz w:val="24"/>
                <w:szCs w:val="24"/>
              </w:rPr>
            </w:pPr>
            <w:r>
              <w:rPr>
                <w:b/>
                <w:bCs/>
                <w:kern w:val="0"/>
                <w:sz w:val="24"/>
                <w:szCs w:val="24"/>
              </w:rPr>
              <w:t>项号</w:t>
            </w:r>
          </w:p>
        </w:tc>
        <w:tc>
          <w:tcPr>
            <w:tcW w:w="2349" w:type="dxa"/>
            <w:vAlign w:val="center"/>
          </w:tcPr>
          <w:p w14:paraId="08E1C7BB">
            <w:pPr>
              <w:widowControl/>
              <w:jc w:val="center"/>
              <w:rPr>
                <w:b/>
                <w:bCs/>
                <w:kern w:val="0"/>
                <w:sz w:val="24"/>
                <w:szCs w:val="24"/>
              </w:rPr>
            </w:pPr>
            <w:r>
              <w:rPr>
                <w:b/>
                <w:bCs/>
                <w:kern w:val="0"/>
                <w:sz w:val="24"/>
                <w:szCs w:val="24"/>
              </w:rPr>
              <w:t>服务名称</w:t>
            </w:r>
          </w:p>
        </w:tc>
        <w:tc>
          <w:tcPr>
            <w:tcW w:w="1701" w:type="dxa"/>
            <w:vAlign w:val="center"/>
          </w:tcPr>
          <w:p w14:paraId="21EA1A2F">
            <w:pPr>
              <w:widowControl/>
              <w:jc w:val="center"/>
              <w:rPr>
                <w:b/>
                <w:bCs/>
                <w:kern w:val="0"/>
                <w:sz w:val="24"/>
                <w:szCs w:val="24"/>
              </w:rPr>
            </w:pPr>
            <w:r>
              <w:rPr>
                <w:b/>
                <w:bCs/>
                <w:kern w:val="0"/>
                <w:sz w:val="24"/>
                <w:szCs w:val="24"/>
              </w:rPr>
              <w:t>总价</w:t>
            </w:r>
          </w:p>
        </w:tc>
        <w:tc>
          <w:tcPr>
            <w:tcW w:w="2238" w:type="dxa"/>
            <w:vAlign w:val="center"/>
          </w:tcPr>
          <w:p w14:paraId="68A205D2">
            <w:pPr>
              <w:widowControl/>
              <w:jc w:val="center"/>
              <w:rPr>
                <w:b/>
                <w:bCs/>
                <w:kern w:val="0"/>
                <w:sz w:val="24"/>
                <w:szCs w:val="24"/>
              </w:rPr>
            </w:pPr>
            <w:r>
              <w:rPr>
                <w:b/>
                <w:bCs/>
                <w:kern w:val="0"/>
                <w:sz w:val="24"/>
                <w:szCs w:val="24"/>
              </w:rPr>
              <w:t>数量</w:t>
            </w:r>
          </w:p>
        </w:tc>
        <w:tc>
          <w:tcPr>
            <w:tcW w:w="1848" w:type="dxa"/>
            <w:vAlign w:val="center"/>
          </w:tcPr>
          <w:p w14:paraId="2B8B807A">
            <w:pPr>
              <w:widowControl/>
              <w:jc w:val="center"/>
              <w:rPr>
                <w:b/>
                <w:bCs/>
                <w:kern w:val="0"/>
                <w:sz w:val="24"/>
                <w:szCs w:val="24"/>
              </w:rPr>
            </w:pPr>
            <w:r>
              <w:rPr>
                <w:b/>
                <w:bCs/>
                <w:kern w:val="0"/>
                <w:sz w:val="24"/>
                <w:szCs w:val="24"/>
              </w:rPr>
              <w:t>备注</w:t>
            </w:r>
          </w:p>
        </w:tc>
      </w:tr>
      <w:tr w14:paraId="2233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78523E7A">
            <w:pPr>
              <w:widowControl/>
              <w:jc w:val="center"/>
              <w:rPr>
                <w:kern w:val="0"/>
                <w:sz w:val="24"/>
                <w:szCs w:val="24"/>
              </w:rPr>
            </w:pPr>
            <w:r>
              <w:rPr>
                <w:kern w:val="0"/>
                <w:sz w:val="24"/>
                <w:szCs w:val="24"/>
              </w:rPr>
              <w:t>1</w:t>
            </w:r>
          </w:p>
        </w:tc>
        <w:tc>
          <w:tcPr>
            <w:tcW w:w="2349" w:type="dxa"/>
            <w:vAlign w:val="center"/>
          </w:tcPr>
          <w:p w14:paraId="777CBD14">
            <w:pPr>
              <w:widowControl/>
              <w:jc w:val="center"/>
              <w:rPr>
                <w:kern w:val="0"/>
                <w:sz w:val="24"/>
                <w:szCs w:val="24"/>
              </w:rPr>
            </w:pPr>
          </w:p>
        </w:tc>
        <w:tc>
          <w:tcPr>
            <w:tcW w:w="1701" w:type="dxa"/>
            <w:vAlign w:val="center"/>
          </w:tcPr>
          <w:p w14:paraId="46982684">
            <w:pPr>
              <w:widowControl/>
              <w:jc w:val="center"/>
              <w:rPr>
                <w:kern w:val="0"/>
                <w:sz w:val="24"/>
                <w:szCs w:val="24"/>
              </w:rPr>
            </w:pPr>
          </w:p>
        </w:tc>
        <w:tc>
          <w:tcPr>
            <w:tcW w:w="2238" w:type="dxa"/>
            <w:vAlign w:val="center"/>
          </w:tcPr>
          <w:p w14:paraId="451C375E">
            <w:pPr>
              <w:widowControl/>
              <w:jc w:val="center"/>
              <w:rPr>
                <w:sz w:val="24"/>
                <w:szCs w:val="24"/>
              </w:rPr>
            </w:pPr>
            <w:r>
              <w:rPr>
                <w:sz w:val="24"/>
                <w:szCs w:val="24"/>
              </w:rPr>
              <w:t>1项</w:t>
            </w:r>
          </w:p>
        </w:tc>
        <w:tc>
          <w:tcPr>
            <w:tcW w:w="1848" w:type="dxa"/>
            <w:vAlign w:val="center"/>
          </w:tcPr>
          <w:p w14:paraId="054C1DAE">
            <w:pPr>
              <w:widowControl/>
              <w:jc w:val="center"/>
              <w:rPr>
                <w:sz w:val="24"/>
                <w:szCs w:val="24"/>
              </w:rPr>
            </w:pPr>
          </w:p>
        </w:tc>
      </w:tr>
      <w:tr w14:paraId="662A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5D5EF1C2">
            <w:pPr>
              <w:widowControl/>
              <w:jc w:val="left"/>
              <w:rPr>
                <w:kern w:val="0"/>
                <w:sz w:val="24"/>
                <w:szCs w:val="24"/>
              </w:rPr>
            </w:pPr>
            <w:r>
              <w:rPr>
                <w:kern w:val="0"/>
                <w:sz w:val="24"/>
                <w:szCs w:val="24"/>
              </w:rPr>
              <w:t>其中</w:t>
            </w:r>
          </w:p>
        </w:tc>
      </w:tr>
      <w:tr w14:paraId="715A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2754681">
            <w:pPr>
              <w:widowControl/>
              <w:jc w:val="left"/>
              <w:rPr>
                <w:b/>
                <w:sz w:val="24"/>
                <w:szCs w:val="24"/>
              </w:rPr>
            </w:pPr>
            <w:r>
              <w:rPr>
                <w:b/>
                <w:sz w:val="24"/>
                <w:szCs w:val="24"/>
              </w:rPr>
              <w:t>分项名称</w:t>
            </w:r>
          </w:p>
        </w:tc>
        <w:tc>
          <w:tcPr>
            <w:tcW w:w="1701" w:type="dxa"/>
            <w:vAlign w:val="center"/>
          </w:tcPr>
          <w:p w14:paraId="1D23A449">
            <w:pPr>
              <w:widowControl/>
              <w:jc w:val="center"/>
              <w:rPr>
                <w:b/>
                <w:kern w:val="0"/>
                <w:sz w:val="24"/>
                <w:szCs w:val="24"/>
              </w:rPr>
            </w:pPr>
            <w:r>
              <w:rPr>
                <w:b/>
                <w:kern w:val="0"/>
                <w:sz w:val="24"/>
                <w:szCs w:val="24"/>
              </w:rPr>
              <w:t>价格</w:t>
            </w:r>
          </w:p>
        </w:tc>
        <w:tc>
          <w:tcPr>
            <w:tcW w:w="2238" w:type="dxa"/>
            <w:vAlign w:val="center"/>
          </w:tcPr>
          <w:p w14:paraId="01BA8D61">
            <w:pPr>
              <w:widowControl/>
              <w:jc w:val="center"/>
              <w:rPr>
                <w:b/>
                <w:kern w:val="0"/>
                <w:sz w:val="24"/>
                <w:szCs w:val="24"/>
              </w:rPr>
            </w:pPr>
            <w:r>
              <w:rPr>
                <w:b/>
                <w:kern w:val="0"/>
                <w:sz w:val="24"/>
                <w:szCs w:val="24"/>
              </w:rPr>
              <w:t>数量</w:t>
            </w:r>
          </w:p>
        </w:tc>
        <w:tc>
          <w:tcPr>
            <w:tcW w:w="1848" w:type="dxa"/>
            <w:vAlign w:val="center"/>
          </w:tcPr>
          <w:p w14:paraId="236ED54B">
            <w:pPr>
              <w:widowControl/>
              <w:jc w:val="center"/>
              <w:rPr>
                <w:b/>
                <w:bCs/>
                <w:kern w:val="0"/>
                <w:sz w:val="24"/>
                <w:szCs w:val="24"/>
              </w:rPr>
            </w:pPr>
            <w:r>
              <w:rPr>
                <w:b/>
                <w:bCs/>
                <w:kern w:val="0"/>
                <w:sz w:val="24"/>
                <w:szCs w:val="24"/>
              </w:rPr>
              <w:t>备注</w:t>
            </w:r>
          </w:p>
        </w:tc>
      </w:tr>
      <w:tr w14:paraId="2D86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B0CFE1C">
            <w:pPr>
              <w:widowControl/>
              <w:jc w:val="left"/>
              <w:rPr>
                <w:rFonts w:hint="default" w:eastAsia="宋体"/>
                <w:kern w:val="0"/>
                <w:sz w:val="24"/>
                <w:szCs w:val="24"/>
                <w:lang w:val="en-US" w:eastAsia="zh-CN"/>
              </w:rPr>
            </w:pPr>
            <w:r>
              <w:rPr>
                <w:rFonts w:hint="eastAsia"/>
                <w:kern w:val="0"/>
                <w:sz w:val="24"/>
                <w:szCs w:val="24"/>
                <w:lang w:val="en-US" w:eastAsia="zh-CN"/>
              </w:rPr>
              <w:t>集中采购目录内部分</w:t>
            </w:r>
          </w:p>
        </w:tc>
        <w:tc>
          <w:tcPr>
            <w:tcW w:w="1701" w:type="dxa"/>
            <w:vAlign w:val="center"/>
          </w:tcPr>
          <w:p w14:paraId="5FBDA19C">
            <w:pPr>
              <w:widowControl/>
              <w:jc w:val="center"/>
              <w:rPr>
                <w:kern w:val="0"/>
                <w:sz w:val="24"/>
                <w:szCs w:val="24"/>
              </w:rPr>
            </w:pPr>
          </w:p>
        </w:tc>
        <w:tc>
          <w:tcPr>
            <w:tcW w:w="2238" w:type="dxa"/>
            <w:vAlign w:val="center"/>
          </w:tcPr>
          <w:p w14:paraId="459FDBF3">
            <w:pPr>
              <w:widowControl/>
              <w:jc w:val="center"/>
              <w:rPr>
                <w:kern w:val="0"/>
                <w:sz w:val="24"/>
                <w:szCs w:val="24"/>
              </w:rPr>
            </w:pPr>
          </w:p>
        </w:tc>
        <w:tc>
          <w:tcPr>
            <w:tcW w:w="1848" w:type="dxa"/>
            <w:vAlign w:val="center"/>
          </w:tcPr>
          <w:p w14:paraId="5323659F">
            <w:pPr>
              <w:widowControl/>
              <w:jc w:val="center"/>
              <w:rPr>
                <w:sz w:val="24"/>
                <w:szCs w:val="24"/>
              </w:rPr>
            </w:pPr>
          </w:p>
        </w:tc>
      </w:tr>
      <w:tr w14:paraId="3B9E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D87A78E">
            <w:pPr>
              <w:widowControl/>
              <w:jc w:val="left"/>
              <w:rPr>
                <w:rFonts w:hint="default"/>
                <w:kern w:val="0"/>
                <w:sz w:val="24"/>
                <w:szCs w:val="24"/>
                <w:lang w:val="en-US"/>
              </w:rPr>
            </w:pPr>
            <w:r>
              <w:rPr>
                <w:rFonts w:hint="eastAsia"/>
                <w:kern w:val="0"/>
                <w:sz w:val="24"/>
                <w:szCs w:val="24"/>
                <w:lang w:val="en-US" w:eastAsia="zh-CN"/>
              </w:rPr>
              <w:t>集中采购目录外部分</w:t>
            </w:r>
          </w:p>
        </w:tc>
        <w:tc>
          <w:tcPr>
            <w:tcW w:w="1701" w:type="dxa"/>
            <w:vAlign w:val="center"/>
          </w:tcPr>
          <w:p w14:paraId="75CFEEE5">
            <w:pPr>
              <w:widowControl/>
              <w:jc w:val="center"/>
              <w:rPr>
                <w:kern w:val="0"/>
                <w:sz w:val="24"/>
                <w:szCs w:val="24"/>
              </w:rPr>
            </w:pPr>
          </w:p>
        </w:tc>
        <w:tc>
          <w:tcPr>
            <w:tcW w:w="2238" w:type="dxa"/>
            <w:vAlign w:val="center"/>
          </w:tcPr>
          <w:p w14:paraId="274EBD20">
            <w:pPr>
              <w:widowControl/>
              <w:jc w:val="center"/>
              <w:rPr>
                <w:kern w:val="0"/>
                <w:sz w:val="24"/>
                <w:szCs w:val="24"/>
              </w:rPr>
            </w:pPr>
          </w:p>
        </w:tc>
        <w:tc>
          <w:tcPr>
            <w:tcW w:w="1848" w:type="dxa"/>
            <w:vAlign w:val="center"/>
          </w:tcPr>
          <w:p w14:paraId="78D12853">
            <w:pPr>
              <w:widowControl/>
              <w:jc w:val="center"/>
              <w:rPr>
                <w:sz w:val="24"/>
                <w:szCs w:val="24"/>
              </w:rPr>
            </w:pPr>
          </w:p>
        </w:tc>
      </w:tr>
      <w:tr w14:paraId="0573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1F0861A">
            <w:pPr>
              <w:widowControl/>
              <w:jc w:val="left"/>
              <w:rPr>
                <w:kern w:val="0"/>
                <w:sz w:val="24"/>
                <w:szCs w:val="24"/>
              </w:rPr>
            </w:pPr>
          </w:p>
        </w:tc>
        <w:tc>
          <w:tcPr>
            <w:tcW w:w="1701" w:type="dxa"/>
            <w:vAlign w:val="center"/>
          </w:tcPr>
          <w:p w14:paraId="6D0A4FD6">
            <w:pPr>
              <w:widowControl/>
              <w:jc w:val="center"/>
              <w:rPr>
                <w:kern w:val="0"/>
                <w:sz w:val="24"/>
                <w:szCs w:val="24"/>
              </w:rPr>
            </w:pPr>
          </w:p>
        </w:tc>
        <w:tc>
          <w:tcPr>
            <w:tcW w:w="2238" w:type="dxa"/>
            <w:vAlign w:val="center"/>
          </w:tcPr>
          <w:p w14:paraId="3E13EE5B">
            <w:pPr>
              <w:widowControl/>
              <w:jc w:val="center"/>
              <w:rPr>
                <w:kern w:val="0"/>
                <w:sz w:val="24"/>
                <w:szCs w:val="24"/>
              </w:rPr>
            </w:pPr>
          </w:p>
        </w:tc>
        <w:tc>
          <w:tcPr>
            <w:tcW w:w="1848" w:type="dxa"/>
            <w:vAlign w:val="center"/>
          </w:tcPr>
          <w:p w14:paraId="39A27EA2">
            <w:pPr>
              <w:widowControl/>
              <w:jc w:val="center"/>
              <w:rPr>
                <w:sz w:val="24"/>
                <w:szCs w:val="24"/>
              </w:rPr>
            </w:pPr>
          </w:p>
        </w:tc>
      </w:tr>
      <w:tr w14:paraId="4C78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61568D4">
            <w:pPr>
              <w:widowControl/>
              <w:jc w:val="left"/>
              <w:rPr>
                <w:kern w:val="0"/>
                <w:sz w:val="24"/>
                <w:szCs w:val="24"/>
              </w:rPr>
            </w:pPr>
          </w:p>
        </w:tc>
        <w:tc>
          <w:tcPr>
            <w:tcW w:w="1701" w:type="dxa"/>
            <w:vAlign w:val="center"/>
          </w:tcPr>
          <w:p w14:paraId="47A9CCB4">
            <w:pPr>
              <w:widowControl/>
              <w:jc w:val="center"/>
              <w:rPr>
                <w:kern w:val="0"/>
                <w:sz w:val="24"/>
                <w:szCs w:val="24"/>
              </w:rPr>
            </w:pPr>
          </w:p>
        </w:tc>
        <w:tc>
          <w:tcPr>
            <w:tcW w:w="2238" w:type="dxa"/>
            <w:vAlign w:val="center"/>
          </w:tcPr>
          <w:p w14:paraId="48EEE945">
            <w:pPr>
              <w:widowControl/>
              <w:jc w:val="center"/>
              <w:rPr>
                <w:kern w:val="0"/>
                <w:sz w:val="24"/>
                <w:szCs w:val="24"/>
              </w:rPr>
            </w:pPr>
          </w:p>
        </w:tc>
        <w:tc>
          <w:tcPr>
            <w:tcW w:w="1848" w:type="dxa"/>
            <w:vAlign w:val="center"/>
          </w:tcPr>
          <w:p w14:paraId="1D8DE05B">
            <w:pPr>
              <w:widowControl/>
              <w:jc w:val="center"/>
              <w:rPr>
                <w:sz w:val="24"/>
                <w:szCs w:val="24"/>
              </w:rPr>
            </w:pPr>
          </w:p>
        </w:tc>
      </w:tr>
      <w:tr w14:paraId="1084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A0035AE">
            <w:pPr>
              <w:widowControl/>
              <w:jc w:val="left"/>
              <w:rPr>
                <w:sz w:val="24"/>
              </w:rPr>
            </w:pPr>
          </w:p>
        </w:tc>
        <w:tc>
          <w:tcPr>
            <w:tcW w:w="1701" w:type="dxa"/>
            <w:vAlign w:val="center"/>
          </w:tcPr>
          <w:p w14:paraId="589B1354">
            <w:pPr>
              <w:widowControl/>
              <w:jc w:val="center"/>
              <w:rPr>
                <w:kern w:val="0"/>
                <w:sz w:val="24"/>
                <w:szCs w:val="24"/>
              </w:rPr>
            </w:pPr>
          </w:p>
        </w:tc>
        <w:tc>
          <w:tcPr>
            <w:tcW w:w="2238" w:type="dxa"/>
            <w:vAlign w:val="center"/>
          </w:tcPr>
          <w:p w14:paraId="009004B5">
            <w:pPr>
              <w:widowControl/>
              <w:jc w:val="center"/>
              <w:rPr>
                <w:kern w:val="0"/>
                <w:sz w:val="24"/>
                <w:szCs w:val="24"/>
              </w:rPr>
            </w:pPr>
          </w:p>
        </w:tc>
        <w:tc>
          <w:tcPr>
            <w:tcW w:w="1848" w:type="dxa"/>
            <w:vAlign w:val="center"/>
          </w:tcPr>
          <w:p w14:paraId="39982DAC">
            <w:pPr>
              <w:widowControl/>
              <w:jc w:val="center"/>
              <w:rPr>
                <w:kern w:val="0"/>
                <w:sz w:val="24"/>
                <w:szCs w:val="24"/>
              </w:rPr>
            </w:pPr>
          </w:p>
        </w:tc>
      </w:tr>
      <w:tr w14:paraId="2A9D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8E1BD87">
            <w:pPr>
              <w:widowControl/>
              <w:jc w:val="left"/>
              <w:rPr>
                <w:sz w:val="24"/>
              </w:rPr>
            </w:pPr>
            <w:r>
              <w:rPr>
                <w:sz w:val="24"/>
              </w:rPr>
              <w:t>……</w:t>
            </w:r>
          </w:p>
        </w:tc>
        <w:tc>
          <w:tcPr>
            <w:tcW w:w="1701" w:type="dxa"/>
            <w:vAlign w:val="center"/>
          </w:tcPr>
          <w:p w14:paraId="55F23574">
            <w:pPr>
              <w:widowControl/>
              <w:jc w:val="center"/>
              <w:rPr>
                <w:kern w:val="0"/>
                <w:sz w:val="24"/>
                <w:szCs w:val="24"/>
              </w:rPr>
            </w:pPr>
          </w:p>
        </w:tc>
        <w:tc>
          <w:tcPr>
            <w:tcW w:w="2238" w:type="dxa"/>
            <w:vAlign w:val="center"/>
          </w:tcPr>
          <w:p w14:paraId="396EE067">
            <w:pPr>
              <w:widowControl/>
              <w:jc w:val="center"/>
              <w:rPr>
                <w:kern w:val="0"/>
                <w:sz w:val="24"/>
                <w:szCs w:val="24"/>
              </w:rPr>
            </w:pPr>
          </w:p>
        </w:tc>
        <w:tc>
          <w:tcPr>
            <w:tcW w:w="1848" w:type="dxa"/>
            <w:vAlign w:val="center"/>
          </w:tcPr>
          <w:p w14:paraId="7E396970">
            <w:pPr>
              <w:widowControl/>
              <w:jc w:val="center"/>
              <w:rPr>
                <w:kern w:val="0"/>
                <w:sz w:val="24"/>
                <w:szCs w:val="24"/>
              </w:rPr>
            </w:pPr>
          </w:p>
        </w:tc>
      </w:tr>
      <w:tr w14:paraId="3486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F6580C0">
            <w:pPr>
              <w:widowControl/>
              <w:jc w:val="center"/>
              <w:rPr>
                <w:sz w:val="24"/>
              </w:rPr>
            </w:pPr>
          </w:p>
        </w:tc>
        <w:tc>
          <w:tcPr>
            <w:tcW w:w="1701" w:type="dxa"/>
            <w:vAlign w:val="center"/>
          </w:tcPr>
          <w:p w14:paraId="048EFBF9">
            <w:pPr>
              <w:widowControl/>
              <w:jc w:val="center"/>
              <w:rPr>
                <w:kern w:val="0"/>
                <w:sz w:val="24"/>
                <w:szCs w:val="24"/>
              </w:rPr>
            </w:pPr>
          </w:p>
        </w:tc>
        <w:tc>
          <w:tcPr>
            <w:tcW w:w="2238" w:type="dxa"/>
            <w:vAlign w:val="center"/>
          </w:tcPr>
          <w:p w14:paraId="1F58E174">
            <w:pPr>
              <w:widowControl/>
              <w:jc w:val="center"/>
              <w:rPr>
                <w:kern w:val="0"/>
                <w:sz w:val="24"/>
                <w:szCs w:val="24"/>
              </w:rPr>
            </w:pPr>
          </w:p>
        </w:tc>
        <w:tc>
          <w:tcPr>
            <w:tcW w:w="1848" w:type="dxa"/>
            <w:vAlign w:val="center"/>
          </w:tcPr>
          <w:p w14:paraId="470DFB53">
            <w:pPr>
              <w:widowControl/>
              <w:jc w:val="center"/>
              <w:rPr>
                <w:kern w:val="0"/>
                <w:sz w:val="24"/>
                <w:szCs w:val="24"/>
              </w:rPr>
            </w:pPr>
          </w:p>
        </w:tc>
      </w:tr>
    </w:tbl>
    <w:p w14:paraId="63364CE1">
      <w:pPr>
        <w:ind w:left="180"/>
        <w:rPr>
          <w:sz w:val="22"/>
          <w:szCs w:val="24"/>
        </w:rPr>
      </w:pPr>
      <w:r>
        <w:rPr>
          <w:sz w:val="22"/>
          <w:szCs w:val="24"/>
        </w:rPr>
        <w:t xml:space="preserve">注：1. 本表第一行填写本项目投标总价 </w:t>
      </w:r>
    </w:p>
    <w:p w14:paraId="21631C5A">
      <w:pPr>
        <w:spacing w:line="460" w:lineRule="exact"/>
        <w:ind w:left="192" w:firstLine="3948" w:firstLineChars="1645"/>
        <w:rPr>
          <w:sz w:val="24"/>
        </w:rPr>
      </w:pPr>
    </w:p>
    <w:p w14:paraId="43F045D6">
      <w:pPr>
        <w:spacing w:line="360" w:lineRule="auto"/>
        <w:ind w:firstLine="4080" w:firstLineChars="1700"/>
        <w:rPr>
          <w:sz w:val="24"/>
        </w:rPr>
      </w:pPr>
      <w:r>
        <w:rPr>
          <w:sz w:val="24"/>
        </w:rPr>
        <w:t>投标人名称：</w:t>
      </w:r>
    </w:p>
    <w:p w14:paraId="1D992492">
      <w:pPr>
        <w:spacing w:line="360" w:lineRule="auto"/>
        <w:ind w:firstLine="4080" w:firstLineChars="1700"/>
        <w:rPr>
          <w:sz w:val="24"/>
        </w:rPr>
      </w:pPr>
    </w:p>
    <w:p w14:paraId="31D93422">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D0EDFD8">
      <w:pPr>
        <w:spacing w:line="460" w:lineRule="exact"/>
        <w:rPr>
          <w:sz w:val="24"/>
        </w:rPr>
      </w:pPr>
    </w:p>
    <w:sectPr>
      <w:headerReference r:id="rId1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华文行楷">
    <w:altName w:val="微软雅黑"/>
    <w:panose1 w:val="02010800040101010101"/>
    <w:charset w:val="86"/>
    <w:family w:val="auto"/>
    <w:pitch w:val="default"/>
    <w:sig w:usb0="00000000" w:usb1="00000000" w:usb2="0000001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C768B">
    <w:pPr>
      <w:pStyle w:val="8"/>
      <w:jc w:val="center"/>
      <w:rPr>
        <w:lang w:eastAsia="zh-CN"/>
      </w:rP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7917904"/>
      <w:docPartObj>
        <w:docPartGallery w:val="autotext"/>
      </w:docPartObj>
    </w:sdtPr>
    <w:sdtContent>
      <w:p w14:paraId="46607D6E">
        <w:pPr>
          <w:pStyle w:val="8"/>
          <w:jc w:val="center"/>
        </w:pPr>
        <w:r>
          <w:fldChar w:fldCharType="begin"/>
        </w:r>
        <w:r>
          <w:instrText xml:space="preserve">PAGE   \* MERGEFORMAT</w:instrText>
        </w:r>
        <w:r>
          <w:fldChar w:fldCharType="separate"/>
        </w:r>
        <w:r>
          <w:rPr>
            <w:lang w:val="zh-CN" w:eastAsia="zh-CN"/>
          </w:rPr>
          <w:t>35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F5A6D">
    <w:pPr>
      <w:pStyle w:val="8"/>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14:paraId="6F64BE8C">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0648117"/>
      <w:docPartObj>
        <w:docPartGallery w:val="autotext"/>
      </w:docPartObj>
    </w:sdtPr>
    <w:sdtContent>
      <w:p w14:paraId="666E7B34">
        <w:pPr>
          <w:pStyle w:val="8"/>
          <w:jc w:val="center"/>
        </w:pPr>
        <w:r>
          <w:fldChar w:fldCharType="begin"/>
        </w:r>
        <w:r>
          <w:instrText xml:space="preserve">PAGE   \* MERGEFORMAT</w:instrText>
        </w:r>
        <w:r>
          <w:fldChar w:fldCharType="separate"/>
        </w:r>
        <w:r>
          <w:rPr>
            <w:lang w:val="zh-CN" w:eastAsia="zh-CN"/>
          </w:rPr>
          <w:t>34</w:t>
        </w:r>
        <w:r>
          <w:fldChar w:fldCharType="end"/>
        </w:r>
      </w:p>
    </w:sdtContent>
  </w:sdt>
  <w:p w14:paraId="1EB34E7C">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BDA5F">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483DB">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A02E3">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A1505">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A3EA8">
    <w:pPr>
      <w:pStyle w:val="9"/>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9A352">
    <w:pPr>
      <w:pStyle w:val="9"/>
      <w:jc w:val="both"/>
    </w:pPr>
    <w:r>
      <w:rPr>
        <w:rFonts w:hint="eastAsia"/>
        <w:lang w:eastAsia="zh-CN"/>
      </w:rPr>
      <w:t>竞争性</w:t>
    </w:r>
    <w:r>
      <w:rPr>
        <w:rFonts w:hint="eastAsia"/>
      </w:rPr>
      <w:t>磋商文件                                                              第</w:t>
    </w:r>
    <w:r>
      <w:rPr>
        <w:rFonts w:hint="eastAsia"/>
        <w:lang w:eastAsia="zh-CN"/>
      </w:rPr>
      <w:t>五</w:t>
    </w:r>
    <w:r>
      <w:rPr>
        <w:rFonts w:hint="eastAsia"/>
      </w:rPr>
      <w:t>部分——附件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E4D2E">
    <w:pPr>
      <w:pStyle w:val="9"/>
      <w:jc w:val="both"/>
    </w:pPr>
    <w:r>
      <w:rPr>
        <w:rFonts w:hint="eastAsia"/>
        <w:lang w:eastAsia="zh-CN"/>
      </w:rPr>
      <w:t>竞争性</w:t>
    </w:r>
    <w:r>
      <w:rPr>
        <w:rFonts w:hint="eastAsia"/>
      </w:rPr>
      <w:t xml:space="preserve">磋商文件                                                         </w:t>
    </w:r>
    <w:r>
      <w:rPr>
        <w:rFonts w:hint="eastAsia"/>
        <w:lang w:eastAsia="zh-CN"/>
      </w:rPr>
      <w:t xml:space="preserve">    </w:t>
    </w:r>
    <w:r>
      <w:rPr>
        <w:rFonts w:hint="eastAsia"/>
      </w:rPr>
      <w:t>第</w:t>
    </w:r>
    <w:r>
      <w:rPr>
        <w:rFonts w:hint="eastAsia"/>
        <w:lang w:eastAsia="zh-CN"/>
      </w:rPr>
      <w:t>五</w:t>
    </w:r>
    <w:r>
      <w:rPr>
        <w:rFonts w:hint="eastAsia"/>
      </w:rPr>
      <w:t>部分——附件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CB64">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B77"/>
    <w:rsid w:val="00003D69"/>
    <w:rsid w:val="0000465D"/>
    <w:rsid w:val="0000587D"/>
    <w:rsid w:val="00006FFC"/>
    <w:rsid w:val="00012328"/>
    <w:rsid w:val="00013166"/>
    <w:rsid w:val="00020A18"/>
    <w:rsid w:val="000216E9"/>
    <w:rsid w:val="00025710"/>
    <w:rsid w:val="00025AFB"/>
    <w:rsid w:val="00027FE5"/>
    <w:rsid w:val="00032A32"/>
    <w:rsid w:val="00033E76"/>
    <w:rsid w:val="000350DC"/>
    <w:rsid w:val="00035C07"/>
    <w:rsid w:val="00036061"/>
    <w:rsid w:val="00036104"/>
    <w:rsid w:val="0003703F"/>
    <w:rsid w:val="000429C5"/>
    <w:rsid w:val="00042ED8"/>
    <w:rsid w:val="00045600"/>
    <w:rsid w:val="000469B1"/>
    <w:rsid w:val="0005195C"/>
    <w:rsid w:val="00052B4D"/>
    <w:rsid w:val="00054F1E"/>
    <w:rsid w:val="0005619E"/>
    <w:rsid w:val="000573A8"/>
    <w:rsid w:val="0006080C"/>
    <w:rsid w:val="00063410"/>
    <w:rsid w:val="0006452D"/>
    <w:rsid w:val="00065FED"/>
    <w:rsid w:val="000704BA"/>
    <w:rsid w:val="0007145C"/>
    <w:rsid w:val="00071CCB"/>
    <w:rsid w:val="000764E0"/>
    <w:rsid w:val="00076A6F"/>
    <w:rsid w:val="0008064C"/>
    <w:rsid w:val="000829F5"/>
    <w:rsid w:val="00083E6C"/>
    <w:rsid w:val="00086B40"/>
    <w:rsid w:val="00087E87"/>
    <w:rsid w:val="00087ED0"/>
    <w:rsid w:val="00090AED"/>
    <w:rsid w:val="00090B02"/>
    <w:rsid w:val="0009516C"/>
    <w:rsid w:val="000969A7"/>
    <w:rsid w:val="000A1ED4"/>
    <w:rsid w:val="000A7133"/>
    <w:rsid w:val="000A7E5C"/>
    <w:rsid w:val="000B204B"/>
    <w:rsid w:val="000B4838"/>
    <w:rsid w:val="000B5E84"/>
    <w:rsid w:val="000C09BE"/>
    <w:rsid w:val="000C0F85"/>
    <w:rsid w:val="000C606B"/>
    <w:rsid w:val="000D0813"/>
    <w:rsid w:val="000D30EB"/>
    <w:rsid w:val="000D7FFA"/>
    <w:rsid w:val="000E1F0B"/>
    <w:rsid w:val="000E295F"/>
    <w:rsid w:val="000E2EE1"/>
    <w:rsid w:val="000E447D"/>
    <w:rsid w:val="000F3739"/>
    <w:rsid w:val="000F53A5"/>
    <w:rsid w:val="00101429"/>
    <w:rsid w:val="001042B0"/>
    <w:rsid w:val="0011240E"/>
    <w:rsid w:val="001130D2"/>
    <w:rsid w:val="00116E2E"/>
    <w:rsid w:val="00117413"/>
    <w:rsid w:val="00120ED2"/>
    <w:rsid w:val="00121ADA"/>
    <w:rsid w:val="00121B2F"/>
    <w:rsid w:val="00122119"/>
    <w:rsid w:val="001249C6"/>
    <w:rsid w:val="00125EC4"/>
    <w:rsid w:val="00133BC4"/>
    <w:rsid w:val="0013574E"/>
    <w:rsid w:val="00137FEB"/>
    <w:rsid w:val="0014160F"/>
    <w:rsid w:val="00142E4E"/>
    <w:rsid w:val="001446A5"/>
    <w:rsid w:val="00152212"/>
    <w:rsid w:val="001527AA"/>
    <w:rsid w:val="001559C7"/>
    <w:rsid w:val="00156B04"/>
    <w:rsid w:val="00157026"/>
    <w:rsid w:val="00160174"/>
    <w:rsid w:val="00161BCD"/>
    <w:rsid w:val="00167F61"/>
    <w:rsid w:val="0017021C"/>
    <w:rsid w:val="00171314"/>
    <w:rsid w:val="001717CC"/>
    <w:rsid w:val="0017236C"/>
    <w:rsid w:val="00172A27"/>
    <w:rsid w:val="0018196C"/>
    <w:rsid w:val="0018665F"/>
    <w:rsid w:val="00193FBE"/>
    <w:rsid w:val="0019412B"/>
    <w:rsid w:val="001969BD"/>
    <w:rsid w:val="001A1492"/>
    <w:rsid w:val="001A3FE5"/>
    <w:rsid w:val="001A5FE6"/>
    <w:rsid w:val="001A64D8"/>
    <w:rsid w:val="001B04E3"/>
    <w:rsid w:val="001B64FC"/>
    <w:rsid w:val="001B6A39"/>
    <w:rsid w:val="001C1C5C"/>
    <w:rsid w:val="001C4B68"/>
    <w:rsid w:val="001C6BF1"/>
    <w:rsid w:val="001C7A6F"/>
    <w:rsid w:val="001D53D3"/>
    <w:rsid w:val="001D5812"/>
    <w:rsid w:val="001E1246"/>
    <w:rsid w:val="001E20E9"/>
    <w:rsid w:val="001E3330"/>
    <w:rsid w:val="001E7F28"/>
    <w:rsid w:val="001F1963"/>
    <w:rsid w:val="001F2D1D"/>
    <w:rsid w:val="001F6106"/>
    <w:rsid w:val="001F6795"/>
    <w:rsid w:val="0020130B"/>
    <w:rsid w:val="002019B2"/>
    <w:rsid w:val="00203A39"/>
    <w:rsid w:val="002046E2"/>
    <w:rsid w:val="002047AE"/>
    <w:rsid w:val="0021046F"/>
    <w:rsid w:val="002121E8"/>
    <w:rsid w:val="00212D65"/>
    <w:rsid w:val="00215685"/>
    <w:rsid w:val="002246AA"/>
    <w:rsid w:val="00226850"/>
    <w:rsid w:val="00227291"/>
    <w:rsid w:val="002276D2"/>
    <w:rsid w:val="00227978"/>
    <w:rsid w:val="0023052B"/>
    <w:rsid w:val="00231587"/>
    <w:rsid w:val="00231A2E"/>
    <w:rsid w:val="00231A40"/>
    <w:rsid w:val="00233446"/>
    <w:rsid w:val="00235BC9"/>
    <w:rsid w:val="00236454"/>
    <w:rsid w:val="00236B9F"/>
    <w:rsid w:val="00243539"/>
    <w:rsid w:val="00245B81"/>
    <w:rsid w:val="002501FB"/>
    <w:rsid w:val="00250EE9"/>
    <w:rsid w:val="00252A42"/>
    <w:rsid w:val="002551EE"/>
    <w:rsid w:val="00255AD9"/>
    <w:rsid w:val="00255D23"/>
    <w:rsid w:val="00256085"/>
    <w:rsid w:val="002607B2"/>
    <w:rsid w:val="00262385"/>
    <w:rsid w:val="002630CA"/>
    <w:rsid w:val="002657C3"/>
    <w:rsid w:val="00280AA4"/>
    <w:rsid w:val="00281779"/>
    <w:rsid w:val="002874E3"/>
    <w:rsid w:val="002925A6"/>
    <w:rsid w:val="00292884"/>
    <w:rsid w:val="00293EE2"/>
    <w:rsid w:val="00294794"/>
    <w:rsid w:val="00296513"/>
    <w:rsid w:val="002A1682"/>
    <w:rsid w:val="002A45DB"/>
    <w:rsid w:val="002A6857"/>
    <w:rsid w:val="002B3AEF"/>
    <w:rsid w:val="002C190E"/>
    <w:rsid w:val="002C35DA"/>
    <w:rsid w:val="002C3EC4"/>
    <w:rsid w:val="002C4F4D"/>
    <w:rsid w:val="002C7696"/>
    <w:rsid w:val="002C7AC2"/>
    <w:rsid w:val="002D15F8"/>
    <w:rsid w:val="002D1C12"/>
    <w:rsid w:val="002D33E8"/>
    <w:rsid w:val="002D3C68"/>
    <w:rsid w:val="002D6B01"/>
    <w:rsid w:val="002D73C8"/>
    <w:rsid w:val="002E0656"/>
    <w:rsid w:val="002E407A"/>
    <w:rsid w:val="002E6FE5"/>
    <w:rsid w:val="002E7268"/>
    <w:rsid w:val="002F2D86"/>
    <w:rsid w:val="002F2EE3"/>
    <w:rsid w:val="002F4E65"/>
    <w:rsid w:val="002F7AC7"/>
    <w:rsid w:val="002F7DF9"/>
    <w:rsid w:val="00300228"/>
    <w:rsid w:val="00300610"/>
    <w:rsid w:val="00300965"/>
    <w:rsid w:val="003009BE"/>
    <w:rsid w:val="00300C2E"/>
    <w:rsid w:val="00311E90"/>
    <w:rsid w:val="0031239D"/>
    <w:rsid w:val="003126F6"/>
    <w:rsid w:val="00314C9A"/>
    <w:rsid w:val="00317960"/>
    <w:rsid w:val="00320B4B"/>
    <w:rsid w:val="0032463A"/>
    <w:rsid w:val="00327D65"/>
    <w:rsid w:val="00333004"/>
    <w:rsid w:val="00335796"/>
    <w:rsid w:val="0033673F"/>
    <w:rsid w:val="00340C50"/>
    <w:rsid w:val="00341878"/>
    <w:rsid w:val="003438C9"/>
    <w:rsid w:val="00344BA1"/>
    <w:rsid w:val="00345604"/>
    <w:rsid w:val="003573EE"/>
    <w:rsid w:val="003606FC"/>
    <w:rsid w:val="003618EA"/>
    <w:rsid w:val="00362E72"/>
    <w:rsid w:val="003640FA"/>
    <w:rsid w:val="00367A4A"/>
    <w:rsid w:val="003701FB"/>
    <w:rsid w:val="00370808"/>
    <w:rsid w:val="0037126B"/>
    <w:rsid w:val="0037466F"/>
    <w:rsid w:val="0037547B"/>
    <w:rsid w:val="003829F5"/>
    <w:rsid w:val="003931AF"/>
    <w:rsid w:val="00393616"/>
    <w:rsid w:val="00393DBB"/>
    <w:rsid w:val="003946E5"/>
    <w:rsid w:val="00394D57"/>
    <w:rsid w:val="003A21FB"/>
    <w:rsid w:val="003A36B1"/>
    <w:rsid w:val="003A4CA6"/>
    <w:rsid w:val="003A6071"/>
    <w:rsid w:val="003A775A"/>
    <w:rsid w:val="003B0296"/>
    <w:rsid w:val="003B4C3A"/>
    <w:rsid w:val="003B6654"/>
    <w:rsid w:val="003C42FD"/>
    <w:rsid w:val="003C4CB4"/>
    <w:rsid w:val="003D0166"/>
    <w:rsid w:val="003D2F45"/>
    <w:rsid w:val="003D6D88"/>
    <w:rsid w:val="003D6DC1"/>
    <w:rsid w:val="003D7E7E"/>
    <w:rsid w:val="003E0680"/>
    <w:rsid w:val="003E09D1"/>
    <w:rsid w:val="003E0DC9"/>
    <w:rsid w:val="003E2928"/>
    <w:rsid w:val="003E4360"/>
    <w:rsid w:val="003E5539"/>
    <w:rsid w:val="003E5900"/>
    <w:rsid w:val="003F1FA1"/>
    <w:rsid w:val="00405BA0"/>
    <w:rsid w:val="00407B67"/>
    <w:rsid w:val="004107A8"/>
    <w:rsid w:val="00415C41"/>
    <w:rsid w:val="0042146F"/>
    <w:rsid w:val="0042248F"/>
    <w:rsid w:val="00423141"/>
    <w:rsid w:val="00425C6A"/>
    <w:rsid w:val="004318E9"/>
    <w:rsid w:val="00432806"/>
    <w:rsid w:val="00441D86"/>
    <w:rsid w:val="00442A3C"/>
    <w:rsid w:val="00442E1A"/>
    <w:rsid w:val="004445E3"/>
    <w:rsid w:val="00447067"/>
    <w:rsid w:val="00453061"/>
    <w:rsid w:val="004558D5"/>
    <w:rsid w:val="00460AB8"/>
    <w:rsid w:val="00461F86"/>
    <w:rsid w:val="00464036"/>
    <w:rsid w:val="004642AD"/>
    <w:rsid w:val="00466DF7"/>
    <w:rsid w:val="00466EA5"/>
    <w:rsid w:val="00470088"/>
    <w:rsid w:val="00474AD1"/>
    <w:rsid w:val="004755F2"/>
    <w:rsid w:val="00484AD8"/>
    <w:rsid w:val="00484C59"/>
    <w:rsid w:val="0048547F"/>
    <w:rsid w:val="0048661A"/>
    <w:rsid w:val="00490984"/>
    <w:rsid w:val="00492070"/>
    <w:rsid w:val="00492410"/>
    <w:rsid w:val="00496DAA"/>
    <w:rsid w:val="00497E6B"/>
    <w:rsid w:val="004A2AB9"/>
    <w:rsid w:val="004A3B1E"/>
    <w:rsid w:val="004A408B"/>
    <w:rsid w:val="004A5DC8"/>
    <w:rsid w:val="004A6D82"/>
    <w:rsid w:val="004A70C6"/>
    <w:rsid w:val="004B10EF"/>
    <w:rsid w:val="004B1E88"/>
    <w:rsid w:val="004B2121"/>
    <w:rsid w:val="004B5C68"/>
    <w:rsid w:val="004B787B"/>
    <w:rsid w:val="004C175A"/>
    <w:rsid w:val="004C6D18"/>
    <w:rsid w:val="004D1434"/>
    <w:rsid w:val="004D1D00"/>
    <w:rsid w:val="004D2271"/>
    <w:rsid w:val="004D3896"/>
    <w:rsid w:val="004D4358"/>
    <w:rsid w:val="004D550F"/>
    <w:rsid w:val="004D7A2F"/>
    <w:rsid w:val="004D7AEA"/>
    <w:rsid w:val="004E3DC1"/>
    <w:rsid w:val="004E482D"/>
    <w:rsid w:val="004E5D3F"/>
    <w:rsid w:val="004E69C4"/>
    <w:rsid w:val="004F0675"/>
    <w:rsid w:val="004F48CB"/>
    <w:rsid w:val="00503560"/>
    <w:rsid w:val="00504CFE"/>
    <w:rsid w:val="00522913"/>
    <w:rsid w:val="00523739"/>
    <w:rsid w:val="00524164"/>
    <w:rsid w:val="0052557D"/>
    <w:rsid w:val="0053092B"/>
    <w:rsid w:val="00532705"/>
    <w:rsid w:val="005374D6"/>
    <w:rsid w:val="005378E6"/>
    <w:rsid w:val="00540C6A"/>
    <w:rsid w:val="0054122F"/>
    <w:rsid w:val="00542D19"/>
    <w:rsid w:val="00545E39"/>
    <w:rsid w:val="005474B2"/>
    <w:rsid w:val="00557388"/>
    <w:rsid w:val="005624C4"/>
    <w:rsid w:val="00562DA8"/>
    <w:rsid w:val="005632B4"/>
    <w:rsid w:val="005665F9"/>
    <w:rsid w:val="00572B65"/>
    <w:rsid w:val="005773EB"/>
    <w:rsid w:val="00581EBA"/>
    <w:rsid w:val="0059329A"/>
    <w:rsid w:val="00595A5D"/>
    <w:rsid w:val="005A0675"/>
    <w:rsid w:val="005A23A7"/>
    <w:rsid w:val="005A4E8A"/>
    <w:rsid w:val="005A79C8"/>
    <w:rsid w:val="005A7BF9"/>
    <w:rsid w:val="005B1BED"/>
    <w:rsid w:val="005B1DCD"/>
    <w:rsid w:val="005B5270"/>
    <w:rsid w:val="005C11A2"/>
    <w:rsid w:val="005C1EF0"/>
    <w:rsid w:val="005C3838"/>
    <w:rsid w:val="005C3D81"/>
    <w:rsid w:val="005C4E23"/>
    <w:rsid w:val="005C726B"/>
    <w:rsid w:val="005D4FE4"/>
    <w:rsid w:val="005E040B"/>
    <w:rsid w:val="005E1A3B"/>
    <w:rsid w:val="005E2C9A"/>
    <w:rsid w:val="005E6280"/>
    <w:rsid w:val="005F1A71"/>
    <w:rsid w:val="005F366B"/>
    <w:rsid w:val="005F427F"/>
    <w:rsid w:val="005F45E5"/>
    <w:rsid w:val="005F4DEC"/>
    <w:rsid w:val="005F54DE"/>
    <w:rsid w:val="005F65AF"/>
    <w:rsid w:val="005F7212"/>
    <w:rsid w:val="005F76C0"/>
    <w:rsid w:val="005F7BD9"/>
    <w:rsid w:val="00600EE3"/>
    <w:rsid w:val="0061678D"/>
    <w:rsid w:val="00617696"/>
    <w:rsid w:val="00620BF3"/>
    <w:rsid w:val="006240E8"/>
    <w:rsid w:val="0062612F"/>
    <w:rsid w:val="0062763C"/>
    <w:rsid w:val="0063158C"/>
    <w:rsid w:val="00632902"/>
    <w:rsid w:val="00632B23"/>
    <w:rsid w:val="006349C8"/>
    <w:rsid w:val="00637998"/>
    <w:rsid w:val="00640411"/>
    <w:rsid w:val="00642166"/>
    <w:rsid w:val="00642E49"/>
    <w:rsid w:val="00646FAC"/>
    <w:rsid w:val="006551D6"/>
    <w:rsid w:val="00663AC1"/>
    <w:rsid w:val="006726B9"/>
    <w:rsid w:val="006800F5"/>
    <w:rsid w:val="00681702"/>
    <w:rsid w:val="00682371"/>
    <w:rsid w:val="006850EC"/>
    <w:rsid w:val="006853AD"/>
    <w:rsid w:val="00687143"/>
    <w:rsid w:val="00691BD1"/>
    <w:rsid w:val="00695E07"/>
    <w:rsid w:val="00697D25"/>
    <w:rsid w:val="006A440B"/>
    <w:rsid w:val="006B0AAB"/>
    <w:rsid w:val="006B3835"/>
    <w:rsid w:val="006B4716"/>
    <w:rsid w:val="006B4877"/>
    <w:rsid w:val="006B4D99"/>
    <w:rsid w:val="006B7651"/>
    <w:rsid w:val="006C05EF"/>
    <w:rsid w:val="006C08BF"/>
    <w:rsid w:val="006C3B0C"/>
    <w:rsid w:val="006C6E37"/>
    <w:rsid w:val="006D0805"/>
    <w:rsid w:val="006D3686"/>
    <w:rsid w:val="006D5BD6"/>
    <w:rsid w:val="006E3E83"/>
    <w:rsid w:val="006E5631"/>
    <w:rsid w:val="006E5CCC"/>
    <w:rsid w:val="006E70A8"/>
    <w:rsid w:val="006F1829"/>
    <w:rsid w:val="007002A0"/>
    <w:rsid w:val="00700D40"/>
    <w:rsid w:val="00701579"/>
    <w:rsid w:val="00702764"/>
    <w:rsid w:val="00703278"/>
    <w:rsid w:val="0070364F"/>
    <w:rsid w:val="00703F2F"/>
    <w:rsid w:val="00707CC8"/>
    <w:rsid w:val="00711AD1"/>
    <w:rsid w:val="007120C8"/>
    <w:rsid w:val="00716479"/>
    <w:rsid w:val="007203AA"/>
    <w:rsid w:val="00720FC2"/>
    <w:rsid w:val="00721024"/>
    <w:rsid w:val="00726977"/>
    <w:rsid w:val="00727323"/>
    <w:rsid w:val="007314A4"/>
    <w:rsid w:val="00735B64"/>
    <w:rsid w:val="00736EEB"/>
    <w:rsid w:val="007378B6"/>
    <w:rsid w:val="00745154"/>
    <w:rsid w:val="0074587F"/>
    <w:rsid w:val="00756DD0"/>
    <w:rsid w:val="00757FFC"/>
    <w:rsid w:val="0076283A"/>
    <w:rsid w:val="00762DD0"/>
    <w:rsid w:val="00772CAB"/>
    <w:rsid w:val="00777F9D"/>
    <w:rsid w:val="007812B6"/>
    <w:rsid w:val="00782C83"/>
    <w:rsid w:val="0078732E"/>
    <w:rsid w:val="00787E00"/>
    <w:rsid w:val="00790745"/>
    <w:rsid w:val="00792106"/>
    <w:rsid w:val="0079570B"/>
    <w:rsid w:val="007967D5"/>
    <w:rsid w:val="007A0216"/>
    <w:rsid w:val="007A0499"/>
    <w:rsid w:val="007A1445"/>
    <w:rsid w:val="007A65AC"/>
    <w:rsid w:val="007B2C07"/>
    <w:rsid w:val="007C1810"/>
    <w:rsid w:val="007C28BD"/>
    <w:rsid w:val="007C3CFF"/>
    <w:rsid w:val="007C5EE2"/>
    <w:rsid w:val="007C6375"/>
    <w:rsid w:val="007C6859"/>
    <w:rsid w:val="007C7268"/>
    <w:rsid w:val="007C7796"/>
    <w:rsid w:val="007D157F"/>
    <w:rsid w:val="007D45C1"/>
    <w:rsid w:val="007E06D9"/>
    <w:rsid w:val="007E0DE4"/>
    <w:rsid w:val="007E1D06"/>
    <w:rsid w:val="007E2AB1"/>
    <w:rsid w:val="007E3F87"/>
    <w:rsid w:val="007E5B2A"/>
    <w:rsid w:val="007E6EBE"/>
    <w:rsid w:val="007E6EFA"/>
    <w:rsid w:val="007F3221"/>
    <w:rsid w:val="007F3C2F"/>
    <w:rsid w:val="00801683"/>
    <w:rsid w:val="00801C3F"/>
    <w:rsid w:val="00803463"/>
    <w:rsid w:val="00803604"/>
    <w:rsid w:val="00812E6D"/>
    <w:rsid w:val="008135F1"/>
    <w:rsid w:val="008204B5"/>
    <w:rsid w:val="008242F4"/>
    <w:rsid w:val="00824C9D"/>
    <w:rsid w:val="00826DAD"/>
    <w:rsid w:val="00827D41"/>
    <w:rsid w:val="00831496"/>
    <w:rsid w:val="00833682"/>
    <w:rsid w:val="00833C34"/>
    <w:rsid w:val="008376ED"/>
    <w:rsid w:val="008400A8"/>
    <w:rsid w:val="00841CB6"/>
    <w:rsid w:val="00846CEA"/>
    <w:rsid w:val="00850744"/>
    <w:rsid w:val="00854FEF"/>
    <w:rsid w:val="0085531E"/>
    <w:rsid w:val="0086378B"/>
    <w:rsid w:val="00865A8B"/>
    <w:rsid w:val="008679B0"/>
    <w:rsid w:val="00870159"/>
    <w:rsid w:val="008735F2"/>
    <w:rsid w:val="00874E27"/>
    <w:rsid w:val="008772F8"/>
    <w:rsid w:val="00883398"/>
    <w:rsid w:val="00884E4C"/>
    <w:rsid w:val="00886487"/>
    <w:rsid w:val="008929BC"/>
    <w:rsid w:val="008931E5"/>
    <w:rsid w:val="00893437"/>
    <w:rsid w:val="008972CA"/>
    <w:rsid w:val="00897671"/>
    <w:rsid w:val="008A132D"/>
    <w:rsid w:val="008A34A6"/>
    <w:rsid w:val="008A5E84"/>
    <w:rsid w:val="008B1CB3"/>
    <w:rsid w:val="008B21FC"/>
    <w:rsid w:val="008B7583"/>
    <w:rsid w:val="008C03BF"/>
    <w:rsid w:val="008C14BA"/>
    <w:rsid w:val="008C23C6"/>
    <w:rsid w:val="008C6FC4"/>
    <w:rsid w:val="008C765B"/>
    <w:rsid w:val="008D065E"/>
    <w:rsid w:val="008D2DBD"/>
    <w:rsid w:val="008D374D"/>
    <w:rsid w:val="008D6809"/>
    <w:rsid w:val="008E48FC"/>
    <w:rsid w:val="008E4FC7"/>
    <w:rsid w:val="008E5781"/>
    <w:rsid w:val="008E5DB4"/>
    <w:rsid w:val="008F6AEF"/>
    <w:rsid w:val="008F7461"/>
    <w:rsid w:val="008F7A5E"/>
    <w:rsid w:val="0090065D"/>
    <w:rsid w:val="00902F62"/>
    <w:rsid w:val="0090485F"/>
    <w:rsid w:val="009111AE"/>
    <w:rsid w:val="009210FB"/>
    <w:rsid w:val="00921211"/>
    <w:rsid w:val="00922F7A"/>
    <w:rsid w:val="00922F95"/>
    <w:rsid w:val="009268E3"/>
    <w:rsid w:val="009368CD"/>
    <w:rsid w:val="00940A1A"/>
    <w:rsid w:val="0094300C"/>
    <w:rsid w:val="00945688"/>
    <w:rsid w:val="00946F7F"/>
    <w:rsid w:val="00947844"/>
    <w:rsid w:val="009501C8"/>
    <w:rsid w:val="009502CF"/>
    <w:rsid w:val="0095261E"/>
    <w:rsid w:val="00953055"/>
    <w:rsid w:val="00954369"/>
    <w:rsid w:val="00955ED3"/>
    <w:rsid w:val="009568BF"/>
    <w:rsid w:val="00957C77"/>
    <w:rsid w:val="00960E55"/>
    <w:rsid w:val="00963FDA"/>
    <w:rsid w:val="0096400C"/>
    <w:rsid w:val="00964968"/>
    <w:rsid w:val="0096503A"/>
    <w:rsid w:val="00966105"/>
    <w:rsid w:val="00974BF9"/>
    <w:rsid w:val="009811BB"/>
    <w:rsid w:val="00985DDE"/>
    <w:rsid w:val="00986EB3"/>
    <w:rsid w:val="00991362"/>
    <w:rsid w:val="0099181F"/>
    <w:rsid w:val="009A0835"/>
    <w:rsid w:val="009A27C1"/>
    <w:rsid w:val="009A4FCC"/>
    <w:rsid w:val="009A51AC"/>
    <w:rsid w:val="009B22F4"/>
    <w:rsid w:val="009B324F"/>
    <w:rsid w:val="009B3442"/>
    <w:rsid w:val="009B7C64"/>
    <w:rsid w:val="009C2883"/>
    <w:rsid w:val="009C374E"/>
    <w:rsid w:val="009D32E2"/>
    <w:rsid w:val="009D376C"/>
    <w:rsid w:val="009D6F98"/>
    <w:rsid w:val="009D7D10"/>
    <w:rsid w:val="009D7F8F"/>
    <w:rsid w:val="009E125B"/>
    <w:rsid w:val="009E1956"/>
    <w:rsid w:val="009E1B44"/>
    <w:rsid w:val="009E433C"/>
    <w:rsid w:val="009E4E67"/>
    <w:rsid w:val="009E4FFA"/>
    <w:rsid w:val="009F0AF2"/>
    <w:rsid w:val="009F1811"/>
    <w:rsid w:val="009F5723"/>
    <w:rsid w:val="009F669D"/>
    <w:rsid w:val="009F7AA2"/>
    <w:rsid w:val="00A04FC3"/>
    <w:rsid w:val="00A16412"/>
    <w:rsid w:val="00A17150"/>
    <w:rsid w:val="00A20293"/>
    <w:rsid w:val="00A230AE"/>
    <w:rsid w:val="00A23FAC"/>
    <w:rsid w:val="00A2483D"/>
    <w:rsid w:val="00A32C60"/>
    <w:rsid w:val="00A337C7"/>
    <w:rsid w:val="00A34A6C"/>
    <w:rsid w:val="00A41C70"/>
    <w:rsid w:val="00A44073"/>
    <w:rsid w:val="00A501A6"/>
    <w:rsid w:val="00A5297D"/>
    <w:rsid w:val="00A52E21"/>
    <w:rsid w:val="00A53DDA"/>
    <w:rsid w:val="00A55784"/>
    <w:rsid w:val="00A56E1E"/>
    <w:rsid w:val="00A61D5B"/>
    <w:rsid w:val="00A620E0"/>
    <w:rsid w:val="00A62C23"/>
    <w:rsid w:val="00A64E90"/>
    <w:rsid w:val="00A6554D"/>
    <w:rsid w:val="00A678A9"/>
    <w:rsid w:val="00A702D0"/>
    <w:rsid w:val="00A7094B"/>
    <w:rsid w:val="00A74039"/>
    <w:rsid w:val="00A7533B"/>
    <w:rsid w:val="00A75A21"/>
    <w:rsid w:val="00A76189"/>
    <w:rsid w:val="00A76B93"/>
    <w:rsid w:val="00A76D49"/>
    <w:rsid w:val="00A77071"/>
    <w:rsid w:val="00A80A6B"/>
    <w:rsid w:val="00A86AC4"/>
    <w:rsid w:val="00A92725"/>
    <w:rsid w:val="00A93719"/>
    <w:rsid w:val="00AA0139"/>
    <w:rsid w:val="00AA06B5"/>
    <w:rsid w:val="00AA3E09"/>
    <w:rsid w:val="00AB2538"/>
    <w:rsid w:val="00AB3E14"/>
    <w:rsid w:val="00AB58C3"/>
    <w:rsid w:val="00AC7294"/>
    <w:rsid w:val="00AD1D4E"/>
    <w:rsid w:val="00AD3C7B"/>
    <w:rsid w:val="00AD50A5"/>
    <w:rsid w:val="00AD6676"/>
    <w:rsid w:val="00AE4967"/>
    <w:rsid w:val="00AE59B1"/>
    <w:rsid w:val="00AE7D1F"/>
    <w:rsid w:val="00AF1C29"/>
    <w:rsid w:val="00AF23F1"/>
    <w:rsid w:val="00AF276C"/>
    <w:rsid w:val="00B041FD"/>
    <w:rsid w:val="00B07CA7"/>
    <w:rsid w:val="00B24BA8"/>
    <w:rsid w:val="00B31C96"/>
    <w:rsid w:val="00B37745"/>
    <w:rsid w:val="00B42ED4"/>
    <w:rsid w:val="00B45822"/>
    <w:rsid w:val="00B50EFF"/>
    <w:rsid w:val="00B61046"/>
    <w:rsid w:val="00B62DE5"/>
    <w:rsid w:val="00B67711"/>
    <w:rsid w:val="00B715F9"/>
    <w:rsid w:val="00B75E3A"/>
    <w:rsid w:val="00B76449"/>
    <w:rsid w:val="00B81AC3"/>
    <w:rsid w:val="00B81B71"/>
    <w:rsid w:val="00B8228C"/>
    <w:rsid w:val="00B83992"/>
    <w:rsid w:val="00B97AB5"/>
    <w:rsid w:val="00BA0CF6"/>
    <w:rsid w:val="00BA14ED"/>
    <w:rsid w:val="00BA2078"/>
    <w:rsid w:val="00BA4F56"/>
    <w:rsid w:val="00BA57CB"/>
    <w:rsid w:val="00BA6966"/>
    <w:rsid w:val="00BA6BC0"/>
    <w:rsid w:val="00BB22BD"/>
    <w:rsid w:val="00BB35D2"/>
    <w:rsid w:val="00BB37DB"/>
    <w:rsid w:val="00BB3BE8"/>
    <w:rsid w:val="00BB41C8"/>
    <w:rsid w:val="00BB46F5"/>
    <w:rsid w:val="00BC221E"/>
    <w:rsid w:val="00BC6BB8"/>
    <w:rsid w:val="00BC7D10"/>
    <w:rsid w:val="00BC7F5C"/>
    <w:rsid w:val="00BD5F6D"/>
    <w:rsid w:val="00BE24AD"/>
    <w:rsid w:val="00BE3C72"/>
    <w:rsid w:val="00BE6359"/>
    <w:rsid w:val="00BE762D"/>
    <w:rsid w:val="00BE7725"/>
    <w:rsid w:val="00BF0485"/>
    <w:rsid w:val="00BF3D5A"/>
    <w:rsid w:val="00C01151"/>
    <w:rsid w:val="00C01790"/>
    <w:rsid w:val="00C04459"/>
    <w:rsid w:val="00C05832"/>
    <w:rsid w:val="00C06CB5"/>
    <w:rsid w:val="00C07490"/>
    <w:rsid w:val="00C10B4B"/>
    <w:rsid w:val="00C12F9C"/>
    <w:rsid w:val="00C1315E"/>
    <w:rsid w:val="00C201E6"/>
    <w:rsid w:val="00C20EBD"/>
    <w:rsid w:val="00C21027"/>
    <w:rsid w:val="00C22999"/>
    <w:rsid w:val="00C2758E"/>
    <w:rsid w:val="00C27D08"/>
    <w:rsid w:val="00C33164"/>
    <w:rsid w:val="00C342BF"/>
    <w:rsid w:val="00C35006"/>
    <w:rsid w:val="00C412FD"/>
    <w:rsid w:val="00C526F9"/>
    <w:rsid w:val="00C526FE"/>
    <w:rsid w:val="00C52837"/>
    <w:rsid w:val="00C61F1D"/>
    <w:rsid w:val="00C620BD"/>
    <w:rsid w:val="00C63008"/>
    <w:rsid w:val="00C65114"/>
    <w:rsid w:val="00C66B83"/>
    <w:rsid w:val="00C66E13"/>
    <w:rsid w:val="00C73184"/>
    <w:rsid w:val="00C736EE"/>
    <w:rsid w:val="00C75935"/>
    <w:rsid w:val="00C77314"/>
    <w:rsid w:val="00C86C2C"/>
    <w:rsid w:val="00C90589"/>
    <w:rsid w:val="00C9109E"/>
    <w:rsid w:val="00C95EEA"/>
    <w:rsid w:val="00CA5807"/>
    <w:rsid w:val="00CA7B62"/>
    <w:rsid w:val="00CB0E25"/>
    <w:rsid w:val="00CC2F18"/>
    <w:rsid w:val="00CD1858"/>
    <w:rsid w:val="00CD490F"/>
    <w:rsid w:val="00CD4E0D"/>
    <w:rsid w:val="00CE2661"/>
    <w:rsid w:val="00CE664D"/>
    <w:rsid w:val="00CE74CB"/>
    <w:rsid w:val="00CE7786"/>
    <w:rsid w:val="00CF2375"/>
    <w:rsid w:val="00CF2EAF"/>
    <w:rsid w:val="00CF3479"/>
    <w:rsid w:val="00CF50CA"/>
    <w:rsid w:val="00CF5F00"/>
    <w:rsid w:val="00CF6148"/>
    <w:rsid w:val="00CF69F9"/>
    <w:rsid w:val="00D04DD8"/>
    <w:rsid w:val="00D077FA"/>
    <w:rsid w:val="00D111F0"/>
    <w:rsid w:val="00D14CF5"/>
    <w:rsid w:val="00D21214"/>
    <w:rsid w:val="00D23FE3"/>
    <w:rsid w:val="00D2528A"/>
    <w:rsid w:val="00D301C5"/>
    <w:rsid w:val="00D30DA6"/>
    <w:rsid w:val="00D322C6"/>
    <w:rsid w:val="00D3318E"/>
    <w:rsid w:val="00D37450"/>
    <w:rsid w:val="00D40300"/>
    <w:rsid w:val="00D40B32"/>
    <w:rsid w:val="00D40CD0"/>
    <w:rsid w:val="00D4207E"/>
    <w:rsid w:val="00D42AA9"/>
    <w:rsid w:val="00D52409"/>
    <w:rsid w:val="00D5316B"/>
    <w:rsid w:val="00D5560A"/>
    <w:rsid w:val="00D563AD"/>
    <w:rsid w:val="00D57344"/>
    <w:rsid w:val="00D631B3"/>
    <w:rsid w:val="00D63C00"/>
    <w:rsid w:val="00D64A44"/>
    <w:rsid w:val="00D65AD7"/>
    <w:rsid w:val="00D665B6"/>
    <w:rsid w:val="00D66FA8"/>
    <w:rsid w:val="00D66FBA"/>
    <w:rsid w:val="00D70D7A"/>
    <w:rsid w:val="00D73A20"/>
    <w:rsid w:val="00D84F95"/>
    <w:rsid w:val="00D85FC6"/>
    <w:rsid w:val="00D86D6D"/>
    <w:rsid w:val="00D908DC"/>
    <w:rsid w:val="00D92E69"/>
    <w:rsid w:val="00D92F6B"/>
    <w:rsid w:val="00D942B4"/>
    <w:rsid w:val="00D9534C"/>
    <w:rsid w:val="00DA64A4"/>
    <w:rsid w:val="00DA6A35"/>
    <w:rsid w:val="00DA6B4C"/>
    <w:rsid w:val="00DA6F72"/>
    <w:rsid w:val="00DB10F2"/>
    <w:rsid w:val="00DB2D01"/>
    <w:rsid w:val="00DB2DDA"/>
    <w:rsid w:val="00DB5613"/>
    <w:rsid w:val="00DC4067"/>
    <w:rsid w:val="00DC6F19"/>
    <w:rsid w:val="00DD2B14"/>
    <w:rsid w:val="00DD48B2"/>
    <w:rsid w:val="00DE0ABD"/>
    <w:rsid w:val="00DE5A34"/>
    <w:rsid w:val="00DE6496"/>
    <w:rsid w:val="00DF3063"/>
    <w:rsid w:val="00DF3298"/>
    <w:rsid w:val="00E02866"/>
    <w:rsid w:val="00E02A80"/>
    <w:rsid w:val="00E05357"/>
    <w:rsid w:val="00E06045"/>
    <w:rsid w:val="00E074A3"/>
    <w:rsid w:val="00E1251F"/>
    <w:rsid w:val="00E17127"/>
    <w:rsid w:val="00E20CD7"/>
    <w:rsid w:val="00E2137A"/>
    <w:rsid w:val="00E22087"/>
    <w:rsid w:val="00E234BD"/>
    <w:rsid w:val="00E24DB2"/>
    <w:rsid w:val="00E24EE5"/>
    <w:rsid w:val="00E25F4F"/>
    <w:rsid w:val="00E27F95"/>
    <w:rsid w:val="00E30CDB"/>
    <w:rsid w:val="00E340D0"/>
    <w:rsid w:val="00E36D77"/>
    <w:rsid w:val="00E44B5E"/>
    <w:rsid w:val="00E47D54"/>
    <w:rsid w:val="00E5285A"/>
    <w:rsid w:val="00E530DB"/>
    <w:rsid w:val="00E56FE6"/>
    <w:rsid w:val="00E6229E"/>
    <w:rsid w:val="00E67E98"/>
    <w:rsid w:val="00E7078F"/>
    <w:rsid w:val="00E71B8C"/>
    <w:rsid w:val="00E73BFF"/>
    <w:rsid w:val="00E81B64"/>
    <w:rsid w:val="00E84D97"/>
    <w:rsid w:val="00E87037"/>
    <w:rsid w:val="00E872C7"/>
    <w:rsid w:val="00E90319"/>
    <w:rsid w:val="00E95CA6"/>
    <w:rsid w:val="00E97DE2"/>
    <w:rsid w:val="00EA308C"/>
    <w:rsid w:val="00EA3FB6"/>
    <w:rsid w:val="00EB0194"/>
    <w:rsid w:val="00EB3A53"/>
    <w:rsid w:val="00EB3A88"/>
    <w:rsid w:val="00EB46FC"/>
    <w:rsid w:val="00EB748F"/>
    <w:rsid w:val="00EC0A50"/>
    <w:rsid w:val="00EC729F"/>
    <w:rsid w:val="00ED19AF"/>
    <w:rsid w:val="00ED1EFB"/>
    <w:rsid w:val="00ED2130"/>
    <w:rsid w:val="00ED4267"/>
    <w:rsid w:val="00ED50C3"/>
    <w:rsid w:val="00ED7465"/>
    <w:rsid w:val="00ED7E4D"/>
    <w:rsid w:val="00EE28E9"/>
    <w:rsid w:val="00EE52B5"/>
    <w:rsid w:val="00EE7D45"/>
    <w:rsid w:val="00EF0156"/>
    <w:rsid w:val="00EF2929"/>
    <w:rsid w:val="00EF3871"/>
    <w:rsid w:val="00EF4740"/>
    <w:rsid w:val="00EF5E33"/>
    <w:rsid w:val="00EF78D5"/>
    <w:rsid w:val="00F04ACB"/>
    <w:rsid w:val="00F05473"/>
    <w:rsid w:val="00F05968"/>
    <w:rsid w:val="00F05DB2"/>
    <w:rsid w:val="00F0653D"/>
    <w:rsid w:val="00F11457"/>
    <w:rsid w:val="00F1600B"/>
    <w:rsid w:val="00F16668"/>
    <w:rsid w:val="00F16E05"/>
    <w:rsid w:val="00F17056"/>
    <w:rsid w:val="00F20095"/>
    <w:rsid w:val="00F22FE0"/>
    <w:rsid w:val="00F23735"/>
    <w:rsid w:val="00F331B4"/>
    <w:rsid w:val="00F3597A"/>
    <w:rsid w:val="00F36A36"/>
    <w:rsid w:val="00F37385"/>
    <w:rsid w:val="00F37643"/>
    <w:rsid w:val="00F40005"/>
    <w:rsid w:val="00F444C8"/>
    <w:rsid w:val="00F52F78"/>
    <w:rsid w:val="00F5384E"/>
    <w:rsid w:val="00F559A8"/>
    <w:rsid w:val="00F5680E"/>
    <w:rsid w:val="00F61B82"/>
    <w:rsid w:val="00F71F3E"/>
    <w:rsid w:val="00F744D9"/>
    <w:rsid w:val="00F75EAD"/>
    <w:rsid w:val="00F87FDA"/>
    <w:rsid w:val="00F90D8C"/>
    <w:rsid w:val="00F9459C"/>
    <w:rsid w:val="00FA4347"/>
    <w:rsid w:val="00FA6F44"/>
    <w:rsid w:val="00FB050D"/>
    <w:rsid w:val="00FB53CD"/>
    <w:rsid w:val="00FB7926"/>
    <w:rsid w:val="00FC2283"/>
    <w:rsid w:val="00FC32F7"/>
    <w:rsid w:val="00FC3956"/>
    <w:rsid w:val="00FC3F66"/>
    <w:rsid w:val="00FC4896"/>
    <w:rsid w:val="00FC65D8"/>
    <w:rsid w:val="00FD5081"/>
    <w:rsid w:val="00FD5A07"/>
    <w:rsid w:val="00FE13C5"/>
    <w:rsid w:val="00FE2286"/>
    <w:rsid w:val="00FE263C"/>
    <w:rsid w:val="00FE5120"/>
    <w:rsid w:val="00FE5CD2"/>
    <w:rsid w:val="00FF0B2F"/>
    <w:rsid w:val="00FF1708"/>
    <w:rsid w:val="00FF1710"/>
    <w:rsid w:val="00FF373D"/>
    <w:rsid w:val="00FF4F0F"/>
    <w:rsid w:val="189547D4"/>
    <w:rsid w:val="1BD66959"/>
    <w:rsid w:val="28A61165"/>
    <w:rsid w:val="35A726A8"/>
    <w:rsid w:val="66C028F2"/>
    <w:rsid w:val="6CE15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qFormat="1"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3">
    <w:name w:val="Normal Indent"/>
    <w:basedOn w:val="1"/>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uiPriority w:val="99"/>
    <w:rPr>
      <w:sz w:val="18"/>
      <w:szCs w:val="18"/>
      <w:lang w:val="zh-CN" w:eastAsia="zh-CN"/>
    </w:rPr>
  </w:style>
  <w:style w:type="paragraph" w:styleId="8">
    <w:name w:val="footer"/>
    <w:basedOn w:val="1"/>
    <w:link w:val="26"/>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uiPriority w:val="99"/>
    <w:rPr>
      <w:sz w:val="21"/>
      <w:szCs w:val="21"/>
    </w:rPr>
  </w:style>
  <w:style w:type="character" w:customStyle="1" w:styleId="24">
    <w:name w:val="标题 3 Char"/>
    <w:link w:val="2"/>
    <w:uiPriority w:val="0"/>
    <w:rPr>
      <w:rFonts w:ascii="Times New Roman" w:hAnsi="Times New Roman" w:eastAsia="宋体" w:cs="Times New Roman"/>
      <w:b/>
      <w:bCs/>
      <w:sz w:val="32"/>
      <w:szCs w:val="32"/>
    </w:rPr>
  </w:style>
  <w:style w:type="character" w:customStyle="1" w:styleId="25">
    <w:name w:val="页眉 Char"/>
    <w:link w:val="9"/>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uiPriority w:val="99"/>
    <w:rPr>
      <w:rFonts w:ascii="Times New Roman" w:hAnsi="Times New Roman"/>
      <w:kern w:val="2"/>
      <w:sz w:val="18"/>
      <w:szCs w:val="18"/>
    </w:rPr>
  </w:style>
  <w:style w:type="paragraph" w:customStyle="1" w:styleId="28">
    <w:name w:val="Char"/>
    <w:basedOn w:val="1"/>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uiPriority w:val="0"/>
    <w:rPr>
      <w:rFonts w:ascii="宋体" w:hAnsi="Times New Roman"/>
      <w:kern w:val="2"/>
      <w:sz w:val="28"/>
    </w:rPr>
  </w:style>
  <w:style w:type="character" w:customStyle="1" w:styleId="33">
    <w:name w:val="正文文本缩进 3 Char"/>
    <w:link w:val="12"/>
    <w:uiPriority w:val="0"/>
    <w:rPr>
      <w:rFonts w:ascii="宋体" w:hAnsi="Times New Roman"/>
      <w:kern w:val="2"/>
      <w:sz w:val="24"/>
    </w:rPr>
  </w:style>
  <w:style w:type="paragraph" w:customStyle="1" w:styleId="34">
    <w:name w:val="Char1"/>
    <w:basedOn w:val="1"/>
    <w:autoRedefine/>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uiPriority w:val="0"/>
    <w:pPr>
      <w:widowControl/>
      <w:spacing w:before="100" w:beforeAutospacing="1" w:after="100" w:afterAutospacing="1"/>
      <w:jc w:val="left"/>
    </w:pPr>
    <w:rPr>
      <w:color w:val="000000"/>
      <w:kern w:val="0"/>
      <w:sz w:val="14"/>
      <w:szCs w:val="14"/>
    </w:rPr>
  </w:style>
  <w:style w:type="paragraph" w:customStyle="1" w:styleId="43">
    <w:name w:val="font9"/>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uiPriority w:val="0"/>
    <w:pPr>
      <w:widowControl/>
      <w:spacing w:before="100" w:beforeAutospacing="1" w:after="100" w:afterAutospacing="1"/>
      <w:jc w:val="left"/>
    </w:pPr>
    <w:rPr>
      <w:color w:val="000000"/>
      <w:kern w:val="0"/>
      <w:sz w:val="22"/>
      <w:szCs w:val="22"/>
    </w:rPr>
  </w:style>
  <w:style w:type="paragraph" w:customStyle="1" w:styleId="46">
    <w:name w:val="xl65"/>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 w:type="character" w:customStyle="1" w:styleId="76">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header" Target="header8.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A1ADC2-84E7-47C1-BAF7-FFD7E4A3C63D}">
  <ds:schemaRefs/>
</ds:datastoreItem>
</file>

<file path=docProps/app.xml><?xml version="1.0" encoding="utf-8"?>
<Properties xmlns="http://schemas.openxmlformats.org/officeDocument/2006/extended-properties" xmlns:vt="http://schemas.openxmlformats.org/officeDocument/2006/docPropsVTypes">
  <Template>Normal.dotm</Template>
  <Pages>98</Pages>
  <Words>49667</Words>
  <Characters>53545</Characters>
  <Lines>224</Lines>
  <Paragraphs>63</Paragraphs>
  <TotalTime>11</TotalTime>
  <ScaleCrop>false</ScaleCrop>
  <LinksUpToDate>false</LinksUpToDate>
  <CharactersWithSpaces>55178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2024-06-12T06:44:00Z</dcterms:created>
  <dc:creator>未定义</dc:creator>
  <cp:lastModifiedBy>Administrator</cp:lastModifiedBy>
  <cp:lastPrinted>2015-08-04T03:01:00Z</cp:lastPrinted>
  <dcterms:modified xsi:type="dcterms:W3CDTF">2025-12-22T06:50:35Z</dcterms:modified>
  <dc:title>2015年天津市政府债券</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eyJoZGlkIjoiZmE5OWI1MzllMjAxNzY0MTAwNTA2MzU0YTJmNmNmMDAifQ==</vt:lpwstr>
  </property>
  <property fmtid="{D5CDD505-2E9C-101B-9397-08002B2CF9AE}" pid="4" name="ICV">
    <vt:lpwstr>BEEE108D182045AEA46EA433BFC585AE_13</vt:lpwstr>
  </property>
</Properties>
</file>