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7A26B1">
      <w:pPr>
        <w:rPr>
          <w:rFonts w:eastAsia="仿宋_GB2312"/>
          <w:sz w:val="84"/>
        </w:rPr>
      </w:pPr>
    </w:p>
    <w:p w14:paraId="60A5E217">
      <w:pPr>
        <w:ind w:right="105"/>
        <w:jc w:val="right"/>
        <w:rPr>
          <w:rFonts w:hint="eastAsia" w:ascii="Times New Roman" w:hAnsi="Times New Roman" w:eastAsia="黑体" w:cs="Times New Roman"/>
          <w:b/>
          <w:spacing w:val="40"/>
          <w:w w:val="66"/>
          <w:sz w:val="60"/>
          <w:szCs w:val="60"/>
        </w:rPr>
      </w:pP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163830</wp:posOffset>
                </wp:positionH>
                <wp:positionV relativeFrom="paragraph">
                  <wp:posOffset>300990</wp:posOffset>
                </wp:positionV>
                <wp:extent cx="179705" cy="0"/>
                <wp:effectExtent l="0" t="95250" r="1079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9pt;margin-top:23.7pt;height:0pt;width:14.15pt;z-index:251661312;mso-width-relative:page;mso-height-relative:page;" filled="f" stroked="t" coordsize="21600,21600" o:gfxdata="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Bg4njTUAAAA&#10;BwEAAA8AAAAAAAAAAQAgAAAAIgAAAGRycy9kb3ducmV2LnhtbFBLAQIUABQAAAAIAIdO4kAXWFza&#10;6AEAAKsDAAAOAAAAAAAAAAEAIAAAACMBAABkcnMvZTJvRG9jLnhtbFBLBQYAAAAABgAGAFkBAAB9&#10;BQAAAAA=&#10;">
                <v:fill on="f" focussize="0,0"/>
                <v:stroke weight="15pt" color="#4B69B5" joinstyle="round"/>
                <v:imagedata o:title=""/>
                <o:lock v:ext="edit" aspectratio="f"/>
              </v:line>
            </w:pict>
          </mc:Fallback>
        </mc:AlternateContent>
      </w:r>
      <w:r>
        <w:rPr>
          <w:rFonts w:hint="eastAsia" w:ascii="Times New Roman" w:hAnsi="Times New Roman" w:eastAsia="黑体" w:cs="Times New Roman"/>
          <w:b/>
          <w:spacing w:val="40"/>
          <w:w w:val="66"/>
          <w:sz w:val="60"/>
          <w:szCs w:val="60"/>
        </w:rPr>
        <w:t>天津市医疗保障局-天津医保信息平台</w:t>
      </w:r>
    </w:p>
    <w:p w14:paraId="22EC96F6">
      <w:pPr>
        <w:ind w:right="105"/>
        <w:jc w:val="right"/>
        <w:rPr>
          <w:rFonts w:ascii="Times New Roman" w:hAnsi="Times New Roman" w:eastAsia="黑体" w:cs="Times New Roman"/>
          <w:b/>
          <w:spacing w:val="40"/>
          <w:w w:val="66"/>
          <w:sz w:val="60"/>
          <w:szCs w:val="60"/>
        </w:rPr>
      </w:pPr>
      <w:r>
        <w:rPr>
          <w:rFonts w:hint="eastAsia" w:ascii="Times New Roman" w:hAnsi="Times New Roman" w:eastAsia="黑体" w:cs="Times New Roman"/>
          <w:b/>
          <w:spacing w:val="40"/>
          <w:w w:val="66"/>
          <w:sz w:val="60"/>
          <w:szCs w:val="60"/>
        </w:rPr>
        <w:t>应用软件运维项目</w:t>
      </w: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3577F588">
      <w:pPr>
        <w:ind w:right="105"/>
        <w:jc w:val="right"/>
        <w:rPr>
          <w:rFonts w:eastAsia="黑体"/>
          <w:b/>
          <w:spacing w:val="40"/>
          <w:w w:val="66"/>
          <w:sz w:val="60"/>
          <w:szCs w:val="60"/>
        </w:rPr>
      </w:pPr>
      <w:r>
        <w:rPr>
          <w:rFonts w:ascii="Times New Roman" w:hAnsi="Times New Roman" w:eastAsia="黑体" w:cs="Times New Roman"/>
          <w:b/>
          <w:spacing w:val="40"/>
          <w:w w:val="66"/>
          <w:sz w:val="60"/>
          <w:szCs w:val="60"/>
        </w:rPr>
        <w:t>竞争</w:t>
      </w:r>
      <w:r>
        <w:rPr>
          <w:rFonts w:eastAsia="黑体"/>
          <w:b/>
          <w:spacing w:val="40"/>
          <w:w w:val="66"/>
          <w:sz w:val="60"/>
          <w:szCs w:val="60"/>
        </w:rPr>
        <w:t>性磋商文件</w:t>
      </w:r>
    </w:p>
    <w:p w14:paraId="3E4D42A2">
      <w:pPr>
        <w:ind w:right="1025"/>
        <w:jc w:val="center"/>
        <w:rPr>
          <w:rFonts w:eastAsia="黑体"/>
          <w:b/>
          <w:spacing w:val="40"/>
          <w:w w:val="66"/>
          <w:sz w:val="60"/>
          <w:szCs w:val="60"/>
        </w:rPr>
      </w:pPr>
    </w:p>
    <w:p w14:paraId="309ADEFD">
      <w:pPr>
        <w:jc w:val="center"/>
        <w:rPr>
          <w:rFonts w:eastAsia="黑体"/>
          <w:b/>
          <w:spacing w:val="40"/>
          <w:w w:val="66"/>
          <w:sz w:val="15"/>
          <w:szCs w:val="15"/>
        </w:rPr>
      </w:pPr>
      <w:r>
        <w:rPr>
          <w:rFonts w:eastAsia="黑体"/>
          <w:b/>
          <w:spacing w:val="40"/>
          <w:w w:val="66"/>
          <w:sz w:val="56"/>
          <w:szCs w:val="56"/>
        </w:rPr>
        <w:t xml:space="preserve">            </w:t>
      </w:r>
    </w:p>
    <w:p w14:paraId="13258E3C">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TGPC-2025-D-1284</w:t>
      </w:r>
      <w:r>
        <w:rPr>
          <w:rFonts w:eastAsia="黑体"/>
          <w:spacing w:val="40"/>
          <w:w w:val="66"/>
          <w:sz w:val="32"/>
          <w:szCs w:val="32"/>
        </w:rPr>
        <w:t>）</w:t>
      </w:r>
    </w:p>
    <w:p w14:paraId="03D31D73">
      <w:pPr>
        <w:rPr>
          <w:sz w:val="40"/>
        </w:rPr>
      </w:pPr>
    </w:p>
    <w:p w14:paraId="7AD8DEB3">
      <w:pPr>
        <w:rPr>
          <w:sz w:val="36"/>
        </w:rPr>
      </w:pPr>
    </w:p>
    <w:p w14:paraId="0A124B2F">
      <w:pPr>
        <w:rPr>
          <w:sz w:val="36"/>
        </w:rPr>
      </w:pPr>
    </w:p>
    <w:p w14:paraId="0337FEAF">
      <w:pPr>
        <w:rPr>
          <w:sz w:val="36"/>
        </w:rPr>
      </w:pPr>
    </w:p>
    <w:p w14:paraId="32CF0E99">
      <w:pPr>
        <w:rPr>
          <w:sz w:val="36"/>
        </w:rPr>
      </w:pPr>
    </w:p>
    <w:p w14:paraId="0D385FFE">
      <w:pPr>
        <w:rPr>
          <w:sz w:val="36"/>
        </w:rPr>
      </w:pPr>
    </w:p>
    <w:p w14:paraId="65A51019">
      <w:pPr>
        <w:rPr>
          <w:sz w:val="36"/>
        </w:rPr>
      </w:pPr>
    </w:p>
    <w:p w14:paraId="3D99E12A">
      <w:pPr>
        <w:rPr>
          <w:sz w:val="36"/>
        </w:rPr>
      </w:pPr>
    </w:p>
    <w:p w14:paraId="7A0BA9DC">
      <w:pPr>
        <w:rPr>
          <w:sz w:val="36"/>
        </w:rPr>
      </w:pPr>
    </w:p>
    <w:p w14:paraId="764A0B68">
      <w:pPr>
        <w:rPr>
          <w:sz w:val="36"/>
        </w:rPr>
      </w:pPr>
    </w:p>
    <w:p w14:paraId="72DD4859">
      <w:pPr>
        <w:ind w:firstLine="2897" w:firstLineChars="1493"/>
        <w:rPr>
          <w:rFonts w:eastAsia="黑体"/>
          <w:spacing w:val="20"/>
          <w:w w:val="66"/>
          <w:sz w:val="44"/>
          <w:szCs w:val="44"/>
        </w:rPr>
      </w:pPr>
      <w:bookmarkStart w:id="11"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11"/>
      <w:r>
        <w:rPr>
          <w:rFonts w:eastAsia="黑体"/>
          <w:spacing w:val="20"/>
          <w:w w:val="66"/>
          <w:sz w:val="44"/>
          <w:szCs w:val="44"/>
        </w:rPr>
        <w:t>天津市政府采购中心</w:t>
      </w:r>
    </w:p>
    <w:p w14:paraId="282162E6">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53673821">
      <w:pPr>
        <w:tabs>
          <w:tab w:val="left" w:pos="3281"/>
          <w:tab w:val="center" w:pos="4711"/>
        </w:tabs>
        <w:jc w:val="center"/>
        <w:rPr>
          <w:rFonts w:eastAsia="仿宋_GB2312"/>
          <w:b/>
          <w:bCs/>
          <w:kern w:val="0"/>
          <w:sz w:val="44"/>
          <w:szCs w:val="44"/>
        </w:rPr>
      </w:pPr>
    </w:p>
    <w:p w14:paraId="4D900239">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65D85BEA">
      <w:pPr>
        <w:tabs>
          <w:tab w:val="left" w:pos="3281"/>
          <w:tab w:val="center" w:pos="4711"/>
        </w:tabs>
        <w:jc w:val="center"/>
        <w:rPr>
          <w:b/>
          <w:bCs/>
          <w:spacing w:val="20"/>
          <w:w w:val="66"/>
          <w:sz w:val="36"/>
          <w:szCs w:val="32"/>
        </w:rPr>
      </w:pPr>
      <w:r>
        <w:rPr>
          <w:b/>
          <w:bCs/>
          <w:spacing w:val="20"/>
          <w:w w:val="66"/>
          <w:sz w:val="36"/>
          <w:szCs w:val="32"/>
        </w:rPr>
        <w:t>目  录</w:t>
      </w:r>
    </w:p>
    <w:p w14:paraId="04AD1E4C">
      <w:pPr>
        <w:tabs>
          <w:tab w:val="left" w:pos="3281"/>
          <w:tab w:val="center" w:pos="4711"/>
        </w:tabs>
        <w:spacing w:line="360" w:lineRule="auto"/>
        <w:jc w:val="center"/>
        <w:rPr>
          <w:rFonts w:eastAsia="仿宋_GB2312"/>
          <w:b/>
          <w:bCs/>
          <w:spacing w:val="20"/>
          <w:w w:val="66"/>
          <w:sz w:val="28"/>
          <w:szCs w:val="28"/>
        </w:rPr>
      </w:pPr>
    </w:p>
    <w:p w14:paraId="3ED5E779">
      <w:pPr>
        <w:pStyle w:val="10"/>
        <w:rPr>
          <w:sz w:val="28"/>
          <w:szCs w:val="28"/>
        </w:rPr>
      </w:pPr>
      <w:r>
        <w:rPr>
          <w:rFonts w:hint="eastAsia"/>
          <w:sz w:val="28"/>
          <w:szCs w:val="28"/>
        </w:rPr>
        <w:t>第一部分  磋商邀请函</w:t>
      </w:r>
    </w:p>
    <w:p w14:paraId="350100F7"/>
    <w:p w14:paraId="603C6965">
      <w:pPr>
        <w:pStyle w:val="10"/>
        <w:rPr>
          <w:sz w:val="28"/>
          <w:szCs w:val="28"/>
        </w:rPr>
      </w:pPr>
      <w:r>
        <w:rPr>
          <w:rFonts w:hint="eastAsia"/>
          <w:sz w:val="28"/>
          <w:szCs w:val="28"/>
        </w:rPr>
        <w:t>第二部分  磋商项目要求</w:t>
      </w:r>
    </w:p>
    <w:p w14:paraId="10D8834F"/>
    <w:p w14:paraId="255CB974">
      <w:pPr>
        <w:pStyle w:val="10"/>
        <w:rPr>
          <w:sz w:val="28"/>
          <w:szCs w:val="28"/>
        </w:rPr>
      </w:pPr>
      <w:r>
        <w:rPr>
          <w:rFonts w:hint="eastAsia"/>
          <w:sz w:val="28"/>
          <w:szCs w:val="28"/>
        </w:rPr>
        <w:t>第三部分  供应商须知</w:t>
      </w:r>
    </w:p>
    <w:p w14:paraId="053A2029"/>
    <w:p w14:paraId="73ED112D">
      <w:pPr>
        <w:pStyle w:val="10"/>
        <w:rPr>
          <w:sz w:val="28"/>
          <w:szCs w:val="28"/>
        </w:rPr>
      </w:pPr>
      <w:r>
        <w:rPr>
          <w:rFonts w:hint="eastAsia"/>
          <w:sz w:val="28"/>
          <w:szCs w:val="28"/>
        </w:rPr>
        <w:t>第四部分  合同草案</w:t>
      </w:r>
    </w:p>
    <w:p w14:paraId="249AF8DC"/>
    <w:p w14:paraId="42C375EF">
      <w:pPr>
        <w:pStyle w:val="10"/>
        <w:rPr>
          <w:sz w:val="28"/>
          <w:szCs w:val="28"/>
        </w:rPr>
      </w:pPr>
      <w:r>
        <w:rPr>
          <w:rFonts w:hint="eastAsia"/>
          <w:sz w:val="28"/>
          <w:szCs w:val="28"/>
        </w:rPr>
        <w:t>第五部分  响应文件格式</w:t>
      </w:r>
    </w:p>
    <w:p w14:paraId="4A1F4474">
      <w:pPr>
        <w:tabs>
          <w:tab w:val="left" w:pos="3281"/>
          <w:tab w:val="center" w:pos="4711"/>
        </w:tabs>
        <w:spacing w:line="360" w:lineRule="auto"/>
        <w:jc w:val="center"/>
        <w:rPr>
          <w:rFonts w:eastAsia="仿宋_GB2312"/>
          <w:b/>
          <w:bCs/>
          <w:spacing w:val="20"/>
          <w:w w:val="66"/>
          <w:sz w:val="28"/>
          <w:szCs w:val="28"/>
        </w:rPr>
      </w:pPr>
    </w:p>
    <w:p w14:paraId="74F4A70B">
      <w:pPr>
        <w:tabs>
          <w:tab w:val="left" w:pos="3281"/>
          <w:tab w:val="center" w:pos="4711"/>
        </w:tabs>
        <w:jc w:val="center"/>
        <w:rPr>
          <w:rFonts w:eastAsia="仿宋_GB2312"/>
          <w:b/>
          <w:bCs/>
          <w:spacing w:val="20"/>
          <w:w w:val="66"/>
          <w:sz w:val="44"/>
          <w:szCs w:val="44"/>
        </w:rPr>
      </w:pPr>
    </w:p>
    <w:p w14:paraId="76246D44">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40B85D39">
      <w:pPr>
        <w:pStyle w:val="11"/>
        <w:rPr>
          <w:rFonts w:ascii="Times New Roman" w:hAnsi="Times New Roman"/>
        </w:rPr>
      </w:pPr>
      <w:r>
        <w:rPr>
          <w:rFonts w:ascii="Times New Roman" w:hAnsi="Times New Roman"/>
        </w:rPr>
        <w:t>第一部分  磋商邀请函</w:t>
      </w:r>
    </w:p>
    <w:p w14:paraId="022BED0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天津市医疗保障局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天津市医疗保障局-天津医保信息平台应用软件运维项目</w:t>
      </w:r>
      <w:r>
        <w:rPr>
          <w:rFonts w:ascii="Times New Roman" w:hAnsi="Times New Roman" w:eastAsia="宋体" w:cs="Times New Roman"/>
          <w:color w:val="auto"/>
          <w:kern w:val="2"/>
        </w:rPr>
        <w:t>实施政府采购。现欢迎合格的供应商参加磋商。</w:t>
      </w:r>
    </w:p>
    <w:p w14:paraId="2517DB14">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5489E97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19B24CE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天津市医疗保障局-天津医保信息平台应用软件运维项目</w:t>
      </w:r>
    </w:p>
    <w:p w14:paraId="11BF5E3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TGPC-2025-D-1284</w:t>
      </w:r>
    </w:p>
    <w:p w14:paraId="3714AC6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0E0ABDB5">
      <w:pPr>
        <w:pStyle w:val="29"/>
        <w:spacing w:line="360" w:lineRule="auto"/>
        <w:ind w:firstLine="480" w:firstLineChars="200"/>
        <w:jc w:val="both"/>
        <w:rPr>
          <w:rFonts w:hint="default" w:ascii="Times New Roman" w:hAnsi="Times New Roman" w:eastAsia="......." w:cs="Times New Roman"/>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医保信息平台监管审计与外部对接系统</w:t>
      </w:r>
      <w:r>
        <w:rPr>
          <w:rFonts w:hint="eastAsia" w:ascii="Times New Roman" w:hAnsi="Times New Roman" w:cs="Times New Roman"/>
        </w:rPr>
        <w:t>，合同履行期限</w:t>
      </w:r>
      <w:r>
        <w:rPr>
          <w:rFonts w:hint="eastAsia" w:ascii="Times New Roman" w:hAnsi="Times New Roman" w:cs="Times New Roman"/>
          <w:lang w:eastAsia="zh-CN"/>
        </w:rPr>
        <w:t>：</w:t>
      </w:r>
      <w:r>
        <w:rPr>
          <w:rFonts w:hint="eastAsia" w:ascii="Times New Roman" w:hAnsi="Times New Roman" w:cs="Times New Roman"/>
          <w:lang w:val="en-US" w:eastAsia="zh-CN"/>
        </w:rPr>
        <w:t>1年；</w:t>
      </w:r>
    </w:p>
    <w:p w14:paraId="75EBCD29">
      <w:pPr>
        <w:pStyle w:val="29"/>
        <w:spacing w:line="360" w:lineRule="auto"/>
        <w:ind w:firstLine="480" w:firstLineChars="200"/>
        <w:jc w:val="both"/>
        <w:rPr>
          <w:rFonts w:hint="default" w:ascii="Times New Roman" w:hAnsi="Times New Roman" w:eastAsia="......." w:cs="Times New Roman"/>
          <w:lang w:val="en-US"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二</w:t>
      </w:r>
      <w:r>
        <w:rPr>
          <w:rFonts w:ascii="Times New Roman" w:hAnsi="Times New Roman" w:eastAsia="宋体" w:cs="Times New Roman"/>
          <w:color w:val="auto"/>
        </w:rPr>
        <w:t>包：</w:t>
      </w:r>
      <w:r>
        <w:rPr>
          <w:rFonts w:hint="eastAsia" w:ascii="Times New Roman" w:hAnsi="Times New Roman" w:eastAsia="宋体" w:cs="Times New Roman"/>
          <w:color w:val="auto"/>
        </w:rPr>
        <w:t>医保信息平台公共服务系统</w:t>
      </w:r>
      <w:r>
        <w:rPr>
          <w:rFonts w:hint="eastAsia" w:ascii="Times New Roman" w:hAnsi="Times New Roman" w:cs="Times New Roman"/>
        </w:rPr>
        <w:t>，合同履行期限</w:t>
      </w:r>
      <w:r>
        <w:rPr>
          <w:rFonts w:hint="eastAsia" w:ascii="Times New Roman" w:hAnsi="Times New Roman" w:cs="Times New Roman"/>
          <w:lang w:eastAsia="zh-CN"/>
        </w:rPr>
        <w:t>：</w:t>
      </w:r>
      <w:r>
        <w:rPr>
          <w:rFonts w:hint="eastAsia" w:ascii="Times New Roman" w:hAnsi="Times New Roman" w:cs="Times New Roman"/>
          <w:lang w:val="en-US" w:eastAsia="zh-CN"/>
        </w:rPr>
        <w:t>1年；</w:t>
      </w:r>
    </w:p>
    <w:p w14:paraId="4740C606">
      <w:pPr>
        <w:pStyle w:val="29"/>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三</w:t>
      </w:r>
      <w:r>
        <w:rPr>
          <w:rFonts w:ascii="Times New Roman" w:hAnsi="Times New Roman" w:eastAsia="宋体" w:cs="Times New Roman"/>
          <w:color w:val="auto"/>
        </w:rPr>
        <w:t>包：</w:t>
      </w:r>
      <w:r>
        <w:rPr>
          <w:rFonts w:hint="eastAsia" w:ascii="Times New Roman" w:hAnsi="Times New Roman" w:eastAsia="宋体" w:cs="Times New Roman"/>
          <w:color w:val="auto"/>
        </w:rPr>
        <w:t>医保信息平台监管系统</w:t>
      </w:r>
      <w:r>
        <w:rPr>
          <w:rFonts w:hint="eastAsia" w:ascii="Times New Roman" w:hAnsi="Times New Roman" w:cs="Times New Roman"/>
          <w:color w:val="auto"/>
        </w:rPr>
        <w:t>，合同履行期限</w:t>
      </w:r>
      <w:r>
        <w:rPr>
          <w:rFonts w:hint="eastAsia" w:ascii="Times New Roman" w:hAnsi="Times New Roman" w:cs="Times New Roman"/>
          <w:color w:val="auto"/>
          <w:lang w:eastAsia="zh-CN"/>
        </w:rPr>
        <w:t>：</w:t>
      </w:r>
      <w:r>
        <w:rPr>
          <w:rFonts w:hint="eastAsia" w:ascii="Times New Roman" w:hAnsi="Times New Roman" w:cs="Times New Roman"/>
          <w:color w:val="auto"/>
          <w:lang w:val="en-US" w:eastAsia="zh-CN"/>
        </w:rPr>
        <w:t>1年；</w:t>
      </w:r>
    </w:p>
    <w:p w14:paraId="62802313">
      <w:pPr>
        <w:pStyle w:val="29"/>
        <w:spacing w:line="360" w:lineRule="auto"/>
        <w:ind w:firstLine="480" w:firstLineChars="200"/>
        <w:jc w:val="both"/>
        <w:rPr>
          <w:rFonts w:hint="default" w:ascii="Times New Roman" w:hAnsi="Times New Roman" w:eastAsia="......." w:cs="Times New Roman"/>
          <w:color w:val="auto"/>
          <w:lang w:val="en-US"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四</w:t>
      </w:r>
      <w:r>
        <w:rPr>
          <w:rFonts w:ascii="Times New Roman" w:hAnsi="Times New Roman" w:eastAsia="宋体" w:cs="Times New Roman"/>
          <w:color w:val="auto"/>
        </w:rPr>
        <w:t>包：</w:t>
      </w:r>
      <w:r>
        <w:rPr>
          <w:rFonts w:hint="eastAsia" w:ascii="Times New Roman" w:hAnsi="Times New Roman" w:eastAsia="宋体" w:cs="Times New Roman"/>
          <w:color w:val="auto"/>
        </w:rPr>
        <w:t>医保信息平台宏观决策系统</w:t>
      </w:r>
      <w:r>
        <w:rPr>
          <w:rFonts w:hint="eastAsia" w:ascii="Times New Roman" w:hAnsi="Times New Roman" w:cs="Times New Roman"/>
          <w:color w:val="auto"/>
        </w:rPr>
        <w:t>，合同履行期限</w:t>
      </w:r>
      <w:r>
        <w:rPr>
          <w:rFonts w:hint="eastAsia" w:ascii="Times New Roman" w:hAnsi="Times New Roman" w:cs="Times New Roman"/>
          <w:color w:val="auto"/>
          <w:lang w:eastAsia="zh-CN"/>
        </w:rPr>
        <w:t>：</w:t>
      </w:r>
      <w:r>
        <w:rPr>
          <w:rFonts w:hint="eastAsia" w:ascii="Times New Roman" w:hAnsi="Times New Roman" w:cs="Times New Roman"/>
          <w:color w:val="auto"/>
          <w:lang w:val="en-US" w:eastAsia="zh-CN"/>
        </w:rPr>
        <w:t>1年；</w:t>
      </w:r>
    </w:p>
    <w:p w14:paraId="3EFF8AEF">
      <w:pPr>
        <w:pStyle w:val="29"/>
        <w:spacing w:line="360" w:lineRule="auto"/>
        <w:ind w:firstLine="480" w:firstLineChars="200"/>
        <w:jc w:val="both"/>
        <w:rPr>
          <w:rFonts w:hint="default" w:ascii="Times New Roman" w:hAnsi="Times New Roman" w:eastAsia="......." w:cs="Times New Roman"/>
          <w:color w:val="auto"/>
          <w:lang w:val="en-US"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五</w:t>
      </w:r>
      <w:r>
        <w:rPr>
          <w:rFonts w:ascii="Times New Roman" w:hAnsi="Times New Roman" w:eastAsia="宋体" w:cs="Times New Roman"/>
          <w:color w:val="auto"/>
        </w:rPr>
        <w:t>包：</w:t>
      </w:r>
      <w:r>
        <w:rPr>
          <w:rFonts w:hint="eastAsia" w:ascii="Times New Roman" w:hAnsi="Times New Roman" w:eastAsia="宋体" w:cs="Times New Roman"/>
          <w:color w:val="auto"/>
          <w:lang w:val="en-US" w:eastAsia="zh-CN"/>
        </w:rPr>
        <w:t>医保信息平台药品和医用耗材招采系统</w:t>
      </w:r>
      <w:r>
        <w:rPr>
          <w:rFonts w:hint="eastAsia" w:ascii="Times New Roman" w:hAnsi="Times New Roman" w:cs="Times New Roman"/>
          <w:color w:val="auto"/>
        </w:rPr>
        <w:t>，合同履行期限</w:t>
      </w:r>
      <w:r>
        <w:rPr>
          <w:rFonts w:hint="eastAsia" w:ascii="Times New Roman" w:hAnsi="Times New Roman" w:cs="Times New Roman"/>
          <w:color w:val="auto"/>
          <w:lang w:eastAsia="zh-CN"/>
        </w:rPr>
        <w:t>：</w:t>
      </w:r>
      <w:r>
        <w:rPr>
          <w:rFonts w:hint="eastAsia" w:ascii="Times New Roman" w:hAnsi="Times New Roman" w:cs="Times New Roman"/>
          <w:color w:val="auto"/>
          <w:lang w:val="en-US" w:eastAsia="zh-CN"/>
        </w:rPr>
        <w:t>1年；</w:t>
      </w:r>
    </w:p>
    <w:p w14:paraId="76EF1235">
      <w:pPr>
        <w:pStyle w:val="29"/>
        <w:spacing w:line="360" w:lineRule="auto"/>
        <w:ind w:firstLine="480" w:firstLineChars="200"/>
        <w:jc w:val="both"/>
        <w:rPr>
          <w:rFonts w:hint="default" w:ascii="Times New Roman" w:hAnsi="Times New Roman" w:eastAsia="......." w:cs="Times New Roman"/>
          <w:color w:val="auto"/>
          <w:lang w:val="en-US"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六</w:t>
      </w:r>
      <w:r>
        <w:rPr>
          <w:rFonts w:ascii="Times New Roman" w:hAnsi="Times New Roman" w:eastAsia="宋体" w:cs="Times New Roman"/>
          <w:color w:val="auto"/>
        </w:rPr>
        <w:t>包：</w:t>
      </w:r>
      <w:r>
        <w:rPr>
          <w:rFonts w:hint="eastAsia" w:ascii="Times New Roman" w:hAnsi="Times New Roman" w:eastAsia="宋体" w:cs="Times New Roman"/>
          <w:color w:val="auto"/>
          <w:lang w:val="en-US" w:eastAsia="zh-CN"/>
        </w:rPr>
        <w:t>医疗保障信息平台人工智能引擎</w:t>
      </w:r>
      <w:r>
        <w:rPr>
          <w:rFonts w:hint="eastAsia" w:ascii="Times New Roman" w:hAnsi="Times New Roman" w:cs="Times New Roman"/>
          <w:color w:val="auto"/>
        </w:rPr>
        <w:t>，合同履行期限</w:t>
      </w:r>
      <w:r>
        <w:rPr>
          <w:rFonts w:hint="eastAsia" w:ascii="Times New Roman" w:hAnsi="Times New Roman" w:cs="Times New Roman"/>
          <w:color w:val="auto"/>
          <w:lang w:eastAsia="zh-CN"/>
        </w:rPr>
        <w:t>：</w:t>
      </w:r>
      <w:r>
        <w:rPr>
          <w:rFonts w:hint="eastAsia" w:ascii="Times New Roman" w:hAnsi="Times New Roman" w:cs="Times New Roman"/>
          <w:color w:val="auto"/>
          <w:lang w:val="en-US" w:eastAsia="zh-CN"/>
        </w:rPr>
        <w:t>1年；</w:t>
      </w:r>
    </w:p>
    <w:p w14:paraId="091973D7">
      <w:pPr>
        <w:pStyle w:val="29"/>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七</w:t>
      </w:r>
      <w:r>
        <w:rPr>
          <w:rFonts w:ascii="Times New Roman" w:hAnsi="Times New Roman" w:eastAsia="宋体" w:cs="Times New Roman"/>
          <w:color w:val="auto"/>
        </w:rPr>
        <w:t>包：</w:t>
      </w:r>
      <w:r>
        <w:rPr>
          <w:rFonts w:hint="eastAsia" w:ascii="Times New Roman" w:hAnsi="Times New Roman" w:eastAsia="宋体" w:cs="Times New Roman"/>
          <w:color w:val="auto"/>
          <w:lang w:val="en-US" w:eastAsia="zh-CN"/>
        </w:rPr>
        <w:t>医疗保障信息平台核心业务系统、云HIS、津医保及链医通</w:t>
      </w:r>
      <w:r>
        <w:rPr>
          <w:rFonts w:hint="eastAsia" w:ascii="Times New Roman" w:hAnsi="Times New Roman" w:cs="Times New Roman"/>
          <w:color w:val="auto"/>
        </w:rPr>
        <w:t>，合同履行期限</w:t>
      </w:r>
      <w:r>
        <w:rPr>
          <w:rFonts w:hint="eastAsia" w:ascii="Times New Roman" w:hAnsi="Times New Roman" w:cs="Times New Roman"/>
          <w:color w:val="auto"/>
          <w:lang w:eastAsia="zh-CN"/>
        </w:rPr>
        <w:t>：</w:t>
      </w:r>
      <w:r>
        <w:rPr>
          <w:rFonts w:hint="eastAsia" w:ascii="Times New Roman" w:hAnsi="Times New Roman" w:cs="Times New Roman"/>
          <w:color w:val="auto"/>
          <w:lang w:val="en-US" w:eastAsia="zh-CN"/>
        </w:rPr>
        <w:t>1年；</w:t>
      </w:r>
    </w:p>
    <w:p w14:paraId="7620A506">
      <w:pPr>
        <w:pStyle w:val="29"/>
        <w:spacing w:line="360" w:lineRule="auto"/>
        <w:ind w:firstLine="480" w:firstLineChars="200"/>
        <w:jc w:val="both"/>
        <w:rPr>
          <w:rFonts w:hint="eastAsia" w:ascii="Times New Roman" w:hAnsi="Times New Roman" w:cs="Times New Roman"/>
          <w:color w:val="auto"/>
          <w:lang w:val="en-US"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八</w:t>
      </w:r>
      <w:r>
        <w:rPr>
          <w:rFonts w:ascii="Times New Roman" w:hAnsi="Times New Roman" w:eastAsia="宋体" w:cs="Times New Roman"/>
          <w:color w:val="auto"/>
        </w:rPr>
        <w:t>包：</w:t>
      </w:r>
      <w:r>
        <w:rPr>
          <w:rFonts w:hint="eastAsia" w:ascii="Times New Roman" w:hAnsi="Times New Roman" w:eastAsia="宋体" w:cs="Times New Roman"/>
          <w:color w:val="auto"/>
          <w:lang w:val="en-US" w:eastAsia="zh-CN"/>
        </w:rPr>
        <w:t>医疗保障信息平台公文管理系统</w:t>
      </w:r>
      <w:r>
        <w:rPr>
          <w:rFonts w:hint="eastAsia" w:ascii="Times New Roman" w:hAnsi="Times New Roman" w:cs="Times New Roman"/>
          <w:color w:val="auto"/>
        </w:rPr>
        <w:t>，合同履行期限</w:t>
      </w:r>
      <w:r>
        <w:rPr>
          <w:rFonts w:hint="eastAsia" w:ascii="Times New Roman" w:hAnsi="Times New Roman" w:cs="Times New Roman"/>
          <w:color w:val="auto"/>
          <w:lang w:eastAsia="zh-CN"/>
        </w:rPr>
        <w:t>：</w:t>
      </w:r>
      <w:r>
        <w:rPr>
          <w:rFonts w:hint="eastAsia" w:ascii="Times New Roman" w:hAnsi="Times New Roman" w:cs="Times New Roman"/>
          <w:color w:val="auto"/>
          <w:lang w:val="en-US" w:eastAsia="zh-CN"/>
        </w:rPr>
        <w:t>1年。</w:t>
      </w:r>
    </w:p>
    <w:p w14:paraId="5B4D14E2">
      <w:pPr>
        <w:pStyle w:val="29"/>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6FEA1CAD">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690707</w:t>
      </w:r>
      <w:r>
        <w:rPr>
          <w:rFonts w:hint="eastAsia" w:ascii="Times New Roman" w:hAnsi="Times New Roman" w:eastAsia="宋体" w:cs="Times New Roman"/>
          <w:color w:val="auto"/>
          <w:lang w:val="en-US" w:eastAsia="zh-CN"/>
        </w:rPr>
        <w:t>元；</w:t>
      </w:r>
    </w:p>
    <w:p w14:paraId="20EF447A">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第二包：</w:t>
      </w:r>
      <w:r>
        <w:rPr>
          <w:rFonts w:hint="eastAsia" w:ascii="Times New Roman" w:hAnsi="Times New Roman" w:eastAsia="宋体" w:cs="Times New Roman"/>
          <w:color w:val="auto"/>
          <w:lang w:val="en-US" w:eastAsia="zh-CN"/>
        </w:rPr>
        <w:t>278027元；</w:t>
      </w:r>
    </w:p>
    <w:p w14:paraId="3F23E8CB">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第三包：</w:t>
      </w:r>
      <w:r>
        <w:rPr>
          <w:rFonts w:hint="eastAsia" w:ascii="Times New Roman" w:hAnsi="Times New Roman" w:eastAsia="宋体" w:cs="Times New Roman"/>
          <w:color w:val="auto"/>
          <w:lang w:val="en-US" w:eastAsia="zh-CN"/>
        </w:rPr>
        <w:t>377218元；</w:t>
      </w:r>
    </w:p>
    <w:p w14:paraId="43F69DAF">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第四包：</w:t>
      </w:r>
      <w:r>
        <w:rPr>
          <w:rFonts w:hint="eastAsia" w:ascii="Times New Roman" w:hAnsi="Times New Roman" w:eastAsia="宋体" w:cs="Times New Roman"/>
          <w:color w:val="auto"/>
          <w:lang w:val="en-US" w:eastAsia="zh-CN"/>
        </w:rPr>
        <w:t>279111元；</w:t>
      </w:r>
    </w:p>
    <w:p w14:paraId="0398ED2F">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第五包：430076元；</w:t>
      </w:r>
    </w:p>
    <w:p w14:paraId="02093AF4">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第六包：300000元；</w:t>
      </w:r>
    </w:p>
    <w:p w14:paraId="161D392B">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第七包：1250533元；</w:t>
      </w:r>
    </w:p>
    <w:p w14:paraId="524C945C">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第八包：33124元。</w:t>
      </w:r>
    </w:p>
    <w:p w14:paraId="43CCBA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2FC5DE8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1E0173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AE4529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3D999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）本项目不接受联合体投标。</w:t>
      </w:r>
    </w:p>
    <w:p w14:paraId="784D93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560397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068D22E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0C9F53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93790BC">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6CF3090">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71740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040B6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2088C0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lang w:val="en-US" w:eastAsia="zh-CN"/>
        </w:rPr>
        <w:t>12</w:t>
      </w:r>
      <w:r>
        <w:rPr>
          <w:rFonts w:ascii="Times New Roman" w:hAnsi="Times New Roman" w:eastAsia="宋体"/>
          <w:color w:val="auto"/>
        </w:rPr>
        <w:t>月</w:t>
      </w:r>
      <w:r>
        <w:rPr>
          <w:rFonts w:hint="eastAsia" w:ascii="Times New Roman" w:hAnsi="Times New Roman" w:eastAsia="宋体"/>
          <w:color w:val="auto"/>
          <w:lang w:val="en-US" w:eastAsia="zh-CN"/>
        </w:rPr>
        <w:t>2</w:t>
      </w:r>
      <w:r>
        <w:rPr>
          <w:rFonts w:ascii="Times New Roman" w:hAnsi="Times New Roman" w:eastAsia="宋体"/>
          <w:color w:val="auto"/>
        </w:rPr>
        <w:t>日至2025年</w:t>
      </w:r>
      <w:r>
        <w:rPr>
          <w:rFonts w:hint="eastAsia" w:ascii="Times New Roman" w:hAnsi="Times New Roman" w:eastAsia="宋体"/>
          <w:color w:val="auto"/>
          <w:lang w:val="en-US" w:eastAsia="zh-CN"/>
        </w:rPr>
        <w:t>12</w:t>
      </w:r>
      <w:r>
        <w:rPr>
          <w:rFonts w:ascii="Times New Roman" w:hAnsi="Times New Roman" w:eastAsia="宋体"/>
          <w:color w:val="auto"/>
        </w:rPr>
        <w:t>月</w:t>
      </w:r>
      <w:r>
        <w:rPr>
          <w:rFonts w:hint="eastAsia" w:ascii="Times New Roman" w:hAnsi="Times New Roman" w:eastAsia="宋体"/>
          <w:color w:val="auto"/>
          <w:lang w:val="en-US" w:eastAsia="zh-CN"/>
        </w:rPr>
        <w:t>9</w:t>
      </w:r>
      <w:r>
        <w:rPr>
          <w:rFonts w:ascii="Times New Roman" w:hAnsi="Times New Roman" w:eastAsia="宋体"/>
          <w:color w:val="auto"/>
        </w:rPr>
        <w:t>日，</w:t>
      </w:r>
      <w:r>
        <w:rPr>
          <w:rFonts w:ascii="Times New Roman" w:hAnsi="Times New Roman" w:eastAsia="宋体"/>
          <w:color w:val="auto"/>
        </w:rPr>
        <w:t>每</w:t>
      </w:r>
      <w:r>
        <w:rPr>
          <w:rFonts w:ascii="Times New Roman" w:hAnsi="Times New Roman" w:eastAsia="宋体" w:cs="Times New Roman"/>
          <w:color w:val="auto"/>
        </w:rPr>
        <w:t>日9:00至17:00（北京时间，法定节假日除外）。</w:t>
      </w:r>
    </w:p>
    <w:p w14:paraId="0551D3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20CA40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6A94EB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7F71E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51B23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50C99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C7165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E2903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C03DF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710B84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69A498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ADDD05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3024F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5D0D97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5093BB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68017B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355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hint="eastAsia" w:ascii="Times New Roman" w:hAnsi="Times New Roman" w:eastAsia="宋体" w:cs="Times New Roman"/>
          <w:color w:val="auto"/>
        </w:rPr>
        <w:t>日</w:t>
      </w:r>
      <w:r>
        <w:rPr>
          <w:rFonts w:hint="eastAsia" w:ascii="Times New Roman" w:hAnsi="Times New Roman" w:eastAsia="宋体" w:cs="Times New Roman"/>
          <w:color w:val="auto"/>
        </w:rPr>
        <w:t>8:30至9:30完成第一阶段解密的方为有效响应。</w:t>
      </w:r>
    </w:p>
    <w:p w14:paraId="682732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0C6F85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217DCB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279922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38A0EB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5EB89B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373164C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17D676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65AF10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20DA5A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727F4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DCE11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CED2EDC">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F520A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97D69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AFA4B9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天津市医疗保障局</w:t>
      </w:r>
      <w:r>
        <w:rPr>
          <w:rFonts w:ascii="Times New Roman" w:hAnsi="Times New Roman" w:eastAsia="宋体" w:cs="Times New Roman"/>
          <w:color w:val="auto"/>
        </w:rPr>
        <w:t xml:space="preserve"> </w:t>
      </w:r>
    </w:p>
    <w:p w14:paraId="022D100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天津市南开区咸阳路81号</w:t>
      </w:r>
      <w:r>
        <w:rPr>
          <w:rFonts w:ascii="Times New Roman" w:hAnsi="Times New Roman" w:eastAsia="宋体" w:cs="Times New Roman"/>
          <w:color w:val="auto"/>
        </w:rPr>
        <w:t xml:space="preserve"> </w:t>
      </w:r>
    </w:p>
    <w:p w14:paraId="2153C87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lang w:val="en-US" w:eastAsia="zh-CN"/>
        </w:rPr>
        <w:t>孙博智</w:t>
      </w:r>
      <w:r>
        <w:rPr>
          <w:rFonts w:ascii="Times New Roman" w:hAnsi="Times New Roman" w:eastAsia="宋体" w:cs="Times New Roman"/>
          <w:color w:val="auto"/>
        </w:rPr>
        <w:t xml:space="preserve"> </w:t>
      </w:r>
    </w:p>
    <w:p w14:paraId="2E2DD2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022-63085338</w:t>
      </w:r>
    </w:p>
    <w:p w14:paraId="3FA80D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B4054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E7FFB0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A47FC4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联系部门：天津市医疗保障局</w:t>
      </w:r>
    </w:p>
    <w:p w14:paraId="5FE9BAA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联系地址：天津市南开区咸阳路81号</w:t>
      </w:r>
    </w:p>
    <w:p w14:paraId="027C100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人：刘博</w:t>
      </w:r>
    </w:p>
    <w:p w14:paraId="07FF253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63085324</w:t>
      </w:r>
    </w:p>
    <w:p w14:paraId="35940F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58464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F2F04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6CD409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085920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571ABDAB">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D00ED11">
      <w:pPr>
        <w:pStyle w:val="29"/>
        <w:spacing w:line="360" w:lineRule="auto"/>
        <w:ind w:firstLine="480" w:firstLineChars="200"/>
        <w:jc w:val="both"/>
        <w:rPr>
          <w:rFonts w:ascii="Times New Roman" w:hAnsi="Times New Roman" w:eastAsia="宋体" w:cs="Times New Roman"/>
          <w:color w:val="FF0000"/>
        </w:rPr>
      </w:pPr>
    </w:p>
    <w:p w14:paraId="1CDEC154">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12</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w:t>
      </w:r>
      <w:r>
        <w:rPr>
          <w:rFonts w:ascii="Times New Roman" w:hAnsi="Times New Roman" w:eastAsia="宋体" w:cs="Times New Roman"/>
          <w:color w:val="auto"/>
          <w:kern w:val="2"/>
        </w:rPr>
        <w:t>日</w:t>
      </w:r>
    </w:p>
    <w:p w14:paraId="1F4F9AFD">
      <w:pPr>
        <w:pStyle w:val="29"/>
        <w:spacing w:line="360" w:lineRule="auto"/>
        <w:jc w:val="both"/>
        <w:rPr>
          <w:rFonts w:ascii="Times New Roman" w:hAnsi="Times New Roman" w:eastAsia="宋体" w:cs="Times New Roman"/>
          <w:color w:val="auto"/>
          <w:kern w:val="2"/>
        </w:rPr>
      </w:pPr>
    </w:p>
    <w:p w14:paraId="372DB3DC">
      <w:pPr>
        <w:pStyle w:val="29"/>
        <w:spacing w:line="360" w:lineRule="auto"/>
        <w:jc w:val="both"/>
        <w:rPr>
          <w:rFonts w:ascii="Times New Roman" w:hAnsi="Times New Roman" w:eastAsia="宋体" w:cs="Times New Roman"/>
          <w:color w:val="auto"/>
          <w:kern w:val="2"/>
        </w:rPr>
      </w:pPr>
    </w:p>
    <w:p w14:paraId="45788006">
      <w:pPr>
        <w:pStyle w:val="29"/>
        <w:spacing w:line="360" w:lineRule="auto"/>
        <w:jc w:val="both"/>
        <w:rPr>
          <w:rFonts w:ascii="Times New Roman" w:hAnsi="Times New Roman" w:eastAsia="宋体" w:cs="Times New Roman"/>
          <w:color w:val="auto"/>
          <w:kern w:val="2"/>
        </w:rPr>
      </w:pPr>
    </w:p>
    <w:p w14:paraId="12BD8B40">
      <w:pPr>
        <w:pStyle w:val="29"/>
        <w:spacing w:line="360" w:lineRule="auto"/>
        <w:jc w:val="both"/>
        <w:rPr>
          <w:rFonts w:ascii="Times New Roman" w:hAnsi="Times New Roman" w:eastAsia="宋体" w:cs="Times New Roman"/>
          <w:color w:val="auto"/>
          <w:kern w:val="2"/>
        </w:rPr>
      </w:pPr>
    </w:p>
    <w:p w14:paraId="21E3F3A4">
      <w:pPr>
        <w:widowControl/>
        <w:jc w:val="left"/>
        <w:rPr>
          <w:rFonts w:asciiTheme="minorEastAsia" w:hAnsiTheme="minorEastAsia" w:eastAsiaTheme="minorEastAsia"/>
          <w:b/>
          <w:bCs/>
          <w:kern w:val="0"/>
          <w:sz w:val="24"/>
          <w:szCs w:val="24"/>
        </w:rPr>
      </w:pPr>
    </w:p>
    <w:p w14:paraId="14B673F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D820F6B">
      <w:pPr>
        <w:spacing w:line="360" w:lineRule="auto"/>
        <w:jc w:val="center"/>
        <w:rPr>
          <w:rFonts w:eastAsia="方正小标宋简体"/>
          <w:bCs/>
          <w:kern w:val="0"/>
          <w:sz w:val="24"/>
          <w:szCs w:val="24"/>
        </w:rPr>
      </w:pPr>
    </w:p>
    <w:p w14:paraId="16A72AA0">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F20BB85">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7DA5A0A">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816C593">
      <w:pPr>
        <w:spacing w:line="360" w:lineRule="auto"/>
        <w:jc w:val="center"/>
        <w:rPr>
          <w:rFonts w:eastAsia="方正小标宋简体"/>
          <w:spacing w:val="-10"/>
          <w:sz w:val="24"/>
          <w:szCs w:val="24"/>
        </w:rPr>
      </w:pPr>
    </w:p>
    <w:p w14:paraId="659AF395">
      <w:pPr>
        <w:spacing w:line="360" w:lineRule="auto"/>
        <w:jc w:val="center"/>
        <w:rPr>
          <w:rFonts w:eastAsia="方正小标宋简体"/>
          <w:spacing w:val="-10"/>
          <w:sz w:val="24"/>
          <w:szCs w:val="24"/>
        </w:rPr>
      </w:pPr>
    </w:p>
    <w:p w14:paraId="21A0A5DE">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DA1626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4553880">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28FAE8F1">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4143785">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5D6E4B8">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4732967">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390C2D4C">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206DD2E3">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529E4E4">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56D87340">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FC789AC">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5BCDB8F6">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E92D751">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49116D3E">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127CAEE">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21212D37">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A1DC6DF">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06B3BEA">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0CB161C3">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4025627F">
      <w:pPr>
        <w:adjustRightInd w:val="0"/>
        <w:snapToGrid w:val="0"/>
        <w:spacing w:line="400" w:lineRule="exact"/>
        <w:jc w:val="center"/>
        <w:rPr>
          <w:b/>
          <w:sz w:val="24"/>
          <w:szCs w:val="24"/>
        </w:rPr>
      </w:pPr>
      <w:r>
        <w:rPr>
          <w:b/>
          <w:sz w:val="24"/>
          <w:szCs w:val="24"/>
        </w:rPr>
        <w:t>诚信参与政府采购活动提示函</w:t>
      </w:r>
    </w:p>
    <w:p w14:paraId="60F42F4B">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EC80F0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FCEE8E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EB7A8F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DF9908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4EC14E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8C3FC5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678BD5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6082F7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DB4E17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6026BD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FFC6603">
      <w:pPr>
        <w:pStyle w:val="14"/>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68B035B">
      <w:pPr>
        <w:spacing w:line="360" w:lineRule="exact"/>
        <w:ind w:firstLine="611" w:firstLineChars="200"/>
        <w:rPr>
          <w:b/>
          <w:bCs/>
          <w:spacing w:val="-8"/>
          <w:kern w:val="28"/>
          <w:sz w:val="32"/>
          <w:szCs w:val="32"/>
        </w:rPr>
      </w:pPr>
    </w:p>
    <w:p w14:paraId="50B9189D">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02A6D9C0">
      <w:pPr>
        <w:pStyle w:val="11"/>
        <w:rPr>
          <w:rFonts w:ascii="Times New Roman" w:hAnsi="Times New Roman"/>
        </w:rPr>
      </w:pPr>
      <w:r>
        <w:rPr>
          <w:rFonts w:ascii="Times New Roman" w:hAnsi="Times New Roman"/>
        </w:rPr>
        <w:t>第二部分  磋商项目要求</w:t>
      </w:r>
    </w:p>
    <w:p w14:paraId="4BBA4AA2">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6E5EB27A">
      <w:pPr>
        <w:autoSpaceDE w:val="0"/>
        <w:autoSpaceDN w:val="0"/>
        <w:adjustRightInd w:val="0"/>
        <w:spacing w:line="360" w:lineRule="auto"/>
        <w:ind w:firstLine="480" w:firstLineChars="200"/>
        <w:rPr>
          <w:bCs/>
          <w:color w:val="FF0000"/>
          <w:sz w:val="24"/>
        </w:rPr>
      </w:pPr>
      <w:r>
        <w:rPr>
          <w:bCs/>
          <w:sz w:val="24"/>
        </w:rPr>
        <w:t>（一）</w:t>
      </w:r>
      <w:r>
        <w:rPr>
          <w:rFonts w:hint="eastAsia"/>
          <w:bCs/>
          <w:sz w:val="24"/>
        </w:rPr>
        <w:t>供应商</w:t>
      </w:r>
      <w:r>
        <w:rPr>
          <w:bCs/>
          <w:sz w:val="24"/>
        </w:rPr>
        <w:t>须承诺所提供的服务、人员及设备符合相关国家强制性规定。</w:t>
      </w:r>
    </w:p>
    <w:p w14:paraId="7AADA6E2">
      <w:pPr>
        <w:autoSpaceDE w:val="0"/>
        <w:autoSpaceDN w:val="0"/>
        <w:adjustRightInd w:val="0"/>
        <w:spacing w:line="360" w:lineRule="auto"/>
        <w:ind w:firstLine="480" w:firstLineChars="200"/>
        <w:rPr>
          <w:sz w:val="24"/>
        </w:rPr>
      </w:pPr>
      <w:r>
        <w:rPr>
          <w:rFonts w:hint="eastAsia"/>
          <w:sz w:val="24"/>
        </w:rPr>
        <w:t>（二）</w:t>
      </w:r>
      <w:r>
        <w:rPr>
          <w:rFonts w:hint="eastAsia"/>
          <w:bCs/>
          <w:sz w:val="24"/>
        </w:rPr>
        <w:t>供应商</w:t>
      </w:r>
      <w:r>
        <w:rPr>
          <w:sz w:val="24"/>
        </w:rPr>
        <w:t>须提供本项目相关技术</w:t>
      </w:r>
      <w:r>
        <w:rPr>
          <w:rFonts w:hint="eastAsia"/>
          <w:sz w:val="24"/>
        </w:rPr>
        <w:t>人员简历(含各成员的姓名、职务、职称、毕业学校、专业、专长、业绩等) 原则上不允许更换，如需更换人员，必须经采购人同意。</w:t>
      </w:r>
    </w:p>
    <w:p w14:paraId="4B5F058C">
      <w:pPr>
        <w:autoSpaceDE w:val="0"/>
        <w:autoSpaceDN w:val="0"/>
        <w:adjustRightInd w:val="0"/>
        <w:spacing w:line="360" w:lineRule="auto"/>
        <w:ind w:firstLine="480" w:firstLineChars="200"/>
        <w:rPr>
          <w:color w:val="auto"/>
          <w:sz w:val="24"/>
          <w:highlight w:val="none"/>
        </w:rPr>
      </w:pPr>
      <w:r>
        <w:rPr>
          <w:rFonts w:hint="eastAsia"/>
          <w:sz w:val="24"/>
        </w:rPr>
        <w:t>（三）若本项目涉及对采购人原有系统的修改或升级业务，或涉及与采购人原有其他系统的对接业务，由采购人负责协调原有系统的接口协议、源代码、数据结构等与修改、升级或对接相关资料的开放，且不产生开</w:t>
      </w:r>
      <w:r>
        <w:rPr>
          <w:rFonts w:hint="eastAsia"/>
          <w:color w:val="auto"/>
          <w:sz w:val="24"/>
          <w:highlight w:val="none"/>
        </w:rPr>
        <w:t>放费用。如需原系统开发商配合，采购人负责协调。投标人应严格遵守与采购人签订的保密协议，对上述开放资料严格保密，经采购人允许合规使用。</w:t>
      </w:r>
    </w:p>
    <w:p w14:paraId="223FA3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★（四）</w:t>
      </w:r>
      <w:r>
        <w:rPr>
          <w:rFonts w:hint="eastAsia"/>
          <w:b w:val="0"/>
          <w:bCs w:val="0"/>
          <w:color w:val="auto"/>
          <w:sz w:val="24"/>
          <w:szCs w:val="24"/>
          <w:highlight w:val="none"/>
          <w:lang w:val="en-US" w:eastAsia="zh-CN"/>
        </w:rPr>
        <w:t>供应商须承诺报价应包含</w:t>
      </w:r>
      <w:r>
        <w:rPr>
          <w:rFonts w:hint="eastAsia" w:ascii="Times New Roman" w:hAnsi="Times New Roman"/>
          <w:b w:val="0"/>
          <w:bCs w:val="0"/>
          <w:color w:val="auto"/>
          <w:sz w:val="24"/>
          <w:szCs w:val="24"/>
          <w:highlight w:val="none"/>
          <w:lang w:val="en-US"/>
        </w:rPr>
        <w:t>驻场工程师就餐和相关差旅费用，并提供驻场工程师办公电脑、打印机等设备。</w:t>
      </w:r>
    </w:p>
    <w:p w14:paraId="3D98B1D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★（五）源代码和产权要求</w:t>
      </w:r>
    </w:p>
    <w:p w14:paraId="576235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b w:val="0"/>
          <w:bCs w:val="0"/>
          <w:color w:val="auto"/>
          <w:sz w:val="24"/>
          <w:szCs w:val="24"/>
          <w:highlight w:val="none"/>
          <w:lang w:val="en-US" w:eastAsia="zh-CN"/>
        </w:rPr>
        <w:t>供应商</w:t>
      </w:r>
      <w:r>
        <w:rPr>
          <w:bCs/>
          <w:color w:val="auto"/>
          <w:sz w:val="24"/>
          <w:highlight w:val="none"/>
        </w:rPr>
        <w:t>须承诺</w:t>
      </w:r>
      <w:r>
        <w:rPr>
          <w:rFonts w:hint="eastAsia" w:ascii="Times New Roman" w:hAnsi="Times New Roman"/>
          <w:b w:val="0"/>
          <w:bCs w:val="0"/>
          <w:color w:val="auto"/>
          <w:sz w:val="24"/>
          <w:szCs w:val="24"/>
          <w:highlight w:val="none"/>
          <w:lang w:val="en-US"/>
        </w:rPr>
        <w:t>：本项目中的全部源代码（不包含既有知识产权类和工具）和知识产权全部为</w:t>
      </w:r>
      <w:r>
        <w:rPr>
          <w:rFonts w:hint="eastAsia"/>
          <w:b w:val="0"/>
          <w:bCs w:val="0"/>
          <w:color w:val="auto"/>
          <w:sz w:val="24"/>
          <w:szCs w:val="24"/>
          <w:highlight w:val="none"/>
          <w:lang w:val="en-US" w:eastAsia="zh-CN"/>
        </w:rPr>
        <w:t>采购人</w:t>
      </w:r>
      <w:r>
        <w:rPr>
          <w:rFonts w:hint="eastAsia" w:ascii="Times New Roman" w:hAnsi="Times New Roman"/>
          <w:b w:val="0"/>
          <w:bCs w:val="0"/>
          <w:color w:val="auto"/>
          <w:sz w:val="24"/>
          <w:szCs w:val="24"/>
          <w:highlight w:val="none"/>
          <w:lang w:val="en-US"/>
        </w:rPr>
        <w:t>所有，</w:t>
      </w:r>
      <w:r>
        <w:rPr>
          <w:rFonts w:hint="eastAsia"/>
          <w:b w:val="0"/>
          <w:bCs w:val="0"/>
          <w:color w:val="auto"/>
          <w:sz w:val="24"/>
          <w:szCs w:val="24"/>
          <w:highlight w:val="none"/>
          <w:lang w:val="en-US" w:eastAsia="zh-CN"/>
        </w:rPr>
        <w:t>成交供应商</w:t>
      </w:r>
      <w:r>
        <w:rPr>
          <w:rFonts w:hint="eastAsia" w:ascii="Times New Roman" w:hAnsi="Times New Roman"/>
          <w:b w:val="0"/>
          <w:bCs w:val="0"/>
          <w:color w:val="auto"/>
          <w:sz w:val="24"/>
          <w:szCs w:val="24"/>
          <w:highlight w:val="none"/>
          <w:lang w:val="en-US"/>
        </w:rPr>
        <w:t>需在合作期间及合作终止后 5 年内，在</w:t>
      </w:r>
      <w:r>
        <w:rPr>
          <w:rFonts w:hint="eastAsia"/>
          <w:b w:val="0"/>
          <w:bCs w:val="0"/>
          <w:color w:val="auto"/>
          <w:sz w:val="24"/>
          <w:szCs w:val="24"/>
          <w:highlight w:val="none"/>
          <w:lang w:val="en-US" w:eastAsia="zh-CN"/>
        </w:rPr>
        <w:t>采购人</w:t>
      </w:r>
      <w:r>
        <w:rPr>
          <w:rFonts w:hint="eastAsia" w:ascii="Times New Roman" w:hAnsi="Times New Roman"/>
          <w:b w:val="0"/>
          <w:bCs w:val="0"/>
          <w:color w:val="auto"/>
          <w:sz w:val="24"/>
          <w:szCs w:val="24"/>
          <w:highlight w:val="none"/>
          <w:lang w:val="en-US"/>
        </w:rPr>
        <w:t>提出要求的 3 天内无条件提供本项目源代码。</w:t>
      </w:r>
    </w:p>
    <w:p w14:paraId="302739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★（六）</w:t>
      </w:r>
      <w:r>
        <w:rPr>
          <w:rFonts w:hint="eastAsia"/>
          <w:b w:val="0"/>
          <w:bCs w:val="0"/>
          <w:color w:val="auto"/>
          <w:sz w:val="24"/>
          <w:szCs w:val="24"/>
          <w:highlight w:val="none"/>
          <w:lang w:val="en-US" w:eastAsia="zh-CN"/>
        </w:rPr>
        <w:t>供应商</w:t>
      </w:r>
      <w:r>
        <w:rPr>
          <w:bCs/>
          <w:color w:val="auto"/>
          <w:sz w:val="24"/>
          <w:highlight w:val="none"/>
        </w:rPr>
        <w:t>须承诺</w:t>
      </w:r>
      <w:r>
        <w:rPr>
          <w:rFonts w:hint="eastAsia" w:ascii="Times New Roman" w:hAnsi="Times New Roman"/>
          <w:b w:val="0"/>
          <w:bCs w:val="0"/>
          <w:color w:val="auto"/>
          <w:sz w:val="24"/>
          <w:szCs w:val="24"/>
          <w:highlight w:val="none"/>
          <w:lang w:val="en-US"/>
        </w:rPr>
        <w:t>合同执行结束后，应确保服务工作平滑稳定地迁移到下一个服务团队，在合同结束至新的中标单位到位期间，继续提供原合同规定的服务内容和服务水平。中标单位应制定详细的交接工作计划，包括概况、目标、实施内容（包括不限于系统建设方面、信息资源保存方面等）、质量保证措施、进度安排、应急预案等内容，并报采购人进行备份，同时作为采购人检查的依据。</w:t>
      </w:r>
    </w:p>
    <w:p w14:paraId="72EA14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★（七）</w:t>
      </w:r>
      <w:r>
        <w:rPr>
          <w:rFonts w:hint="eastAsia"/>
          <w:b w:val="0"/>
          <w:bCs w:val="0"/>
          <w:color w:val="auto"/>
          <w:sz w:val="24"/>
          <w:szCs w:val="24"/>
          <w:highlight w:val="none"/>
          <w:lang w:val="en-US" w:eastAsia="zh-CN"/>
        </w:rPr>
        <w:t>供应商</w:t>
      </w:r>
      <w:r>
        <w:rPr>
          <w:bCs/>
          <w:color w:val="auto"/>
          <w:sz w:val="24"/>
          <w:highlight w:val="none"/>
        </w:rPr>
        <w:t>须承诺</w:t>
      </w:r>
      <w:r>
        <w:rPr>
          <w:rFonts w:hint="eastAsia" w:ascii="Times New Roman" w:hAnsi="Times New Roman"/>
          <w:b w:val="0"/>
          <w:bCs w:val="0"/>
          <w:color w:val="auto"/>
          <w:sz w:val="24"/>
          <w:szCs w:val="24"/>
          <w:highlight w:val="none"/>
          <w:lang w:val="en-US"/>
        </w:rPr>
        <w:t>本项目合作终止后 3 年内，无条件配合</w:t>
      </w:r>
      <w:r>
        <w:rPr>
          <w:rFonts w:hint="eastAsia"/>
          <w:b w:val="0"/>
          <w:bCs w:val="0"/>
          <w:color w:val="auto"/>
          <w:sz w:val="24"/>
          <w:szCs w:val="24"/>
          <w:highlight w:val="none"/>
          <w:lang w:val="en-US" w:eastAsia="zh-CN"/>
        </w:rPr>
        <w:t>采购人</w:t>
      </w:r>
      <w:r>
        <w:rPr>
          <w:rFonts w:hint="eastAsia" w:ascii="Times New Roman" w:hAnsi="Times New Roman"/>
          <w:b w:val="0"/>
          <w:bCs w:val="0"/>
          <w:color w:val="auto"/>
          <w:sz w:val="24"/>
          <w:szCs w:val="24"/>
          <w:highlight w:val="none"/>
          <w:lang w:val="en-US"/>
        </w:rPr>
        <w:t>进行数据迁移、数据字典提供、数据结构提供、对相关实现方式讲解。</w:t>
      </w:r>
    </w:p>
    <w:p w14:paraId="31CA814C">
      <w:pPr>
        <w:autoSpaceDE w:val="0"/>
        <w:autoSpaceDN w:val="0"/>
        <w:adjustRightInd w:val="0"/>
        <w:spacing w:line="360" w:lineRule="auto"/>
        <w:ind w:firstLine="480" w:firstLineChars="200"/>
        <w:rPr>
          <w:color w:val="auto"/>
          <w:sz w:val="24"/>
          <w:highlight w:val="none"/>
        </w:rPr>
      </w:pPr>
      <w:r>
        <w:rPr>
          <w:color w:val="auto"/>
          <w:sz w:val="24"/>
          <w:highlight w:val="none"/>
        </w:rPr>
        <w:t>（</w:t>
      </w:r>
      <w:r>
        <w:rPr>
          <w:rFonts w:hint="eastAsia"/>
          <w:color w:val="auto"/>
          <w:sz w:val="24"/>
          <w:highlight w:val="none"/>
          <w:lang w:val="en-US" w:eastAsia="zh-CN"/>
        </w:rPr>
        <w:t>八</w:t>
      </w:r>
      <w:r>
        <w:rPr>
          <w:color w:val="auto"/>
          <w:sz w:val="24"/>
          <w:highlight w:val="none"/>
        </w:rPr>
        <w:t>）具体需求详见本部分项目需求书。</w:t>
      </w:r>
    </w:p>
    <w:p w14:paraId="1A097A5A">
      <w:pPr>
        <w:tabs>
          <w:tab w:val="left" w:pos="210"/>
        </w:tabs>
        <w:autoSpaceDE w:val="0"/>
        <w:autoSpaceDN w:val="0"/>
        <w:adjustRightInd w:val="0"/>
        <w:spacing w:line="360" w:lineRule="auto"/>
        <w:ind w:firstLine="480" w:firstLineChars="200"/>
        <w:outlineLvl w:val="0"/>
        <w:rPr>
          <w:color w:val="auto"/>
          <w:sz w:val="24"/>
          <w:szCs w:val="24"/>
          <w:highlight w:val="none"/>
        </w:rPr>
      </w:pPr>
      <w:r>
        <w:rPr>
          <w:rFonts w:hint="eastAsia"/>
          <w:color w:val="auto"/>
          <w:sz w:val="24"/>
          <w:szCs w:val="24"/>
          <w:highlight w:val="none"/>
        </w:rPr>
        <w:t>二</w:t>
      </w:r>
      <w:r>
        <w:rPr>
          <w:color w:val="auto"/>
          <w:sz w:val="24"/>
          <w:szCs w:val="24"/>
          <w:highlight w:val="none"/>
        </w:rPr>
        <w:t>、</w:t>
      </w:r>
      <w:r>
        <w:rPr>
          <w:rFonts w:hint="eastAsia"/>
          <w:color w:val="auto"/>
          <w:sz w:val="24"/>
          <w:szCs w:val="24"/>
          <w:highlight w:val="none"/>
        </w:rPr>
        <w:t>商务要求</w:t>
      </w:r>
    </w:p>
    <w:p w14:paraId="6CCE3BD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（一）报价要求</w:t>
      </w:r>
    </w:p>
    <w:p w14:paraId="3FC690F3">
      <w:pPr>
        <w:spacing w:line="360" w:lineRule="auto"/>
        <w:ind w:firstLine="480" w:firstLineChars="200"/>
        <w:rPr>
          <w:color w:val="auto"/>
          <w:sz w:val="24"/>
          <w:highlight w:val="none"/>
        </w:rPr>
      </w:pPr>
      <w:r>
        <w:rPr>
          <w:color w:val="auto"/>
          <w:sz w:val="24"/>
          <w:highlight w:val="none"/>
        </w:rPr>
        <w:t>1. 投标报价以人民币填列。</w:t>
      </w:r>
    </w:p>
    <w:p w14:paraId="032F7A04">
      <w:pPr>
        <w:spacing w:line="360" w:lineRule="auto"/>
        <w:ind w:firstLine="480" w:firstLineChars="200"/>
        <w:rPr>
          <w:color w:val="auto"/>
          <w:sz w:val="24"/>
          <w:highlight w:val="none"/>
        </w:rPr>
      </w:pPr>
      <w:r>
        <w:rPr>
          <w:color w:val="auto"/>
          <w:sz w:val="24"/>
          <w:highlight w:val="none"/>
        </w:rPr>
        <w:t>2. 投标人的报价应包括：人员费用、</w:t>
      </w:r>
      <w:r>
        <w:rPr>
          <w:rFonts w:hint="eastAsia"/>
          <w:color w:val="auto"/>
          <w:sz w:val="24"/>
          <w:highlight w:val="none"/>
        </w:rPr>
        <w:t>维保费用、设备维修及配件更换费用</w:t>
      </w:r>
      <w:r>
        <w:rPr>
          <w:color w:val="auto"/>
          <w:sz w:val="24"/>
          <w:highlight w:val="none"/>
        </w:rPr>
        <w:t>、管理费及税金等为完成竞争性磋商文件规定全部任务所需的一切应有费用。</w:t>
      </w:r>
    </w:p>
    <w:p w14:paraId="16A91D35">
      <w:pPr>
        <w:spacing w:line="360" w:lineRule="auto"/>
        <w:ind w:firstLine="480" w:firstLineChars="200"/>
        <w:rPr>
          <w:color w:val="auto"/>
          <w:sz w:val="24"/>
          <w:highlight w:val="none"/>
        </w:rPr>
      </w:pPr>
      <w:r>
        <w:rPr>
          <w:color w:val="auto"/>
          <w:sz w:val="24"/>
          <w:highlight w:val="none"/>
        </w:rPr>
        <w:t>3. 验收相关费用由投标人负责。</w:t>
      </w:r>
    </w:p>
    <w:p w14:paraId="6EF584AA">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4FFA167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时间要求：</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hint="eastAsia" w:ascii="Times New Roman" w:hAnsi="Times New Roman" w:eastAsia="宋体" w:cs="Times New Roman"/>
          <w:color w:val="auto"/>
          <w:kern w:val="2"/>
          <w:highlight w:val="none"/>
        </w:rPr>
        <w:t>年的服务期</w:t>
      </w:r>
      <w:r>
        <w:rPr>
          <w:rFonts w:ascii="Times New Roman" w:hAnsi="Times New Roman" w:eastAsia="宋体" w:cs="Times New Roman"/>
          <w:color w:val="auto"/>
          <w:kern w:val="2"/>
          <w:highlight w:val="none"/>
        </w:rPr>
        <w:t>（特殊情况以合同为准）。</w:t>
      </w:r>
    </w:p>
    <w:p w14:paraId="08C6B093">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天津市南开区咸阳路81号</w:t>
      </w:r>
      <w:r>
        <w:rPr>
          <w:rFonts w:ascii="Times New Roman" w:hAnsi="Times New Roman" w:eastAsia="宋体" w:cs="Times New Roman"/>
          <w:color w:val="auto"/>
          <w:kern w:val="2"/>
          <w:highlight w:val="none"/>
        </w:rPr>
        <w:t>（特殊情况以合同为准）。</w:t>
      </w:r>
    </w:p>
    <w:p w14:paraId="138C764E">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34BC464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319E6384">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（五）服务要求：</w:t>
      </w:r>
    </w:p>
    <w:p w14:paraId="1C6BE14B">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1.具体需求详见项目需求书，供应商提供详细的服务方案。</w:t>
      </w:r>
    </w:p>
    <w:p w14:paraId="737373CD">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2.成交后，成交供应商应与采购人就数据信息安全等内容签署保密协议。</w:t>
      </w:r>
    </w:p>
    <w:p w14:paraId="4F0CFDE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六</w:t>
      </w:r>
      <w:r>
        <w:rPr>
          <w:rFonts w:ascii="Times New Roman" w:hAnsi="Times New Roman" w:eastAsia="宋体" w:cs="Times New Roman"/>
          <w:color w:val="auto"/>
          <w:kern w:val="2"/>
          <w:highlight w:val="none"/>
        </w:rPr>
        <w:t>）付款方式</w:t>
      </w:r>
    </w:p>
    <w:p w14:paraId="1547A978">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cs="Times New Roman"/>
          <w:color w:val="auto"/>
          <w:szCs w:val="21"/>
          <w:highlight w:val="none"/>
        </w:rPr>
        <w:t>按季度付款，服务合格，每季度末支付年合同金额的25%</w:t>
      </w:r>
      <w:r>
        <w:rPr>
          <w:rFonts w:ascii="Times New Roman" w:hAnsi="Times New Roman" w:cs="Times New Roman"/>
          <w:color w:val="auto"/>
          <w:highlight w:val="none"/>
        </w:rPr>
        <w:t>（特殊情况以合同为准）。</w:t>
      </w:r>
    </w:p>
    <w:p w14:paraId="3286C9B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七</w:t>
      </w:r>
      <w:r>
        <w:rPr>
          <w:rFonts w:ascii="Times New Roman" w:hAnsi="Times New Roman" w:eastAsia="宋体" w:cs="Times New Roman"/>
          <w:color w:val="auto"/>
          <w:kern w:val="2"/>
        </w:rPr>
        <w:t>）磋商保证金及履约保证金：本项目不收取磋商保证金及履约保证金。</w:t>
      </w:r>
    </w:p>
    <w:p w14:paraId="65B0845D">
      <w:pPr>
        <w:autoSpaceDE w:val="0"/>
        <w:autoSpaceDN w:val="0"/>
        <w:adjustRightInd w:val="0"/>
        <w:spacing w:line="360" w:lineRule="auto"/>
        <w:ind w:firstLine="480" w:firstLineChars="200"/>
        <w:rPr>
          <w:rFonts w:hint="eastAsia"/>
          <w:bCs/>
          <w:sz w:val="24"/>
        </w:rPr>
      </w:pPr>
      <w:r>
        <w:rPr>
          <w:rFonts w:hint="eastAsia"/>
          <w:bCs/>
          <w:sz w:val="24"/>
        </w:rPr>
        <w:t>三、评分因素及评标标准</w:t>
      </w:r>
    </w:p>
    <w:p w14:paraId="44E71C1E">
      <w:pPr>
        <w:autoSpaceDE w:val="0"/>
        <w:autoSpaceDN w:val="0"/>
        <w:adjustRightInd w:val="0"/>
        <w:spacing w:line="360" w:lineRule="auto"/>
        <w:ind w:firstLine="482" w:firstLineChars="200"/>
        <w:rPr>
          <w:rFonts w:hint="eastAsia"/>
          <w:b/>
          <w:bCs w:val="0"/>
          <w:sz w:val="24"/>
          <w:lang w:val="en-US" w:eastAsia="zh-CN"/>
        </w:rPr>
      </w:pPr>
      <w:bookmarkStart w:id="0" w:name="第一包评分"/>
      <w:r>
        <w:rPr>
          <w:rFonts w:hint="eastAsia"/>
          <w:b/>
          <w:bCs w:val="0"/>
          <w:sz w:val="24"/>
          <w:lang w:val="en-US" w:eastAsia="zh-CN"/>
        </w:rPr>
        <w:t>第一包</w:t>
      </w:r>
    </w:p>
    <w:bookmarkEnd w:id="0"/>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3CF12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625D95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第一部分 价格（</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0分）</w:t>
            </w:r>
          </w:p>
        </w:tc>
        <w:tc>
          <w:tcPr>
            <w:tcW w:w="1140" w:type="dxa"/>
            <w:shd w:val="clear" w:color="auto" w:fill="auto"/>
            <w:vAlign w:val="center"/>
          </w:tcPr>
          <w:p w14:paraId="1DDAC6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17768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B2859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6FD74B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价格</w:t>
            </w:r>
          </w:p>
        </w:tc>
        <w:tc>
          <w:tcPr>
            <w:tcW w:w="7314" w:type="dxa"/>
            <w:gridSpan w:val="2"/>
            <w:shd w:val="clear" w:color="auto" w:fill="auto"/>
            <w:vAlign w:val="center"/>
          </w:tcPr>
          <w:p w14:paraId="670CC79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（1）报价超过采购预算的，响应无效，未超过采购预算的报价按以下公式进行计算。</w:t>
            </w:r>
          </w:p>
          <w:p w14:paraId="4A1AA4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（2）价格得分=（评标基准价/报价）×</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p w14:paraId="3A7ABA8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注：满足磋商文件要求且报价最低的报价为评标基准价。</w:t>
            </w:r>
          </w:p>
        </w:tc>
        <w:tc>
          <w:tcPr>
            <w:tcW w:w="1140" w:type="dxa"/>
            <w:shd w:val="clear" w:color="auto" w:fill="auto"/>
            <w:vAlign w:val="center"/>
          </w:tcPr>
          <w:p w14:paraId="027AFF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tc>
      </w:tr>
      <w:tr w14:paraId="22E39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793893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第二部分 客观分（</w:t>
            </w:r>
            <w:r>
              <w:rPr>
                <w:rFonts w:hint="eastAsia" w:ascii="Times New Roman" w:hAnsi="Times New Roman" w:eastAsia="宋体" w:cs="Times New Roman"/>
                <w:color w:val="auto"/>
                <w:kern w:val="0"/>
                <w:sz w:val="24"/>
                <w:szCs w:val="24"/>
                <w:highlight w:val="none"/>
                <w:lang w:val="en-US" w:eastAsia="zh-CN"/>
              </w:rPr>
              <w:t>30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4DE7D3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65936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663" w:type="dxa"/>
            <w:shd w:val="clear" w:color="auto" w:fill="auto"/>
            <w:noWrap/>
            <w:vAlign w:val="center"/>
          </w:tcPr>
          <w:p w14:paraId="6D0EF0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4C6653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投标人业绩</w:t>
            </w:r>
          </w:p>
        </w:tc>
        <w:tc>
          <w:tcPr>
            <w:tcW w:w="7314" w:type="dxa"/>
            <w:gridSpan w:val="2"/>
            <w:shd w:val="clear" w:color="auto" w:fill="auto"/>
            <w:vAlign w:val="center"/>
          </w:tcPr>
          <w:p w14:paraId="7465DBF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完全按照以下要求提供投标人曾实施的软件运行维护业绩，提供的证明材料均不得遮挡涂黑，否则不予认定加分。</w:t>
            </w:r>
          </w:p>
          <w:p w14:paraId="64A661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A. 合同原件扫描件。包括买卖双方名称及盖章、服务内容</w:t>
            </w:r>
            <w:r>
              <w:rPr>
                <w:rFonts w:hint="default" w:ascii="Times New Roman" w:hAnsi="Times New Roman" w:eastAsia="宋体" w:cs="Times New Roman"/>
                <w:bCs/>
                <w:color w:val="auto"/>
                <w:sz w:val="24"/>
                <w:szCs w:val="24"/>
                <w:highlight w:val="none"/>
              </w:rPr>
              <w:t>、合同签订日期（应为202</w:t>
            </w:r>
            <w:r>
              <w:rPr>
                <w:rFonts w:hint="default" w:ascii="Times New Roman" w:hAnsi="Times New Roman" w:eastAsia="宋体" w:cs="Times New Roman"/>
                <w:bCs/>
                <w:color w:val="auto"/>
                <w:sz w:val="24"/>
                <w:szCs w:val="24"/>
                <w:highlight w:val="none"/>
                <w:lang w:val="en-US" w:eastAsia="zh-CN"/>
              </w:rPr>
              <w:t>0</w:t>
            </w:r>
            <w:r>
              <w:rPr>
                <w:rFonts w:hint="default" w:ascii="Times New Roman" w:hAnsi="Times New Roman" w:eastAsia="宋体" w:cs="Times New Roman"/>
                <w:bCs/>
                <w:color w:val="auto"/>
                <w:sz w:val="24"/>
                <w:szCs w:val="24"/>
                <w:highlight w:val="none"/>
              </w:rPr>
              <w:t>年1月1日或以后）</w:t>
            </w:r>
            <w:r>
              <w:rPr>
                <w:rFonts w:hint="default" w:ascii="Times New Roman" w:hAnsi="Times New Roman" w:eastAsia="宋体" w:cs="Times New Roman"/>
                <w:color w:val="auto"/>
                <w:kern w:val="0"/>
                <w:sz w:val="24"/>
                <w:szCs w:val="24"/>
                <w:highlight w:val="none"/>
              </w:rPr>
              <w:t>。</w:t>
            </w:r>
          </w:p>
          <w:p w14:paraId="55D1607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B. 上述合同履行良好的相关证明材料原件扫描件（</w:t>
            </w:r>
            <w:r>
              <w:rPr>
                <w:rFonts w:hint="default" w:ascii="Times New Roman" w:hAnsi="Times New Roman" w:eastAsia="宋体" w:cs="Times New Roman"/>
                <w:color w:val="auto"/>
                <w:sz w:val="24"/>
                <w:szCs w:val="24"/>
                <w:highlight w:val="none"/>
              </w:rPr>
              <w:t>加盖上述合同甲方单位公章或上述合同中所盖的甲方印章</w:t>
            </w:r>
            <w:r>
              <w:rPr>
                <w:rFonts w:hint="default" w:ascii="Times New Roman" w:hAnsi="Times New Roman" w:eastAsia="宋体" w:cs="Times New Roman"/>
                <w:color w:val="auto"/>
                <w:kern w:val="0"/>
                <w:sz w:val="24"/>
                <w:szCs w:val="24"/>
                <w:highlight w:val="none"/>
              </w:rPr>
              <w:t>）。</w:t>
            </w:r>
          </w:p>
          <w:p w14:paraId="2A36A34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每个业绩2分，最多</w:t>
            </w:r>
            <w:r>
              <w:rPr>
                <w:rFonts w:hint="default" w:ascii="Times New Roman" w:hAnsi="Times New Roman" w:eastAsia="宋体" w:cs="Times New Roman"/>
                <w:color w:val="auto"/>
                <w:kern w:val="0"/>
                <w:sz w:val="24"/>
                <w:szCs w:val="24"/>
                <w:highlight w:val="none"/>
                <w:lang w:val="en-US" w:eastAsia="zh-CN"/>
              </w:rPr>
              <w:t>10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0AB575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ascii="Times New Roman" w:hAnsi="Times New Roman" w:eastAsia="宋体" w:cs="Times New Roman"/>
                <w:color w:val="auto"/>
                <w:kern w:val="0"/>
                <w:sz w:val="24"/>
                <w:szCs w:val="24"/>
                <w:highlight w:val="none"/>
                <w:lang w:val="en-US" w:eastAsia="zh-CN"/>
              </w:rPr>
              <w:t>10</w:t>
            </w:r>
          </w:p>
        </w:tc>
      </w:tr>
      <w:tr w14:paraId="4861C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8180F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rPr>
              <w:t>2</w:t>
            </w:r>
          </w:p>
        </w:tc>
        <w:tc>
          <w:tcPr>
            <w:tcW w:w="1425" w:type="dxa"/>
            <w:gridSpan w:val="2"/>
            <w:shd w:val="clear" w:color="auto" w:fill="auto"/>
            <w:vAlign w:val="center"/>
          </w:tcPr>
          <w:p w14:paraId="67828F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kern w:val="0"/>
                <w:sz w:val="24"/>
                <w:szCs w:val="24"/>
                <w:highlight w:val="none"/>
              </w:rPr>
              <w:t>投标人相关证书评价</w:t>
            </w:r>
          </w:p>
        </w:tc>
        <w:tc>
          <w:tcPr>
            <w:tcW w:w="7308" w:type="dxa"/>
            <w:shd w:val="clear" w:color="auto" w:fill="auto"/>
            <w:vAlign w:val="center"/>
          </w:tcPr>
          <w:p w14:paraId="531C332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w:t>
            </w:r>
            <w:r>
              <w:rPr>
                <w:rFonts w:hint="eastAsia" w:ascii="Times New Roman" w:hAnsi="Times New Roman" w:cs="Times New Roman"/>
                <w:color w:val="auto"/>
                <w:kern w:val="0"/>
                <w:sz w:val="24"/>
                <w:szCs w:val="24"/>
                <w:highlight w:val="none"/>
                <w:lang w:val="en-US" w:eastAsia="zh-CN"/>
              </w:rPr>
              <w:t>具备</w:t>
            </w:r>
            <w:r>
              <w:rPr>
                <w:rFonts w:hint="default" w:ascii="Times New Roman" w:hAnsi="Times New Roman" w:eastAsia="宋体" w:cs="Times New Roman"/>
                <w:color w:val="auto"/>
                <w:kern w:val="0"/>
                <w:sz w:val="24"/>
                <w:szCs w:val="24"/>
                <w:highlight w:val="none"/>
                <w:lang w:val="en-US" w:eastAsia="zh-CN"/>
              </w:rPr>
              <w:t>质量管理体系证书、信息技术服务管理体系认证、隐私信息管理体系认证证书、ITSS信息技术服务标准符合性证书-运行维护，提供证书扫描件，每个合格的证书扫描件得2分，最多</w:t>
            </w:r>
            <w:r>
              <w:rPr>
                <w:rFonts w:hint="default" w:ascii="Times New Roman" w:hAnsi="Times New Roman"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lang w:val="en-US" w:eastAsia="zh-CN"/>
              </w:rPr>
              <w:t>分；</w:t>
            </w:r>
          </w:p>
        </w:tc>
        <w:tc>
          <w:tcPr>
            <w:tcW w:w="1140" w:type="dxa"/>
            <w:shd w:val="clear" w:color="auto" w:fill="auto"/>
            <w:vAlign w:val="center"/>
          </w:tcPr>
          <w:p w14:paraId="2BE3F3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cs="Times New Roman"/>
                <w:color w:val="auto"/>
                <w:kern w:val="0"/>
                <w:sz w:val="24"/>
                <w:szCs w:val="24"/>
                <w:highlight w:val="none"/>
                <w:lang w:val="en-US" w:eastAsia="zh-CN"/>
              </w:rPr>
              <w:t>4</w:t>
            </w:r>
          </w:p>
        </w:tc>
      </w:tr>
      <w:tr w14:paraId="6AC00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0B7EF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lang w:val="en-US" w:eastAsia="zh-CN"/>
              </w:rPr>
              <w:t>3</w:t>
            </w:r>
          </w:p>
        </w:tc>
        <w:tc>
          <w:tcPr>
            <w:tcW w:w="1425" w:type="dxa"/>
            <w:gridSpan w:val="2"/>
            <w:shd w:val="clear" w:color="auto" w:fill="auto"/>
            <w:vAlign w:val="center"/>
          </w:tcPr>
          <w:p w14:paraId="5EC1A2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投入人员评价</w:t>
            </w:r>
          </w:p>
        </w:tc>
        <w:tc>
          <w:tcPr>
            <w:tcW w:w="7308" w:type="dxa"/>
            <w:shd w:val="clear" w:color="auto" w:fill="auto"/>
            <w:vAlign w:val="center"/>
          </w:tcPr>
          <w:p w14:paraId="0EE5442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投入的人员为投标单位正式员工，提供姓名、递交响应文件</w:t>
            </w:r>
            <w:r>
              <w:rPr>
                <w:rFonts w:hint="default" w:ascii="Times New Roman" w:hAnsi="Times New Roman" w:eastAsia="宋体" w:cs="Times New Roman"/>
                <w:color w:val="auto"/>
                <w:sz w:val="24"/>
                <w:szCs w:val="24"/>
                <w:highlight w:val="none"/>
              </w:rPr>
              <w:t>截止</w:t>
            </w:r>
            <w:r>
              <w:rPr>
                <w:rFonts w:hint="default" w:ascii="Times New Roman" w:hAnsi="Times New Roman" w:eastAsia="宋体" w:cs="Times New Roman"/>
                <w:color w:val="auto"/>
                <w:kern w:val="0"/>
                <w:sz w:val="24"/>
                <w:szCs w:val="24"/>
                <w:highlight w:val="none"/>
              </w:rPr>
              <w:t>日前三个月中任意一个月的由投标单位为投入人员缴纳社会保险证明扫描件，否则不予认定加分。</w:t>
            </w:r>
          </w:p>
          <w:p w14:paraId="36F58B8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（1）项目人员具备</w:t>
            </w:r>
            <w:r>
              <w:rPr>
                <w:rFonts w:hint="default" w:ascii="Times New Roman" w:hAnsi="Times New Roman" w:cs="Times New Roman"/>
                <w:color w:val="auto"/>
                <w:sz w:val="24"/>
                <w:szCs w:val="21"/>
                <w:highlight w:val="none"/>
              </w:rPr>
              <w:t>计算机技术与软件专业技术资格证书（信息系统项目管理师）、计算机技术与软件专业技术资格证书（网络工程师）</w:t>
            </w:r>
            <w:r>
              <w:rPr>
                <w:rFonts w:hint="default" w:ascii="Times New Roman" w:hAnsi="Times New Roman" w:eastAsia="宋体" w:cs="Times New Roman"/>
                <w:color w:val="auto"/>
                <w:kern w:val="0"/>
                <w:sz w:val="24"/>
                <w:szCs w:val="24"/>
                <w:highlight w:val="none"/>
              </w:rPr>
              <w:t>，提供以上证书扫描件，每个</w:t>
            </w:r>
            <w:r>
              <w:rPr>
                <w:rFonts w:hint="default" w:ascii="Times New Roman" w:hAnsi="Times New Roman" w:eastAsia="宋体" w:cs="Times New Roman"/>
                <w:color w:val="auto"/>
                <w:kern w:val="0"/>
                <w:sz w:val="24"/>
                <w:szCs w:val="24"/>
                <w:highlight w:val="none"/>
                <w:lang w:val="en-US" w:eastAsia="zh-CN"/>
              </w:rPr>
              <w:t>提供上述</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的项目经理得2</w:t>
            </w:r>
            <w:r>
              <w:rPr>
                <w:rFonts w:hint="default" w:ascii="Times New Roman" w:hAnsi="Times New Roman" w:eastAsia="宋体" w:cs="Times New Roman"/>
                <w:color w:val="auto"/>
                <w:kern w:val="0"/>
                <w:sz w:val="24"/>
                <w:szCs w:val="24"/>
                <w:highlight w:val="none"/>
              </w:rPr>
              <w:t>分，最多</w:t>
            </w:r>
            <w:r>
              <w:rPr>
                <w:rFonts w:hint="default" w:ascii="Times New Roman" w:hAnsi="Times New Roman" w:eastAsia="宋体"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00780C3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default" w:ascii="Times New Roman" w:hAnsi="Times New Roman"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）项目人员具备</w:t>
            </w:r>
            <w:r>
              <w:rPr>
                <w:rFonts w:hint="default" w:ascii="Times New Roman" w:hAnsi="Times New Roman" w:cs="Times New Roman"/>
                <w:color w:val="auto"/>
                <w:sz w:val="24"/>
                <w:szCs w:val="21"/>
                <w:highlight w:val="none"/>
              </w:rPr>
              <w:t>计算机技术与软件专业技术资格证书（信息系统项目管理师）、计算机技术与软件专业技术资格证书（网络工程师）</w:t>
            </w:r>
            <w:r>
              <w:rPr>
                <w:rFonts w:hint="default" w:ascii="Times New Roman" w:hAnsi="Times New Roman" w:eastAsia="宋体" w:cs="Times New Roman"/>
                <w:color w:val="auto"/>
                <w:kern w:val="0"/>
                <w:sz w:val="24"/>
                <w:szCs w:val="24"/>
                <w:highlight w:val="none"/>
              </w:rPr>
              <w:t>，提供以上证书扫描件，每个</w:t>
            </w:r>
            <w:r>
              <w:rPr>
                <w:rFonts w:hint="default" w:ascii="Times New Roman" w:hAnsi="Times New Roman" w:eastAsia="宋体" w:cs="Times New Roman"/>
                <w:color w:val="auto"/>
                <w:kern w:val="0"/>
                <w:sz w:val="24"/>
                <w:szCs w:val="24"/>
                <w:highlight w:val="none"/>
                <w:lang w:val="en-US" w:eastAsia="zh-CN"/>
              </w:rPr>
              <w:t>提供上述</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的项目经理得</w:t>
            </w:r>
            <w:r>
              <w:rPr>
                <w:rFonts w:hint="default" w:ascii="Times New Roman" w:hAnsi="Times New Roman"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default" w:ascii="Times New Roman" w:hAnsi="Times New Roman"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6EA4CF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6</w:t>
            </w:r>
          </w:p>
        </w:tc>
      </w:tr>
      <w:tr w14:paraId="27674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C5959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lang w:val="en-US" w:eastAsia="zh-CN"/>
              </w:rPr>
              <w:t>4</w:t>
            </w:r>
          </w:p>
        </w:tc>
        <w:tc>
          <w:tcPr>
            <w:tcW w:w="1425" w:type="dxa"/>
            <w:gridSpan w:val="2"/>
            <w:shd w:val="clear" w:color="auto" w:fill="auto"/>
            <w:vAlign w:val="center"/>
          </w:tcPr>
          <w:p w14:paraId="79F8BF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投标人承诺评价</w:t>
            </w:r>
          </w:p>
        </w:tc>
        <w:tc>
          <w:tcPr>
            <w:tcW w:w="7308" w:type="dxa"/>
            <w:shd w:val="clear" w:color="auto" w:fill="auto"/>
            <w:vAlign w:val="center"/>
          </w:tcPr>
          <w:p w14:paraId="1D2B675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承诺完全满足磋商文件“报价要求”、“时间地点要求”、“付款方式要求”和技术要求中非“★”号要求的：</w:t>
            </w:r>
            <w:r>
              <w:rPr>
                <w:rFonts w:hint="eastAsia" w:ascii="Times New Roman" w:hAnsi="Times New Roman" w:eastAsia="宋体" w:cs="Times New Roman"/>
                <w:color w:val="auto"/>
                <w:kern w:val="0"/>
                <w:sz w:val="24"/>
                <w:szCs w:val="24"/>
                <w:highlight w:val="none"/>
                <w:lang w:val="en-US" w:eastAsia="zh-CN"/>
              </w:rPr>
              <w:t>10</w:t>
            </w:r>
            <w:r>
              <w:rPr>
                <w:rFonts w:hint="default" w:ascii="Times New Roman" w:hAnsi="Times New Roman" w:eastAsia="宋体" w:cs="Times New Roman"/>
                <w:color w:val="auto"/>
                <w:kern w:val="0"/>
                <w:sz w:val="24"/>
                <w:szCs w:val="24"/>
                <w:highlight w:val="none"/>
              </w:rPr>
              <w:t>分，其他0分。</w:t>
            </w:r>
          </w:p>
        </w:tc>
        <w:tc>
          <w:tcPr>
            <w:tcW w:w="1140" w:type="dxa"/>
            <w:shd w:val="clear" w:color="auto" w:fill="auto"/>
            <w:vAlign w:val="center"/>
          </w:tcPr>
          <w:p w14:paraId="5A9430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ascii="Times New Roman" w:hAnsi="Times New Roman" w:eastAsia="宋体" w:cs="Times New Roman"/>
                <w:color w:val="auto"/>
                <w:kern w:val="0"/>
                <w:sz w:val="24"/>
                <w:szCs w:val="24"/>
                <w:highlight w:val="none"/>
                <w:lang w:val="en-US" w:eastAsia="zh-CN"/>
              </w:rPr>
              <w:t>10</w:t>
            </w:r>
          </w:p>
        </w:tc>
      </w:tr>
      <w:tr w14:paraId="07A2D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7E759C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第三部分 主观分（</w:t>
            </w:r>
            <w:r>
              <w:rPr>
                <w:rFonts w:hint="eastAsia" w:ascii="Times New Roman" w:hAnsi="Times New Roman" w:eastAsia="宋体" w:cs="Times New Roman"/>
                <w:color w:val="auto"/>
                <w:kern w:val="0"/>
                <w:sz w:val="24"/>
                <w:szCs w:val="24"/>
                <w:highlight w:val="none"/>
                <w:lang w:val="en-US" w:eastAsia="zh-CN"/>
              </w:rPr>
              <w:t>60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733D80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0624C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FC26D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316224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项目需求理解分析评价</w:t>
            </w:r>
          </w:p>
        </w:tc>
        <w:tc>
          <w:tcPr>
            <w:tcW w:w="7314" w:type="dxa"/>
            <w:gridSpan w:val="2"/>
            <w:shd w:val="clear" w:color="auto" w:fill="auto"/>
            <w:vAlign w:val="center"/>
          </w:tcPr>
          <w:p w14:paraId="5C55B964">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至少包含系统现状、任务目标、</w:t>
            </w:r>
            <w:r>
              <w:rPr>
                <w:rFonts w:hint="eastAsia" w:cs="宋体"/>
                <w:color w:val="auto"/>
                <w:sz w:val="24"/>
                <w:szCs w:val="24"/>
                <w:highlight w:val="none"/>
                <w:lang w:val="zh-CN"/>
              </w:rPr>
              <w:t>实施要求等方面内容</w:t>
            </w:r>
          </w:p>
          <w:p w14:paraId="27D1CE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7E31B0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0A4AC5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F87A2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003246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633A08E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12A0F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12</w:t>
            </w:r>
          </w:p>
        </w:tc>
      </w:tr>
      <w:tr w14:paraId="0108F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C0C0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6C2C2E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zh-CN"/>
              </w:rPr>
            </w:pPr>
            <w:r>
              <w:rPr>
                <w:rFonts w:hint="eastAsia" w:cs="宋体"/>
                <w:color w:val="auto"/>
                <w:sz w:val="24"/>
                <w:szCs w:val="24"/>
                <w:highlight w:val="none"/>
                <w:lang w:val="zh-CN"/>
              </w:rPr>
              <w:t>项目服务人员评价</w:t>
            </w:r>
          </w:p>
        </w:tc>
        <w:tc>
          <w:tcPr>
            <w:tcW w:w="7314" w:type="dxa"/>
            <w:gridSpan w:val="2"/>
            <w:shd w:val="clear" w:color="auto" w:fill="auto"/>
            <w:vAlign w:val="center"/>
          </w:tcPr>
          <w:p w14:paraId="3951A3CE">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至少包含人员分工、岗位职责、人员工作经验及技术实力、人员稳定性保障措施等方面内容</w:t>
            </w:r>
          </w:p>
          <w:p w14:paraId="297728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62AEF8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542CC6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627137B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171969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0DDF97B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B848A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12</w:t>
            </w:r>
          </w:p>
        </w:tc>
      </w:tr>
      <w:tr w14:paraId="03E24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A15BD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07E528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zh-CN"/>
              </w:rPr>
            </w:pPr>
            <w:r>
              <w:rPr>
                <w:rFonts w:hint="eastAsia" w:cs="宋体"/>
                <w:color w:val="auto"/>
                <w:sz w:val="24"/>
                <w:szCs w:val="24"/>
                <w:highlight w:val="none"/>
                <w:lang w:val="zh-CN"/>
              </w:rPr>
              <w:t>整体运行维护方案评价</w:t>
            </w:r>
          </w:p>
        </w:tc>
        <w:tc>
          <w:tcPr>
            <w:tcW w:w="7314" w:type="dxa"/>
            <w:gridSpan w:val="2"/>
            <w:shd w:val="clear" w:color="auto" w:fill="auto"/>
            <w:vAlign w:val="center"/>
          </w:tcPr>
          <w:p w14:paraId="5D9658FC">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至少包含针对本项目系统的运维计划、实施方案等方面内容</w:t>
            </w:r>
          </w:p>
          <w:p w14:paraId="01597F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3F7F45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1527E7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05AC35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43285A2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00373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9</w:t>
            </w:r>
          </w:p>
        </w:tc>
      </w:tr>
      <w:tr w14:paraId="7019B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B69FB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79964E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宋体"/>
                <w:color w:val="auto"/>
                <w:sz w:val="24"/>
                <w:szCs w:val="24"/>
                <w:highlight w:val="none"/>
                <w:lang w:val="zh-CN"/>
              </w:rPr>
              <w:t>定期预防性检查方案</w:t>
            </w:r>
          </w:p>
        </w:tc>
        <w:tc>
          <w:tcPr>
            <w:tcW w:w="7314" w:type="dxa"/>
            <w:gridSpan w:val="2"/>
            <w:shd w:val="clear" w:color="auto" w:fill="auto"/>
            <w:vAlign w:val="center"/>
          </w:tcPr>
          <w:p w14:paraId="5F0B3CA3">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至少包含预防性检查频率、检查内容、发现问题后的解决方案等方面内容</w:t>
            </w:r>
          </w:p>
          <w:p w14:paraId="3E10EE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4B39AC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103CDB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3CFF62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6FD2A0B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37F8B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9</w:t>
            </w:r>
          </w:p>
        </w:tc>
      </w:tr>
      <w:tr w14:paraId="3E6A9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AF42C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16762D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宋体"/>
                <w:color w:val="auto"/>
                <w:sz w:val="24"/>
                <w:szCs w:val="24"/>
                <w:highlight w:val="none"/>
                <w:lang w:val="zh-CN"/>
              </w:rPr>
              <w:t>故障管理处理方案</w:t>
            </w:r>
          </w:p>
        </w:tc>
        <w:tc>
          <w:tcPr>
            <w:tcW w:w="7314" w:type="dxa"/>
            <w:gridSpan w:val="2"/>
            <w:shd w:val="clear" w:color="auto" w:fill="auto"/>
            <w:vAlign w:val="center"/>
          </w:tcPr>
          <w:p w14:paraId="498934DE">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至少包含响应时间、故障处理方案、防止再发方案等方面内容</w:t>
            </w:r>
          </w:p>
          <w:p w14:paraId="28BD75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2795A4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04D999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7CB28C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2B85055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81C75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9</w:t>
            </w:r>
          </w:p>
        </w:tc>
      </w:tr>
      <w:tr w14:paraId="2AF17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26C46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4F1266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宋体"/>
                <w:color w:val="auto"/>
                <w:sz w:val="24"/>
                <w:szCs w:val="24"/>
                <w:highlight w:val="none"/>
                <w:lang w:val="zh-CN"/>
              </w:rPr>
              <w:t>突发事件管理方案</w:t>
            </w:r>
          </w:p>
        </w:tc>
        <w:tc>
          <w:tcPr>
            <w:tcW w:w="7314" w:type="dxa"/>
            <w:gridSpan w:val="2"/>
            <w:shd w:val="clear" w:color="auto" w:fill="auto"/>
            <w:vAlign w:val="center"/>
          </w:tcPr>
          <w:p w14:paraId="454F748E">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至少包含针对恶意攻击、访问量激增等处理方案</w:t>
            </w:r>
          </w:p>
          <w:p w14:paraId="1ABDC8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427960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3C197D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69DD63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7BEC775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81417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highlight w:val="none"/>
              </w:rPr>
            </w:pPr>
          </w:p>
          <w:p w14:paraId="0CA319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9</w:t>
            </w:r>
          </w:p>
        </w:tc>
      </w:tr>
      <w:tr w14:paraId="2019C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715748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合计</w:t>
            </w:r>
          </w:p>
        </w:tc>
        <w:tc>
          <w:tcPr>
            <w:tcW w:w="1140" w:type="dxa"/>
            <w:shd w:val="clear" w:color="auto" w:fill="auto"/>
            <w:vAlign w:val="center"/>
          </w:tcPr>
          <w:p w14:paraId="413B6B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100</w:t>
            </w:r>
          </w:p>
        </w:tc>
      </w:tr>
    </w:tbl>
    <w:p w14:paraId="7F4EADF9">
      <w:pPr>
        <w:autoSpaceDE w:val="0"/>
        <w:autoSpaceDN w:val="0"/>
        <w:adjustRightInd w:val="0"/>
        <w:spacing w:line="360" w:lineRule="auto"/>
        <w:ind w:firstLine="482" w:firstLineChars="200"/>
        <w:rPr>
          <w:rFonts w:hint="eastAsia"/>
          <w:b/>
          <w:bCs w:val="0"/>
          <w:color w:val="auto"/>
          <w:sz w:val="24"/>
          <w:highlight w:val="none"/>
          <w:lang w:val="en-US" w:eastAsia="zh-CN"/>
        </w:rPr>
      </w:pPr>
      <w:bookmarkStart w:id="1" w:name="第二包评分"/>
      <w:r>
        <w:rPr>
          <w:rFonts w:hint="eastAsia"/>
          <w:b/>
          <w:bCs w:val="0"/>
          <w:color w:val="auto"/>
          <w:sz w:val="24"/>
          <w:highlight w:val="none"/>
          <w:lang w:val="en-US" w:eastAsia="zh-CN"/>
        </w:rPr>
        <w:t>第二包</w:t>
      </w:r>
    </w:p>
    <w:bookmarkEnd w:id="1"/>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47BAE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151D60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第一部分 价格（</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0分）</w:t>
            </w:r>
          </w:p>
        </w:tc>
        <w:tc>
          <w:tcPr>
            <w:tcW w:w="1140" w:type="dxa"/>
            <w:shd w:val="clear" w:color="auto" w:fill="auto"/>
            <w:vAlign w:val="center"/>
          </w:tcPr>
          <w:p w14:paraId="39D9AE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6B36A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5CC37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33A859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价格</w:t>
            </w:r>
          </w:p>
        </w:tc>
        <w:tc>
          <w:tcPr>
            <w:tcW w:w="7314" w:type="dxa"/>
            <w:gridSpan w:val="2"/>
            <w:shd w:val="clear" w:color="auto" w:fill="auto"/>
            <w:vAlign w:val="center"/>
          </w:tcPr>
          <w:p w14:paraId="57CF788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（1）报价超过采购预算的，响应无效，未超过采购预算的报价按以下公式进行计算。</w:t>
            </w:r>
          </w:p>
          <w:p w14:paraId="40612A6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（2）价格得分=（评标基准价/报价）×</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p w14:paraId="6A15798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注：满足磋商文件要求且报价最低的报价为评标基准价。</w:t>
            </w:r>
          </w:p>
        </w:tc>
        <w:tc>
          <w:tcPr>
            <w:tcW w:w="1140" w:type="dxa"/>
            <w:shd w:val="clear" w:color="auto" w:fill="auto"/>
            <w:vAlign w:val="center"/>
          </w:tcPr>
          <w:p w14:paraId="5B3EE3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tc>
      </w:tr>
      <w:tr w14:paraId="7D13C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7E9517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第二部分 客观分（</w:t>
            </w:r>
            <w:r>
              <w:rPr>
                <w:rFonts w:hint="eastAsia" w:ascii="Times New Roman" w:hAnsi="Times New Roman" w:eastAsia="宋体" w:cs="Times New Roman"/>
                <w:color w:val="auto"/>
                <w:kern w:val="0"/>
                <w:sz w:val="24"/>
                <w:szCs w:val="24"/>
                <w:highlight w:val="none"/>
                <w:lang w:val="en-US" w:eastAsia="zh-CN"/>
              </w:rPr>
              <w:t>30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7BC3F0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4B443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663" w:type="dxa"/>
            <w:shd w:val="clear" w:color="auto" w:fill="auto"/>
            <w:noWrap/>
            <w:vAlign w:val="center"/>
          </w:tcPr>
          <w:p w14:paraId="6D7B82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718B5C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投标人业绩</w:t>
            </w:r>
          </w:p>
        </w:tc>
        <w:tc>
          <w:tcPr>
            <w:tcW w:w="7314" w:type="dxa"/>
            <w:gridSpan w:val="2"/>
            <w:shd w:val="clear" w:color="auto" w:fill="auto"/>
            <w:vAlign w:val="center"/>
          </w:tcPr>
          <w:p w14:paraId="7CBBA16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完全按照以下要求提供投标人曾实施的公共服务系统相关的软件开发或运维业绩，提供的证明材料均不得遮挡涂黑，否则不予认定加分。</w:t>
            </w:r>
          </w:p>
          <w:p w14:paraId="66A1564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A. 合同原件扫描件。包括买卖双方名称及盖章、服务内容</w:t>
            </w:r>
            <w:r>
              <w:rPr>
                <w:rFonts w:hint="default" w:ascii="Times New Roman" w:hAnsi="Times New Roman" w:eastAsia="宋体" w:cs="Times New Roman"/>
                <w:bCs/>
                <w:color w:val="auto"/>
                <w:sz w:val="24"/>
                <w:szCs w:val="24"/>
                <w:highlight w:val="none"/>
              </w:rPr>
              <w:t>、合同签订日期（应为202</w:t>
            </w:r>
            <w:r>
              <w:rPr>
                <w:rFonts w:hint="eastAsia" w:cs="Times New Roman"/>
                <w:bCs/>
                <w:color w:val="auto"/>
                <w:sz w:val="24"/>
                <w:szCs w:val="24"/>
                <w:highlight w:val="none"/>
                <w:lang w:val="en-US" w:eastAsia="zh-CN"/>
              </w:rPr>
              <w:t>1</w:t>
            </w:r>
            <w:r>
              <w:rPr>
                <w:rFonts w:hint="default" w:ascii="Times New Roman" w:hAnsi="Times New Roman" w:eastAsia="宋体" w:cs="Times New Roman"/>
                <w:bCs/>
                <w:color w:val="auto"/>
                <w:sz w:val="24"/>
                <w:szCs w:val="24"/>
                <w:highlight w:val="none"/>
              </w:rPr>
              <w:t>年1月1日或以后）</w:t>
            </w:r>
            <w:r>
              <w:rPr>
                <w:rFonts w:hint="default" w:ascii="Times New Roman" w:hAnsi="Times New Roman" w:eastAsia="宋体" w:cs="Times New Roman"/>
                <w:color w:val="auto"/>
                <w:kern w:val="0"/>
                <w:sz w:val="24"/>
                <w:szCs w:val="24"/>
                <w:highlight w:val="none"/>
              </w:rPr>
              <w:t>。</w:t>
            </w:r>
          </w:p>
          <w:p w14:paraId="3DA115E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B. 上述合同履行良好的相关证明材料原件扫描件（</w:t>
            </w:r>
            <w:r>
              <w:rPr>
                <w:rFonts w:hint="default" w:ascii="Times New Roman" w:hAnsi="Times New Roman" w:eastAsia="宋体" w:cs="Times New Roman"/>
                <w:color w:val="auto"/>
                <w:sz w:val="24"/>
                <w:szCs w:val="24"/>
                <w:highlight w:val="none"/>
              </w:rPr>
              <w:t>加盖上述合同甲方单位公章或上述合同中所盖的甲方印章</w:t>
            </w:r>
            <w:r>
              <w:rPr>
                <w:rFonts w:hint="default" w:ascii="Times New Roman" w:hAnsi="Times New Roman" w:eastAsia="宋体" w:cs="Times New Roman"/>
                <w:color w:val="auto"/>
                <w:kern w:val="0"/>
                <w:sz w:val="24"/>
                <w:szCs w:val="24"/>
                <w:highlight w:val="none"/>
              </w:rPr>
              <w:t>）。</w:t>
            </w:r>
          </w:p>
          <w:p w14:paraId="147EB72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每个业绩2分，最多</w:t>
            </w:r>
            <w:r>
              <w:rPr>
                <w:rFonts w:hint="default" w:ascii="Times New Roman" w:hAnsi="Times New Roman" w:eastAsia="宋体" w:cs="Times New Roman"/>
                <w:color w:val="auto"/>
                <w:kern w:val="0"/>
                <w:sz w:val="24"/>
                <w:szCs w:val="24"/>
                <w:highlight w:val="none"/>
                <w:lang w:val="en-US" w:eastAsia="zh-CN"/>
              </w:rPr>
              <w:t>10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2309AE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ascii="Times New Roman" w:hAnsi="Times New Roman" w:eastAsia="宋体" w:cs="Times New Roman"/>
                <w:color w:val="auto"/>
                <w:kern w:val="0"/>
                <w:sz w:val="24"/>
                <w:szCs w:val="24"/>
                <w:highlight w:val="none"/>
                <w:lang w:val="en-US" w:eastAsia="zh-CN"/>
              </w:rPr>
              <w:t>10</w:t>
            </w:r>
          </w:p>
        </w:tc>
      </w:tr>
      <w:tr w14:paraId="6F0C3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7FFC7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rPr>
              <w:t>2</w:t>
            </w:r>
          </w:p>
        </w:tc>
        <w:tc>
          <w:tcPr>
            <w:tcW w:w="1425" w:type="dxa"/>
            <w:gridSpan w:val="2"/>
            <w:shd w:val="clear" w:color="auto" w:fill="auto"/>
            <w:vAlign w:val="center"/>
          </w:tcPr>
          <w:p w14:paraId="56DB16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kern w:val="0"/>
                <w:sz w:val="24"/>
                <w:szCs w:val="24"/>
                <w:highlight w:val="none"/>
              </w:rPr>
              <w:t>投标人相关证书评价</w:t>
            </w:r>
          </w:p>
        </w:tc>
        <w:tc>
          <w:tcPr>
            <w:tcW w:w="7308" w:type="dxa"/>
            <w:shd w:val="clear" w:color="auto" w:fill="auto"/>
            <w:vAlign w:val="center"/>
          </w:tcPr>
          <w:p w14:paraId="65C077B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w:t>
            </w:r>
            <w:r>
              <w:rPr>
                <w:rFonts w:hint="eastAsia" w:cs="Times New Roman"/>
                <w:color w:val="auto"/>
                <w:kern w:val="0"/>
                <w:sz w:val="24"/>
                <w:szCs w:val="24"/>
                <w:highlight w:val="none"/>
                <w:lang w:val="en-US" w:eastAsia="zh-CN"/>
              </w:rPr>
              <w:t>具备</w:t>
            </w:r>
            <w:r>
              <w:rPr>
                <w:rFonts w:hint="default" w:ascii="Times New Roman" w:hAnsi="Times New Roman" w:eastAsia="宋体" w:cs="Times New Roman"/>
                <w:color w:val="auto"/>
                <w:kern w:val="0"/>
                <w:sz w:val="24"/>
                <w:szCs w:val="24"/>
                <w:highlight w:val="none"/>
                <w:lang w:val="en-US" w:eastAsia="zh-CN"/>
              </w:rPr>
              <w:t>质量管理体系证书、信息技术服务管理体系认证、中国网络安全审查认证和市场监管大数据中心（或中国网络安全审查技术与认证中心）颁发的信息安全服务资质认证--软件安全开发证书、信息系统安全运维证书、ITSS信息技术服务标准符合性证书</w:t>
            </w:r>
            <w:r>
              <w:rPr>
                <w:rFonts w:hint="eastAsia" w:cs="Times New Roman"/>
                <w:color w:val="auto"/>
                <w:kern w:val="0"/>
                <w:sz w:val="24"/>
                <w:szCs w:val="24"/>
                <w:highlight w:val="none"/>
                <w:lang w:val="en-US" w:eastAsia="zh-CN"/>
              </w:rPr>
              <w:t>、信息系统建设和服务能力CS2级或以上</w:t>
            </w:r>
            <w:r>
              <w:rPr>
                <w:rFonts w:hint="default" w:ascii="Times New Roman" w:hAnsi="Times New Roman" w:eastAsia="宋体" w:cs="Times New Roman"/>
                <w:color w:val="auto"/>
                <w:kern w:val="0"/>
                <w:sz w:val="24"/>
                <w:szCs w:val="24"/>
                <w:highlight w:val="none"/>
                <w:lang w:val="en-US" w:eastAsia="zh-CN"/>
              </w:rPr>
              <w:t>，提供证书扫描件，每个合格的证书扫描件得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lang w:val="en-US" w:eastAsia="zh-CN"/>
              </w:rPr>
              <w:t>分，最多</w:t>
            </w:r>
            <w:r>
              <w:rPr>
                <w:rFonts w:hint="eastAsia"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lang w:val="en-US" w:eastAsia="zh-CN"/>
              </w:rPr>
              <w:t>分；</w:t>
            </w:r>
          </w:p>
        </w:tc>
        <w:tc>
          <w:tcPr>
            <w:tcW w:w="1140" w:type="dxa"/>
            <w:shd w:val="clear" w:color="auto" w:fill="auto"/>
            <w:vAlign w:val="center"/>
          </w:tcPr>
          <w:p w14:paraId="2A8ED7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6</w:t>
            </w:r>
          </w:p>
        </w:tc>
      </w:tr>
      <w:tr w14:paraId="30486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199A5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3</w:t>
            </w:r>
          </w:p>
        </w:tc>
        <w:tc>
          <w:tcPr>
            <w:tcW w:w="1425" w:type="dxa"/>
            <w:gridSpan w:val="2"/>
            <w:shd w:val="clear" w:color="auto" w:fill="auto"/>
            <w:vAlign w:val="center"/>
          </w:tcPr>
          <w:p w14:paraId="75779A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投入人员评价</w:t>
            </w:r>
          </w:p>
        </w:tc>
        <w:tc>
          <w:tcPr>
            <w:tcW w:w="7308" w:type="dxa"/>
            <w:shd w:val="clear" w:color="auto" w:fill="auto"/>
            <w:vAlign w:val="center"/>
          </w:tcPr>
          <w:p w14:paraId="75192C2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投入的人员为投标单位正式员工，提供姓名、递交响应文件</w:t>
            </w:r>
            <w:r>
              <w:rPr>
                <w:rFonts w:hint="default" w:ascii="Times New Roman" w:hAnsi="Times New Roman" w:eastAsia="宋体" w:cs="Times New Roman"/>
                <w:color w:val="auto"/>
                <w:sz w:val="24"/>
                <w:szCs w:val="24"/>
                <w:highlight w:val="none"/>
              </w:rPr>
              <w:t>截止</w:t>
            </w:r>
            <w:r>
              <w:rPr>
                <w:rFonts w:hint="default" w:ascii="Times New Roman" w:hAnsi="Times New Roman" w:eastAsia="宋体" w:cs="Times New Roman"/>
                <w:color w:val="auto"/>
                <w:kern w:val="0"/>
                <w:sz w:val="24"/>
                <w:szCs w:val="24"/>
                <w:highlight w:val="none"/>
              </w:rPr>
              <w:t>日前三个月中任意一个月的由投标单位为投入人员缴纳社会保险证明扫描件，否则不予认定加分。</w:t>
            </w:r>
          </w:p>
          <w:p w14:paraId="731EBBC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r>
              <w:rPr>
                <w:rFonts w:hint="eastAsia" w:ascii="宋体" w:hAnsi="宋体" w:eastAsia="宋体" w:cs="宋体"/>
                <w:b w:val="0"/>
                <w:bCs w:val="0"/>
                <w:color w:val="auto"/>
                <w:kern w:val="0"/>
                <w:sz w:val="24"/>
                <w:szCs w:val="24"/>
                <w:highlight w:val="none"/>
                <w:lang w:val="en-US" w:eastAsia="zh-CN" w:bidi="ar"/>
              </w:rPr>
              <w:t>项目负责人</w:t>
            </w:r>
            <w:r>
              <w:rPr>
                <w:rFonts w:hint="default" w:ascii="Times New Roman" w:hAnsi="Times New Roman" w:eastAsia="宋体" w:cs="Times New Roman"/>
                <w:color w:val="auto"/>
                <w:kern w:val="0"/>
                <w:sz w:val="24"/>
                <w:szCs w:val="24"/>
                <w:highlight w:val="none"/>
              </w:rPr>
              <w:t>具备</w:t>
            </w:r>
            <w:r>
              <w:rPr>
                <w:rFonts w:hint="eastAsia"/>
                <w:color w:val="auto"/>
                <w:sz w:val="24"/>
                <w:szCs w:val="21"/>
                <w:highlight w:val="none"/>
              </w:rPr>
              <w:t>计算机技术与软件专业技术资格证书（信息系统项目管理师）</w:t>
            </w:r>
            <w:r>
              <w:rPr>
                <w:rFonts w:hint="default" w:ascii="Times New Roman" w:hAnsi="Times New Roman" w:cs="Times New Roman"/>
                <w:color w:val="auto"/>
                <w:sz w:val="24"/>
                <w:szCs w:val="21"/>
                <w:highlight w:val="none"/>
              </w:rPr>
              <w:t>、</w:t>
            </w:r>
            <w:r>
              <w:rPr>
                <w:rFonts w:hint="eastAsia"/>
                <w:color w:val="auto"/>
                <w:sz w:val="24"/>
                <w:szCs w:val="21"/>
                <w:highlight w:val="none"/>
              </w:rPr>
              <w:t>计算机技术与软件专业技术资格证书（</w:t>
            </w:r>
            <w:r>
              <w:rPr>
                <w:rFonts w:hint="eastAsia" w:ascii="宋体" w:hAnsi="宋体" w:eastAsia="宋体" w:cs="宋体"/>
                <w:b w:val="0"/>
                <w:bCs w:val="0"/>
                <w:color w:val="auto"/>
                <w:kern w:val="0"/>
                <w:sz w:val="24"/>
                <w:szCs w:val="24"/>
                <w:highlight w:val="none"/>
                <w:lang w:bidi="ar"/>
              </w:rPr>
              <w:t>系统分析师</w:t>
            </w:r>
            <w:r>
              <w:rPr>
                <w:rFonts w:hint="eastAsia"/>
                <w:color w:val="auto"/>
                <w:sz w:val="24"/>
                <w:szCs w:val="21"/>
                <w:highlight w:val="none"/>
              </w:rPr>
              <w:t>）</w:t>
            </w:r>
            <w:r>
              <w:rPr>
                <w:rFonts w:hint="eastAsia"/>
                <w:color w:val="auto"/>
                <w:sz w:val="24"/>
                <w:szCs w:val="21"/>
                <w:highlight w:val="none"/>
                <w:lang w:eastAsia="zh-CN"/>
              </w:rPr>
              <w:t>、</w:t>
            </w:r>
            <w:r>
              <w:rPr>
                <w:rFonts w:hint="eastAsia"/>
                <w:color w:val="auto"/>
                <w:sz w:val="24"/>
                <w:szCs w:val="21"/>
                <w:highlight w:val="none"/>
              </w:rPr>
              <w:t>计算机技术与软件专业技术资格证书（</w:t>
            </w:r>
            <w:r>
              <w:rPr>
                <w:rFonts w:hint="eastAsia" w:ascii="宋体" w:hAnsi="宋体" w:eastAsia="宋体" w:cs="宋体"/>
                <w:b w:val="0"/>
                <w:bCs w:val="0"/>
                <w:color w:val="auto"/>
                <w:kern w:val="0"/>
                <w:sz w:val="24"/>
                <w:szCs w:val="24"/>
                <w:highlight w:val="none"/>
                <w:lang w:val="en-US" w:eastAsia="zh-CN" w:bidi="ar"/>
              </w:rPr>
              <w:t>系统规划与管理师</w:t>
            </w:r>
            <w:r>
              <w:rPr>
                <w:rFonts w:hint="eastAsia"/>
                <w:color w:val="auto"/>
                <w:sz w:val="24"/>
                <w:szCs w:val="21"/>
                <w:highlight w:val="none"/>
              </w:rPr>
              <w:t>）</w:t>
            </w:r>
            <w:r>
              <w:rPr>
                <w:rFonts w:hint="eastAsia"/>
                <w:color w:val="auto"/>
                <w:sz w:val="24"/>
                <w:szCs w:val="21"/>
                <w:highlight w:val="none"/>
                <w:lang w:eastAsia="zh-CN"/>
              </w:rPr>
              <w:t>、</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r>
              <w:rPr>
                <w:rFonts w:hint="default" w:ascii="Times New Roman" w:hAnsi="Times New Roman" w:eastAsia="宋体" w:cs="Times New Roman"/>
                <w:color w:val="auto"/>
                <w:kern w:val="0"/>
                <w:sz w:val="24"/>
                <w:szCs w:val="24"/>
                <w:highlight w:val="none"/>
              </w:rPr>
              <w:t>，提供以上证书扫描件，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p w14:paraId="453ECA7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w:t>
            </w:r>
            <w:r>
              <w:rPr>
                <w:rFonts w:hint="default" w:ascii="Times New Roman" w:hAnsi="Times New Roman"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w:t>
            </w:r>
            <w:r>
              <w:rPr>
                <w:rFonts w:hint="eastAsia" w:ascii="宋体" w:hAnsi="宋体" w:eastAsia="宋体" w:cs="宋体"/>
                <w:b w:val="0"/>
                <w:bCs w:val="0"/>
                <w:color w:val="auto"/>
                <w:kern w:val="0"/>
                <w:sz w:val="24"/>
                <w:szCs w:val="24"/>
                <w:highlight w:val="none"/>
                <w:lang w:val="en-US" w:eastAsia="zh-CN" w:bidi="ar"/>
              </w:rPr>
              <w:t>项目负责人</w:t>
            </w:r>
            <w:r>
              <w:rPr>
                <w:rFonts w:hint="eastAsia" w:ascii="宋体" w:hAnsi="宋体" w:eastAsia="宋体" w:cs="宋体"/>
                <w:color w:val="auto"/>
                <w:kern w:val="0"/>
                <w:sz w:val="24"/>
                <w:szCs w:val="24"/>
                <w:highlight w:val="none"/>
              </w:rPr>
              <w:t>具备</w:t>
            </w:r>
            <w:r>
              <w:rPr>
                <w:rFonts w:hint="eastAsia" w:ascii="宋体" w:hAnsi="宋体" w:eastAsia="宋体" w:cs="宋体"/>
                <w:color w:val="auto"/>
                <w:kern w:val="0"/>
                <w:sz w:val="24"/>
                <w:szCs w:val="24"/>
                <w:highlight w:val="none"/>
                <w:lang w:val="en-US" w:eastAsia="zh-CN"/>
              </w:rPr>
              <w:t>5年或以上的政府机关或事业单位软件系统建设经验或公共服务领域信息化相关经验</w:t>
            </w:r>
            <w:r>
              <w:rPr>
                <w:rFonts w:hint="eastAsia" w:ascii="宋体" w:hAnsi="宋体" w:eastAsia="宋体" w:cs="宋体"/>
                <w:color w:val="auto"/>
                <w:kern w:val="0"/>
                <w:sz w:val="24"/>
                <w:szCs w:val="24"/>
                <w:highlight w:val="none"/>
              </w:rPr>
              <w:t>，提供以上人员工作简历每个满足以上要求的人员得</w:t>
            </w:r>
            <w:r>
              <w:rPr>
                <w:rFonts w:hint="eastAsia" w:ascii="宋体" w:hAnsi="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分，最多</w:t>
            </w:r>
            <w:r>
              <w:rPr>
                <w:rFonts w:hint="eastAsia" w:ascii="宋体" w:hAnsi="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分</w:t>
            </w:r>
            <w:r>
              <w:rPr>
                <w:rFonts w:hint="eastAsia" w:ascii="宋体" w:hAnsi="宋体" w:cs="宋体"/>
                <w:color w:val="auto"/>
                <w:kern w:val="0"/>
                <w:sz w:val="24"/>
                <w:szCs w:val="24"/>
                <w:highlight w:val="none"/>
                <w:lang w:eastAsia="zh-CN"/>
              </w:rPr>
              <w:t>；</w:t>
            </w:r>
          </w:p>
          <w:p w14:paraId="1561D89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w:t>
            </w:r>
            <w:r>
              <w:rPr>
                <w:rFonts w:hint="eastAsia" w:ascii="宋体" w:hAnsi="宋体" w:cs="宋体"/>
                <w:b w:val="0"/>
                <w:bCs w:val="0"/>
                <w:color w:val="auto"/>
                <w:kern w:val="0"/>
                <w:sz w:val="24"/>
                <w:szCs w:val="24"/>
                <w:highlight w:val="none"/>
                <w:lang w:val="en-US" w:eastAsia="zh-CN" w:bidi="ar"/>
              </w:rPr>
              <w:t>技术人员</w:t>
            </w:r>
            <w:r>
              <w:rPr>
                <w:rFonts w:hint="default" w:ascii="Times New Roman" w:hAnsi="Times New Roman" w:eastAsia="宋体" w:cs="Times New Roman"/>
                <w:color w:val="auto"/>
                <w:kern w:val="0"/>
                <w:sz w:val="24"/>
                <w:szCs w:val="24"/>
                <w:highlight w:val="none"/>
              </w:rPr>
              <w:t>具备</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r>
              <w:rPr>
                <w:rFonts w:hint="default" w:ascii="Times New Roman" w:hAnsi="Times New Roman" w:eastAsia="宋体" w:cs="Times New Roman"/>
                <w:color w:val="auto"/>
                <w:kern w:val="0"/>
                <w:sz w:val="24"/>
                <w:szCs w:val="24"/>
                <w:highlight w:val="none"/>
              </w:rPr>
              <w:t>，提供以上证书扫描件，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4D601A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10</w:t>
            </w:r>
          </w:p>
        </w:tc>
      </w:tr>
      <w:tr w14:paraId="0E5A6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726A3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4</w:t>
            </w:r>
          </w:p>
        </w:tc>
        <w:tc>
          <w:tcPr>
            <w:tcW w:w="1425" w:type="dxa"/>
            <w:gridSpan w:val="2"/>
            <w:shd w:val="clear" w:color="auto" w:fill="auto"/>
            <w:vAlign w:val="center"/>
          </w:tcPr>
          <w:p w14:paraId="59804D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投标人承诺评价</w:t>
            </w:r>
          </w:p>
        </w:tc>
        <w:tc>
          <w:tcPr>
            <w:tcW w:w="7308" w:type="dxa"/>
            <w:shd w:val="clear" w:color="auto" w:fill="auto"/>
            <w:vAlign w:val="center"/>
          </w:tcPr>
          <w:p w14:paraId="01088DF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承诺完全满足磋商文件“报价要求”、“时间地点要求”、“付款方式要求”和技术要求中非“★”号要求的：</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分，其他0分。</w:t>
            </w:r>
          </w:p>
        </w:tc>
        <w:tc>
          <w:tcPr>
            <w:tcW w:w="1140" w:type="dxa"/>
            <w:shd w:val="clear" w:color="auto" w:fill="auto"/>
            <w:vAlign w:val="center"/>
          </w:tcPr>
          <w:p w14:paraId="19779A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p>
        </w:tc>
      </w:tr>
      <w:tr w14:paraId="2F71A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5CDA44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第三部分 主观分（</w:t>
            </w:r>
            <w:r>
              <w:rPr>
                <w:rFonts w:hint="eastAsia" w:ascii="Times New Roman" w:hAnsi="Times New Roman" w:eastAsia="宋体" w:cs="Times New Roman"/>
                <w:color w:val="auto"/>
                <w:kern w:val="0"/>
                <w:sz w:val="24"/>
                <w:szCs w:val="24"/>
                <w:highlight w:val="none"/>
                <w:lang w:val="en-US" w:eastAsia="zh-CN"/>
              </w:rPr>
              <w:t>60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04F87A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5066B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FE118D">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429F3F5B">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项目需求理解分析评价</w:t>
            </w:r>
          </w:p>
        </w:tc>
        <w:tc>
          <w:tcPr>
            <w:tcW w:w="7314" w:type="dxa"/>
            <w:gridSpan w:val="2"/>
            <w:shd w:val="clear" w:color="auto" w:fill="auto"/>
            <w:vAlign w:val="center"/>
          </w:tcPr>
          <w:p w14:paraId="6C9479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lang w:val="zh-CN"/>
              </w:rPr>
            </w:pPr>
            <w:r>
              <w:rPr>
                <w:rFonts w:hint="eastAsia" w:ascii="Times New Roman" w:hAnsi="Times New Roman" w:eastAsia="宋体" w:cs="Times New Roman"/>
                <w:color w:val="auto"/>
                <w:kern w:val="0"/>
                <w:sz w:val="24"/>
                <w:szCs w:val="24"/>
                <w:highlight w:val="none"/>
              </w:rPr>
              <w:t>至少包含系统现状、任务目标、</w:t>
            </w:r>
            <w:r>
              <w:rPr>
                <w:rFonts w:hint="eastAsia" w:ascii="Times New Roman" w:hAnsi="Times New Roman" w:eastAsia="宋体" w:cs="Times New Roman"/>
                <w:color w:val="auto"/>
                <w:kern w:val="0"/>
                <w:sz w:val="24"/>
                <w:szCs w:val="24"/>
                <w:highlight w:val="none"/>
                <w:lang w:val="zh-CN"/>
              </w:rPr>
              <w:t>实施要求等方面内容</w:t>
            </w:r>
          </w:p>
          <w:p w14:paraId="61EFB75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满足招标文件要求，无瑕疵：</w:t>
            </w:r>
            <w:r>
              <w:rPr>
                <w:rFonts w:hint="eastAsia" w:cs="Times New Roman"/>
                <w:color w:val="auto"/>
                <w:kern w:val="0"/>
                <w:sz w:val="24"/>
                <w:szCs w:val="24"/>
                <w:highlight w:val="none"/>
                <w:lang w:val="en-US" w:eastAsia="zh-CN"/>
              </w:rPr>
              <w:t>9</w:t>
            </w:r>
            <w:r>
              <w:rPr>
                <w:rFonts w:hint="eastAsia" w:ascii="Times New Roman" w:hAnsi="Times New Roman" w:eastAsia="宋体" w:cs="Times New Roman"/>
                <w:color w:val="auto"/>
                <w:kern w:val="0"/>
                <w:sz w:val="24"/>
                <w:szCs w:val="24"/>
                <w:highlight w:val="none"/>
              </w:rPr>
              <w:t>分；</w:t>
            </w:r>
          </w:p>
          <w:p w14:paraId="61877B7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方案内容存在1处瑕疵：</w:t>
            </w:r>
            <w:r>
              <w:rPr>
                <w:rFonts w:hint="eastAsia" w:cs="Times New Roman"/>
                <w:color w:val="auto"/>
                <w:kern w:val="0"/>
                <w:sz w:val="24"/>
                <w:szCs w:val="24"/>
                <w:highlight w:val="none"/>
                <w:lang w:val="en-US" w:eastAsia="zh-CN"/>
              </w:rPr>
              <w:t>6</w:t>
            </w:r>
            <w:r>
              <w:rPr>
                <w:rFonts w:hint="eastAsia" w:ascii="Times New Roman" w:hAnsi="Times New Roman" w:eastAsia="宋体" w:cs="Times New Roman"/>
                <w:color w:val="auto"/>
                <w:kern w:val="0"/>
                <w:sz w:val="24"/>
                <w:szCs w:val="24"/>
                <w:highlight w:val="none"/>
              </w:rPr>
              <w:t>分；</w:t>
            </w:r>
          </w:p>
          <w:p w14:paraId="56D65B1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方案内容存在2处瑕疵：</w:t>
            </w:r>
            <w:r>
              <w:rPr>
                <w:rFonts w:hint="eastAsia" w:cs="Times New Roman"/>
                <w:color w:val="auto"/>
                <w:kern w:val="0"/>
                <w:sz w:val="24"/>
                <w:szCs w:val="24"/>
                <w:highlight w:val="none"/>
                <w:lang w:val="en-US" w:eastAsia="zh-CN"/>
              </w:rPr>
              <w:t>3</w:t>
            </w:r>
            <w:r>
              <w:rPr>
                <w:rFonts w:hint="eastAsia" w:ascii="Times New Roman" w:hAnsi="Times New Roman" w:eastAsia="宋体" w:cs="Times New Roman"/>
                <w:color w:val="auto"/>
                <w:kern w:val="0"/>
                <w:sz w:val="24"/>
                <w:szCs w:val="24"/>
                <w:highlight w:val="none"/>
              </w:rPr>
              <w:t>分；</w:t>
            </w:r>
          </w:p>
          <w:p w14:paraId="69B0C99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未提供方案或不满足招标文件要求或内容存在3处</w:t>
            </w:r>
            <w:r>
              <w:rPr>
                <w:rFonts w:hint="eastAsia" w:cs="Times New Roman"/>
                <w:color w:val="auto"/>
                <w:kern w:val="0"/>
                <w:sz w:val="24"/>
                <w:szCs w:val="24"/>
                <w:highlight w:val="none"/>
                <w:lang w:val="en-US" w:eastAsia="zh-CN"/>
              </w:rPr>
              <w:t>及</w:t>
            </w:r>
            <w:r>
              <w:rPr>
                <w:rFonts w:hint="eastAsia" w:ascii="Times New Roman" w:hAnsi="Times New Roman" w:eastAsia="宋体" w:cs="Times New Roman"/>
                <w:color w:val="auto"/>
                <w:kern w:val="0"/>
                <w:sz w:val="24"/>
                <w:szCs w:val="24"/>
                <w:highlight w:val="none"/>
              </w:rPr>
              <w:t>以上瑕疵：0分；</w:t>
            </w:r>
          </w:p>
          <w:p w14:paraId="2EBF69F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6AA92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9</w:t>
            </w:r>
          </w:p>
        </w:tc>
      </w:tr>
      <w:tr w14:paraId="10EC2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393897E">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宋体"/>
                <w:color w:val="auto"/>
                <w:sz w:val="24"/>
                <w:szCs w:val="24"/>
                <w:highlight w:val="none"/>
                <w:lang w:val="en-US" w:eastAsia="zh-CN"/>
              </w:rPr>
              <w:t>2</w:t>
            </w:r>
          </w:p>
        </w:tc>
        <w:tc>
          <w:tcPr>
            <w:tcW w:w="1419" w:type="dxa"/>
            <w:shd w:val="clear" w:color="auto" w:fill="auto"/>
            <w:vAlign w:val="center"/>
          </w:tcPr>
          <w:p w14:paraId="0764D32A">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zh-CN"/>
              </w:rPr>
            </w:pPr>
            <w:r>
              <w:rPr>
                <w:rFonts w:hint="eastAsia" w:cs="宋体"/>
                <w:color w:val="auto"/>
                <w:sz w:val="24"/>
                <w:szCs w:val="24"/>
                <w:highlight w:val="none"/>
                <w:lang w:val="zh-CN"/>
              </w:rPr>
              <w:t>项目服务人员评价</w:t>
            </w:r>
          </w:p>
        </w:tc>
        <w:tc>
          <w:tcPr>
            <w:tcW w:w="7314" w:type="dxa"/>
            <w:gridSpan w:val="2"/>
            <w:shd w:val="clear" w:color="auto" w:fill="auto"/>
            <w:vAlign w:val="center"/>
          </w:tcPr>
          <w:p w14:paraId="3B895B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lang w:val="zh-CN"/>
              </w:rPr>
            </w:pPr>
            <w:r>
              <w:rPr>
                <w:rFonts w:hint="eastAsia" w:ascii="Times New Roman" w:hAnsi="Times New Roman" w:eastAsia="宋体" w:cs="Times New Roman"/>
                <w:color w:val="auto"/>
                <w:kern w:val="0"/>
                <w:sz w:val="24"/>
                <w:szCs w:val="24"/>
                <w:highlight w:val="none"/>
                <w:lang w:val="zh-CN"/>
              </w:rPr>
              <w:t>至少包含人员分工、岗位职责、人员工作经验及技术实力、人员稳定性保障措施等方面内容。</w:t>
            </w:r>
          </w:p>
          <w:p w14:paraId="4328E0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3EFB0D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737292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08463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0936FF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4BF6238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55162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12</w:t>
            </w:r>
          </w:p>
        </w:tc>
      </w:tr>
      <w:tr w14:paraId="52E8C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5C6AE7">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3</w:t>
            </w:r>
          </w:p>
        </w:tc>
        <w:tc>
          <w:tcPr>
            <w:tcW w:w="1419" w:type="dxa"/>
            <w:shd w:val="clear" w:color="auto" w:fill="auto"/>
            <w:vAlign w:val="center"/>
          </w:tcPr>
          <w:p w14:paraId="610BA493">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zh-CN"/>
              </w:rPr>
            </w:pPr>
            <w:r>
              <w:rPr>
                <w:rFonts w:hint="eastAsia" w:cs="宋体"/>
                <w:color w:val="auto"/>
                <w:sz w:val="24"/>
                <w:szCs w:val="24"/>
                <w:highlight w:val="none"/>
                <w:lang w:val="zh-CN"/>
              </w:rPr>
              <w:t>整体运行维护方案评价</w:t>
            </w:r>
          </w:p>
        </w:tc>
        <w:tc>
          <w:tcPr>
            <w:tcW w:w="7314" w:type="dxa"/>
            <w:gridSpan w:val="2"/>
            <w:shd w:val="clear" w:color="auto" w:fill="auto"/>
            <w:vAlign w:val="center"/>
          </w:tcPr>
          <w:p w14:paraId="29AAA7D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i w:val="0"/>
                <w:iCs w:val="0"/>
                <w:color w:val="auto"/>
                <w:kern w:val="0"/>
                <w:sz w:val="24"/>
                <w:szCs w:val="24"/>
                <w:highlight w:val="none"/>
                <w:u w:val="none"/>
                <w:lang w:val="en-US" w:eastAsia="zh-CN" w:bidi="ar"/>
              </w:rPr>
            </w:pPr>
            <w:r>
              <w:rPr>
                <w:rFonts w:hint="eastAsia" w:ascii="Times New Roman" w:hAnsi="Times New Roman" w:eastAsia="宋体" w:cs="Times New Roman"/>
                <w:color w:val="auto"/>
                <w:kern w:val="0"/>
                <w:sz w:val="24"/>
                <w:szCs w:val="24"/>
                <w:highlight w:val="none"/>
                <w:lang w:val="zh-CN"/>
              </w:rPr>
              <w:t>至少包含针对本项目系统的运维计划、实施方案等方面内容</w:t>
            </w:r>
            <w:r>
              <w:rPr>
                <w:rFonts w:hint="eastAsia" w:ascii="Times New Roman" w:hAnsi="Times New Roman" w:cs="Times New Roman"/>
                <w:color w:val="auto"/>
                <w:kern w:val="0"/>
                <w:sz w:val="24"/>
                <w:szCs w:val="24"/>
                <w:highlight w:val="none"/>
                <w:lang w:val="zh-CN"/>
              </w:rPr>
              <w:t>，</w:t>
            </w:r>
            <w:r>
              <w:rPr>
                <w:rFonts w:hint="eastAsia" w:ascii="Times New Roman" w:hAnsi="Times New Roman" w:eastAsia="宋体" w:cs="Times New Roman"/>
                <w:color w:val="auto"/>
                <w:kern w:val="0"/>
                <w:sz w:val="24"/>
                <w:szCs w:val="24"/>
                <w:highlight w:val="none"/>
                <w:lang w:val="en-US" w:eastAsia="zh-CN"/>
              </w:rPr>
              <w:t>方案中应包含经办专用移动设备权限管控</w:t>
            </w:r>
            <w:r>
              <w:rPr>
                <w:rFonts w:hint="eastAsia" w:ascii="Times New Roman" w:hAnsi="Times New Roman" w:cs="Times New Roman"/>
                <w:color w:val="auto"/>
                <w:kern w:val="0"/>
                <w:sz w:val="24"/>
                <w:szCs w:val="24"/>
                <w:highlight w:val="none"/>
                <w:lang w:val="en-US" w:eastAsia="zh-CN"/>
              </w:rPr>
              <w:t>、</w:t>
            </w:r>
            <w:r>
              <w:rPr>
                <w:rFonts w:hint="eastAsia" w:ascii="Times New Roman" w:hAnsi="Times New Roman" w:eastAsia="宋体" w:cs="Times New Roman"/>
                <w:color w:val="auto"/>
                <w:kern w:val="0"/>
                <w:sz w:val="24"/>
                <w:szCs w:val="24"/>
                <w:highlight w:val="none"/>
                <w:lang w:val="en-US" w:eastAsia="zh-CN"/>
              </w:rPr>
              <w:t>公共服务数据治理方案</w:t>
            </w:r>
            <w:r>
              <w:rPr>
                <w:rFonts w:hint="eastAsia" w:ascii="Times New Roman" w:hAnsi="Times New Roman" w:cs="Times New Roman"/>
                <w:color w:val="auto"/>
                <w:kern w:val="0"/>
                <w:sz w:val="24"/>
                <w:szCs w:val="24"/>
                <w:highlight w:val="none"/>
                <w:lang w:val="en-US" w:eastAsia="zh-CN"/>
              </w:rPr>
              <w:t>、</w:t>
            </w:r>
            <w:r>
              <w:rPr>
                <w:rFonts w:hint="eastAsia" w:ascii="Times New Roman" w:hAnsi="Times New Roman" w:eastAsia="宋体" w:cs="Times New Roman"/>
                <w:color w:val="auto"/>
                <w:kern w:val="0"/>
                <w:sz w:val="24"/>
                <w:szCs w:val="24"/>
                <w:highlight w:val="none"/>
                <w:lang w:val="en-US" w:eastAsia="zh-CN"/>
              </w:rPr>
              <w:t>地方知识库管理与维护</w:t>
            </w:r>
            <w:r>
              <w:rPr>
                <w:rFonts w:hint="eastAsia" w:ascii="Times New Roman" w:hAnsi="Times New Roman" w:cs="Times New Roman"/>
                <w:color w:val="auto"/>
                <w:kern w:val="0"/>
                <w:sz w:val="24"/>
                <w:szCs w:val="24"/>
                <w:highlight w:val="none"/>
                <w:lang w:val="en-US" w:eastAsia="zh-CN"/>
              </w:rPr>
              <w:t>、</w:t>
            </w:r>
            <w:r>
              <w:rPr>
                <w:rFonts w:hint="eastAsia" w:ascii="Times New Roman" w:hAnsi="Times New Roman" w:eastAsia="宋体" w:cs="Times New Roman"/>
                <w:color w:val="auto"/>
                <w:kern w:val="0"/>
                <w:sz w:val="24"/>
                <w:szCs w:val="24"/>
                <w:highlight w:val="none"/>
                <w:lang w:val="en-US" w:eastAsia="zh-CN"/>
              </w:rPr>
              <w:t>地方与国家中台联动方案</w:t>
            </w:r>
            <w:r>
              <w:rPr>
                <w:rFonts w:hint="eastAsia" w:ascii="Times New Roman" w:hAnsi="Times New Roman" w:cs="Times New Roman"/>
                <w:color w:val="auto"/>
                <w:kern w:val="0"/>
                <w:sz w:val="24"/>
                <w:szCs w:val="24"/>
                <w:highlight w:val="none"/>
                <w:lang w:val="en-US" w:eastAsia="zh-CN"/>
              </w:rPr>
              <w:t>，</w:t>
            </w:r>
            <w:r>
              <w:rPr>
                <w:rFonts w:hint="eastAsia" w:ascii="宋体" w:hAnsi="宋体" w:eastAsia="宋体" w:cs="宋体"/>
                <w:i w:val="0"/>
                <w:iCs w:val="0"/>
                <w:color w:val="auto"/>
                <w:kern w:val="0"/>
                <w:sz w:val="24"/>
                <w:szCs w:val="24"/>
                <w:highlight w:val="none"/>
                <w:u w:val="none"/>
                <w:lang w:val="en-US" w:eastAsia="zh-CN" w:bidi="ar"/>
              </w:rPr>
              <w:t>否则不予认定加分。</w:t>
            </w:r>
          </w:p>
          <w:p w14:paraId="4AB416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15</w:t>
            </w:r>
            <w:r>
              <w:rPr>
                <w:color w:val="auto"/>
                <w:kern w:val="0"/>
                <w:sz w:val="24"/>
                <w:szCs w:val="24"/>
                <w:highlight w:val="none"/>
              </w:rPr>
              <w:t>分；</w:t>
            </w:r>
          </w:p>
          <w:p w14:paraId="3E17CF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12</w:t>
            </w:r>
            <w:r>
              <w:rPr>
                <w:color w:val="auto"/>
                <w:kern w:val="0"/>
                <w:sz w:val="24"/>
                <w:szCs w:val="24"/>
                <w:highlight w:val="none"/>
              </w:rPr>
              <w:t>分；</w:t>
            </w:r>
          </w:p>
          <w:p w14:paraId="6AFB73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0CFE67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553490D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4</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42366E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5</w:t>
            </w:r>
            <w:r>
              <w:rPr>
                <w:rFonts w:hint="eastAsia"/>
                <w:color w:val="auto"/>
                <w:kern w:val="0"/>
                <w:sz w:val="24"/>
                <w:szCs w:val="24"/>
                <w:highlight w:val="none"/>
              </w:rPr>
              <w:t>处及以上瑕疵</w:t>
            </w:r>
            <w:r>
              <w:rPr>
                <w:color w:val="auto"/>
                <w:kern w:val="0"/>
                <w:sz w:val="24"/>
                <w:szCs w:val="24"/>
                <w:highlight w:val="none"/>
              </w:rPr>
              <w:t>：0分；</w:t>
            </w:r>
          </w:p>
          <w:p w14:paraId="2190E3A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0EEA0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rPr>
            </w:pPr>
            <w:r>
              <w:rPr>
                <w:rFonts w:hint="eastAsia"/>
                <w:color w:val="auto"/>
                <w:kern w:val="0"/>
                <w:sz w:val="24"/>
                <w:szCs w:val="24"/>
                <w:highlight w:val="none"/>
                <w:lang w:val="en-US" w:eastAsia="zh-CN"/>
              </w:rPr>
              <w:t>15</w:t>
            </w:r>
          </w:p>
        </w:tc>
      </w:tr>
      <w:tr w14:paraId="223F3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EFE509B">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4</w:t>
            </w:r>
          </w:p>
        </w:tc>
        <w:tc>
          <w:tcPr>
            <w:tcW w:w="1419" w:type="dxa"/>
            <w:shd w:val="clear" w:color="auto" w:fill="auto"/>
            <w:vAlign w:val="center"/>
          </w:tcPr>
          <w:p w14:paraId="6E321E48">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宋体"/>
                <w:color w:val="auto"/>
                <w:sz w:val="24"/>
                <w:szCs w:val="24"/>
                <w:highlight w:val="none"/>
                <w:lang w:val="zh-CN"/>
              </w:rPr>
              <w:t>定期预防性检查方案</w:t>
            </w:r>
          </w:p>
        </w:tc>
        <w:tc>
          <w:tcPr>
            <w:tcW w:w="7314" w:type="dxa"/>
            <w:gridSpan w:val="2"/>
            <w:shd w:val="clear" w:color="auto" w:fill="auto"/>
            <w:vAlign w:val="center"/>
          </w:tcPr>
          <w:p w14:paraId="17B0DE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lang w:val="zh-CN"/>
              </w:rPr>
            </w:pPr>
            <w:r>
              <w:rPr>
                <w:rFonts w:hint="eastAsia" w:ascii="Times New Roman" w:hAnsi="Times New Roman" w:eastAsia="宋体" w:cs="Times New Roman"/>
                <w:color w:val="auto"/>
                <w:kern w:val="0"/>
                <w:sz w:val="24"/>
                <w:szCs w:val="24"/>
                <w:highlight w:val="none"/>
                <w:lang w:val="zh-CN"/>
              </w:rPr>
              <w:t>至少包含预防性检查频率、检查内容、发现问题后的解决方案等方面内容</w:t>
            </w:r>
          </w:p>
          <w:p w14:paraId="55A578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满足招标文件要求，无瑕疵：</w:t>
            </w:r>
            <w:r>
              <w:rPr>
                <w:rFonts w:hint="eastAsia" w:cs="Times New Roman"/>
                <w:color w:val="auto"/>
                <w:kern w:val="0"/>
                <w:sz w:val="24"/>
                <w:szCs w:val="24"/>
                <w:highlight w:val="none"/>
                <w:lang w:val="en-US" w:eastAsia="zh-CN"/>
              </w:rPr>
              <w:t>9</w:t>
            </w:r>
            <w:r>
              <w:rPr>
                <w:rFonts w:hint="eastAsia" w:ascii="Times New Roman" w:hAnsi="Times New Roman" w:eastAsia="宋体" w:cs="Times New Roman"/>
                <w:color w:val="auto"/>
                <w:kern w:val="0"/>
                <w:sz w:val="24"/>
                <w:szCs w:val="24"/>
                <w:highlight w:val="none"/>
              </w:rPr>
              <w:t>分；</w:t>
            </w:r>
          </w:p>
          <w:p w14:paraId="0F6C763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方案内容存在1处瑕疵：</w:t>
            </w:r>
            <w:r>
              <w:rPr>
                <w:rFonts w:hint="eastAsia" w:cs="Times New Roman"/>
                <w:color w:val="auto"/>
                <w:kern w:val="0"/>
                <w:sz w:val="24"/>
                <w:szCs w:val="24"/>
                <w:highlight w:val="none"/>
                <w:lang w:val="en-US" w:eastAsia="zh-CN"/>
              </w:rPr>
              <w:t>6</w:t>
            </w:r>
            <w:r>
              <w:rPr>
                <w:rFonts w:hint="eastAsia" w:ascii="Times New Roman" w:hAnsi="Times New Roman" w:eastAsia="宋体" w:cs="Times New Roman"/>
                <w:color w:val="auto"/>
                <w:kern w:val="0"/>
                <w:sz w:val="24"/>
                <w:szCs w:val="24"/>
                <w:highlight w:val="none"/>
              </w:rPr>
              <w:t>分；</w:t>
            </w:r>
          </w:p>
          <w:p w14:paraId="1CDEFC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方案内容存在2处瑕疵：</w:t>
            </w:r>
            <w:r>
              <w:rPr>
                <w:rFonts w:hint="eastAsia" w:cs="Times New Roman"/>
                <w:color w:val="auto"/>
                <w:kern w:val="0"/>
                <w:sz w:val="24"/>
                <w:szCs w:val="24"/>
                <w:highlight w:val="none"/>
                <w:lang w:val="en-US" w:eastAsia="zh-CN"/>
              </w:rPr>
              <w:t>3</w:t>
            </w:r>
            <w:r>
              <w:rPr>
                <w:rFonts w:hint="eastAsia" w:ascii="Times New Roman" w:hAnsi="Times New Roman" w:eastAsia="宋体" w:cs="Times New Roman"/>
                <w:color w:val="auto"/>
                <w:kern w:val="0"/>
                <w:sz w:val="24"/>
                <w:szCs w:val="24"/>
                <w:highlight w:val="none"/>
              </w:rPr>
              <w:t>分；</w:t>
            </w:r>
          </w:p>
          <w:p w14:paraId="1539C9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未提供方案或不满足招标文件要求或内容存在3处</w:t>
            </w:r>
            <w:r>
              <w:rPr>
                <w:rFonts w:hint="eastAsia" w:cs="Times New Roman"/>
                <w:color w:val="auto"/>
                <w:kern w:val="0"/>
                <w:sz w:val="24"/>
                <w:szCs w:val="24"/>
                <w:highlight w:val="none"/>
                <w:lang w:val="en-US" w:eastAsia="zh-CN"/>
              </w:rPr>
              <w:t>及</w:t>
            </w:r>
            <w:r>
              <w:rPr>
                <w:rFonts w:hint="eastAsia" w:ascii="Times New Roman" w:hAnsi="Times New Roman" w:eastAsia="宋体" w:cs="Times New Roman"/>
                <w:color w:val="auto"/>
                <w:kern w:val="0"/>
                <w:sz w:val="24"/>
                <w:szCs w:val="24"/>
                <w:highlight w:val="none"/>
              </w:rPr>
              <w:t>以上瑕疵：0分；</w:t>
            </w:r>
          </w:p>
          <w:p w14:paraId="4B2544F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E5EB8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9</w:t>
            </w:r>
          </w:p>
        </w:tc>
      </w:tr>
      <w:tr w14:paraId="2C986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FFC4848">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5</w:t>
            </w:r>
          </w:p>
        </w:tc>
        <w:tc>
          <w:tcPr>
            <w:tcW w:w="1419" w:type="dxa"/>
            <w:shd w:val="clear" w:color="auto" w:fill="auto"/>
            <w:vAlign w:val="center"/>
          </w:tcPr>
          <w:p w14:paraId="71CF94BE">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宋体"/>
                <w:color w:val="auto"/>
                <w:sz w:val="24"/>
                <w:szCs w:val="24"/>
                <w:highlight w:val="none"/>
                <w:lang w:val="zh-CN"/>
              </w:rPr>
              <w:t>故障管理处理方案</w:t>
            </w:r>
          </w:p>
        </w:tc>
        <w:tc>
          <w:tcPr>
            <w:tcW w:w="7314" w:type="dxa"/>
            <w:gridSpan w:val="2"/>
            <w:shd w:val="clear" w:color="auto" w:fill="auto"/>
            <w:vAlign w:val="center"/>
          </w:tcPr>
          <w:p w14:paraId="5BFD580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lang w:val="zh-CN"/>
              </w:rPr>
            </w:pPr>
            <w:r>
              <w:rPr>
                <w:rFonts w:hint="eastAsia" w:ascii="Times New Roman" w:hAnsi="Times New Roman" w:eastAsia="宋体" w:cs="Times New Roman"/>
                <w:color w:val="auto"/>
                <w:kern w:val="0"/>
                <w:sz w:val="24"/>
                <w:szCs w:val="24"/>
                <w:highlight w:val="none"/>
                <w:lang w:val="zh-CN"/>
              </w:rPr>
              <w:t>至少包含响应时间、故障处理方案、防止再发方案等方面内容</w:t>
            </w:r>
          </w:p>
          <w:p w14:paraId="09217C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满足招标文件要求，无瑕疵：</w:t>
            </w:r>
            <w:r>
              <w:rPr>
                <w:rFonts w:hint="eastAsia" w:cs="Times New Roman"/>
                <w:color w:val="auto"/>
                <w:kern w:val="0"/>
                <w:sz w:val="24"/>
                <w:szCs w:val="24"/>
                <w:highlight w:val="none"/>
                <w:lang w:val="en-US" w:eastAsia="zh-CN"/>
              </w:rPr>
              <w:t>9</w:t>
            </w:r>
            <w:r>
              <w:rPr>
                <w:rFonts w:hint="eastAsia" w:ascii="Times New Roman" w:hAnsi="Times New Roman" w:eastAsia="宋体" w:cs="Times New Roman"/>
                <w:color w:val="auto"/>
                <w:kern w:val="0"/>
                <w:sz w:val="24"/>
                <w:szCs w:val="24"/>
                <w:highlight w:val="none"/>
              </w:rPr>
              <w:t>分；</w:t>
            </w:r>
          </w:p>
          <w:p w14:paraId="74011D3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方案内容存在1处瑕疵：</w:t>
            </w:r>
            <w:r>
              <w:rPr>
                <w:rFonts w:hint="eastAsia" w:cs="Times New Roman"/>
                <w:color w:val="auto"/>
                <w:kern w:val="0"/>
                <w:sz w:val="24"/>
                <w:szCs w:val="24"/>
                <w:highlight w:val="none"/>
                <w:lang w:val="en-US" w:eastAsia="zh-CN"/>
              </w:rPr>
              <w:t>6</w:t>
            </w:r>
            <w:r>
              <w:rPr>
                <w:rFonts w:hint="eastAsia" w:ascii="Times New Roman" w:hAnsi="Times New Roman" w:eastAsia="宋体" w:cs="Times New Roman"/>
                <w:color w:val="auto"/>
                <w:kern w:val="0"/>
                <w:sz w:val="24"/>
                <w:szCs w:val="24"/>
                <w:highlight w:val="none"/>
              </w:rPr>
              <w:t>分；</w:t>
            </w:r>
          </w:p>
          <w:p w14:paraId="61398FC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方案内容存在2处瑕疵：</w:t>
            </w:r>
            <w:r>
              <w:rPr>
                <w:rFonts w:hint="eastAsia" w:cs="Times New Roman"/>
                <w:color w:val="auto"/>
                <w:kern w:val="0"/>
                <w:sz w:val="24"/>
                <w:szCs w:val="24"/>
                <w:highlight w:val="none"/>
                <w:lang w:val="en-US" w:eastAsia="zh-CN"/>
              </w:rPr>
              <w:t>3</w:t>
            </w:r>
            <w:r>
              <w:rPr>
                <w:rFonts w:hint="eastAsia" w:ascii="Times New Roman" w:hAnsi="Times New Roman" w:eastAsia="宋体" w:cs="Times New Roman"/>
                <w:color w:val="auto"/>
                <w:kern w:val="0"/>
                <w:sz w:val="24"/>
                <w:szCs w:val="24"/>
                <w:highlight w:val="none"/>
              </w:rPr>
              <w:t>分；</w:t>
            </w:r>
          </w:p>
          <w:p w14:paraId="30D12A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未提供方案或不满足招标文件要求或内容存在</w:t>
            </w:r>
            <w:r>
              <w:rPr>
                <w:rFonts w:hint="eastAsia" w:cs="Times New Roman"/>
                <w:color w:val="auto"/>
                <w:kern w:val="0"/>
                <w:sz w:val="24"/>
                <w:szCs w:val="24"/>
                <w:highlight w:val="none"/>
                <w:lang w:val="en-US" w:eastAsia="zh-CN"/>
              </w:rPr>
              <w:t>3</w:t>
            </w:r>
            <w:r>
              <w:rPr>
                <w:rFonts w:hint="eastAsia" w:ascii="Times New Roman" w:hAnsi="Times New Roman" w:eastAsia="宋体" w:cs="Times New Roman"/>
                <w:color w:val="auto"/>
                <w:kern w:val="0"/>
                <w:sz w:val="24"/>
                <w:szCs w:val="24"/>
                <w:highlight w:val="none"/>
              </w:rPr>
              <w:t>处以上瑕疵：0分；</w:t>
            </w:r>
          </w:p>
          <w:p w14:paraId="0EB040E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559E4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9</w:t>
            </w:r>
          </w:p>
        </w:tc>
      </w:tr>
      <w:tr w14:paraId="5D42A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A36929A">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6</w:t>
            </w:r>
          </w:p>
        </w:tc>
        <w:tc>
          <w:tcPr>
            <w:tcW w:w="1419" w:type="dxa"/>
            <w:shd w:val="clear" w:color="auto" w:fill="auto"/>
            <w:vAlign w:val="center"/>
          </w:tcPr>
          <w:p w14:paraId="548EB0DD">
            <w:pPr>
              <w:keepNext w:val="0"/>
              <w:keepLines w:val="0"/>
              <w:pageBreakBefore w:val="0"/>
              <w:widowControl/>
              <w:kinsoku/>
              <w:wordWrap/>
              <w:overflowPunct/>
              <w:topLinePunct w:val="0"/>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宋体"/>
                <w:color w:val="auto"/>
                <w:sz w:val="24"/>
                <w:szCs w:val="24"/>
                <w:highlight w:val="none"/>
                <w:lang w:val="zh-CN"/>
              </w:rPr>
              <w:t>突发事件管理方案</w:t>
            </w:r>
          </w:p>
        </w:tc>
        <w:tc>
          <w:tcPr>
            <w:tcW w:w="7314" w:type="dxa"/>
            <w:gridSpan w:val="2"/>
            <w:shd w:val="clear" w:color="auto" w:fill="auto"/>
            <w:vAlign w:val="center"/>
          </w:tcPr>
          <w:p w14:paraId="36676DD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lang w:val="zh-CN"/>
              </w:rPr>
            </w:pPr>
            <w:r>
              <w:rPr>
                <w:rFonts w:hint="eastAsia" w:ascii="Times New Roman" w:hAnsi="Times New Roman" w:eastAsia="宋体" w:cs="Times New Roman"/>
                <w:color w:val="auto"/>
                <w:kern w:val="0"/>
                <w:sz w:val="24"/>
                <w:szCs w:val="24"/>
                <w:highlight w:val="none"/>
                <w:lang w:val="zh-CN"/>
              </w:rPr>
              <w:t>至少包含针对恶意攻击、访问量激增等处理方案</w:t>
            </w:r>
          </w:p>
          <w:p w14:paraId="27C4BC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满足招标文件要求，无瑕疵：</w:t>
            </w:r>
            <w:r>
              <w:rPr>
                <w:rFonts w:hint="eastAsia" w:cs="Times New Roman"/>
                <w:color w:val="auto"/>
                <w:kern w:val="0"/>
                <w:sz w:val="24"/>
                <w:szCs w:val="24"/>
                <w:highlight w:val="none"/>
                <w:lang w:val="en-US" w:eastAsia="zh-CN"/>
              </w:rPr>
              <w:t>6</w:t>
            </w:r>
            <w:r>
              <w:rPr>
                <w:rFonts w:hint="eastAsia" w:ascii="Times New Roman" w:hAnsi="Times New Roman" w:eastAsia="宋体" w:cs="Times New Roman"/>
                <w:color w:val="auto"/>
                <w:kern w:val="0"/>
                <w:sz w:val="24"/>
                <w:szCs w:val="24"/>
                <w:highlight w:val="none"/>
              </w:rPr>
              <w:t>分；</w:t>
            </w:r>
          </w:p>
          <w:p w14:paraId="7E6DC57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方案内容存在1处瑕疵：</w:t>
            </w:r>
            <w:r>
              <w:rPr>
                <w:rFonts w:hint="eastAsia" w:cs="Times New Roman"/>
                <w:color w:val="auto"/>
                <w:kern w:val="0"/>
                <w:sz w:val="24"/>
                <w:szCs w:val="24"/>
                <w:highlight w:val="none"/>
                <w:lang w:val="en-US" w:eastAsia="zh-CN"/>
              </w:rPr>
              <w:t>4</w:t>
            </w:r>
            <w:r>
              <w:rPr>
                <w:rFonts w:hint="eastAsia" w:ascii="Times New Roman" w:hAnsi="Times New Roman" w:eastAsia="宋体" w:cs="Times New Roman"/>
                <w:color w:val="auto"/>
                <w:kern w:val="0"/>
                <w:sz w:val="24"/>
                <w:szCs w:val="24"/>
                <w:highlight w:val="none"/>
              </w:rPr>
              <w:t>分；</w:t>
            </w:r>
          </w:p>
          <w:p w14:paraId="16303C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方案内容存在2处瑕疵：</w:t>
            </w:r>
            <w:r>
              <w:rPr>
                <w:rFonts w:hint="eastAsia" w:cs="Times New Roman"/>
                <w:color w:val="auto"/>
                <w:kern w:val="0"/>
                <w:sz w:val="24"/>
                <w:szCs w:val="24"/>
                <w:highlight w:val="none"/>
                <w:lang w:val="en-US" w:eastAsia="zh-CN"/>
              </w:rPr>
              <w:t>2</w:t>
            </w:r>
            <w:r>
              <w:rPr>
                <w:rFonts w:hint="eastAsia" w:ascii="Times New Roman" w:hAnsi="Times New Roman" w:eastAsia="宋体" w:cs="Times New Roman"/>
                <w:color w:val="auto"/>
                <w:kern w:val="0"/>
                <w:sz w:val="24"/>
                <w:szCs w:val="24"/>
                <w:highlight w:val="none"/>
              </w:rPr>
              <w:t>分；</w:t>
            </w:r>
          </w:p>
          <w:p w14:paraId="28B05A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未提供方案或不满足招标文件要求或内容存在3处</w:t>
            </w:r>
            <w:r>
              <w:rPr>
                <w:rFonts w:hint="eastAsia" w:cs="Times New Roman"/>
                <w:color w:val="auto"/>
                <w:kern w:val="0"/>
                <w:sz w:val="24"/>
                <w:szCs w:val="24"/>
                <w:highlight w:val="none"/>
                <w:lang w:val="en-US" w:eastAsia="zh-CN"/>
              </w:rPr>
              <w:t>及</w:t>
            </w:r>
            <w:r>
              <w:rPr>
                <w:rFonts w:hint="eastAsia" w:ascii="Times New Roman" w:hAnsi="Times New Roman" w:eastAsia="宋体" w:cs="Times New Roman"/>
                <w:color w:val="auto"/>
                <w:kern w:val="0"/>
                <w:sz w:val="24"/>
                <w:szCs w:val="24"/>
                <w:highlight w:val="none"/>
              </w:rPr>
              <w:t>以上瑕疵：0分；</w:t>
            </w:r>
          </w:p>
          <w:p w14:paraId="3EC6DF5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eastAsia"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A4A72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highlight w:val="none"/>
              </w:rPr>
            </w:pPr>
          </w:p>
          <w:p w14:paraId="540825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lang w:val="en-US" w:eastAsia="zh-CN"/>
              </w:rPr>
              <w:t>6</w:t>
            </w:r>
          </w:p>
        </w:tc>
      </w:tr>
      <w:tr w14:paraId="50CFD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1DAD19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合计</w:t>
            </w:r>
          </w:p>
        </w:tc>
        <w:tc>
          <w:tcPr>
            <w:tcW w:w="1140" w:type="dxa"/>
            <w:shd w:val="clear" w:color="auto" w:fill="auto"/>
            <w:vAlign w:val="center"/>
          </w:tcPr>
          <w:p w14:paraId="557E7C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100</w:t>
            </w:r>
          </w:p>
        </w:tc>
      </w:tr>
    </w:tbl>
    <w:p w14:paraId="1528AB5F">
      <w:pPr>
        <w:autoSpaceDE w:val="0"/>
        <w:autoSpaceDN w:val="0"/>
        <w:adjustRightInd w:val="0"/>
        <w:spacing w:line="360" w:lineRule="auto"/>
        <w:ind w:firstLine="482" w:firstLineChars="200"/>
        <w:rPr>
          <w:rFonts w:hint="eastAsia"/>
          <w:b/>
          <w:bCs w:val="0"/>
          <w:color w:val="auto"/>
          <w:sz w:val="24"/>
          <w:highlight w:val="none"/>
          <w:lang w:val="en-US" w:eastAsia="zh-CN"/>
        </w:rPr>
      </w:pPr>
      <w:r>
        <w:rPr>
          <w:rFonts w:hint="eastAsia"/>
          <w:b/>
          <w:bCs w:val="0"/>
          <w:color w:val="auto"/>
          <w:sz w:val="24"/>
          <w:highlight w:val="none"/>
          <w:lang w:val="en-US" w:eastAsia="zh-CN"/>
        </w:rPr>
        <w:t>第三包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61E22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011E89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第一部分 价格（</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0分）</w:t>
            </w:r>
          </w:p>
        </w:tc>
        <w:tc>
          <w:tcPr>
            <w:tcW w:w="1140" w:type="dxa"/>
            <w:shd w:val="clear" w:color="auto" w:fill="auto"/>
            <w:vAlign w:val="center"/>
          </w:tcPr>
          <w:p w14:paraId="7CC49E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49746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96C5D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3837AC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价格</w:t>
            </w:r>
          </w:p>
        </w:tc>
        <w:tc>
          <w:tcPr>
            <w:tcW w:w="7314" w:type="dxa"/>
            <w:gridSpan w:val="2"/>
            <w:shd w:val="clear" w:color="auto" w:fill="auto"/>
            <w:vAlign w:val="center"/>
          </w:tcPr>
          <w:p w14:paraId="7682EB8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（1）报价超过采购预算的，响应无效，未超过采购预算的报价按以下公式进行计算。</w:t>
            </w:r>
          </w:p>
          <w:p w14:paraId="0F4B7DA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（2）价格得分=（评标基准价/报价）×</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p w14:paraId="763D883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注：满足磋商文件要求且报价最低的报价为评标基准价。</w:t>
            </w:r>
          </w:p>
        </w:tc>
        <w:tc>
          <w:tcPr>
            <w:tcW w:w="1140" w:type="dxa"/>
            <w:shd w:val="clear" w:color="auto" w:fill="auto"/>
            <w:vAlign w:val="center"/>
          </w:tcPr>
          <w:p w14:paraId="6639AD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tc>
      </w:tr>
      <w:tr w14:paraId="0F4E3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06E318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第二部分 客观分（</w:t>
            </w:r>
            <w:r>
              <w:rPr>
                <w:rFonts w:hint="eastAsia" w:ascii="Times New Roman" w:hAnsi="Times New Roman" w:eastAsia="宋体" w:cs="Times New Roman"/>
                <w:color w:val="auto"/>
                <w:kern w:val="0"/>
                <w:sz w:val="24"/>
                <w:szCs w:val="24"/>
                <w:highlight w:val="none"/>
                <w:lang w:val="en-US" w:eastAsia="zh-CN"/>
              </w:rPr>
              <w:t>30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0175BB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5C482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663" w:type="dxa"/>
            <w:shd w:val="clear" w:color="auto" w:fill="auto"/>
            <w:noWrap/>
            <w:vAlign w:val="center"/>
          </w:tcPr>
          <w:p w14:paraId="6D5918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1783D5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投标人业绩</w:t>
            </w:r>
          </w:p>
        </w:tc>
        <w:tc>
          <w:tcPr>
            <w:tcW w:w="7314" w:type="dxa"/>
            <w:gridSpan w:val="2"/>
            <w:shd w:val="clear" w:color="auto" w:fill="auto"/>
            <w:vAlign w:val="center"/>
          </w:tcPr>
          <w:p w14:paraId="624810F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完全按照以下要求提供投标人曾实施的智能监管软件开发或运维业绩，提供的证明材料均不得遮挡涂黑，否则不予认定加分。</w:t>
            </w:r>
          </w:p>
          <w:p w14:paraId="1ECF003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A. 合同原件扫描件。包括买卖双方名称及盖章、服务内容</w:t>
            </w:r>
            <w:r>
              <w:rPr>
                <w:rFonts w:hint="default" w:ascii="Times New Roman" w:hAnsi="Times New Roman" w:eastAsia="宋体" w:cs="Times New Roman"/>
                <w:bCs/>
                <w:color w:val="auto"/>
                <w:sz w:val="24"/>
                <w:szCs w:val="24"/>
                <w:highlight w:val="none"/>
              </w:rPr>
              <w:t>、合同签订日期（应为202</w:t>
            </w:r>
            <w:r>
              <w:rPr>
                <w:rFonts w:hint="eastAsia" w:cs="Times New Roman"/>
                <w:bCs/>
                <w:color w:val="auto"/>
                <w:sz w:val="24"/>
                <w:szCs w:val="24"/>
                <w:highlight w:val="none"/>
                <w:lang w:val="en-US" w:eastAsia="zh-CN"/>
              </w:rPr>
              <w:t>1</w:t>
            </w:r>
            <w:r>
              <w:rPr>
                <w:rFonts w:hint="default" w:ascii="Times New Roman" w:hAnsi="Times New Roman" w:eastAsia="宋体" w:cs="Times New Roman"/>
                <w:bCs/>
                <w:color w:val="auto"/>
                <w:sz w:val="24"/>
                <w:szCs w:val="24"/>
                <w:highlight w:val="none"/>
              </w:rPr>
              <w:t>年1月1日或以后）</w:t>
            </w:r>
            <w:r>
              <w:rPr>
                <w:rFonts w:hint="default" w:ascii="Times New Roman" w:hAnsi="Times New Roman" w:eastAsia="宋体" w:cs="Times New Roman"/>
                <w:color w:val="auto"/>
                <w:kern w:val="0"/>
                <w:sz w:val="24"/>
                <w:szCs w:val="24"/>
                <w:highlight w:val="none"/>
              </w:rPr>
              <w:t>。</w:t>
            </w:r>
          </w:p>
          <w:p w14:paraId="143E1AB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B. 上述合同履行良好的相关证明材料原件扫描件（</w:t>
            </w:r>
            <w:r>
              <w:rPr>
                <w:rFonts w:hint="default" w:ascii="Times New Roman" w:hAnsi="Times New Roman" w:eastAsia="宋体" w:cs="Times New Roman"/>
                <w:color w:val="auto"/>
                <w:sz w:val="24"/>
                <w:szCs w:val="24"/>
                <w:highlight w:val="none"/>
              </w:rPr>
              <w:t>加盖上述合同甲方单位公章或上述合同中所盖的甲方印章</w:t>
            </w:r>
            <w:r>
              <w:rPr>
                <w:rFonts w:hint="default" w:ascii="Times New Roman" w:hAnsi="Times New Roman" w:eastAsia="宋体" w:cs="Times New Roman"/>
                <w:color w:val="auto"/>
                <w:kern w:val="0"/>
                <w:sz w:val="24"/>
                <w:szCs w:val="24"/>
                <w:highlight w:val="none"/>
              </w:rPr>
              <w:t>）。</w:t>
            </w:r>
          </w:p>
          <w:p w14:paraId="4775DA7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每个业绩2分，最多</w:t>
            </w:r>
            <w:r>
              <w:rPr>
                <w:rFonts w:hint="default" w:ascii="Times New Roman" w:hAnsi="Times New Roman" w:eastAsia="宋体" w:cs="Times New Roman"/>
                <w:color w:val="auto"/>
                <w:kern w:val="0"/>
                <w:sz w:val="24"/>
                <w:szCs w:val="24"/>
                <w:highlight w:val="none"/>
                <w:lang w:val="en-US" w:eastAsia="zh-CN"/>
              </w:rPr>
              <w:t>10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1893CB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ascii="Times New Roman" w:hAnsi="Times New Roman" w:eastAsia="宋体" w:cs="Times New Roman"/>
                <w:color w:val="auto"/>
                <w:kern w:val="0"/>
                <w:sz w:val="24"/>
                <w:szCs w:val="24"/>
                <w:highlight w:val="none"/>
                <w:lang w:val="en-US" w:eastAsia="zh-CN"/>
              </w:rPr>
              <w:t>10</w:t>
            </w:r>
          </w:p>
        </w:tc>
      </w:tr>
      <w:tr w14:paraId="78170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08597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rPr>
              <w:t>2</w:t>
            </w:r>
          </w:p>
        </w:tc>
        <w:tc>
          <w:tcPr>
            <w:tcW w:w="1425" w:type="dxa"/>
            <w:gridSpan w:val="2"/>
            <w:shd w:val="clear" w:color="auto" w:fill="auto"/>
            <w:vAlign w:val="center"/>
          </w:tcPr>
          <w:p w14:paraId="0C2661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kern w:val="0"/>
                <w:sz w:val="24"/>
                <w:szCs w:val="24"/>
                <w:highlight w:val="none"/>
              </w:rPr>
              <w:t>投标人相关证书评价</w:t>
            </w:r>
          </w:p>
        </w:tc>
        <w:tc>
          <w:tcPr>
            <w:tcW w:w="7308" w:type="dxa"/>
            <w:shd w:val="clear" w:color="auto" w:fill="auto"/>
            <w:vAlign w:val="center"/>
          </w:tcPr>
          <w:p w14:paraId="5FDE2D5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w:t>
            </w:r>
            <w:r>
              <w:rPr>
                <w:rFonts w:hint="eastAsia" w:cs="Times New Roman"/>
                <w:color w:val="auto"/>
                <w:kern w:val="0"/>
                <w:sz w:val="24"/>
                <w:szCs w:val="24"/>
                <w:highlight w:val="none"/>
                <w:lang w:val="en-US" w:eastAsia="zh-CN"/>
              </w:rPr>
              <w:t>具备</w:t>
            </w:r>
            <w:r>
              <w:rPr>
                <w:rFonts w:hint="default" w:ascii="Times New Roman" w:hAnsi="Times New Roman" w:eastAsia="宋体" w:cs="Times New Roman"/>
                <w:color w:val="auto"/>
                <w:kern w:val="0"/>
                <w:sz w:val="24"/>
                <w:szCs w:val="24"/>
                <w:highlight w:val="none"/>
                <w:lang w:val="en-US" w:eastAsia="zh-CN"/>
              </w:rPr>
              <w:t>信息技术服务管理体系认证、中国网络安全审查认证和市场监管大数据中心（或中国网络安全审查技术与认证中心）颁发的信息安全服务资质认证--软件安全开发证书、信息系统安全运维证书、</w:t>
            </w:r>
            <w:r>
              <w:rPr>
                <w:rFonts w:hint="eastAsia" w:cs="Times New Roman"/>
                <w:color w:val="auto"/>
                <w:kern w:val="0"/>
                <w:sz w:val="24"/>
                <w:szCs w:val="24"/>
                <w:highlight w:val="none"/>
                <w:lang w:val="en-US" w:eastAsia="zh-CN"/>
              </w:rPr>
              <w:t>信息系统建设和服务能力CS2级或以上</w:t>
            </w:r>
            <w:r>
              <w:rPr>
                <w:rFonts w:hint="default" w:ascii="Times New Roman" w:hAnsi="Times New Roman" w:eastAsia="宋体" w:cs="Times New Roman"/>
                <w:color w:val="auto"/>
                <w:kern w:val="0"/>
                <w:sz w:val="24"/>
                <w:szCs w:val="24"/>
                <w:highlight w:val="none"/>
                <w:lang w:val="en-US" w:eastAsia="zh-CN"/>
              </w:rPr>
              <w:t>，提供证书扫描件，每个合格的证书扫描件得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lang w:val="en-US" w:eastAsia="zh-CN"/>
              </w:rPr>
              <w:t>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lang w:val="en-US" w:eastAsia="zh-CN"/>
              </w:rPr>
              <w:t>分；</w:t>
            </w:r>
          </w:p>
        </w:tc>
        <w:tc>
          <w:tcPr>
            <w:tcW w:w="1140" w:type="dxa"/>
            <w:shd w:val="clear" w:color="auto" w:fill="auto"/>
            <w:vAlign w:val="center"/>
          </w:tcPr>
          <w:p w14:paraId="329502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p>
        </w:tc>
      </w:tr>
      <w:tr w14:paraId="1734E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663" w:type="dxa"/>
            <w:shd w:val="clear" w:color="auto" w:fill="auto"/>
            <w:noWrap/>
            <w:vAlign w:val="center"/>
          </w:tcPr>
          <w:p w14:paraId="167D96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3</w:t>
            </w:r>
          </w:p>
        </w:tc>
        <w:tc>
          <w:tcPr>
            <w:tcW w:w="1425" w:type="dxa"/>
            <w:gridSpan w:val="2"/>
            <w:shd w:val="clear" w:color="auto" w:fill="auto"/>
            <w:vAlign w:val="center"/>
          </w:tcPr>
          <w:p w14:paraId="2B3B9B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投入人员评价</w:t>
            </w:r>
          </w:p>
        </w:tc>
        <w:tc>
          <w:tcPr>
            <w:tcW w:w="7308" w:type="dxa"/>
            <w:shd w:val="clear" w:color="auto" w:fill="auto"/>
            <w:vAlign w:val="center"/>
          </w:tcPr>
          <w:p w14:paraId="41D369F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投入的人员为投标单位正式员工，提供姓名、递交响应文件</w:t>
            </w:r>
            <w:r>
              <w:rPr>
                <w:rFonts w:hint="default" w:ascii="Times New Roman" w:hAnsi="Times New Roman" w:eastAsia="宋体" w:cs="Times New Roman"/>
                <w:color w:val="auto"/>
                <w:sz w:val="24"/>
                <w:szCs w:val="24"/>
                <w:highlight w:val="none"/>
              </w:rPr>
              <w:t>截止</w:t>
            </w:r>
            <w:r>
              <w:rPr>
                <w:rFonts w:hint="default" w:ascii="Times New Roman" w:hAnsi="Times New Roman" w:eastAsia="宋体" w:cs="Times New Roman"/>
                <w:color w:val="auto"/>
                <w:kern w:val="0"/>
                <w:sz w:val="24"/>
                <w:szCs w:val="24"/>
                <w:highlight w:val="none"/>
              </w:rPr>
              <w:t>日前三个月中任意一个月的由投标单位为投入人员缴纳社会保险证明扫描件，否则不予认定加分。</w:t>
            </w:r>
          </w:p>
          <w:p w14:paraId="5052150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r>
              <w:rPr>
                <w:rFonts w:hint="eastAsia" w:ascii="宋体" w:hAnsi="宋体" w:eastAsia="宋体" w:cs="宋体"/>
                <w:b w:val="0"/>
                <w:bCs w:val="0"/>
                <w:color w:val="auto"/>
                <w:kern w:val="0"/>
                <w:sz w:val="24"/>
                <w:szCs w:val="24"/>
                <w:highlight w:val="none"/>
                <w:lang w:val="en-US" w:eastAsia="zh-CN" w:bidi="ar"/>
              </w:rPr>
              <w:t>项目负责人</w:t>
            </w:r>
            <w:r>
              <w:rPr>
                <w:rFonts w:hint="default" w:ascii="Times New Roman" w:hAnsi="Times New Roman" w:eastAsia="宋体" w:cs="Times New Roman"/>
                <w:color w:val="auto"/>
                <w:kern w:val="0"/>
                <w:sz w:val="24"/>
                <w:szCs w:val="24"/>
                <w:highlight w:val="none"/>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color w:val="auto"/>
                <w:sz w:val="24"/>
                <w:szCs w:val="21"/>
                <w:highlight w:val="none"/>
                <w:lang w:eastAsia="zh-CN"/>
              </w:rPr>
              <w:t>、</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i w:val="0"/>
                <w:iCs w:val="0"/>
                <w:color w:val="auto"/>
                <w:kern w:val="0"/>
                <w:sz w:val="24"/>
                <w:szCs w:val="24"/>
                <w:highlight w:val="none"/>
                <w:u w:val="none"/>
                <w:lang w:val="en-US" w:eastAsia="zh-CN" w:bidi="ar"/>
              </w:rPr>
              <w:t>系统规划与管理师</w:t>
            </w:r>
            <w:r>
              <w:rPr>
                <w:rFonts w:hint="eastAsia" w:eastAsiaTheme="minorEastAsia"/>
                <w:color w:val="auto"/>
                <w:kern w:val="0"/>
                <w:sz w:val="24"/>
                <w:szCs w:val="24"/>
                <w:highlight w:val="none"/>
              </w:rPr>
              <w:t>）</w:t>
            </w:r>
            <w:r>
              <w:rPr>
                <w:rFonts w:hint="default" w:ascii="Times New Roman" w:hAnsi="Times New Roman" w:eastAsia="宋体" w:cs="Times New Roman"/>
                <w:color w:val="auto"/>
                <w:kern w:val="0"/>
                <w:sz w:val="24"/>
                <w:szCs w:val="24"/>
                <w:highlight w:val="none"/>
              </w:rPr>
              <w:t>，提供以上证书扫描件，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p w14:paraId="3D62E9B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w:t>
            </w:r>
            <w:r>
              <w:rPr>
                <w:rFonts w:hint="default" w:ascii="Times New Roman" w:hAnsi="Times New Roman"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w:t>
            </w:r>
            <w:r>
              <w:rPr>
                <w:rFonts w:hint="eastAsia" w:ascii="宋体" w:hAnsi="宋体" w:eastAsia="宋体" w:cs="宋体"/>
                <w:b w:val="0"/>
                <w:bCs w:val="0"/>
                <w:color w:val="auto"/>
                <w:kern w:val="0"/>
                <w:sz w:val="24"/>
                <w:szCs w:val="24"/>
                <w:highlight w:val="none"/>
                <w:lang w:val="en-US" w:eastAsia="zh-CN" w:bidi="ar"/>
              </w:rPr>
              <w:t>项目负责人</w:t>
            </w:r>
            <w:r>
              <w:rPr>
                <w:rFonts w:hint="eastAsia" w:ascii="宋体" w:hAnsi="宋体" w:eastAsia="宋体" w:cs="宋体"/>
                <w:color w:val="auto"/>
                <w:kern w:val="0"/>
                <w:sz w:val="24"/>
                <w:szCs w:val="24"/>
                <w:highlight w:val="none"/>
              </w:rPr>
              <w:t>具备</w:t>
            </w:r>
            <w:r>
              <w:rPr>
                <w:rFonts w:hint="eastAsia" w:ascii="宋体" w:hAnsi="宋体" w:eastAsia="宋体" w:cs="宋体"/>
                <w:color w:val="auto"/>
                <w:kern w:val="0"/>
                <w:sz w:val="24"/>
                <w:szCs w:val="24"/>
                <w:highlight w:val="none"/>
                <w:lang w:val="en-US" w:eastAsia="zh-CN"/>
              </w:rPr>
              <w:t>5年或以上的政府机关或事业单位</w:t>
            </w:r>
            <w:r>
              <w:rPr>
                <w:rFonts w:hint="eastAsia" w:ascii="宋体" w:hAnsi="宋体" w:eastAsia="宋体" w:cs="宋体"/>
                <w:i w:val="0"/>
                <w:iCs w:val="0"/>
                <w:color w:val="auto"/>
                <w:kern w:val="0"/>
                <w:sz w:val="24"/>
                <w:szCs w:val="24"/>
                <w:highlight w:val="none"/>
                <w:u w:val="none"/>
                <w:lang w:val="en-US" w:eastAsia="zh-CN" w:bidi="ar"/>
              </w:rPr>
              <w:t>信息化建设</w:t>
            </w:r>
            <w:r>
              <w:rPr>
                <w:rFonts w:hint="eastAsia" w:ascii="宋体" w:hAnsi="宋体" w:eastAsia="宋体" w:cs="宋体"/>
                <w:color w:val="auto"/>
                <w:kern w:val="0"/>
                <w:sz w:val="24"/>
                <w:szCs w:val="24"/>
                <w:highlight w:val="none"/>
                <w:lang w:val="en-US" w:eastAsia="zh-CN"/>
              </w:rPr>
              <w:t>相关经验</w:t>
            </w:r>
            <w:r>
              <w:rPr>
                <w:rFonts w:hint="eastAsia" w:ascii="宋体" w:hAnsi="宋体" w:eastAsia="宋体" w:cs="宋体"/>
                <w:color w:val="auto"/>
                <w:kern w:val="0"/>
                <w:sz w:val="24"/>
                <w:szCs w:val="24"/>
                <w:highlight w:val="none"/>
              </w:rPr>
              <w:t>，提供以上人员工作简历每个满足以上要求的人员得</w:t>
            </w:r>
            <w:r>
              <w:rPr>
                <w:rFonts w:hint="eastAsia" w:ascii="宋体" w:hAnsi="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分，最多</w:t>
            </w:r>
            <w:r>
              <w:rPr>
                <w:rFonts w:hint="eastAsia" w:ascii="宋体" w:hAnsi="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分</w:t>
            </w:r>
            <w:r>
              <w:rPr>
                <w:rFonts w:hint="eastAsia" w:ascii="宋体" w:hAnsi="宋体" w:cs="宋体"/>
                <w:color w:val="auto"/>
                <w:kern w:val="0"/>
                <w:sz w:val="24"/>
                <w:szCs w:val="24"/>
                <w:highlight w:val="none"/>
                <w:lang w:eastAsia="zh-CN"/>
              </w:rPr>
              <w:t>；</w:t>
            </w:r>
          </w:p>
          <w:p w14:paraId="7B9A535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w:t>
            </w:r>
            <w:r>
              <w:rPr>
                <w:rFonts w:hint="eastAsia" w:ascii="宋体" w:hAnsi="宋体" w:cs="宋体"/>
                <w:b w:val="0"/>
                <w:bCs w:val="0"/>
                <w:color w:val="auto"/>
                <w:kern w:val="0"/>
                <w:sz w:val="24"/>
                <w:szCs w:val="24"/>
                <w:highlight w:val="none"/>
                <w:lang w:val="en-US" w:eastAsia="zh-CN" w:bidi="ar"/>
              </w:rPr>
              <w:t>技术人员</w:t>
            </w:r>
            <w:r>
              <w:rPr>
                <w:rFonts w:hint="default" w:ascii="Times New Roman" w:hAnsi="Times New Roman" w:eastAsia="宋体" w:cs="Times New Roman"/>
                <w:color w:val="auto"/>
                <w:kern w:val="0"/>
                <w:sz w:val="24"/>
                <w:szCs w:val="24"/>
                <w:highlight w:val="none"/>
              </w:rPr>
              <w:t>具备</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i w:val="0"/>
                <w:iCs w:val="0"/>
                <w:color w:val="auto"/>
                <w:kern w:val="0"/>
                <w:sz w:val="24"/>
                <w:szCs w:val="24"/>
                <w:highlight w:val="none"/>
                <w:u w:val="none"/>
                <w:lang w:val="en-US" w:eastAsia="zh-CN" w:bidi="ar"/>
              </w:rPr>
              <w:t>数据库系统工程师</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default" w:ascii="Times New Roman" w:hAnsi="Times New Roman" w:eastAsia="宋体" w:cs="Times New Roman"/>
                <w:color w:val="auto"/>
                <w:kern w:val="0"/>
                <w:sz w:val="24"/>
                <w:szCs w:val="24"/>
                <w:highlight w:val="none"/>
              </w:rPr>
              <w:t>，提供以上证书扫描件，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7DAECE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10</w:t>
            </w:r>
          </w:p>
        </w:tc>
      </w:tr>
      <w:tr w14:paraId="4E698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FAD21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4</w:t>
            </w:r>
          </w:p>
        </w:tc>
        <w:tc>
          <w:tcPr>
            <w:tcW w:w="1425" w:type="dxa"/>
            <w:gridSpan w:val="2"/>
            <w:shd w:val="clear" w:color="auto" w:fill="auto"/>
            <w:vAlign w:val="center"/>
          </w:tcPr>
          <w:p w14:paraId="6248DF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投标人承诺评价</w:t>
            </w:r>
          </w:p>
        </w:tc>
        <w:tc>
          <w:tcPr>
            <w:tcW w:w="7308" w:type="dxa"/>
            <w:shd w:val="clear" w:color="auto" w:fill="auto"/>
            <w:vAlign w:val="center"/>
          </w:tcPr>
          <w:p w14:paraId="042A410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承诺完全满足磋商文件“报价要求”、“时间地点要求”、“付款方式要求”和技术要求中非“★”号要求的：</w:t>
            </w:r>
            <w:r>
              <w:rPr>
                <w:rFonts w:hint="eastAsia"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分，其他0分。</w:t>
            </w:r>
          </w:p>
        </w:tc>
        <w:tc>
          <w:tcPr>
            <w:tcW w:w="1140" w:type="dxa"/>
            <w:shd w:val="clear" w:color="auto" w:fill="auto"/>
            <w:vAlign w:val="center"/>
          </w:tcPr>
          <w:p w14:paraId="4B841E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6</w:t>
            </w:r>
          </w:p>
        </w:tc>
      </w:tr>
      <w:tr w14:paraId="1482F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22BCBD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第三部分 主观分（</w:t>
            </w:r>
            <w:r>
              <w:rPr>
                <w:rFonts w:hint="eastAsia" w:ascii="Times New Roman" w:hAnsi="Times New Roman" w:eastAsia="宋体" w:cs="Times New Roman"/>
                <w:color w:val="auto"/>
                <w:kern w:val="0"/>
                <w:sz w:val="24"/>
                <w:szCs w:val="24"/>
                <w:highlight w:val="none"/>
                <w:lang w:val="en-US" w:eastAsia="zh-CN"/>
              </w:rPr>
              <w:t>60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6754F9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7DA08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72B0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47C998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项目需求理解分析评价</w:t>
            </w:r>
          </w:p>
        </w:tc>
        <w:tc>
          <w:tcPr>
            <w:tcW w:w="7314" w:type="dxa"/>
            <w:gridSpan w:val="2"/>
            <w:shd w:val="clear" w:color="auto" w:fill="auto"/>
            <w:vAlign w:val="center"/>
          </w:tcPr>
          <w:p w14:paraId="6420CAD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rPr>
              <w:t>至少包含系统现状、任务目标、</w:t>
            </w:r>
            <w:r>
              <w:rPr>
                <w:rFonts w:hint="default" w:ascii="Times New Roman" w:hAnsi="Times New Roman" w:eastAsia="宋体" w:cs="Times New Roman"/>
                <w:color w:val="auto"/>
                <w:sz w:val="24"/>
                <w:szCs w:val="24"/>
                <w:highlight w:val="none"/>
                <w:lang w:val="zh-CN"/>
              </w:rPr>
              <w:t>实施要求等方面内容</w:t>
            </w:r>
          </w:p>
          <w:p w14:paraId="5459E6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30B8CA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192238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0F6808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4E1347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6DE7F4D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13A67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12</w:t>
            </w:r>
          </w:p>
        </w:tc>
      </w:tr>
      <w:tr w14:paraId="0E56F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DD09A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p>
        </w:tc>
        <w:tc>
          <w:tcPr>
            <w:tcW w:w="1419" w:type="dxa"/>
            <w:shd w:val="clear" w:color="auto" w:fill="auto"/>
            <w:vAlign w:val="center"/>
          </w:tcPr>
          <w:p w14:paraId="656C43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项目服务人员评价</w:t>
            </w:r>
          </w:p>
        </w:tc>
        <w:tc>
          <w:tcPr>
            <w:tcW w:w="7314" w:type="dxa"/>
            <w:gridSpan w:val="2"/>
            <w:shd w:val="clear" w:color="auto" w:fill="auto"/>
            <w:vAlign w:val="center"/>
          </w:tcPr>
          <w:p w14:paraId="695EF59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rPr>
              <w:t>至少包含人员分工、岗位职责、人员工作经验及技术实力、人员稳定性保障措施等方面内容</w:t>
            </w:r>
            <w:r>
              <w:rPr>
                <w:rFonts w:hint="default" w:ascii="Times New Roman" w:hAnsi="Times New Roman" w:eastAsia="宋体" w:cs="Times New Roman"/>
                <w:color w:val="auto"/>
                <w:sz w:val="24"/>
                <w:szCs w:val="24"/>
                <w:highlight w:val="none"/>
                <w:lang w:val="zh-CN"/>
              </w:rPr>
              <w:t>。</w:t>
            </w:r>
          </w:p>
          <w:p w14:paraId="10A4E6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4B1370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458252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A4570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4338A8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57CCBAC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0B375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12</w:t>
            </w:r>
          </w:p>
        </w:tc>
      </w:tr>
      <w:tr w14:paraId="7630B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8A62A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c>
          <w:tcPr>
            <w:tcW w:w="1419" w:type="dxa"/>
            <w:shd w:val="clear" w:color="auto" w:fill="auto"/>
            <w:vAlign w:val="center"/>
          </w:tcPr>
          <w:p w14:paraId="1666A3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整体运行维护方案评价</w:t>
            </w:r>
          </w:p>
        </w:tc>
        <w:tc>
          <w:tcPr>
            <w:tcW w:w="7314" w:type="dxa"/>
            <w:gridSpan w:val="2"/>
            <w:shd w:val="clear" w:color="auto" w:fill="auto"/>
            <w:vAlign w:val="center"/>
          </w:tcPr>
          <w:p w14:paraId="60B93DA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rPr>
              <w:t>至少包含针对本项目系统的运维计划</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zh-CN"/>
              </w:rPr>
              <w:t>实施方案等方面内容。</w:t>
            </w:r>
            <w:r>
              <w:rPr>
                <w:rFonts w:hint="default" w:ascii="Times New Roman" w:hAnsi="Times New Roman" w:eastAsia="宋体" w:cs="Times New Roman"/>
                <w:color w:val="auto"/>
                <w:sz w:val="24"/>
                <w:szCs w:val="24"/>
                <w:highlight w:val="none"/>
                <w:lang w:val="en-US" w:eastAsia="zh-CN"/>
              </w:rPr>
              <w:t>实施方案中应包含审核规则管理和</w:t>
            </w:r>
            <w:r>
              <w:rPr>
                <w:rFonts w:hint="default" w:ascii="Times New Roman" w:hAnsi="Times New Roman" w:eastAsia="宋体" w:cs="Times New Roman"/>
                <w:color w:val="auto"/>
                <w:sz w:val="24"/>
                <w:szCs w:val="24"/>
                <w:highlight w:val="none"/>
                <w:lang w:val="zh-CN"/>
              </w:rPr>
              <w:t>维护</w:t>
            </w:r>
            <w:r>
              <w:rPr>
                <w:rFonts w:hint="default" w:ascii="Times New Roman" w:hAnsi="Times New Roman" w:eastAsia="宋体" w:cs="Times New Roman"/>
                <w:color w:val="auto"/>
                <w:sz w:val="24"/>
                <w:szCs w:val="24"/>
                <w:highlight w:val="none"/>
                <w:lang w:val="zh-CN" w:eastAsia="zh-CN"/>
              </w:rPr>
              <w:t>、</w:t>
            </w:r>
            <w:r>
              <w:rPr>
                <w:rFonts w:hint="default" w:ascii="Times New Roman" w:hAnsi="Times New Roman" w:eastAsia="宋体" w:cs="Times New Roman"/>
                <w:color w:val="auto"/>
                <w:sz w:val="24"/>
                <w:szCs w:val="24"/>
                <w:highlight w:val="none"/>
                <w:lang w:val="en-US" w:eastAsia="zh-CN"/>
              </w:rPr>
              <w:t>视频平台管理与维护、审核人工复核、数据运行监测，</w:t>
            </w:r>
            <w:r>
              <w:rPr>
                <w:rFonts w:hint="default" w:ascii="Times New Roman" w:hAnsi="Times New Roman" w:eastAsia="宋体" w:cs="Times New Roman"/>
                <w:color w:val="auto"/>
                <w:sz w:val="24"/>
                <w:szCs w:val="24"/>
                <w:highlight w:val="none"/>
                <w:lang w:val="zh-CN"/>
              </w:rPr>
              <w:t>否则不予认定加分</w:t>
            </w:r>
            <w:r>
              <w:rPr>
                <w:rFonts w:hint="default" w:ascii="Times New Roman" w:hAnsi="Times New Roman" w:eastAsia="宋体" w:cs="Times New Roman"/>
                <w:color w:val="auto"/>
                <w:sz w:val="24"/>
                <w:szCs w:val="24"/>
                <w:highlight w:val="none"/>
                <w:lang w:val="en-US" w:eastAsia="zh-CN"/>
              </w:rPr>
              <w:t>。</w:t>
            </w:r>
          </w:p>
          <w:p w14:paraId="23C316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2C59D5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7E2A42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267158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13E94C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53BE5BB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00445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12</w:t>
            </w:r>
          </w:p>
        </w:tc>
      </w:tr>
      <w:tr w14:paraId="683EB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0F9EF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w:t>
            </w:r>
          </w:p>
        </w:tc>
        <w:tc>
          <w:tcPr>
            <w:tcW w:w="1419" w:type="dxa"/>
            <w:shd w:val="clear" w:color="auto" w:fill="auto"/>
            <w:vAlign w:val="center"/>
          </w:tcPr>
          <w:p w14:paraId="0BB463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lang w:val="zh-CN"/>
              </w:rPr>
              <w:t>定期预防性检查方案</w:t>
            </w:r>
          </w:p>
        </w:tc>
        <w:tc>
          <w:tcPr>
            <w:tcW w:w="7314" w:type="dxa"/>
            <w:gridSpan w:val="2"/>
            <w:shd w:val="clear" w:color="auto" w:fill="auto"/>
            <w:vAlign w:val="center"/>
          </w:tcPr>
          <w:p w14:paraId="7DD985C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至少包含预防性检查频率、检查内容、发现问题后的解决方案等方面内容</w:t>
            </w:r>
          </w:p>
          <w:p w14:paraId="257F94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6AB7FD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69D540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5B6FB7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4E9934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15652AF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B3568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12</w:t>
            </w:r>
          </w:p>
        </w:tc>
      </w:tr>
      <w:tr w14:paraId="7F5A8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6A2AE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5</w:t>
            </w:r>
          </w:p>
        </w:tc>
        <w:tc>
          <w:tcPr>
            <w:tcW w:w="1419" w:type="dxa"/>
            <w:shd w:val="clear" w:color="auto" w:fill="auto"/>
            <w:vAlign w:val="center"/>
          </w:tcPr>
          <w:p w14:paraId="68BAED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lang w:val="zh-CN"/>
              </w:rPr>
              <w:t>故障管理处理方案</w:t>
            </w:r>
          </w:p>
        </w:tc>
        <w:tc>
          <w:tcPr>
            <w:tcW w:w="7314" w:type="dxa"/>
            <w:gridSpan w:val="2"/>
            <w:shd w:val="clear" w:color="auto" w:fill="auto"/>
            <w:vAlign w:val="center"/>
          </w:tcPr>
          <w:p w14:paraId="52415AE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至少包含响应时间、故障处理方案、防止再发方案等方面内容</w:t>
            </w:r>
          </w:p>
          <w:p w14:paraId="5C726BD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满足招标文件要求，无瑕疵：</w:t>
            </w:r>
            <w:r>
              <w:rPr>
                <w:rFonts w:hint="eastAsia" w:ascii="Times New Roman" w:hAnsi="Times New Roman" w:eastAsia="宋体"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p w14:paraId="78E0D2F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w:t>
            </w:r>
            <w:r>
              <w:rPr>
                <w:rFonts w:hint="eastAsia" w:ascii="Times New Roman" w:hAnsi="Times New Roman" w:eastAsia="宋体"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p w14:paraId="065023B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w:t>
            </w:r>
            <w:r>
              <w:rPr>
                <w:rFonts w:hint="eastAsia" w:ascii="Times New Roman" w:hAnsi="Times New Roman" w:eastAsia="宋体"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2F60D2C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未提供方案或不满足招标文件要求或内容存在3处及以上瑕疵：0分；</w:t>
            </w:r>
          </w:p>
          <w:p w14:paraId="1ABF430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56401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ascii="Times New Roman" w:hAnsi="Times New Roman" w:eastAsia="宋体" w:cs="Times New Roman"/>
                <w:color w:val="auto"/>
                <w:kern w:val="0"/>
                <w:sz w:val="24"/>
                <w:szCs w:val="24"/>
                <w:highlight w:val="none"/>
                <w:lang w:val="en-US" w:eastAsia="zh-CN"/>
              </w:rPr>
              <w:t>6</w:t>
            </w:r>
          </w:p>
        </w:tc>
      </w:tr>
      <w:tr w14:paraId="0AFC8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BA183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6</w:t>
            </w:r>
          </w:p>
        </w:tc>
        <w:tc>
          <w:tcPr>
            <w:tcW w:w="1419" w:type="dxa"/>
            <w:shd w:val="clear" w:color="auto" w:fill="auto"/>
            <w:vAlign w:val="center"/>
          </w:tcPr>
          <w:p w14:paraId="5BA25E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lang w:val="zh-CN"/>
              </w:rPr>
              <w:t>突发事件管理方案</w:t>
            </w:r>
          </w:p>
        </w:tc>
        <w:tc>
          <w:tcPr>
            <w:tcW w:w="7314" w:type="dxa"/>
            <w:gridSpan w:val="2"/>
            <w:shd w:val="clear" w:color="auto" w:fill="auto"/>
            <w:vAlign w:val="center"/>
          </w:tcPr>
          <w:p w14:paraId="58B9549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至少包含针对恶意攻击、访问量激增等处理方案</w:t>
            </w:r>
          </w:p>
          <w:p w14:paraId="4073CAA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满足招标文件要求，无瑕疵：</w:t>
            </w:r>
            <w:r>
              <w:rPr>
                <w:rFonts w:hint="eastAsia" w:ascii="Times New Roman" w:hAnsi="Times New Roman" w:eastAsia="宋体"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p w14:paraId="380392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w:t>
            </w:r>
            <w:r>
              <w:rPr>
                <w:rFonts w:hint="eastAsia" w:ascii="Times New Roman" w:hAnsi="Times New Roman" w:eastAsia="宋体"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p w14:paraId="0C5948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w:t>
            </w:r>
            <w:r>
              <w:rPr>
                <w:rFonts w:hint="eastAsia" w:ascii="Times New Roman" w:hAnsi="Times New Roman" w:eastAsia="宋体"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1F41755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未提供方案或不满足招标文件要求或内容存在3处及以上瑕疵：0分；</w:t>
            </w:r>
          </w:p>
          <w:p w14:paraId="02C1FC8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34AA2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ascii="Times New Roman" w:hAnsi="Times New Roman" w:eastAsia="宋体" w:cs="Times New Roman"/>
                <w:color w:val="auto"/>
                <w:kern w:val="0"/>
                <w:sz w:val="24"/>
                <w:szCs w:val="24"/>
                <w:highlight w:val="none"/>
                <w:lang w:val="en-US" w:eastAsia="zh-CN"/>
              </w:rPr>
              <w:t>6</w:t>
            </w:r>
          </w:p>
        </w:tc>
      </w:tr>
      <w:tr w14:paraId="1FF08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573A4B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合计</w:t>
            </w:r>
          </w:p>
        </w:tc>
        <w:tc>
          <w:tcPr>
            <w:tcW w:w="1140" w:type="dxa"/>
            <w:shd w:val="clear" w:color="auto" w:fill="auto"/>
            <w:vAlign w:val="center"/>
          </w:tcPr>
          <w:p w14:paraId="0675D8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100</w:t>
            </w:r>
          </w:p>
        </w:tc>
      </w:tr>
    </w:tbl>
    <w:p w14:paraId="1CE0E2DD">
      <w:pPr>
        <w:autoSpaceDE w:val="0"/>
        <w:autoSpaceDN w:val="0"/>
        <w:adjustRightInd w:val="0"/>
        <w:spacing w:line="360" w:lineRule="auto"/>
        <w:ind w:firstLine="482" w:firstLineChars="200"/>
        <w:rPr>
          <w:rFonts w:hint="eastAsia"/>
          <w:b/>
          <w:bCs w:val="0"/>
          <w:color w:val="auto"/>
          <w:sz w:val="24"/>
          <w:highlight w:val="none"/>
          <w:lang w:val="en-US" w:eastAsia="zh-CN"/>
        </w:rPr>
      </w:pPr>
      <w:r>
        <w:rPr>
          <w:rFonts w:hint="eastAsia"/>
          <w:b/>
          <w:bCs w:val="0"/>
          <w:color w:val="auto"/>
          <w:sz w:val="24"/>
          <w:highlight w:val="none"/>
          <w:lang w:val="en-US" w:eastAsia="zh-CN"/>
        </w:rPr>
        <w:t>第四包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3D7B8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26697D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第一部分 价格（</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0分）</w:t>
            </w:r>
          </w:p>
        </w:tc>
        <w:tc>
          <w:tcPr>
            <w:tcW w:w="1140" w:type="dxa"/>
            <w:shd w:val="clear" w:color="auto" w:fill="auto"/>
            <w:vAlign w:val="center"/>
          </w:tcPr>
          <w:p w14:paraId="1B6152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10EF2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6B9A6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6E6C67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价格</w:t>
            </w:r>
          </w:p>
        </w:tc>
        <w:tc>
          <w:tcPr>
            <w:tcW w:w="7314" w:type="dxa"/>
            <w:gridSpan w:val="2"/>
            <w:shd w:val="clear" w:color="auto" w:fill="auto"/>
            <w:vAlign w:val="center"/>
          </w:tcPr>
          <w:p w14:paraId="1949D04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（1）报价超过采购预算的，响应无效，未超过采购预算的报价按以下公式进行计算。</w:t>
            </w:r>
          </w:p>
          <w:p w14:paraId="672DDA8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（2）价格得分=（评标基准价/报价）×</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p w14:paraId="0745B8F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注：满足磋商文件要求且报价最低的报价为评标基准价。</w:t>
            </w:r>
          </w:p>
        </w:tc>
        <w:tc>
          <w:tcPr>
            <w:tcW w:w="1140" w:type="dxa"/>
            <w:shd w:val="clear" w:color="auto" w:fill="auto"/>
            <w:vAlign w:val="center"/>
          </w:tcPr>
          <w:p w14:paraId="7D6495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tc>
      </w:tr>
      <w:tr w14:paraId="5C396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0F2090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第二部分 客观分（</w:t>
            </w:r>
            <w:r>
              <w:rPr>
                <w:rFonts w:hint="eastAsia" w:ascii="Times New Roman" w:hAnsi="Times New Roman" w:eastAsia="宋体" w:cs="Times New Roman"/>
                <w:color w:val="auto"/>
                <w:kern w:val="0"/>
                <w:sz w:val="24"/>
                <w:szCs w:val="24"/>
                <w:highlight w:val="none"/>
                <w:lang w:val="en-US" w:eastAsia="zh-CN"/>
              </w:rPr>
              <w:t>30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1B5358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4B3A6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663" w:type="dxa"/>
            <w:shd w:val="clear" w:color="auto" w:fill="auto"/>
            <w:noWrap/>
            <w:vAlign w:val="center"/>
          </w:tcPr>
          <w:p w14:paraId="7E4723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439DE9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投标人业绩</w:t>
            </w:r>
          </w:p>
        </w:tc>
        <w:tc>
          <w:tcPr>
            <w:tcW w:w="7314" w:type="dxa"/>
            <w:gridSpan w:val="2"/>
            <w:shd w:val="clear" w:color="auto" w:fill="auto"/>
            <w:vAlign w:val="center"/>
          </w:tcPr>
          <w:p w14:paraId="12A772D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完全按照以下要求提供投标人曾实施的</w:t>
            </w:r>
            <w:r>
              <w:rPr>
                <w:rFonts w:hint="eastAsia" w:cs="Times New Roman"/>
                <w:color w:val="auto"/>
                <w:kern w:val="0"/>
                <w:sz w:val="24"/>
                <w:szCs w:val="24"/>
                <w:highlight w:val="none"/>
                <w:lang w:val="en-US" w:eastAsia="zh-CN"/>
              </w:rPr>
              <w:t>软件系统</w:t>
            </w:r>
            <w:r>
              <w:rPr>
                <w:rFonts w:hint="default" w:ascii="Times New Roman" w:hAnsi="Times New Roman" w:eastAsia="宋体" w:cs="Times New Roman"/>
                <w:color w:val="auto"/>
                <w:kern w:val="0"/>
                <w:sz w:val="24"/>
                <w:szCs w:val="24"/>
                <w:highlight w:val="none"/>
              </w:rPr>
              <w:t>运维业绩，提供的证明材料均不得遮挡涂黑，否则不予认定加分。</w:t>
            </w:r>
          </w:p>
          <w:p w14:paraId="0033273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A. 合同原件扫描件。包括买卖双方名称及盖章、服务内容</w:t>
            </w:r>
            <w:r>
              <w:rPr>
                <w:rFonts w:hint="default" w:ascii="Times New Roman" w:hAnsi="Times New Roman" w:eastAsia="宋体" w:cs="Times New Roman"/>
                <w:bCs/>
                <w:color w:val="auto"/>
                <w:sz w:val="24"/>
                <w:szCs w:val="24"/>
                <w:highlight w:val="none"/>
              </w:rPr>
              <w:t>、合同签订日期（应为202</w:t>
            </w:r>
            <w:r>
              <w:rPr>
                <w:rFonts w:hint="eastAsia" w:cs="Times New Roman"/>
                <w:bCs/>
                <w:color w:val="auto"/>
                <w:sz w:val="24"/>
                <w:szCs w:val="24"/>
                <w:highlight w:val="none"/>
                <w:lang w:val="en-US" w:eastAsia="zh-CN"/>
              </w:rPr>
              <w:t>1</w:t>
            </w:r>
            <w:r>
              <w:rPr>
                <w:rFonts w:hint="default" w:ascii="Times New Roman" w:hAnsi="Times New Roman" w:eastAsia="宋体" w:cs="Times New Roman"/>
                <w:bCs/>
                <w:color w:val="auto"/>
                <w:sz w:val="24"/>
                <w:szCs w:val="24"/>
                <w:highlight w:val="none"/>
              </w:rPr>
              <w:t>年1月1日或以后）</w:t>
            </w:r>
            <w:r>
              <w:rPr>
                <w:rFonts w:hint="default" w:ascii="Times New Roman" w:hAnsi="Times New Roman" w:eastAsia="宋体" w:cs="Times New Roman"/>
                <w:color w:val="auto"/>
                <w:kern w:val="0"/>
                <w:sz w:val="24"/>
                <w:szCs w:val="24"/>
                <w:highlight w:val="none"/>
              </w:rPr>
              <w:t>。</w:t>
            </w:r>
          </w:p>
          <w:p w14:paraId="11B89F6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B. 上述合同履行良好的相关证明材料原件扫描件（</w:t>
            </w:r>
            <w:r>
              <w:rPr>
                <w:rFonts w:hint="default" w:ascii="Times New Roman" w:hAnsi="Times New Roman" w:eastAsia="宋体" w:cs="Times New Roman"/>
                <w:color w:val="auto"/>
                <w:sz w:val="24"/>
                <w:szCs w:val="24"/>
                <w:highlight w:val="none"/>
              </w:rPr>
              <w:t>加盖上述合同甲方单位公章或上述合同中所盖的甲方印章</w:t>
            </w:r>
            <w:r>
              <w:rPr>
                <w:rFonts w:hint="default" w:ascii="Times New Roman" w:hAnsi="Times New Roman" w:eastAsia="宋体" w:cs="Times New Roman"/>
                <w:color w:val="auto"/>
                <w:kern w:val="0"/>
                <w:sz w:val="24"/>
                <w:szCs w:val="24"/>
                <w:highlight w:val="none"/>
              </w:rPr>
              <w:t>）。</w:t>
            </w:r>
          </w:p>
          <w:p w14:paraId="5FAC113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每个业绩2分，最多</w:t>
            </w:r>
            <w:r>
              <w:rPr>
                <w:rFonts w:hint="eastAsia"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555ACC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6</w:t>
            </w:r>
          </w:p>
        </w:tc>
      </w:tr>
      <w:tr w14:paraId="1AACE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A2A10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rPr>
              <w:t>2</w:t>
            </w:r>
          </w:p>
        </w:tc>
        <w:tc>
          <w:tcPr>
            <w:tcW w:w="1425" w:type="dxa"/>
            <w:gridSpan w:val="2"/>
            <w:shd w:val="clear" w:color="auto" w:fill="auto"/>
            <w:vAlign w:val="center"/>
          </w:tcPr>
          <w:p w14:paraId="5599F4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kern w:val="0"/>
                <w:sz w:val="24"/>
                <w:szCs w:val="24"/>
                <w:highlight w:val="none"/>
              </w:rPr>
              <w:t>投标人相关证书评价</w:t>
            </w:r>
          </w:p>
        </w:tc>
        <w:tc>
          <w:tcPr>
            <w:tcW w:w="7308" w:type="dxa"/>
            <w:shd w:val="clear" w:color="auto" w:fill="auto"/>
            <w:vAlign w:val="center"/>
          </w:tcPr>
          <w:p w14:paraId="1806EA4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w:t>
            </w:r>
            <w:r>
              <w:rPr>
                <w:rFonts w:hint="eastAsia" w:cs="Times New Roman"/>
                <w:color w:val="auto"/>
                <w:kern w:val="0"/>
                <w:sz w:val="24"/>
                <w:szCs w:val="24"/>
                <w:highlight w:val="none"/>
                <w:lang w:val="en-US" w:eastAsia="zh-CN"/>
              </w:rPr>
              <w:t>具备</w:t>
            </w:r>
            <w:r>
              <w:rPr>
                <w:rFonts w:hint="default" w:ascii="Times New Roman" w:hAnsi="Times New Roman" w:eastAsia="宋体" w:cs="Times New Roman"/>
                <w:color w:val="auto"/>
                <w:kern w:val="0"/>
                <w:sz w:val="24"/>
                <w:szCs w:val="24"/>
                <w:highlight w:val="none"/>
                <w:lang w:val="en-US" w:eastAsia="zh-CN"/>
              </w:rPr>
              <w:t>信息技术服务管理体系认证、中国网络安全审查认证和市场监管大数据中心（或中国网络安全审查技术与认证中心）颁发的信息安全服务资质认证--软件安全开发证书、信息系统安全运维证书、</w:t>
            </w:r>
            <w:r>
              <w:rPr>
                <w:rFonts w:hint="eastAsia" w:cs="Times New Roman"/>
                <w:color w:val="auto"/>
                <w:kern w:val="0"/>
                <w:sz w:val="24"/>
                <w:szCs w:val="24"/>
                <w:highlight w:val="none"/>
                <w:lang w:val="en-US" w:eastAsia="zh-CN"/>
              </w:rPr>
              <w:t>信息系统建设和服务能力CS2级或以上</w:t>
            </w:r>
            <w:r>
              <w:rPr>
                <w:rFonts w:hint="default" w:ascii="Times New Roman" w:hAnsi="Times New Roman" w:eastAsia="宋体" w:cs="Times New Roman"/>
                <w:color w:val="auto"/>
                <w:kern w:val="0"/>
                <w:sz w:val="24"/>
                <w:szCs w:val="24"/>
                <w:highlight w:val="none"/>
                <w:lang w:val="en-US" w:eastAsia="zh-CN"/>
              </w:rPr>
              <w:t>，提供证书扫描件，每个合格的证书扫描件得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lang w:val="en-US" w:eastAsia="zh-CN"/>
              </w:rPr>
              <w:t>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lang w:val="en-US" w:eastAsia="zh-CN"/>
              </w:rPr>
              <w:t>分；</w:t>
            </w:r>
          </w:p>
        </w:tc>
        <w:tc>
          <w:tcPr>
            <w:tcW w:w="1140" w:type="dxa"/>
            <w:shd w:val="clear" w:color="auto" w:fill="auto"/>
            <w:vAlign w:val="center"/>
          </w:tcPr>
          <w:p w14:paraId="2F0EB2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p>
        </w:tc>
      </w:tr>
      <w:tr w14:paraId="071CF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663" w:type="dxa"/>
            <w:shd w:val="clear" w:color="auto" w:fill="auto"/>
            <w:noWrap/>
            <w:vAlign w:val="center"/>
          </w:tcPr>
          <w:p w14:paraId="722D73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3</w:t>
            </w:r>
          </w:p>
        </w:tc>
        <w:tc>
          <w:tcPr>
            <w:tcW w:w="1425" w:type="dxa"/>
            <w:gridSpan w:val="2"/>
            <w:shd w:val="clear" w:color="auto" w:fill="auto"/>
            <w:vAlign w:val="center"/>
          </w:tcPr>
          <w:p w14:paraId="0C0EC3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投入人员评价</w:t>
            </w:r>
          </w:p>
        </w:tc>
        <w:tc>
          <w:tcPr>
            <w:tcW w:w="7308" w:type="dxa"/>
            <w:shd w:val="clear" w:color="auto" w:fill="auto"/>
            <w:vAlign w:val="center"/>
          </w:tcPr>
          <w:p w14:paraId="7E18524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投入的人员为投标单位正式员工，提供姓名、递交响应文件</w:t>
            </w:r>
            <w:r>
              <w:rPr>
                <w:rFonts w:hint="default" w:ascii="Times New Roman" w:hAnsi="Times New Roman" w:eastAsia="宋体" w:cs="Times New Roman"/>
                <w:color w:val="auto"/>
                <w:sz w:val="24"/>
                <w:szCs w:val="24"/>
                <w:highlight w:val="none"/>
              </w:rPr>
              <w:t>截止</w:t>
            </w:r>
            <w:r>
              <w:rPr>
                <w:rFonts w:hint="default" w:ascii="Times New Roman" w:hAnsi="Times New Roman" w:eastAsia="宋体" w:cs="Times New Roman"/>
                <w:color w:val="auto"/>
                <w:kern w:val="0"/>
                <w:sz w:val="24"/>
                <w:szCs w:val="24"/>
                <w:highlight w:val="none"/>
              </w:rPr>
              <w:t>日前三个月中任意一个月的由投标单位为投入人员缴纳社会保险证明扫描件，否则不予认定加分。</w:t>
            </w:r>
          </w:p>
          <w:p w14:paraId="10B6CD9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r>
              <w:rPr>
                <w:rFonts w:hint="eastAsia" w:ascii="宋体" w:hAnsi="宋体" w:eastAsia="宋体" w:cs="宋体"/>
                <w:b w:val="0"/>
                <w:bCs w:val="0"/>
                <w:color w:val="auto"/>
                <w:kern w:val="0"/>
                <w:sz w:val="24"/>
                <w:szCs w:val="24"/>
                <w:highlight w:val="none"/>
                <w:lang w:val="en-US" w:eastAsia="zh-CN" w:bidi="ar"/>
              </w:rPr>
              <w:t>项目负责人</w:t>
            </w:r>
            <w:r>
              <w:rPr>
                <w:rFonts w:hint="default" w:ascii="Times New Roman" w:hAnsi="Times New Roman" w:eastAsia="宋体" w:cs="Times New Roman"/>
                <w:color w:val="auto"/>
                <w:kern w:val="0"/>
                <w:sz w:val="24"/>
                <w:szCs w:val="24"/>
                <w:highlight w:val="none"/>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color w:val="auto"/>
                <w:sz w:val="24"/>
                <w:szCs w:val="21"/>
                <w:highlight w:val="none"/>
                <w:lang w:eastAsia="zh-CN"/>
              </w:rPr>
              <w:t>、</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b w:val="0"/>
                <w:bCs w:val="0"/>
                <w:color w:val="auto"/>
                <w:kern w:val="0"/>
                <w:sz w:val="24"/>
                <w:szCs w:val="24"/>
                <w:highlight w:val="none"/>
                <w:lang w:bidi="ar"/>
              </w:rPr>
              <w:t>系统分析师</w:t>
            </w:r>
            <w:r>
              <w:rPr>
                <w:rFonts w:hint="eastAsia" w:eastAsiaTheme="minorEastAsia"/>
                <w:color w:val="auto"/>
                <w:kern w:val="0"/>
                <w:sz w:val="24"/>
                <w:szCs w:val="24"/>
                <w:highlight w:val="none"/>
              </w:rPr>
              <w:t>）</w:t>
            </w:r>
            <w:r>
              <w:rPr>
                <w:rFonts w:hint="eastAsia"/>
                <w:color w:val="auto"/>
                <w:sz w:val="24"/>
                <w:szCs w:val="21"/>
                <w:highlight w:val="none"/>
                <w:lang w:eastAsia="zh-CN"/>
              </w:rPr>
              <w:t>、</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b w:val="0"/>
                <w:bCs w:val="0"/>
                <w:color w:val="auto"/>
                <w:kern w:val="0"/>
                <w:sz w:val="24"/>
                <w:szCs w:val="24"/>
                <w:highlight w:val="none"/>
                <w:lang w:val="en-US" w:eastAsia="zh-CN" w:bidi="ar"/>
              </w:rPr>
              <w:t>系统规划与管理师）</w:t>
            </w:r>
            <w:r>
              <w:rPr>
                <w:rFonts w:hint="eastAsia" w:ascii="宋体" w:hAnsi="宋体" w:cs="宋体"/>
                <w:b w:val="0"/>
                <w:bCs w:val="0"/>
                <w:color w:val="auto"/>
                <w:kern w:val="0"/>
                <w:sz w:val="24"/>
                <w:szCs w:val="24"/>
                <w:highlight w:val="none"/>
                <w:lang w:val="en-US" w:eastAsia="zh-CN" w:bidi="ar"/>
              </w:rPr>
              <w:t>、</w:t>
            </w:r>
            <w:r>
              <w:rPr>
                <w:rFonts w:hint="eastAsia" w:ascii="宋体" w:hAnsi="宋体" w:eastAsia="宋体" w:cs="宋体"/>
                <w:b w:val="0"/>
                <w:bCs w:val="0"/>
                <w:color w:val="auto"/>
                <w:kern w:val="0"/>
                <w:sz w:val="24"/>
                <w:szCs w:val="24"/>
                <w:highlight w:val="none"/>
                <w:lang w:bidi="ar"/>
              </w:rPr>
              <w:t>CCRC信息安全保障人员认证（CISAW）证书（安全软件）</w:t>
            </w:r>
            <w:r>
              <w:rPr>
                <w:rFonts w:hint="default" w:ascii="Times New Roman" w:hAnsi="Times New Roman" w:eastAsia="宋体" w:cs="Times New Roman"/>
                <w:color w:val="auto"/>
                <w:kern w:val="0"/>
                <w:sz w:val="24"/>
                <w:szCs w:val="24"/>
                <w:highlight w:val="none"/>
              </w:rPr>
              <w:t>，提供以上证书扫描件，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8</w:t>
            </w:r>
            <w:r>
              <w:rPr>
                <w:rFonts w:hint="default" w:ascii="Times New Roman" w:hAnsi="Times New Roman" w:eastAsia="宋体" w:cs="Times New Roman"/>
                <w:color w:val="auto"/>
                <w:kern w:val="0"/>
                <w:sz w:val="24"/>
                <w:szCs w:val="24"/>
                <w:highlight w:val="none"/>
              </w:rPr>
              <w:t>分；</w:t>
            </w:r>
          </w:p>
          <w:p w14:paraId="385B10F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w:t>
            </w:r>
            <w:r>
              <w:rPr>
                <w:rFonts w:hint="default" w:ascii="Times New Roman" w:hAnsi="Times New Roman"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w:t>
            </w:r>
            <w:r>
              <w:rPr>
                <w:rFonts w:hint="eastAsia" w:ascii="宋体" w:hAnsi="宋体" w:eastAsia="宋体" w:cs="宋体"/>
                <w:b w:val="0"/>
                <w:bCs w:val="0"/>
                <w:color w:val="auto"/>
                <w:kern w:val="0"/>
                <w:sz w:val="24"/>
                <w:szCs w:val="24"/>
                <w:highlight w:val="none"/>
                <w:lang w:val="en-US" w:eastAsia="zh-CN" w:bidi="ar"/>
              </w:rPr>
              <w:t>项目负责人</w:t>
            </w:r>
            <w:r>
              <w:rPr>
                <w:rFonts w:hint="eastAsia" w:ascii="宋体" w:hAnsi="宋体" w:eastAsia="宋体" w:cs="宋体"/>
                <w:color w:val="auto"/>
                <w:kern w:val="0"/>
                <w:sz w:val="24"/>
                <w:szCs w:val="24"/>
                <w:highlight w:val="none"/>
              </w:rPr>
              <w:t>具备</w:t>
            </w:r>
            <w:r>
              <w:rPr>
                <w:rFonts w:hint="eastAsia" w:ascii="宋体" w:hAnsi="宋体" w:eastAsia="宋体" w:cs="宋体"/>
                <w:color w:val="auto"/>
                <w:kern w:val="0"/>
                <w:sz w:val="24"/>
                <w:szCs w:val="24"/>
                <w:highlight w:val="none"/>
                <w:lang w:val="en-US" w:eastAsia="zh-CN"/>
              </w:rPr>
              <w:t>3年以上的政府机关或事业单位信息化研发经验</w:t>
            </w:r>
            <w:r>
              <w:rPr>
                <w:rFonts w:hint="eastAsia" w:ascii="宋体" w:hAnsi="宋体" w:eastAsia="宋体" w:cs="宋体"/>
                <w:color w:val="auto"/>
                <w:kern w:val="0"/>
                <w:sz w:val="24"/>
                <w:szCs w:val="24"/>
                <w:highlight w:val="none"/>
              </w:rPr>
              <w:t>，提供以上人员工作简历</w:t>
            </w:r>
            <w:r>
              <w:rPr>
                <w:rFonts w:hint="eastAsia" w:ascii="宋体" w:hAnsi="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每个满足以上要求的人员得</w:t>
            </w:r>
            <w:r>
              <w:rPr>
                <w:rFonts w:hint="eastAsia" w:ascii="宋体" w:hAnsi="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分，最多</w:t>
            </w:r>
            <w:r>
              <w:rPr>
                <w:rFonts w:hint="eastAsia" w:ascii="宋体" w:hAnsi="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分</w:t>
            </w:r>
            <w:r>
              <w:rPr>
                <w:rFonts w:hint="eastAsia" w:ascii="宋体" w:hAnsi="宋体" w:cs="宋体"/>
                <w:color w:val="auto"/>
                <w:kern w:val="0"/>
                <w:sz w:val="24"/>
                <w:szCs w:val="24"/>
                <w:highlight w:val="none"/>
                <w:lang w:eastAsia="zh-CN"/>
              </w:rPr>
              <w:t>；</w:t>
            </w:r>
          </w:p>
          <w:p w14:paraId="5B7543C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w:t>
            </w:r>
            <w:r>
              <w:rPr>
                <w:rFonts w:hint="eastAsia" w:ascii="宋体" w:hAnsi="宋体" w:cs="宋体"/>
                <w:b w:val="0"/>
                <w:bCs w:val="0"/>
                <w:color w:val="auto"/>
                <w:kern w:val="0"/>
                <w:sz w:val="24"/>
                <w:szCs w:val="24"/>
                <w:highlight w:val="none"/>
                <w:lang w:val="en-US" w:eastAsia="zh-CN" w:bidi="ar"/>
              </w:rPr>
              <w:t>运维人员</w:t>
            </w:r>
            <w:r>
              <w:rPr>
                <w:rFonts w:hint="default" w:ascii="Times New Roman" w:hAnsi="Times New Roman" w:eastAsia="宋体" w:cs="Times New Roman"/>
                <w:color w:val="auto"/>
                <w:kern w:val="0"/>
                <w:sz w:val="24"/>
                <w:szCs w:val="24"/>
                <w:highlight w:val="none"/>
              </w:rPr>
              <w:t>具备</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r>
              <w:rPr>
                <w:rFonts w:hint="default" w:ascii="Times New Roman" w:hAnsi="Times New Roman" w:eastAsia="宋体" w:cs="Times New Roman"/>
                <w:color w:val="auto"/>
                <w:kern w:val="0"/>
                <w:sz w:val="24"/>
                <w:szCs w:val="24"/>
                <w:highlight w:val="none"/>
              </w:rPr>
              <w:t>，提供以上证书扫描件，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2E4DA9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13</w:t>
            </w:r>
          </w:p>
        </w:tc>
      </w:tr>
      <w:tr w14:paraId="5905A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F6E52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4</w:t>
            </w:r>
          </w:p>
        </w:tc>
        <w:tc>
          <w:tcPr>
            <w:tcW w:w="1425" w:type="dxa"/>
            <w:gridSpan w:val="2"/>
            <w:shd w:val="clear" w:color="auto" w:fill="auto"/>
            <w:vAlign w:val="center"/>
          </w:tcPr>
          <w:p w14:paraId="7DFBD3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投标人承诺评价</w:t>
            </w:r>
          </w:p>
        </w:tc>
        <w:tc>
          <w:tcPr>
            <w:tcW w:w="7308" w:type="dxa"/>
            <w:shd w:val="clear" w:color="auto" w:fill="auto"/>
            <w:vAlign w:val="center"/>
          </w:tcPr>
          <w:p w14:paraId="0DC4E9C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承诺完全满足磋商文件“报价要求”、“时间地点要求”、“付款方式要求”和技术要求中非“★”号要求的：</w:t>
            </w:r>
            <w:r>
              <w:rPr>
                <w:rFonts w:hint="eastAsia" w:cs="Times New Roman"/>
                <w:color w:val="auto"/>
                <w:kern w:val="0"/>
                <w:sz w:val="24"/>
                <w:szCs w:val="24"/>
                <w:highlight w:val="none"/>
                <w:lang w:val="en-US" w:eastAsia="zh-CN"/>
              </w:rPr>
              <w:t>7</w:t>
            </w:r>
            <w:r>
              <w:rPr>
                <w:rFonts w:hint="default" w:ascii="Times New Roman" w:hAnsi="Times New Roman" w:eastAsia="宋体" w:cs="Times New Roman"/>
                <w:color w:val="auto"/>
                <w:kern w:val="0"/>
                <w:sz w:val="24"/>
                <w:szCs w:val="24"/>
                <w:highlight w:val="none"/>
              </w:rPr>
              <w:t>分，其他0分。</w:t>
            </w:r>
          </w:p>
        </w:tc>
        <w:tc>
          <w:tcPr>
            <w:tcW w:w="1140" w:type="dxa"/>
            <w:shd w:val="clear" w:color="auto" w:fill="auto"/>
            <w:vAlign w:val="center"/>
          </w:tcPr>
          <w:p w14:paraId="16B1F5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7</w:t>
            </w:r>
          </w:p>
        </w:tc>
      </w:tr>
      <w:tr w14:paraId="559EA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67DDD7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第三部分 主观分（</w:t>
            </w:r>
            <w:r>
              <w:rPr>
                <w:rFonts w:hint="eastAsia" w:ascii="Times New Roman" w:hAnsi="Times New Roman" w:eastAsia="宋体" w:cs="Times New Roman"/>
                <w:color w:val="auto"/>
                <w:kern w:val="0"/>
                <w:sz w:val="24"/>
                <w:szCs w:val="24"/>
                <w:highlight w:val="none"/>
                <w:lang w:val="en-US" w:eastAsia="zh-CN"/>
              </w:rPr>
              <w:t>60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1E28DE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3A398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402C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5C3104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项目理解分析</w:t>
            </w:r>
          </w:p>
        </w:tc>
        <w:tc>
          <w:tcPr>
            <w:tcW w:w="7314" w:type="dxa"/>
            <w:gridSpan w:val="2"/>
            <w:shd w:val="clear" w:color="auto" w:fill="auto"/>
            <w:vAlign w:val="center"/>
          </w:tcPr>
          <w:p w14:paraId="0253AB9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lang w:val="zh-CN"/>
              </w:rPr>
            </w:pPr>
            <w:r>
              <w:rPr>
                <w:rFonts w:hint="default" w:ascii="Times New Roman" w:hAnsi="Times New Roman" w:eastAsia="宋体" w:cs="Times New Roman"/>
                <w:color w:val="auto"/>
                <w:kern w:val="0"/>
                <w:sz w:val="24"/>
                <w:szCs w:val="24"/>
                <w:highlight w:val="none"/>
              </w:rPr>
              <w:t>至少包含系统现状、任务目标、</w:t>
            </w:r>
            <w:r>
              <w:rPr>
                <w:rFonts w:hint="default" w:ascii="Times New Roman" w:hAnsi="Times New Roman" w:eastAsia="宋体" w:cs="Times New Roman"/>
                <w:color w:val="auto"/>
                <w:kern w:val="0"/>
                <w:sz w:val="24"/>
                <w:szCs w:val="24"/>
                <w:highlight w:val="none"/>
                <w:lang w:val="zh-CN"/>
              </w:rPr>
              <w:t>实施要求等方面内容</w:t>
            </w:r>
          </w:p>
          <w:p w14:paraId="69A6894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满足招标文件要求，无瑕疵：</w:t>
            </w:r>
            <w:r>
              <w:rPr>
                <w:rFonts w:hint="default" w:ascii="Times New Roman" w:hAnsi="Times New Roman" w:eastAsia="宋体" w:cs="Times New Roman"/>
                <w:color w:val="auto"/>
                <w:kern w:val="0"/>
                <w:sz w:val="24"/>
                <w:szCs w:val="24"/>
                <w:highlight w:val="none"/>
                <w:lang w:val="en-US" w:eastAsia="zh-CN"/>
              </w:rPr>
              <w:t>10</w:t>
            </w:r>
            <w:r>
              <w:rPr>
                <w:rFonts w:hint="default" w:ascii="Times New Roman" w:hAnsi="Times New Roman" w:eastAsia="宋体" w:cs="Times New Roman"/>
                <w:color w:val="auto"/>
                <w:kern w:val="0"/>
                <w:sz w:val="24"/>
                <w:szCs w:val="24"/>
                <w:highlight w:val="none"/>
              </w:rPr>
              <w:t>分；</w:t>
            </w:r>
          </w:p>
          <w:p w14:paraId="6BD126A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方案内容存在1处瑕疵：8分；</w:t>
            </w:r>
          </w:p>
          <w:p w14:paraId="02AE706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w:t>
            </w:r>
            <w:r>
              <w:rPr>
                <w:rFonts w:hint="default" w:ascii="Times New Roman" w:hAnsi="Times New Roman"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p w14:paraId="2E4AC99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处瑕疵：</w:t>
            </w:r>
            <w:r>
              <w:rPr>
                <w:rFonts w:hint="default" w:ascii="Times New Roman" w:hAnsi="Times New Roman"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p w14:paraId="07061C5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w:t>
            </w:r>
            <w:r>
              <w:rPr>
                <w:rFonts w:hint="default" w:ascii="Times New Roman" w:hAnsi="Times New Roman"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处瑕疵：</w:t>
            </w:r>
            <w:r>
              <w:rPr>
                <w:rFonts w:hint="default" w:ascii="Times New Roman" w:hAnsi="Times New Roman"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63592D8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未提供方案或不满足招标文件要求或内容存在</w:t>
            </w:r>
            <w:r>
              <w:rPr>
                <w:rFonts w:hint="default" w:ascii="Times New Roman" w:hAnsi="Times New Roman" w:cs="Times New Roman"/>
                <w:color w:val="auto"/>
                <w:kern w:val="0"/>
                <w:sz w:val="24"/>
                <w:szCs w:val="24"/>
                <w:highlight w:val="none"/>
                <w:lang w:val="en-US" w:eastAsia="zh-CN"/>
              </w:rPr>
              <w:t>5</w:t>
            </w:r>
            <w:r>
              <w:rPr>
                <w:rFonts w:hint="default" w:ascii="Times New Roman" w:hAnsi="Times New Roman" w:eastAsia="宋体" w:cs="Times New Roman"/>
                <w:color w:val="auto"/>
                <w:kern w:val="0"/>
                <w:sz w:val="24"/>
                <w:szCs w:val="24"/>
                <w:highlight w:val="none"/>
              </w:rPr>
              <w:t>处及以上瑕疵：0分；</w:t>
            </w:r>
          </w:p>
          <w:p w14:paraId="30EEE32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D3D90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10</w:t>
            </w:r>
          </w:p>
        </w:tc>
      </w:tr>
      <w:tr w14:paraId="73B3F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54E44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2</w:t>
            </w:r>
          </w:p>
        </w:tc>
        <w:tc>
          <w:tcPr>
            <w:tcW w:w="1419" w:type="dxa"/>
            <w:shd w:val="clear" w:color="auto" w:fill="auto"/>
            <w:vAlign w:val="center"/>
          </w:tcPr>
          <w:p w14:paraId="59CDF3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lang w:val="zh-CN"/>
              </w:rPr>
              <w:t>项目服务人员评价</w:t>
            </w:r>
          </w:p>
        </w:tc>
        <w:tc>
          <w:tcPr>
            <w:tcW w:w="7314" w:type="dxa"/>
            <w:gridSpan w:val="2"/>
            <w:shd w:val="clear" w:color="auto" w:fill="auto"/>
            <w:vAlign w:val="center"/>
          </w:tcPr>
          <w:p w14:paraId="3A7B3CE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zh-CN" w:eastAsia="zh-CN"/>
              </w:rPr>
              <w:t>至少包含人员分工、岗位职责、人员工作经验及技术实力、人员稳定性保障措施等方面内容。</w:t>
            </w:r>
          </w:p>
          <w:p w14:paraId="1D28952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满足招标文件要求，无瑕疵：</w:t>
            </w:r>
            <w:r>
              <w:rPr>
                <w:rFonts w:hint="default" w:ascii="Times New Roman" w:hAnsi="Times New Roman" w:eastAsia="宋体"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p w14:paraId="30E1AC9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w:t>
            </w:r>
            <w:r>
              <w:rPr>
                <w:rFonts w:hint="default" w:ascii="Times New Roman" w:hAnsi="Times New Roman" w:eastAsia="宋体"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20FF8F2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未提供方案或不满足招标文件要求或内容存在</w:t>
            </w:r>
            <w:r>
              <w:rPr>
                <w:rFonts w:hint="default" w:ascii="Times New Roman" w:hAnsi="Times New Roman" w:eastAsia="宋体"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处及以上瑕疵：0分；</w:t>
            </w:r>
          </w:p>
          <w:p w14:paraId="2057BFC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A1B92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4</w:t>
            </w:r>
          </w:p>
        </w:tc>
      </w:tr>
      <w:tr w14:paraId="126BF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10D74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3</w:t>
            </w:r>
          </w:p>
        </w:tc>
        <w:tc>
          <w:tcPr>
            <w:tcW w:w="1419" w:type="dxa"/>
            <w:shd w:val="clear" w:color="auto" w:fill="auto"/>
            <w:vAlign w:val="center"/>
          </w:tcPr>
          <w:p w14:paraId="466E3B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lang w:val="zh-CN"/>
              </w:rPr>
              <w:t>整体运行维护方案评价</w:t>
            </w:r>
          </w:p>
        </w:tc>
        <w:tc>
          <w:tcPr>
            <w:tcW w:w="7314" w:type="dxa"/>
            <w:gridSpan w:val="2"/>
            <w:shd w:val="clear" w:color="auto" w:fill="auto"/>
            <w:vAlign w:val="center"/>
          </w:tcPr>
          <w:p w14:paraId="62998BF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lang w:val="zh-CN"/>
              </w:rPr>
            </w:pPr>
            <w:r>
              <w:rPr>
                <w:rFonts w:hint="default" w:ascii="Times New Roman" w:hAnsi="Times New Roman" w:eastAsia="宋体" w:cs="Times New Roman"/>
                <w:color w:val="auto"/>
                <w:kern w:val="0"/>
                <w:sz w:val="24"/>
                <w:szCs w:val="24"/>
                <w:highlight w:val="none"/>
                <w:lang w:val="zh-CN"/>
              </w:rPr>
              <w:t>至少包含针对本项目系统的运维计划、实施方案等方面内容</w:t>
            </w:r>
          </w:p>
          <w:p w14:paraId="4A36F5C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满足招标文件要求，无瑕疵：</w:t>
            </w:r>
            <w:r>
              <w:rPr>
                <w:rFonts w:hint="default" w:ascii="Times New Roman" w:hAnsi="Times New Roman" w:cs="Times New Roman"/>
                <w:color w:val="auto"/>
                <w:kern w:val="0"/>
                <w:sz w:val="24"/>
                <w:szCs w:val="24"/>
                <w:highlight w:val="none"/>
                <w:lang w:val="en-US" w:eastAsia="zh-CN"/>
              </w:rPr>
              <w:t>12</w:t>
            </w:r>
            <w:r>
              <w:rPr>
                <w:rFonts w:hint="default" w:ascii="Times New Roman" w:hAnsi="Times New Roman" w:cs="Times New Roman"/>
                <w:color w:val="auto"/>
                <w:kern w:val="0"/>
                <w:sz w:val="24"/>
                <w:szCs w:val="24"/>
                <w:highlight w:val="none"/>
              </w:rPr>
              <w:t>分；</w:t>
            </w:r>
          </w:p>
          <w:p w14:paraId="21B345D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方案内容存在1处瑕疵：</w:t>
            </w:r>
            <w:r>
              <w:rPr>
                <w:rFonts w:hint="default" w:ascii="Times New Roman" w:hAnsi="Times New Roman" w:cs="Times New Roman"/>
                <w:color w:val="auto"/>
                <w:kern w:val="0"/>
                <w:sz w:val="24"/>
                <w:szCs w:val="24"/>
                <w:highlight w:val="none"/>
                <w:lang w:val="en-US" w:eastAsia="zh-CN"/>
              </w:rPr>
              <w:t>9</w:t>
            </w:r>
            <w:r>
              <w:rPr>
                <w:rFonts w:hint="default" w:ascii="Times New Roman" w:hAnsi="Times New Roman" w:cs="Times New Roman"/>
                <w:color w:val="auto"/>
                <w:kern w:val="0"/>
                <w:sz w:val="24"/>
                <w:szCs w:val="24"/>
                <w:highlight w:val="none"/>
              </w:rPr>
              <w:t>分；</w:t>
            </w:r>
          </w:p>
          <w:p w14:paraId="19F3FCD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方案内容存在2处瑕疵：</w:t>
            </w:r>
            <w:r>
              <w:rPr>
                <w:rFonts w:hint="default" w:ascii="Times New Roman" w:hAnsi="Times New Roman" w:cs="Times New Roman"/>
                <w:color w:val="auto"/>
                <w:kern w:val="0"/>
                <w:sz w:val="24"/>
                <w:szCs w:val="24"/>
                <w:highlight w:val="none"/>
                <w:lang w:val="en-US" w:eastAsia="zh-CN"/>
              </w:rPr>
              <w:t>6</w:t>
            </w:r>
            <w:r>
              <w:rPr>
                <w:rFonts w:hint="default" w:ascii="Times New Roman" w:hAnsi="Times New Roman" w:cs="Times New Roman"/>
                <w:color w:val="auto"/>
                <w:kern w:val="0"/>
                <w:sz w:val="24"/>
                <w:szCs w:val="24"/>
                <w:highlight w:val="none"/>
              </w:rPr>
              <w:t>分；</w:t>
            </w:r>
          </w:p>
          <w:p w14:paraId="17A79CA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cs="Times New Roman"/>
                <w:color w:val="auto"/>
                <w:kern w:val="0"/>
                <w:sz w:val="24"/>
                <w:szCs w:val="24"/>
                <w:highlight w:val="none"/>
              </w:rPr>
              <w:t>处瑕疵：</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cs="Times New Roman"/>
                <w:color w:val="auto"/>
                <w:kern w:val="0"/>
                <w:sz w:val="24"/>
                <w:szCs w:val="24"/>
                <w:highlight w:val="none"/>
              </w:rPr>
              <w:t>分；</w:t>
            </w:r>
          </w:p>
          <w:p w14:paraId="37D201D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未提供方案或不满足招标文件要求或内容存在</w:t>
            </w:r>
            <w:r>
              <w:rPr>
                <w:rFonts w:hint="default" w:ascii="Times New Roman" w:hAnsi="Times New Roman" w:cs="Times New Roman"/>
                <w:color w:val="auto"/>
                <w:kern w:val="0"/>
                <w:sz w:val="24"/>
                <w:szCs w:val="24"/>
                <w:highlight w:val="none"/>
                <w:lang w:val="en-US" w:eastAsia="zh-CN"/>
              </w:rPr>
              <w:t>4</w:t>
            </w:r>
            <w:r>
              <w:rPr>
                <w:rFonts w:hint="default" w:ascii="Times New Roman" w:hAnsi="Times New Roman" w:cs="Times New Roman"/>
                <w:color w:val="auto"/>
                <w:kern w:val="0"/>
                <w:sz w:val="24"/>
                <w:szCs w:val="24"/>
                <w:highlight w:val="none"/>
              </w:rPr>
              <w:t>处及以上瑕疵：0分；</w:t>
            </w:r>
          </w:p>
          <w:p w14:paraId="1D5F950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BA354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12</w:t>
            </w:r>
          </w:p>
        </w:tc>
      </w:tr>
      <w:tr w14:paraId="45B1B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E0A3C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4</w:t>
            </w:r>
          </w:p>
        </w:tc>
        <w:tc>
          <w:tcPr>
            <w:tcW w:w="1419" w:type="dxa"/>
            <w:shd w:val="clear" w:color="auto" w:fill="auto"/>
            <w:vAlign w:val="center"/>
          </w:tcPr>
          <w:p w14:paraId="745D84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zh-CN"/>
              </w:rPr>
              <w:t>定期预防性检查方案</w:t>
            </w:r>
          </w:p>
        </w:tc>
        <w:tc>
          <w:tcPr>
            <w:tcW w:w="7314" w:type="dxa"/>
            <w:gridSpan w:val="2"/>
            <w:shd w:val="clear" w:color="auto" w:fill="auto"/>
            <w:vAlign w:val="center"/>
          </w:tcPr>
          <w:p w14:paraId="69CDB9D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lang w:val="zh-CN"/>
              </w:rPr>
            </w:pPr>
            <w:r>
              <w:rPr>
                <w:rFonts w:hint="default" w:ascii="Times New Roman" w:hAnsi="Times New Roman" w:eastAsia="宋体" w:cs="Times New Roman"/>
                <w:color w:val="auto"/>
                <w:kern w:val="0"/>
                <w:sz w:val="24"/>
                <w:szCs w:val="24"/>
                <w:highlight w:val="none"/>
                <w:lang w:val="zh-CN"/>
              </w:rPr>
              <w:t>至少包含预防性检查频率、检查内容、发现问题后的解决方案等方面内容</w:t>
            </w:r>
          </w:p>
          <w:p w14:paraId="01BFA58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满足招标文件要求，无瑕疵：</w:t>
            </w:r>
            <w:r>
              <w:rPr>
                <w:rFonts w:hint="default" w:ascii="Times New Roman" w:hAnsi="Times New Roman" w:eastAsia="宋体" w:cs="Times New Roman"/>
                <w:color w:val="auto"/>
                <w:kern w:val="0"/>
                <w:sz w:val="24"/>
                <w:szCs w:val="24"/>
                <w:highlight w:val="none"/>
                <w:lang w:val="en-US" w:eastAsia="zh-CN"/>
              </w:rPr>
              <w:t>10</w:t>
            </w:r>
            <w:r>
              <w:rPr>
                <w:rFonts w:hint="default" w:ascii="Times New Roman" w:hAnsi="Times New Roman" w:eastAsia="宋体" w:cs="Times New Roman"/>
                <w:color w:val="auto"/>
                <w:kern w:val="0"/>
                <w:sz w:val="24"/>
                <w:szCs w:val="24"/>
                <w:highlight w:val="none"/>
              </w:rPr>
              <w:t>分；</w:t>
            </w:r>
          </w:p>
          <w:p w14:paraId="6DD0855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方案内容存在1处瑕疵：8分；</w:t>
            </w:r>
          </w:p>
          <w:p w14:paraId="2C918C0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w:t>
            </w:r>
            <w:r>
              <w:rPr>
                <w:rFonts w:hint="default" w:ascii="Times New Roman" w:hAnsi="Times New Roman"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p w14:paraId="5FA1484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处瑕疵：</w:t>
            </w:r>
            <w:r>
              <w:rPr>
                <w:rFonts w:hint="default" w:ascii="Times New Roman" w:hAnsi="Times New Roman"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p w14:paraId="0E265AA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w:t>
            </w:r>
            <w:r>
              <w:rPr>
                <w:rFonts w:hint="default" w:ascii="Times New Roman" w:hAnsi="Times New Roman"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处瑕疵：</w:t>
            </w:r>
            <w:r>
              <w:rPr>
                <w:rFonts w:hint="default" w:ascii="Times New Roman" w:hAnsi="Times New Roman"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44A347D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未提供方案或不满足招标文件要求或内容存在</w:t>
            </w:r>
            <w:r>
              <w:rPr>
                <w:rFonts w:hint="default" w:ascii="Times New Roman" w:hAnsi="Times New Roman" w:cs="Times New Roman"/>
                <w:color w:val="auto"/>
                <w:kern w:val="0"/>
                <w:sz w:val="24"/>
                <w:szCs w:val="24"/>
                <w:highlight w:val="none"/>
                <w:lang w:val="en-US" w:eastAsia="zh-CN"/>
              </w:rPr>
              <w:t>5</w:t>
            </w:r>
            <w:r>
              <w:rPr>
                <w:rFonts w:hint="default" w:ascii="Times New Roman" w:hAnsi="Times New Roman" w:eastAsia="宋体" w:cs="Times New Roman"/>
                <w:color w:val="auto"/>
                <w:kern w:val="0"/>
                <w:sz w:val="24"/>
                <w:szCs w:val="24"/>
                <w:highlight w:val="none"/>
              </w:rPr>
              <w:t>处及以上瑕疵：0分；</w:t>
            </w:r>
          </w:p>
          <w:p w14:paraId="45886D5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39762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10</w:t>
            </w:r>
          </w:p>
        </w:tc>
      </w:tr>
      <w:tr w14:paraId="7C1EE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B74B0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5</w:t>
            </w:r>
          </w:p>
        </w:tc>
        <w:tc>
          <w:tcPr>
            <w:tcW w:w="1419" w:type="dxa"/>
            <w:shd w:val="clear" w:color="auto" w:fill="auto"/>
            <w:vAlign w:val="center"/>
          </w:tcPr>
          <w:p w14:paraId="370C32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zh-CN"/>
              </w:rPr>
              <w:t>故障管理处理方案</w:t>
            </w:r>
          </w:p>
        </w:tc>
        <w:tc>
          <w:tcPr>
            <w:tcW w:w="7314" w:type="dxa"/>
            <w:gridSpan w:val="2"/>
            <w:shd w:val="clear" w:color="auto" w:fill="auto"/>
            <w:vAlign w:val="center"/>
          </w:tcPr>
          <w:p w14:paraId="366DD5A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lang w:val="zh-CN"/>
              </w:rPr>
            </w:pPr>
            <w:r>
              <w:rPr>
                <w:rFonts w:hint="default" w:ascii="Times New Roman" w:hAnsi="Times New Roman" w:eastAsia="宋体" w:cs="Times New Roman"/>
                <w:color w:val="auto"/>
                <w:kern w:val="0"/>
                <w:sz w:val="24"/>
                <w:szCs w:val="24"/>
                <w:highlight w:val="none"/>
                <w:lang w:val="zh-CN"/>
              </w:rPr>
              <w:t>至少包含响应时间、故障处理方案、防止再发方案等方面内容</w:t>
            </w:r>
          </w:p>
          <w:p w14:paraId="0308B8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满足招标文件要求，无瑕疵：</w:t>
            </w:r>
            <w:r>
              <w:rPr>
                <w:rFonts w:hint="default" w:ascii="Times New Roman" w:hAnsi="Times New Roman" w:cs="Times New Roman"/>
                <w:color w:val="auto"/>
                <w:kern w:val="0"/>
                <w:sz w:val="24"/>
                <w:szCs w:val="24"/>
                <w:highlight w:val="none"/>
                <w:lang w:val="en-US" w:eastAsia="zh-CN"/>
              </w:rPr>
              <w:t>12</w:t>
            </w:r>
            <w:r>
              <w:rPr>
                <w:rFonts w:hint="default" w:ascii="Times New Roman" w:hAnsi="Times New Roman" w:cs="Times New Roman"/>
                <w:color w:val="auto"/>
                <w:kern w:val="0"/>
                <w:sz w:val="24"/>
                <w:szCs w:val="24"/>
                <w:highlight w:val="none"/>
              </w:rPr>
              <w:t>分；</w:t>
            </w:r>
          </w:p>
          <w:p w14:paraId="3F60C5C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方案内容存在1处瑕疵：</w:t>
            </w:r>
            <w:r>
              <w:rPr>
                <w:rFonts w:hint="default" w:ascii="Times New Roman" w:hAnsi="Times New Roman" w:cs="Times New Roman"/>
                <w:color w:val="auto"/>
                <w:kern w:val="0"/>
                <w:sz w:val="24"/>
                <w:szCs w:val="24"/>
                <w:highlight w:val="none"/>
                <w:lang w:val="en-US" w:eastAsia="zh-CN"/>
              </w:rPr>
              <w:t>9</w:t>
            </w:r>
            <w:r>
              <w:rPr>
                <w:rFonts w:hint="default" w:ascii="Times New Roman" w:hAnsi="Times New Roman" w:cs="Times New Roman"/>
                <w:color w:val="auto"/>
                <w:kern w:val="0"/>
                <w:sz w:val="24"/>
                <w:szCs w:val="24"/>
                <w:highlight w:val="none"/>
              </w:rPr>
              <w:t>分；</w:t>
            </w:r>
          </w:p>
          <w:p w14:paraId="2C55C38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方案内容存在2处瑕疵：</w:t>
            </w:r>
            <w:r>
              <w:rPr>
                <w:rFonts w:hint="default" w:ascii="Times New Roman" w:hAnsi="Times New Roman" w:cs="Times New Roman"/>
                <w:color w:val="auto"/>
                <w:kern w:val="0"/>
                <w:sz w:val="24"/>
                <w:szCs w:val="24"/>
                <w:highlight w:val="none"/>
                <w:lang w:val="en-US" w:eastAsia="zh-CN"/>
              </w:rPr>
              <w:t>6</w:t>
            </w:r>
            <w:r>
              <w:rPr>
                <w:rFonts w:hint="default" w:ascii="Times New Roman" w:hAnsi="Times New Roman" w:cs="Times New Roman"/>
                <w:color w:val="auto"/>
                <w:kern w:val="0"/>
                <w:sz w:val="24"/>
                <w:szCs w:val="24"/>
                <w:highlight w:val="none"/>
              </w:rPr>
              <w:t>分；</w:t>
            </w:r>
          </w:p>
          <w:p w14:paraId="75CF14C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cs="Times New Roman"/>
                <w:color w:val="auto"/>
                <w:kern w:val="0"/>
                <w:sz w:val="24"/>
                <w:szCs w:val="24"/>
                <w:highlight w:val="none"/>
              </w:rPr>
              <w:t>处瑕疵：</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cs="Times New Roman"/>
                <w:color w:val="auto"/>
                <w:kern w:val="0"/>
                <w:sz w:val="24"/>
                <w:szCs w:val="24"/>
                <w:highlight w:val="none"/>
              </w:rPr>
              <w:t>分；</w:t>
            </w:r>
          </w:p>
          <w:p w14:paraId="27B851E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未提供方案或不满足招标文件要求或内容存在</w:t>
            </w:r>
            <w:r>
              <w:rPr>
                <w:rFonts w:hint="default" w:ascii="Times New Roman" w:hAnsi="Times New Roman" w:cs="Times New Roman"/>
                <w:color w:val="auto"/>
                <w:kern w:val="0"/>
                <w:sz w:val="24"/>
                <w:szCs w:val="24"/>
                <w:highlight w:val="none"/>
                <w:lang w:val="en-US" w:eastAsia="zh-CN"/>
              </w:rPr>
              <w:t>4</w:t>
            </w:r>
            <w:r>
              <w:rPr>
                <w:rFonts w:hint="default" w:ascii="Times New Roman" w:hAnsi="Times New Roman" w:cs="Times New Roman"/>
                <w:color w:val="auto"/>
                <w:kern w:val="0"/>
                <w:sz w:val="24"/>
                <w:szCs w:val="24"/>
                <w:highlight w:val="none"/>
              </w:rPr>
              <w:t>处及以上瑕疵：0分；</w:t>
            </w:r>
          </w:p>
          <w:p w14:paraId="777A179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C84CF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cs="Times New Roman"/>
                <w:color w:val="auto"/>
                <w:kern w:val="0"/>
                <w:sz w:val="24"/>
                <w:szCs w:val="24"/>
                <w:highlight w:val="none"/>
                <w:lang w:val="en-US" w:eastAsia="zh-CN"/>
              </w:rPr>
              <w:t>12</w:t>
            </w:r>
          </w:p>
        </w:tc>
      </w:tr>
      <w:tr w14:paraId="22016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43032D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6</w:t>
            </w:r>
          </w:p>
        </w:tc>
        <w:tc>
          <w:tcPr>
            <w:tcW w:w="1419" w:type="dxa"/>
            <w:shd w:val="clear" w:color="auto" w:fill="auto"/>
            <w:vAlign w:val="center"/>
          </w:tcPr>
          <w:p w14:paraId="5AC5F5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zh-CN"/>
              </w:rPr>
              <w:t>突发事件管理方案</w:t>
            </w:r>
          </w:p>
        </w:tc>
        <w:tc>
          <w:tcPr>
            <w:tcW w:w="7314" w:type="dxa"/>
            <w:gridSpan w:val="2"/>
            <w:shd w:val="clear" w:color="auto" w:fill="auto"/>
            <w:vAlign w:val="center"/>
          </w:tcPr>
          <w:p w14:paraId="1B5983F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kern w:val="0"/>
                <w:sz w:val="24"/>
                <w:szCs w:val="24"/>
                <w:highlight w:val="none"/>
                <w:lang w:val="zh-CN"/>
              </w:rPr>
            </w:pPr>
            <w:r>
              <w:rPr>
                <w:rFonts w:hint="default" w:ascii="Times New Roman" w:hAnsi="Times New Roman" w:eastAsia="宋体" w:cs="Times New Roman"/>
                <w:color w:val="auto"/>
                <w:kern w:val="0"/>
                <w:sz w:val="24"/>
                <w:szCs w:val="24"/>
                <w:highlight w:val="none"/>
                <w:lang w:val="zh-CN"/>
              </w:rPr>
              <w:t>至少包含针对恶意攻击、访问量激增等处理方案</w:t>
            </w:r>
          </w:p>
          <w:p w14:paraId="5943A51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满足招标文件要求，无瑕疵：</w:t>
            </w:r>
            <w:r>
              <w:rPr>
                <w:rFonts w:hint="default" w:ascii="Times New Roman" w:hAnsi="Times New Roman" w:cs="Times New Roman"/>
                <w:color w:val="auto"/>
                <w:kern w:val="0"/>
                <w:sz w:val="24"/>
                <w:szCs w:val="24"/>
                <w:highlight w:val="none"/>
                <w:lang w:val="en-US" w:eastAsia="zh-CN"/>
              </w:rPr>
              <w:t>12</w:t>
            </w:r>
            <w:r>
              <w:rPr>
                <w:rFonts w:hint="default" w:ascii="Times New Roman" w:hAnsi="Times New Roman" w:cs="Times New Roman"/>
                <w:color w:val="auto"/>
                <w:kern w:val="0"/>
                <w:sz w:val="24"/>
                <w:szCs w:val="24"/>
                <w:highlight w:val="none"/>
              </w:rPr>
              <w:t>分；</w:t>
            </w:r>
          </w:p>
          <w:p w14:paraId="314D5AD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方案内容存在1处瑕疵：</w:t>
            </w:r>
            <w:r>
              <w:rPr>
                <w:rFonts w:hint="default" w:ascii="Times New Roman" w:hAnsi="Times New Roman" w:cs="Times New Roman"/>
                <w:color w:val="auto"/>
                <w:kern w:val="0"/>
                <w:sz w:val="24"/>
                <w:szCs w:val="24"/>
                <w:highlight w:val="none"/>
                <w:lang w:val="en-US" w:eastAsia="zh-CN"/>
              </w:rPr>
              <w:t>9</w:t>
            </w:r>
            <w:r>
              <w:rPr>
                <w:rFonts w:hint="default" w:ascii="Times New Roman" w:hAnsi="Times New Roman" w:cs="Times New Roman"/>
                <w:color w:val="auto"/>
                <w:kern w:val="0"/>
                <w:sz w:val="24"/>
                <w:szCs w:val="24"/>
                <w:highlight w:val="none"/>
              </w:rPr>
              <w:t>分；</w:t>
            </w:r>
          </w:p>
          <w:p w14:paraId="3F2FA28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方案内容存在2处瑕疵：</w:t>
            </w:r>
            <w:r>
              <w:rPr>
                <w:rFonts w:hint="default" w:ascii="Times New Roman" w:hAnsi="Times New Roman" w:cs="Times New Roman"/>
                <w:color w:val="auto"/>
                <w:kern w:val="0"/>
                <w:sz w:val="24"/>
                <w:szCs w:val="24"/>
                <w:highlight w:val="none"/>
                <w:lang w:val="en-US" w:eastAsia="zh-CN"/>
              </w:rPr>
              <w:t>6</w:t>
            </w:r>
            <w:r>
              <w:rPr>
                <w:rFonts w:hint="default" w:ascii="Times New Roman" w:hAnsi="Times New Roman" w:cs="Times New Roman"/>
                <w:color w:val="auto"/>
                <w:kern w:val="0"/>
                <w:sz w:val="24"/>
                <w:szCs w:val="24"/>
                <w:highlight w:val="none"/>
              </w:rPr>
              <w:t>分；</w:t>
            </w:r>
          </w:p>
          <w:p w14:paraId="3C29741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cs="Times New Roman"/>
                <w:color w:val="auto"/>
                <w:kern w:val="0"/>
                <w:sz w:val="24"/>
                <w:szCs w:val="24"/>
                <w:highlight w:val="none"/>
              </w:rPr>
              <w:t>处瑕疵：</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cs="Times New Roman"/>
                <w:color w:val="auto"/>
                <w:kern w:val="0"/>
                <w:sz w:val="24"/>
                <w:szCs w:val="24"/>
                <w:highlight w:val="none"/>
              </w:rPr>
              <w:t>分；</w:t>
            </w:r>
          </w:p>
          <w:p w14:paraId="0A40DCC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未提供方案或不满足招标文件要求或内容存在</w:t>
            </w:r>
            <w:r>
              <w:rPr>
                <w:rFonts w:hint="default" w:ascii="Times New Roman" w:hAnsi="Times New Roman" w:cs="Times New Roman"/>
                <w:color w:val="auto"/>
                <w:kern w:val="0"/>
                <w:sz w:val="24"/>
                <w:szCs w:val="24"/>
                <w:highlight w:val="none"/>
                <w:lang w:val="en-US" w:eastAsia="zh-CN"/>
              </w:rPr>
              <w:t>4</w:t>
            </w:r>
            <w:r>
              <w:rPr>
                <w:rFonts w:hint="default" w:ascii="Times New Roman" w:hAnsi="Times New Roman" w:cs="Times New Roman"/>
                <w:color w:val="auto"/>
                <w:kern w:val="0"/>
                <w:sz w:val="24"/>
                <w:szCs w:val="24"/>
                <w:highlight w:val="none"/>
              </w:rPr>
              <w:t>处及以上瑕疵：0分；</w:t>
            </w:r>
          </w:p>
          <w:p w14:paraId="79DB7AD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C9D37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cs="Times New Roman"/>
                <w:color w:val="auto"/>
                <w:kern w:val="0"/>
                <w:sz w:val="24"/>
                <w:szCs w:val="24"/>
                <w:highlight w:val="none"/>
                <w:lang w:val="en-US" w:eastAsia="zh-CN"/>
              </w:rPr>
              <w:t>12</w:t>
            </w:r>
          </w:p>
        </w:tc>
      </w:tr>
      <w:tr w14:paraId="36037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369171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合计</w:t>
            </w:r>
          </w:p>
        </w:tc>
        <w:tc>
          <w:tcPr>
            <w:tcW w:w="1140" w:type="dxa"/>
            <w:shd w:val="clear" w:color="auto" w:fill="auto"/>
            <w:vAlign w:val="center"/>
          </w:tcPr>
          <w:p w14:paraId="73D71F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100</w:t>
            </w:r>
          </w:p>
        </w:tc>
      </w:tr>
    </w:tbl>
    <w:p w14:paraId="6BD9E4BE">
      <w:pPr>
        <w:autoSpaceDE w:val="0"/>
        <w:autoSpaceDN w:val="0"/>
        <w:adjustRightInd w:val="0"/>
        <w:spacing w:line="360" w:lineRule="auto"/>
        <w:ind w:firstLine="482" w:firstLineChars="200"/>
        <w:rPr>
          <w:rFonts w:hint="eastAsia"/>
          <w:b/>
          <w:bCs w:val="0"/>
          <w:color w:val="auto"/>
          <w:sz w:val="24"/>
          <w:highlight w:val="none"/>
          <w:lang w:val="en-US" w:eastAsia="zh-CN"/>
        </w:rPr>
      </w:pPr>
      <w:r>
        <w:rPr>
          <w:rFonts w:hint="eastAsia"/>
          <w:b/>
          <w:bCs w:val="0"/>
          <w:color w:val="auto"/>
          <w:sz w:val="24"/>
          <w:highlight w:val="none"/>
          <w:lang w:val="en-US" w:eastAsia="zh-CN"/>
        </w:rPr>
        <w:t>第五包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70A19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5959DF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第一部分 价格（</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0分）</w:t>
            </w:r>
          </w:p>
        </w:tc>
        <w:tc>
          <w:tcPr>
            <w:tcW w:w="1140" w:type="dxa"/>
            <w:shd w:val="clear" w:color="auto" w:fill="auto"/>
            <w:vAlign w:val="center"/>
          </w:tcPr>
          <w:p w14:paraId="336056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298DE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E5D60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568884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价格</w:t>
            </w:r>
          </w:p>
        </w:tc>
        <w:tc>
          <w:tcPr>
            <w:tcW w:w="7314" w:type="dxa"/>
            <w:gridSpan w:val="2"/>
            <w:shd w:val="clear" w:color="auto" w:fill="auto"/>
            <w:vAlign w:val="center"/>
          </w:tcPr>
          <w:p w14:paraId="5721B51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（1）报价超过采购预算的，响应无效，未超过采购预算的报价按以下公式进行计算。</w:t>
            </w:r>
          </w:p>
          <w:p w14:paraId="792C8B8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（2）价格得分=（评标基准价/报价）×</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p w14:paraId="667887F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注：满足磋商文件要求且报价最低的报价为评标基准价。</w:t>
            </w:r>
          </w:p>
        </w:tc>
        <w:tc>
          <w:tcPr>
            <w:tcW w:w="1140" w:type="dxa"/>
            <w:shd w:val="clear" w:color="auto" w:fill="auto"/>
            <w:vAlign w:val="center"/>
          </w:tcPr>
          <w:p w14:paraId="07EC98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tc>
      </w:tr>
      <w:tr w14:paraId="6C3C2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31BBD6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第二部分 客观分（</w:t>
            </w:r>
            <w:r>
              <w:rPr>
                <w:rFonts w:hint="eastAsia" w:ascii="Times New Roman" w:hAnsi="Times New Roman" w:eastAsia="宋体" w:cs="Times New Roman"/>
                <w:color w:val="auto"/>
                <w:kern w:val="0"/>
                <w:sz w:val="24"/>
                <w:szCs w:val="24"/>
                <w:highlight w:val="none"/>
                <w:lang w:val="en-US" w:eastAsia="zh-CN"/>
              </w:rPr>
              <w:t>30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56493C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6E05B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663" w:type="dxa"/>
            <w:shd w:val="clear" w:color="auto" w:fill="auto"/>
            <w:noWrap/>
            <w:vAlign w:val="center"/>
          </w:tcPr>
          <w:p w14:paraId="4C8659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4F4210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投标人业绩</w:t>
            </w:r>
          </w:p>
        </w:tc>
        <w:tc>
          <w:tcPr>
            <w:tcW w:w="7314" w:type="dxa"/>
            <w:gridSpan w:val="2"/>
            <w:shd w:val="clear" w:color="auto" w:fill="auto"/>
            <w:vAlign w:val="center"/>
          </w:tcPr>
          <w:p w14:paraId="27CCF74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完全按照以下要求提供投标人曾实施的</w:t>
            </w:r>
            <w:r>
              <w:rPr>
                <w:rFonts w:hint="eastAsia" w:cs="Times New Roman"/>
                <w:color w:val="auto"/>
                <w:kern w:val="0"/>
                <w:sz w:val="24"/>
                <w:szCs w:val="24"/>
                <w:highlight w:val="none"/>
                <w:lang w:val="en-US" w:eastAsia="zh-CN"/>
              </w:rPr>
              <w:t>软件系统</w:t>
            </w:r>
            <w:r>
              <w:rPr>
                <w:rFonts w:hint="default" w:ascii="Times New Roman" w:hAnsi="Times New Roman" w:eastAsia="宋体" w:cs="Times New Roman"/>
                <w:color w:val="auto"/>
                <w:kern w:val="0"/>
                <w:sz w:val="24"/>
                <w:szCs w:val="24"/>
                <w:highlight w:val="none"/>
              </w:rPr>
              <w:t>运维业绩，提供的证明材料均不得遮挡涂黑，否则不予认定加分。</w:t>
            </w:r>
          </w:p>
          <w:p w14:paraId="75C4B6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A. 合同原件扫描件。包括买卖双方名称及盖章、服务内容</w:t>
            </w:r>
            <w:r>
              <w:rPr>
                <w:rFonts w:hint="default" w:ascii="Times New Roman" w:hAnsi="Times New Roman" w:eastAsia="宋体" w:cs="Times New Roman"/>
                <w:bCs/>
                <w:color w:val="auto"/>
                <w:sz w:val="24"/>
                <w:szCs w:val="24"/>
                <w:highlight w:val="none"/>
              </w:rPr>
              <w:t>、合同签订日期（应为202</w:t>
            </w:r>
            <w:r>
              <w:rPr>
                <w:rFonts w:hint="eastAsia" w:cs="Times New Roman"/>
                <w:bCs/>
                <w:color w:val="auto"/>
                <w:sz w:val="24"/>
                <w:szCs w:val="24"/>
                <w:highlight w:val="none"/>
                <w:lang w:val="en-US" w:eastAsia="zh-CN"/>
              </w:rPr>
              <w:t>2</w:t>
            </w:r>
            <w:r>
              <w:rPr>
                <w:rFonts w:hint="default" w:ascii="Times New Roman" w:hAnsi="Times New Roman" w:eastAsia="宋体" w:cs="Times New Roman"/>
                <w:bCs/>
                <w:color w:val="auto"/>
                <w:sz w:val="24"/>
                <w:szCs w:val="24"/>
                <w:highlight w:val="none"/>
              </w:rPr>
              <w:t>年1月1日或以后）</w:t>
            </w:r>
            <w:r>
              <w:rPr>
                <w:rFonts w:hint="default" w:ascii="Times New Roman" w:hAnsi="Times New Roman" w:eastAsia="宋体" w:cs="Times New Roman"/>
                <w:color w:val="auto"/>
                <w:kern w:val="0"/>
                <w:sz w:val="24"/>
                <w:szCs w:val="24"/>
                <w:highlight w:val="none"/>
              </w:rPr>
              <w:t>。</w:t>
            </w:r>
          </w:p>
          <w:p w14:paraId="6D6DC91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B. 上述合同履行良好的相关证明材料原件扫描件（</w:t>
            </w:r>
            <w:r>
              <w:rPr>
                <w:rFonts w:hint="default" w:ascii="Times New Roman" w:hAnsi="Times New Roman" w:eastAsia="宋体" w:cs="Times New Roman"/>
                <w:color w:val="auto"/>
                <w:sz w:val="24"/>
                <w:szCs w:val="24"/>
                <w:highlight w:val="none"/>
              </w:rPr>
              <w:t>加盖上述合同甲方单位公章或上述合同中所盖的甲方印章</w:t>
            </w:r>
            <w:r>
              <w:rPr>
                <w:rFonts w:hint="default" w:ascii="Times New Roman" w:hAnsi="Times New Roman" w:eastAsia="宋体" w:cs="Times New Roman"/>
                <w:color w:val="auto"/>
                <w:kern w:val="0"/>
                <w:sz w:val="24"/>
                <w:szCs w:val="24"/>
                <w:highlight w:val="none"/>
              </w:rPr>
              <w:t>）。</w:t>
            </w:r>
          </w:p>
          <w:p w14:paraId="1132C1D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每个业绩2分，最多</w:t>
            </w:r>
            <w:r>
              <w:rPr>
                <w:rFonts w:hint="eastAsia" w:cs="Times New Roman"/>
                <w:color w:val="auto"/>
                <w:kern w:val="0"/>
                <w:sz w:val="24"/>
                <w:szCs w:val="24"/>
                <w:highlight w:val="none"/>
                <w:lang w:val="en-US" w:eastAsia="zh-CN"/>
              </w:rPr>
              <w:t>10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2A6C20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10</w:t>
            </w:r>
          </w:p>
        </w:tc>
      </w:tr>
      <w:tr w14:paraId="3E5C9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975FB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rPr>
              <w:t>2</w:t>
            </w:r>
          </w:p>
        </w:tc>
        <w:tc>
          <w:tcPr>
            <w:tcW w:w="1425" w:type="dxa"/>
            <w:gridSpan w:val="2"/>
            <w:shd w:val="clear" w:color="auto" w:fill="auto"/>
            <w:vAlign w:val="center"/>
          </w:tcPr>
          <w:p w14:paraId="07AD25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kern w:val="0"/>
                <w:sz w:val="24"/>
                <w:szCs w:val="24"/>
                <w:highlight w:val="none"/>
              </w:rPr>
              <w:t>投标人相关证书评价</w:t>
            </w:r>
          </w:p>
        </w:tc>
        <w:tc>
          <w:tcPr>
            <w:tcW w:w="7308" w:type="dxa"/>
            <w:shd w:val="clear" w:color="auto" w:fill="auto"/>
            <w:vAlign w:val="center"/>
          </w:tcPr>
          <w:p w14:paraId="0810371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w:t>
            </w:r>
            <w:r>
              <w:rPr>
                <w:rFonts w:hint="eastAsia" w:cs="Times New Roman"/>
                <w:color w:val="auto"/>
                <w:kern w:val="0"/>
                <w:sz w:val="24"/>
                <w:szCs w:val="24"/>
                <w:highlight w:val="none"/>
                <w:lang w:val="en-US" w:eastAsia="zh-CN"/>
              </w:rPr>
              <w:t>具备</w:t>
            </w:r>
            <w:r>
              <w:rPr>
                <w:color w:val="auto"/>
                <w:spacing w:val="6"/>
                <w:sz w:val="24"/>
                <w:szCs w:val="24"/>
                <w:highlight w:val="none"/>
              </w:rPr>
              <w:t>质量管理体系认证</w:t>
            </w:r>
            <w:r>
              <w:rPr>
                <w:rFonts w:hint="default" w:ascii="Times New Roman" w:hAnsi="Times New Roman" w:eastAsia="宋体" w:cs="Times New Roman"/>
                <w:color w:val="auto"/>
                <w:kern w:val="0"/>
                <w:sz w:val="24"/>
                <w:szCs w:val="24"/>
                <w:highlight w:val="none"/>
                <w:lang w:val="en-US" w:eastAsia="zh-CN"/>
              </w:rPr>
              <w:t>、信息技术服务管理体系</w:t>
            </w:r>
            <w:r>
              <w:rPr>
                <w:rFonts w:hint="eastAsia" w:cs="Times New Roman"/>
                <w:color w:val="auto"/>
                <w:kern w:val="0"/>
                <w:sz w:val="24"/>
                <w:szCs w:val="24"/>
                <w:highlight w:val="none"/>
                <w:lang w:val="en-US" w:eastAsia="zh-CN"/>
              </w:rPr>
              <w:t>认证、</w:t>
            </w:r>
            <w:r>
              <w:rPr>
                <w:rFonts w:hint="default" w:ascii="Times New Roman" w:hAnsi="Times New Roman" w:eastAsia="宋体" w:cs="Times New Roman"/>
                <w:color w:val="auto"/>
                <w:kern w:val="0"/>
                <w:sz w:val="24"/>
                <w:szCs w:val="24"/>
                <w:highlight w:val="none"/>
                <w:lang w:val="en-US" w:eastAsia="zh-CN"/>
              </w:rPr>
              <w:t>ITSS信息技术服务运行维护标准符合性证书三级</w:t>
            </w:r>
            <w:r>
              <w:rPr>
                <w:rFonts w:hint="eastAsia" w:cs="Times New Roman"/>
                <w:color w:val="auto"/>
                <w:kern w:val="0"/>
                <w:sz w:val="24"/>
                <w:szCs w:val="24"/>
                <w:highlight w:val="none"/>
                <w:lang w:val="en-US" w:eastAsia="zh-CN"/>
              </w:rPr>
              <w:t>或以上</w:t>
            </w:r>
            <w:r>
              <w:rPr>
                <w:rFonts w:hint="default" w:ascii="Times New Roman" w:hAnsi="Times New Roman" w:eastAsia="宋体" w:cs="Times New Roman"/>
                <w:color w:val="auto"/>
                <w:kern w:val="0"/>
                <w:sz w:val="24"/>
                <w:szCs w:val="24"/>
                <w:highlight w:val="none"/>
                <w:lang w:val="en-US" w:eastAsia="zh-CN"/>
              </w:rPr>
              <w:t>、</w:t>
            </w:r>
            <w:r>
              <w:rPr>
                <w:rFonts w:hint="eastAsia" w:cs="Times New Roman"/>
                <w:color w:val="auto"/>
                <w:kern w:val="0"/>
                <w:sz w:val="24"/>
                <w:szCs w:val="24"/>
                <w:highlight w:val="none"/>
                <w:lang w:val="en-US" w:eastAsia="zh-CN"/>
              </w:rPr>
              <w:t>信息安全服务资质认证证书(安全集成或安全运维或软件安全开发)三级或以上、数据治理安全认证证书</w:t>
            </w:r>
            <w:r>
              <w:rPr>
                <w:rFonts w:hint="default" w:ascii="Times New Roman" w:hAnsi="Times New Roman" w:eastAsia="宋体" w:cs="Times New Roman"/>
                <w:color w:val="auto"/>
                <w:kern w:val="0"/>
                <w:sz w:val="24"/>
                <w:szCs w:val="24"/>
                <w:highlight w:val="none"/>
                <w:lang w:val="en-US" w:eastAsia="zh-CN"/>
              </w:rPr>
              <w:t>，提供证书扫描件，每个合格的证书扫描件得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lang w:val="en-US" w:eastAsia="zh-CN"/>
              </w:rPr>
              <w:t>分，最多</w:t>
            </w:r>
            <w:r>
              <w:rPr>
                <w:rFonts w:hint="eastAsia" w:cs="Times New Roman"/>
                <w:color w:val="auto"/>
                <w:kern w:val="0"/>
                <w:sz w:val="24"/>
                <w:szCs w:val="24"/>
                <w:highlight w:val="none"/>
                <w:lang w:val="en-US" w:eastAsia="zh-CN"/>
              </w:rPr>
              <w:t>5</w:t>
            </w:r>
            <w:r>
              <w:rPr>
                <w:rFonts w:hint="default" w:ascii="Times New Roman" w:hAnsi="Times New Roman" w:eastAsia="宋体" w:cs="Times New Roman"/>
                <w:color w:val="auto"/>
                <w:kern w:val="0"/>
                <w:sz w:val="24"/>
                <w:szCs w:val="24"/>
                <w:highlight w:val="none"/>
                <w:lang w:val="en-US" w:eastAsia="zh-CN"/>
              </w:rPr>
              <w:t>分；</w:t>
            </w:r>
          </w:p>
        </w:tc>
        <w:tc>
          <w:tcPr>
            <w:tcW w:w="1140" w:type="dxa"/>
            <w:shd w:val="clear" w:color="auto" w:fill="auto"/>
            <w:vAlign w:val="center"/>
          </w:tcPr>
          <w:p w14:paraId="3E660B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5</w:t>
            </w:r>
          </w:p>
        </w:tc>
      </w:tr>
      <w:tr w14:paraId="36020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663" w:type="dxa"/>
            <w:shd w:val="clear" w:color="auto" w:fill="auto"/>
            <w:noWrap/>
            <w:vAlign w:val="center"/>
          </w:tcPr>
          <w:p w14:paraId="3D57B5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3</w:t>
            </w:r>
          </w:p>
        </w:tc>
        <w:tc>
          <w:tcPr>
            <w:tcW w:w="1425" w:type="dxa"/>
            <w:gridSpan w:val="2"/>
            <w:shd w:val="clear" w:color="auto" w:fill="auto"/>
            <w:vAlign w:val="center"/>
          </w:tcPr>
          <w:p w14:paraId="0677CD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投入人员评价</w:t>
            </w:r>
          </w:p>
        </w:tc>
        <w:tc>
          <w:tcPr>
            <w:tcW w:w="7308" w:type="dxa"/>
            <w:shd w:val="clear" w:color="auto" w:fill="auto"/>
            <w:vAlign w:val="center"/>
          </w:tcPr>
          <w:p w14:paraId="4620F76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投入的人员为投标单位正式员工，提供姓名、递交响应文件</w:t>
            </w:r>
            <w:r>
              <w:rPr>
                <w:rFonts w:hint="default" w:ascii="Times New Roman" w:hAnsi="Times New Roman" w:eastAsia="宋体" w:cs="Times New Roman"/>
                <w:color w:val="auto"/>
                <w:sz w:val="24"/>
                <w:szCs w:val="24"/>
                <w:highlight w:val="none"/>
              </w:rPr>
              <w:t>截止</w:t>
            </w:r>
            <w:r>
              <w:rPr>
                <w:rFonts w:hint="default" w:ascii="Times New Roman" w:hAnsi="Times New Roman" w:eastAsia="宋体" w:cs="Times New Roman"/>
                <w:color w:val="auto"/>
                <w:kern w:val="0"/>
                <w:sz w:val="24"/>
                <w:szCs w:val="24"/>
                <w:highlight w:val="none"/>
              </w:rPr>
              <w:t>日前三个月中任意一个月的由投标单位为投入人员缴纳社会保险证明扫描件，否则不予认定加分。</w:t>
            </w:r>
          </w:p>
          <w:p w14:paraId="6BEA285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r>
              <w:rPr>
                <w:rFonts w:hint="default" w:ascii="Times New Roman" w:hAnsi="Times New Roman" w:eastAsia="宋体" w:cs="Times New Roman"/>
                <w:color w:val="auto"/>
                <w:sz w:val="24"/>
                <w:szCs w:val="24"/>
                <w:highlight w:val="none"/>
                <w:lang w:val="en-US" w:eastAsia="zh-CN"/>
              </w:rPr>
              <w:t>项目经理</w:t>
            </w:r>
            <w:r>
              <w:rPr>
                <w:rFonts w:hint="default" w:ascii="Times New Roman" w:hAnsi="Times New Roman" w:eastAsia="宋体" w:cs="Times New Roman"/>
                <w:color w:val="auto"/>
                <w:kern w:val="0"/>
                <w:sz w:val="24"/>
                <w:szCs w:val="24"/>
                <w:highlight w:val="none"/>
              </w:rPr>
              <w:t>具备</w:t>
            </w:r>
            <w:r>
              <w:rPr>
                <w:rFonts w:hint="eastAsia" w:eastAsiaTheme="minorEastAsia"/>
                <w:color w:val="auto"/>
                <w:kern w:val="0"/>
                <w:sz w:val="24"/>
                <w:szCs w:val="24"/>
                <w:highlight w:val="none"/>
              </w:rPr>
              <w:t>初级项目管理专业人员(CSPM-2或以上)或计算机技术与软件专业技术资格证书（信息系统项目管理师）</w:t>
            </w:r>
            <w:r>
              <w:rPr>
                <w:rFonts w:hint="default" w:ascii="Times New Roman" w:hAnsi="Times New Roman" w:eastAsia="宋体" w:cs="Times New Roman"/>
                <w:color w:val="auto"/>
                <w:kern w:val="0"/>
                <w:sz w:val="24"/>
                <w:szCs w:val="24"/>
                <w:highlight w:val="none"/>
              </w:rPr>
              <w:t>，提供以上证书扫描件，</w:t>
            </w:r>
            <w:r>
              <w:rPr>
                <w:rFonts w:hint="eastAsia" w:cs="Times New Roman"/>
                <w:color w:val="auto"/>
                <w:kern w:val="0"/>
                <w:sz w:val="24"/>
                <w:szCs w:val="24"/>
                <w:highlight w:val="none"/>
                <w:lang w:val="en-US" w:eastAsia="zh-CN"/>
              </w:rPr>
              <w:t>符合要求的项目经理</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610B5D3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w:t>
            </w:r>
            <w:r>
              <w:rPr>
                <w:rFonts w:hint="default" w:ascii="Times New Roman" w:hAnsi="Times New Roman"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w:t>
            </w:r>
            <w:r>
              <w:rPr>
                <w:rFonts w:hint="eastAsia" w:ascii="宋体" w:hAnsi="宋体" w:eastAsia="宋体" w:cs="宋体"/>
                <w:b w:val="0"/>
                <w:bCs w:val="0"/>
                <w:color w:val="auto"/>
                <w:kern w:val="0"/>
                <w:sz w:val="24"/>
                <w:szCs w:val="24"/>
                <w:highlight w:val="none"/>
                <w:lang w:val="en-US" w:eastAsia="zh-CN" w:bidi="ar"/>
              </w:rPr>
              <w:t>项目负责人</w:t>
            </w:r>
            <w:r>
              <w:rPr>
                <w:rFonts w:hint="eastAsia" w:ascii="宋体" w:hAnsi="宋体" w:eastAsia="宋体" w:cs="宋体"/>
                <w:color w:val="auto"/>
                <w:kern w:val="0"/>
                <w:sz w:val="24"/>
                <w:szCs w:val="24"/>
                <w:highlight w:val="none"/>
              </w:rPr>
              <w:t>具备</w:t>
            </w:r>
            <w:r>
              <w:rPr>
                <w:rFonts w:hint="eastAsia" w:ascii="宋体" w:hAnsi="宋体" w:eastAsia="宋体" w:cs="宋体"/>
                <w:color w:val="auto"/>
                <w:kern w:val="0"/>
                <w:sz w:val="24"/>
                <w:szCs w:val="24"/>
                <w:highlight w:val="none"/>
                <w:lang w:val="en-US" w:eastAsia="zh-CN"/>
              </w:rPr>
              <w:t>3年以上的政府机关或事业单位信息化研发经验</w:t>
            </w:r>
            <w:r>
              <w:rPr>
                <w:rFonts w:hint="eastAsia" w:ascii="宋体" w:hAnsi="宋体" w:eastAsia="宋体" w:cs="宋体"/>
                <w:color w:val="auto"/>
                <w:kern w:val="0"/>
                <w:sz w:val="24"/>
                <w:szCs w:val="24"/>
                <w:highlight w:val="none"/>
              </w:rPr>
              <w:t>，提供以上人员工作简历</w:t>
            </w:r>
            <w:r>
              <w:rPr>
                <w:rFonts w:hint="eastAsia" w:ascii="宋体" w:hAnsi="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每个满足以上要求的人员得</w:t>
            </w:r>
            <w:r>
              <w:rPr>
                <w:rFonts w:hint="eastAsia" w:ascii="宋体" w:hAnsi="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分，最多</w:t>
            </w:r>
            <w:r>
              <w:rPr>
                <w:rFonts w:hint="eastAsia" w:ascii="宋体" w:hAnsi="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分</w:t>
            </w:r>
            <w:r>
              <w:rPr>
                <w:rFonts w:hint="eastAsia" w:ascii="宋体" w:hAnsi="宋体" w:cs="宋体"/>
                <w:color w:val="auto"/>
                <w:kern w:val="0"/>
                <w:sz w:val="24"/>
                <w:szCs w:val="24"/>
                <w:highlight w:val="none"/>
                <w:lang w:eastAsia="zh-CN"/>
              </w:rPr>
              <w:t>；</w:t>
            </w:r>
          </w:p>
          <w:p w14:paraId="0CAB565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其他</w:t>
            </w:r>
            <w:r>
              <w:rPr>
                <w:rFonts w:hint="eastAsia" w:ascii="宋体" w:hAnsi="宋体" w:cs="宋体"/>
                <w:b w:val="0"/>
                <w:bCs w:val="0"/>
                <w:color w:val="auto"/>
                <w:kern w:val="0"/>
                <w:sz w:val="24"/>
                <w:szCs w:val="24"/>
                <w:highlight w:val="none"/>
                <w:lang w:val="en-US" w:eastAsia="zh-CN" w:bidi="ar"/>
              </w:rPr>
              <w:t>运维人员</w:t>
            </w:r>
            <w:r>
              <w:rPr>
                <w:rFonts w:hint="default" w:ascii="Times New Roman" w:hAnsi="Times New Roman" w:eastAsia="宋体" w:cs="Times New Roman"/>
                <w:color w:val="auto"/>
                <w:kern w:val="0"/>
                <w:sz w:val="24"/>
                <w:szCs w:val="24"/>
                <w:highlight w:val="none"/>
              </w:rPr>
              <w:t>具备</w:t>
            </w:r>
            <w:r>
              <w:rPr>
                <w:rFonts w:hint="default" w:ascii="Times New Roman" w:hAnsi="Times New Roman" w:eastAsia="宋体" w:cs="Times New Roman"/>
                <w:color w:val="auto"/>
                <w:sz w:val="24"/>
                <w:szCs w:val="24"/>
                <w:highlight w:val="none"/>
              </w:rPr>
              <w:t>计算机与软件技术</w:t>
            </w:r>
            <w:r>
              <w:rPr>
                <w:rFonts w:hint="eastAsia"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大数据分析</w:t>
            </w:r>
            <w:r>
              <w:rPr>
                <w:rFonts w:hint="default" w:ascii="Times New Roman" w:hAnsi="Times New Roman"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医学、药学等相关专业</w:t>
            </w:r>
            <w:r>
              <w:rPr>
                <w:rFonts w:hint="eastAsia" w:ascii="Times New Roman" w:hAnsi="Times New Roman" w:eastAsia="宋体" w:cs="Times New Roman"/>
                <w:color w:val="auto"/>
                <w:sz w:val="24"/>
                <w:szCs w:val="24"/>
                <w:highlight w:val="none"/>
                <w:lang w:val="en-US" w:eastAsia="zh-CN"/>
              </w:rPr>
              <w:t>大学</w:t>
            </w:r>
            <w:r>
              <w:rPr>
                <w:rFonts w:hint="default" w:ascii="Times New Roman" w:hAnsi="Times New Roman" w:eastAsia="宋体" w:cs="Times New Roman"/>
                <w:color w:val="auto"/>
                <w:sz w:val="24"/>
                <w:szCs w:val="24"/>
                <w:highlight w:val="none"/>
                <w:lang w:val="en-US" w:eastAsia="zh-CN"/>
              </w:rPr>
              <w:t>本科</w:t>
            </w:r>
            <w:r>
              <w:rPr>
                <w:rFonts w:hint="eastAsia" w:ascii="Times New Roman" w:hAnsi="Times New Roman"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以上学历</w:t>
            </w:r>
            <w:r>
              <w:rPr>
                <w:rFonts w:hint="default" w:ascii="Times New Roman" w:hAnsi="Times New Roman" w:eastAsia="宋体" w:cs="Times New Roman"/>
                <w:color w:val="auto"/>
                <w:kern w:val="0"/>
                <w:sz w:val="24"/>
                <w:szCs w:val="24"/>
                <w:highlight w:val="none"/>
              </w:rPr>
              <w:t>，提供</w:t>
            </w:r>
            <w:r>
              <w:rPr>
                <w:rFonts w:hint="eastAsia" w:cs="Times New Roman"/>
                <w:color w:val="auto"/>
                <w:kern w:val="0"/>
                <w:sz w:val="24"/>
                <w:szCs w:val="24"/>
                <w:highlight w:val="none"/>
                <w:lang w:val="en-US" w:eastAsia="zh-CN"/>
              </w:rPr>
              <w:t>毕业证书</w:t>
            </w:r>
            <w:r>
              <w:rPr>
                <w:rFonts w:hint="default" w:ascii="Times New Roman" w:hAnsi="Times New Roman" w:eastAsia="宋体" w:cs="Times New Roman"/>
                <w:color w:val="auto"/>
                <w:kern w:val="0"/>
                <w:sz w:val="24"/>
                <w:szCs w:val="24"/>
                <w:highlight w:val="none"/>
              </w:rPr>
              <w:t>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208284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8</w:t>
            </w:r>
          </w:p>
        </w:tc>
      </w:tr>
      <w:tr w14:paraId="6F05F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928CA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4</w:t>
            </w:r>
          </w:p>
        </w:tc>
        <w:tc>
          <w:tcPr>
            <w:tcW w:w="1425" w:type="dxa"/>
            <w:gridSpan w:val="2"/>
            <w:shd w:val="clear" w:color="auto" w:fill="auto"/>
            <w:vAlign w:val="center"/>
          </w:tcPr>
          <w:p w14:paraId="04BD19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投标人承诺评价</w:t>
            </w:r>
          </w:p>
        </w:tc>
        <w:tc>
          <w:tcPr>
            <w:tcW w:w="7308" w:type="dxa"/>
            <w:shd w:val="clear" w:color="auto" w:fill="auto"/>
            <w:vAlign w:val="center"/>
          </w:tcPr>
          <w:p w14:paraId="71FFFD8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承诺完全满足磋商文件“报价要求”、“时间地点要求”、“付款方式要求”和技术要求中非“★”号要求的：</w:t>
            </w:r>
            <w:r>
              <w:rPr>
                <w:rFonts w:hint="eastAsia" w:cs="Times New Roman"/>
                <w:color w:val="auto"/>
                <w:kern w:val="0"/>
                <w:sz w:val="24"/>
                <w:szCs w:val="24"/>
                <w:highlight w:val="none"/>
                <w:lang w:val="en-US" w:eastAsia="zh-CN"/>
              </w:rPr>
              <w:t>7</w:t>
            </w:r>
            <w:r>
              <w:rPr>
                <w:rFonts w:hint="default" w:ascii="Times New Roman" w:hAnsi="Times New Roman" w:eastAsia="宋体" w:cs="Times New Roman"/>
                <w:color w:val="auto"/>
                <w:kern w:val="0"/>
                <w:sz w:val="24"/>
                <w:szCs w:val="24"/>
                <w:highlight w:val="none"/>
              </w:rPr>
              <w:t>分，其他0分。</w:t>
            </w:r>
          </w:p>
        </w:tc>
        <w:tc>
          <w:tcPr>
            <w:tcW w:w="1140" w:type="dxa"/>
            <w:shd w:val="clear" w:color="auto" w:fill="auto"/>
            <w:vAlign w:val="center"/>
          </w:tcPr>
          <w:p w14:paraId="168105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7</w:t>
            </w:r>
          </w:p>
        </w:tc>
      </w:tr>
      <w:tr w14:paraId="6B78D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22CA4E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第三部分 主观分（</w:t>
            </w:r>
            <w:r>
              <w:rPr>
                <w:rFonts w:hint="eastAsia" w:ascii="Times New Roman" w:hAnsi="Times New Roman" w:eastAsia="宋体" w:cs="Times New Roman"/>
                <w:color w:val="auto"/>
                <w:kern w:val="0"/>
                <w:sz w:val="24"/>
                <w:szCs w:val="24"/>
                <w:highlight w:val="none"/>
                <w:lang w:val="en-US" w:eastAsia="zh-CN"/>
              </w:rPr>
              <w:t>60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0ECCE3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5B0DE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EEB257">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5429203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项目需求理解分析评价</w:t>
            </w:r>
          </w:p>
        </w:tc>
        <w:tc>
          <w:tcPr>
            <w:tcW w:w="7314" w:type="dxa"/>
            <w:gridSpan w:val="2"/>
            <w:shd w:val="clear" w:color="auto" w:fill="auto"/>
            <w:vAlign w:val="center"/>
          </w:tcPr>
          <w:p w14:paraId="1A8A2393">
            <w:pPr>
              <w:keepNext w:val="0"/>
              <w:keepLines w:val="0"/>
              <w:pageBreakBefore w:val="0"/>
              <w:widowControl w:val="0"/>
              <w:kinsoku/>
              <w:wordWrap/>
              <w:overflowPunct/>
              <w:topLinePunct w:val="0"/>
              <w:autoSpaceDE/>
              <w:autoSpaceDN/>
              <w:bidi w:val="0"/>
              <w:adjustRightInd/>
              <w:snapToGrid/>
              <w:spacing w:line="360" w:lineRule="auto"/>
              <w:ind w:left="0"/>
              <w:jc w:val="both"/>
              <w:textAlignment w:val="auto"/>
              <w:rPr>
                <w:rFonts w:cs="宋体"/>
                <w:color w:val="auto"/>
                <w:sz w:val="24"/>
                <w:szCs w:val="24"/>
                <w:highlight w:val="none"/>
                <w:lang w:val="zh-CN"/>
              </w:rPr>
            </w:pPr>
            <w:r>
              <w:rPr>
                <w:rFonts w:hint="eastAsia"/>
                <w:color w:val="auto"/>
                <w:kern w:val="0"/>
                <w:sz w:val="24"/>
                <w:szCs w:val="24"/>
                <w:highlight w:val="none"/>
              </w:rPr>
              <w:t>至少包含系统现状、任务目标、</w:t>
            </w:r>
            <w:r>
              <w:rPr>
                <w:rFonts w:hint="eastAsia" w:cs="宋体"/>
                <w:color w:val="auto"/>
                <w:sz w:val="24"/>
                <w:szCs w:val="24"/>
                <w:highlight w:val="none"/>
                <w:lang w:val="zh-CN"/>
              </w:rPr>
              <w:t>实施要求等方面内容</w:t>
            </w:r>
          </w:p>
          <w:p w14:paraId="779A3526">
            <w:pPr>
              <w:keepNext w:val="0"/>
              <w:keepLines w:val="0"/>
              <w:pageBreakBefore w:val="0"/>
              <w:widowControl w:val="0"/>
              <w:kinsoku/>
              <w:wordWrap/>
              <w:overflowPunct/>
              <w:topLinePunct w:val="0"/>
              <w:autoSpaceDE/>
              <w:autoSpaceDN/>
              <w:bidi w:val="0"/>
              <w:adjustRightInd/>
              <w:snapToGrid/>
              <w:spacing w:line="360" w:lineRule="auto"/>
              <w:ind w:left="0"/>
              <w:jc w:val="both"/>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45E32EC0">
            <w:pPr>
              <w:keepNext w:val="0"/>
              <w:keepLines w:val="0"/>
              <w:pageBreakBefore w:val="0"/>
              <w:widowControl w:val="0"/>
              <w:kinsoku/>
              <w:wordWrap/>
              <w:overflowPunct/>
              <w:topLinePunct w:val="0"/>
              <w:autoSpaceDE/>
              <w:autoSpaceDN/>
              <w:bidi w:val="0"/>
              <w:adjustRightInd/>
              <w:snapToGrid/>
              <w:spacing w:line="360" w:lineRule="auto"/>
              <w:ind w:left="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BB5ECA0">
            <w:pPr>
              <w:keepNext w:val="0"/>
              <w:keepLines w:val="0"/>
              <w:pageBreakBefore w:val="0"/>
              <w:widowControl w:val="0"/>
              <w:kinsoku/>
              <w:wordWrap/>
              <w:overflowPunct/>
              <w:topLinePunct w:val="0"/>
              <w:autoSpaceDE/>
              <w:autoSpaceDN/>
              <w:bidi w:val="0"/>
              <w:adjustRightInd/>
              <w:snapToGrid/>
              <w:spacing w:line="360" w:lineRule="auto"/>
              <w:ind w:left="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2B49B1EB">
            <w:pPr>
              <w:keepNext w:val="0"/>
              <w:keepLines w:val="0"/>
              <w:pageBreakBefore w:val="0"/>
              <w:widowControl w:val="0"/>
              <w:kinsoku/>
              <w:wordWrap/>
              <w:overflowPunct/>
              <w:topLinePunct w:val="0"/>
              <w:autoSpaceDE/>
              <w:autoSpaceDN/>
              <w:bidi w:val="0"/>
              <w:adjustRightInd/>
              <w:snapToGrid/>
              <w:spacing w:line="360" w:lineRule="auto"/>
              <w:ind w:left="0"/>
              <w:jc w:val="both"/>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3</w:t>
            </w:r>
            <w:r>
              <w:rPr>
                <w:rFonts w:hint="eastAsia"/>
                <w:color w:val="auto"/>
                <w:kern w:val="0"/>
                <w:sz w:val="24"/>
                <w:szCs w:val="24"/>
                <w:highlight w:val="none"/>
              </w:rPr>
              <w:t>处及以上瑕疵</w:t>
            </w:r>
            <w:r>
              <w:rPr>
                <w:color w:val="auto"/>
                <w:kern w:val="0"/>
                <w:sz w:val="24"/>
                <w:szCs w:val="24"/>
                <w:highlight w:val="none"/>
              </w:rPr>
              <w:t>：0分；</w:t>
            </w:r>
          </w:p>
          <w:p w14:paraId="3C84E2AB">
            <w:pPr>
              <w:keepNext w:val="0"/>
              <w:keepLines w:val="0"/>
              <w:pageBreakBefore w:val="0"/>
              <w:widowControl w:val="0"/>
              <w:kinsoku/>
              <w:wordWrap/>
              <w:overflowPunct/>
              <w:topLinePunct w:val="0"/>
              <w:autoSpaceDE/>
              <w:autoSpaceDN/>
              <w:bidi w:val="0"/>
              <w:adjustRightInd/>
              <w:snapToGrid/>
              <w:spacing w:line="360" w:lineRule="auto"/>
              <w:ind w:left="0"/>
              <w:jc w:val="both"/>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EA263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Times New Roman"/>
                <w:color w:val="auto"/>
                <w:kern w:val="0"/>
                <w:sz w:val="24"/>
                <w:szCs w:val="24"/>
                <w:highlight w:val="none"/>
                <w:lang w:val="en-US" w:eastAsia="zh-CN"/>
              </w:rPr>
              <w:t>9</w:t>
            </w:r>
          </w:p>
        </w:tc>
      </w:tr>
      <w:tr w14:paraId="6C8DC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9CDF6D">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48D2E71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sz w:val="24"/>
                <w:szCs w:val="24"/>
                <w:highlight w:val="none"/>
                <w:lang w:val="zh-CN"/>
              </w:rPr>
            </w:pPr>
            <w:r>
              <w:rPr>
                <w:rFonts w:hint="eastAsia" w:cs="宋体"/>
                <w:color w:val="auto"/>
                <w:sz w:val="24"/>
                <w:szCs w:val="24"/>
                <w:highlight w:val="none"/>
                <w:lang w:val="zh-CN"/>
              </w:rPr>
              <w:t>项目服务人员评价</w:t>
            </w:r>
          </w:p>
        </w:tc>
        <w:tc>
          <w:tcPr>
            <w:tcW w:w="7314" w:type="dxa"/>
            <w:gridSpan w:val="2"/>
            <w:shd w:val="clear" w:color="auto" w:fill="auto"/>
            <w:vAlign w:val="center"/>
          </w:tcPr>
          <w:p w14:paraId="60DEEED3">
            <w:pPr>
              <w:keepNext w:val="0"/>
              <w:keepLines w:val="0"/>
              <w:pageBreakBefore w:val="0"/>
              <w:widowControl w:val="0"/>
              <w:kinsoku/>
              <w:wordWrap/>
              <w:overflowPunct/>
              <w:topLinePunct w:val="0"/>
              <w:autoSpaceDE/>
              <w:autoSpaceDN/>
              <w:bidi w:val="0"/>
              <w:adjustRightInd/>
              <w:snapToGrid/>
              <w:spacing w:line="360" w:lineRule="auto"/>
              <w:ind w:left="0"/>
              <w:jc w:val="both"/>
              <w:textAlignment w:val="auto"/>
              <w:rPr>
                <w:rFonts w:hint="default" w:eastAsia="宋体" w:cs="宋体"/>
                <w:color w:val="auto"/>
                <w:sz w:val="24"/>
                <w:szCs w:val="24"/>
                <w:highlight w:val="none"/>
                <w:lang w:val="en-US" w:eastAsia="zh-CN"/>
              </w:rPr>
            </w:pPr>
            <w:r>
              <w:rPr>
                <w:rFonts w:hint="eastAsia" w:cs="宋体"/>
                <w:color w:val="auto"/>
                <w:sz w:val="24"/>
                <w:szCs w:val="24"/>
                <w:highlight w:val="none"/>
                <w:lang w:val="zh-CN"/>
              </w:rPr>
              <w:t>至少包含人员分工、岗位职责、人员工作经验及技术实力、人员稳定性保障措施等方面内容</w:t>
            </w:r>
            <w:r>
              <w:rPr>
                <w:rFonts w:hint="eastAsia" w:cs="宋体"/>
                <w:color w:val="auto"/>
                <w:sz w:val="24"/>
                <w:szCs w:val="24"/>
                <w:highlight w:val="none"/>
                <w:lang w:val="en-US" w:eastAsia="zh-CN"/>
              </w:rPr>
              <w:t>。</w:t>
            </w:r>
          </w:p>
          <w:p w14:paraId="1B48F3E3">
            <w:pPr>
              <w:keepNext w:val="0"/>
              <w:keepLines w:val="0"/>
              <w:pageBreakBefore w:val="0"/>
              <w:widowControl w:val="0"/>
              <w:kinsoku/>
              <w:wordWrap/>
              <w:overflowPunct/>
              <w:topLinePunct w:val="0"/>
              <w:autoSpaceDE/>
              <w:autoSpaceDN/>
              <w:bidi w:val="0"/>
              <w:adjustRightInd/>
              <w:snapToGrid/>
              <w:spacing w:line="360" w:lineRule="auto"/>
              <w:ind w:left="0"/>
              <w:jc w:val="both"/>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3583A7B3">
            <w:pPr>
              <w:keepNext w:val="0"/>
              <w:keepLines w:val="0"/>
              <w:pageBreakBefore w:val="0"/>
              <w:widowControl w:val="0"/>
              <w:kinsoku/>
              <w:wordWrap/>
              <w:overflowPunct/>
              <w:topLinePunct w:val="0"/>
              <w:autoSpaceDE/>
              <w:autoSpaceDN/>
              <w:bidi w:val="0"/>
              <w:adjustRightInd/>
              <w:snapToGrid/>
              <w:spacing w:line="360" w:lineRule="auto"/>
              <w:ind w:left="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676BF75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7FDDAB3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7FDAC0C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F070D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Times New Roman"/>
                <w:color w:val="auto"/>
                <w:kern w:val="0"/>
                <w:sz w:val="24"/>
                <w:szCs w:val="24"/>
                <w:highlight w:val="none"/>
                <w:lang w:val="en-US" w:eastAsia="zh-CN"/>
              </w:rPr>
              <w:t>9</w:t>
            </w:r>
          </w:p>
        </w:tc>
      </w:tr>
      <w:tr w14:paraId="14A3A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062256D">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2D17185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sz w:val="24"/>
                <w:szCs w:val="24"/>
                <w:highlight w:val="none"/>
                <w:lang w:val="zh-CN"/>
              </w:rPr>
            </w:pPr>
            <w:r>
              <w:rPr>
                <w:rFonts w:hint="eastAsia" w:cs="宋体"/>
                <w:color w:val="auto"/>
                <w:sz w:val="24"/>
                <w:szCs w:val="24"/>
                <w:highlight w:val="none"/>
                <w:lang w:val="zh-CN"/>
              </w:rPr>
              <w:t>整体运行维护方案评价</w:t>
            </w:r>
          </w:p>
        </w:tc>
        <w:tc>
          <w:tcPr>
            <w:tcW w:w="7314" w:type="dxa"/>
            <w:gridSpan w:val="2"/>
            <w:shd w:val="clear" w:color="auto" w:fill="auto"/>
            <w:vAlign w:val="center"/>
          </w:tcPr>
          <w:p w14:paraId="4AC6644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cs="宋体"/>
                <w:color w:val="auto"/>
                <w:sz w:val="24"/>
                <w:szCs w:val="24"/>
                <w:highlight w:val="none"/>
                <w:lang w:val="zh-CN"/>
              </w:rPr>
            </w:pPr>
            <w:r>
              <w:rPr>
                <w:rFonts w:hint="eastAsia" w:cs="宋体"/>
                <w:color w:val="auto"/>
                <w:sz w:val="24"/>
                <w:szCs w:val="24"/>
                <w:highlight w:val="none"/>
                <w:lang w:val="zh-CN"/>
              </w:rPr>
              <w:t>至少包含针对本项目系统的运维计划、实施方案等方面内容，方案中应包含招</w:t>
            </w:r>
            <w:r>
              <w:rPr>
                <w:rFonts w:hint="eastAsia" w:cs="宋体"/>
                <w:color w:val="auto"/>
                <w:sz w:val="24"/>
                <w:szCs w:val="24"/>
                <w:highlight w:val="none"/>
                <w:lang w:val="en-US" w:eastAsia="zh-CN"/>
              </w:rPr>
              <w:t>采</w:t>
            </w:r>
            <w:r>
              <w:rPr>
                <w:rFonts w:hint="eastAsia" w:cs="宋体"/>
                <w:color w:val="auto"/>
                <w:sz w:val="24"/>
                <w:szCs w:val="24"/>
                <w:highlight w:val="none"/>
                <w:lang w:val="zh-CN"/>
              </w:rPr>
              <w:t>项目的技术支持</w:t>
            </w:r>
            <w:r>
              <w:rPr>
                <w:rFonts w:hint="eastAsia" w:cs="宋体"/>
                <w:color w:val="auto"/>
                <w:sz w:val="24"/>
                <w:szCs w:val="24"/>
                <w:highlight w:val="none"/>
                <w:lang w:val="en-US" w:eastAsia="zh-CN"/>
              </w:rPr>
              <w:t>方案</w:t>
            </w:r>
            <w:r>
              <w:rPr>
                <w:rFonts w:hint="eastAsia" w:cs="宋体"/>
                <w:color w:val="auto"/>
                <w:sz w:val="24"/>
                <w:szCs w:val="24"/>
                <w:highlight w:val="none"/>
                <w:lang w:val="zh-CN"/>
              </w:rPr>
              <w:t>；信息业务编码标准数据库动态维护数据的同步和更新；联审通办、一览表等技术支持；</w:t>
            </w:r>
            <w:r>
              <w:rPr>
                <w:rFonts w:hint="eastAsia" w:cs="宋体"/>
                <w:color w:val="auto"/>
                <w:sz w:val="24"/>
                <w:szCs w:val="24"/>
                <w:highlight w:val="none"/>
                <w:lang w:val="en-US" w:eastAsia="zh-CN"/>
              </w:rPr>
              <w:t>保障</w:t>
            </w:r>
            <w:r>
              <w:rPr>
                <w:rFonts w:hint="eastAsia" w:cs="宋体"/>
                <w:color w:val="auto"/>
                <w:sz w:val="24"/>
                <w:szCs w:val="24"/>
                <w:highlight w:val="none"/>
                <w:lang w:val="zh-CN"/>
              </w:rPr>
              <w:t>数据归集的及时、准确、完整。无瑕疵</w:t>
            </w:r>
          </w:p>
          <w:p w14:paraId="28A620F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9</w:t>
            </w:r>
            <w:r>
              <w:rPr>
                <w:color w:val="auto"/>
                <w:kern w:val="0"/>
                <w:sz w:val="24"/>
                <w:szCs w:val="24"/>
                <w:highlight w:val="none"/>
              </w:rPr>
              <w:t>分；</w:t>
            </w:r>
          </w:p>
          <w:p w14:paraId="4325814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2CB8C56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323B14B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290CE04B">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1A419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Times New Roman"/>
                <w:color w:val="auto"/>
                <w:kern w:val="0"/>
                <w:sz w:val="24"/>
                <w:szCs w:val="24"/>
                <w:highlight w:val="none"/>
                <w:lang w:val="en-US" w:eastAsia="zh-CN"/>
              </w:rPr>
              <w:t>9</w:t>
            </w:r>
          </w:p>
        </w:tc>
      </w:tr>
      <w:tr w14:paraId="357AD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8083D07">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20DF23EA">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kern w:val="0"/>
                <w:sz w:val="24"/>
                <w:szCs w:val="24"/>
                <w:highlight w:val="none"/>
              </w:rPr>
            </w:pPr>
            <w:r>
              <w:rPr>
                <w:rFonts w:hint="eastAsia" w:cs="宋体"/>
                <w:color w:val="auto"/>
                <w:sz w:val="24"/>
                <w:szCs w:val="24"/>
                <w:highlight w:val="none"/>
                <w:lang w:val="zh-CN"/>
              </w:rPr>
              <w:t>定期预防性检查方案</w:t>
            </w:r>
          </w:p>
        </w:tc>
        <w:tc>
          <w:tcPr>
            <w:tcW w:w="7314" w:type="dxa"/>
            <w:gridSpan w:val="2"/>
            <w:shd w:val="clear" w:color="auto" w:fill="auto"/>
            <w:vAlign w:val="center"/>
          </w:tcPr>
          <w:p w14:paraId="1B78452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cs="宋体"/>
                <w:color w:val="auto"/>
                <w:sz w:val="24"/>
                <w:szCs w:val="24"/>
                <w:highlight w:val="none"/>
                <w:lang w:val="zh-CN"/>
              </w:rPr>
            </w:pPr>
            <w:r>
              <w:rPr>
                <w:rFonts w:hint="eastAsia" w:cs="宋体"/>
                <w:color w:val="auto"/>
                <w:sz w:val="24"/>
                <w:szCs w:val="24"/>
                <w:highlight w:val="none"/>
                <w:lang w:val="zh-CN"/>
              </w:rPr>
              <w:t>至少包含预防性检查频率、检查内容、发现问题后的解决方案等方面内容</w:t>
            </w:r>
          </w:p>
          <w:p w14:paraId="366CC10A">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40542C5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543C622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20729B8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79BDA88B">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6CD33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Times New Roman"/>
                <w:color w:val="auto"/>
                <w:kern w:val="0"/>
                <w:sz w:val="24"/>
                <w:szCs w:val="24"/>
                <w:highlight w:val="none"/>
                <w:lang w:val="en-US" w:eastAsia="zh-CN"/>
              </w:rPr>
              <w:t>9</w:t>
            </w:r>
          </w:p>
        </w:tc>
      </w:tr>
      <w:tr w14:paraId="37328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B62AD33">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42636B6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kern w:val="0"/>
                <w:sz w:val="24"/>
                <w:szCs w:val="24"/>
                <w:highlight w:val="none"/>
              </w:rPr>
            </w:pPr>
            <w:r>
              <w:rPr>
                <w:rFonts w:hint="eastAsia" w:cs="宋体"/>
                <w:color w:val="auto"/>
                <w:sz w:val="24"/>
                <w:szCs w:val="24"/>
                <w:highlight w:val="none"/>
                <w:lang w:val="zh-CN"/>
              </w:rPr>
              <w:t>故障管理处理方案</w:t>
            </w:r>
          </w:p>
        </w:tc>
        <w:tc>
          <w:tcPr>
            <w:tcW w:w="7314" w:type="dxa"/>
            <w:gridSpan w:val="2"/>
            <w:shd w:val="clear" w:color="auto" w:fill="auto"/>
            <w:vAlign w:val="center"/>
          </w:tcPr>
          <w:p w14:paraId="23099FE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cs="宋体"/>
                <w:color w:val="auto"/>
                <w:sz w:val="24"/>
                <w:szCs w:val="24"/>
                <w:highlight w:val="none"/>
                <w:lang w:val="zh-CN"/>
              </w:rPr>
            </w:pPr>
            <w:r>
              <w:rPr>
                <w:rFonts w:hint="eastAsia" w:cs="宋体"/>
                <w:color w:val="auto"/>
                <w:sz w:val="24"/>
                <w:szCs w:val="24"/>
                <w:highlight w:val="none"/>
                <w:lang w:val="zh-CN"/>
              </w:rPr>
              <w:t>至少包含响应时间、故障处理方案、防止再发方案等方面内容</w:t>
            </w:r>
          </w:p>
          <w:p w14:paraId="2BDC36E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472A4A5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3C98743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460FA02A">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78E36F2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3B571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9</w:t>
            </w:r>
          </w:p>
        </w:tc>
      </w:tr>
      <w:tr w14:paraId="568C7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BC5CAD3">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706B567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kern w:val="0"/>
                <w:sz w:val="24"/>
                <w:szCs w:val="24"/>
                <w:highlight w:val="none"/>
              </w:rPr>
            </w:pPr>
            <w:r>
              <w:rPr>
                <w:rFonts w:hint="eastAsia" w:cs="宋体"/>
                <w:color w:val="auto"/>
                <w:sz w:val="24"/>
                <w:szCs w:val="24"/>
                <w:highlight w:val="none"/>
                <w:lang w:val="zh-CN"/>
              </w:rPr>
              <w:t>突发事件管理方案</w:t>
            </w:r>
          </w:p>
        </w:tc>
        <w:tc>
          <w:tcPr>
            <w:tcW w:w="7314" w:type="dxa"/>
            <w:gridSpan w:val="2"/>
            <w:shd w:val="clear" w:color="auto" w:fill="auto"/>
            <w:vAlign w:val="center"/>
          </w:tcPr>
          <w:p w14:paraId="0DE0FE9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cs="宋体"/>
                <w:color w:val="auto"/>
                <w:sz w:val="24"/>
                <w:szCs w:val="24"/>
                <w:highlight w:val="none"/>
                <w:lang w:val="zh-CN"/>
              </w:rPr>
            </w:pPr>
            <w:r>
              <w:rPr>
                <w:rFonts w:hint="eastAsia" w:cs="宋体"/>
                <w:color w:val="auto"/>
                <w:sz w:val="24"/>
                <w:szCs w:val="24"/>
                <w:highlight w:val="none"/>
                <w:lang w:val="zh-CN"/>
              </w:rPr>
              <w:t>至少包含针对恶意攻击、访问量激增等处理方案</w:t>
            </w:r>
          </w:p>
          <w:p w14:paraId="06DE708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9</w:t>
            </w:r>
            <w:r>
              <w:rPr>
                <w:color w:val="auto"/>
                <w:kern w:val="0"/>
                <w:sz w:val="24"/>
                <w:szCs w:val="24"/>
                <w:highlight w:val="none"/>
              </w:rPr>
              <w:t>分；</w:t>
            </w:r>
          </w:p>
          <w:p w14:paraId="73DD585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2BEE5757">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7903320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3AEE385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default" w:ascii="Times New Roman" w:hAnsi="Times New Roman" w:eastAsia="宋体" w:cs="Times New Roman"/>
                <w:color w:val="auto"/>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1ABD6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9</w:t>
            </w:r>
          </w:p>
        </w:tc>
      </w:tr>
      <w:tr w14:paraId="647D0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01EA273B">
            <w:pPr>
              <w:keepNext w:val="0"/>
              <w:keepLines w:val="0"/>
              <w:pageBreakBefore w:val="0"/>
              <w:widowControl w:val="0"/>
              <w:kinsoku/>
              <w:wordWrap/>
              <w:overflowPunct/>
              <w:topLinePunct w:val="0"/>
              <w:autoSpaceDE/>
              <w:autoSpaceDN/>
              <w:bidi w:val="0"/>
              <w:adjustRightInd/>
              <w:snapToGrid/>
              <w:spacing w:line="360" w:lineRule="auto"/>
              <w:ind w:left="0" w:leftChars="0"/>
              <w:jc w:val="center"/>
              <w:textAlignment w:val="auto"/>
              <w:rPr>
                <w:rFonts w:hint="default" w:ascii="Times New Roman" w:hAnsi="Times New Roman" w:cs="Times New Roman"/>
                <w:color w:val="auto"/>
                <w:kern w:val="0"/>
                <w:sz w:val="24"/>
                <w:szCs w:val="24"/>
                <w:highlight w:val="none"/>
                <w:lang w:val="en-US" w:eastAsia="zh-CN"/>
              </w:rPr>
            </w:pPr>
            <w:r>
              <w:rPr>
                <w:rFonts w:hint="eastAsia"/>
                <w:color w:val="auto"/>
                <w:kern w:val="0"/>
                <w:sz w:val="24"/>
                <w:szCs w:val="24"/>
                <w:highlight w:val="none"/>
              </w:rPr>
              <w:t>7</w:t>
            </w:r>
          </w:p>
        </w:tc>
        <w:tc>
          <w:tcPr>
            <w:tcW w:w="1419" w:type="dxa"/>
            <w:shd w:val="clear" w:color="auto" w:fill="auto"/>
            <w:vAlign w:val="center"/>
          </w:tcPr>
          <w:p w14:paraId="344B5CE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kern w:val="0"/>
                <w:sz w:val="24"/>
                <w:szCs w:val="24"/>
                <w:highlight w:val="none"/>
                <w:lang w:val="zh-CN"/>
              </w:rPr>
            </w:pPr>
            <w:r>
              <w:rPr>
                <w:rFonts w:hint="eastAsia" w:cs="宋体"/>
                <w:color w:val="auto"/>
                <w:sz w:val="24"/>
                <w:szCs w:val="24"/>
                <w:highlight w:val="none"/>
                <w:lang w:val="zh-CN"/>
              </w:rPr>
              <w:t>保密措施评价</w:t>
            </w:r>
          </w:p>
        </w:tc>
        <w:tc>
          <w:tcPr>
            <w:tcW w:w="7314" w:type="dxa"/>
            <w:gridSpan w:val="2"/>
            <w:shd w:val="clear" w:color="auto" w:fill="auto"/>
            <w:vAlign w:val="center"/>
          </w:tcPr>
          <w:p w14:paraId="6D6D848A">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至少包含设置专人负责监管保密工作、保密制度、定期检查、保密教育、</w:t>
            </w:r>
            <w:r>
              <w:rPr>
                <w:rFonts w:hint="eastAsia" w:asciiTheme="minorEastAsia" w:hAnsiTheme="minorEastAsia" w:eastAsiaTheme="minorEastAsia" w:cstheme="minorEastAsia"/>
                <w:color w:val="auto"/>
                <w:sz w:val="24"/>
                <w:szCs w:val="24"/>
                <w:highlight w:val="none"/>
              </w:rPr>
              <w:t>资料维护</w:t>
            </w:r>
            <w:r>
              <w:rPr>
                <w:rFonts w:hint="eastAsia" w:asciiTheme="minorEastAsia" w:hAnsiTheme="minorEastAsia" w:eastAsiaTheme="minorEastAsia" w:cstheme="minorEastAsia"/>
                <w:color w:val="auto"/>
                <w:kern w:val="0"/>
                <w:sz w:val="24"/>
                <w:szCs w:val="24"/>
                <w:highlight w:val="none"/>
              </w:rPr>
              <w:t>具体措施等</w:t>
            </w:r>
          </w:p>
          <w:p w14:paraId="004F952B">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6</w:t>
            </w:r>
            <w:r>
              <w:rPr>
                <w:color w:val="auto"/>
                <w:kern w:val="0"/>
                <w:sz w:val="24"/>
                <w:szCs w:val="24"/>
                <w:highlight w:val="none"/>
              </w:rPr>
              <w:t>分；</w:t>
            </w:r>
          </w:p>
          <w:p w14:paraId="004B24D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77E7F8EB">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751F4B8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17B63FF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default" w:ascii="Times New Roman" w:hAnsi="Times New Roman" w:cs="Times New Roman"/>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450D2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6</w:t>
            </w:r>
          </w:p>
        </w:tc>
      </w:tr>
      <w:tr w14:paraId="3DD7E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0481BE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合计</w:t>
            </w:r>
          </w:p>
        </w:tc>
        <w:tc>
          <w:tcPr>
            <w:tcW w:w="1140" w:type="dxa"/>
            <w:shd w:val="clear" w:color="auto" w:fill="auto"/>
            <w:vAlign w:val="center"/>
          </w:tcPr>
          <w:p w14:paraId="46E534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100</w:t>
            </w:r>
          </w:p>
        </w:tc>
      </w:tr>
    </w:tbl>
    <w:p w14:paraId="58048145">
      <w:pPr>
        <w:autoSpaceDE w:val="0"/>
        <w:autoSpaceDN w:val="0"/>
        <w:adjustRightInd w:val="0"/>
        <w:spacing w:line="360" w:lineRule="auto"/>
        <w:ind w:firstLine="482" w:firstLineChars="200"/>
        <w:rPr>
          <w:rFonts w:hint="eastAsia"/>
          <w:b/>
          <w:bCs w:val="0"/>
          <w:color w:val="auto"/>
          <w:sz w:val="24"/>
          <w:highlight w:val="none"/>
          <w:lang w:val="en-US" w:eastAsia="zh-CN"/>
        </w:rPr>
      </w:pPr>
      <w:r>
        <w:rPr>
          <w:rFonts w:hint="eastAsia"/>
          <w:b/>
          <w:bCs w:val="0"/>
          <w:color w:val="auto"/>
          <w:sz w:val="24"/>
          <w:highlight w:val="none"/>
          <w:lang w:val="en-US" w:eastAsia="zh-CN"/>
        </w:rPr>
        <w:t>第六包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37631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04C400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第一部分 价格（</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0分）</w:t>
            </w:r>
          </w:p>
        </w:tc>
        <w:tc>
          <w:tcPr>
            <w:tcW w:w="1140" w:type="dxa"/>
            <w:shd w:val="clear" w:color="auto" w:fill="auto"/>
            <w:vAlign w:val="center"/>
          </w:tcPr>
          <w:p w14:paraId="327403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6D0B8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A58FC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08DC09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价格</w:t>
            </w:r>
          </w:p>
        </w:tc>
        <w:tc>
          <w:tcPr>
            <w:tcW w:w="7314" w:type="dxa"/>
            <w:gridSpan w:val="2"/>
            <w:shd w:val="clear" w:color="auto" w:fill="auto"/>
            <w:vAlign w:val="center"/>
          </w:tcPr>
          <w:p w14:paraId="5C154B7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（1）报价超过采购预算的，响应无效，未超过采购预算的报价按以下公式进行计算。</w:t>
            </w:r>
          </w:p>
          <w:p w14:paraId="7E130CE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（2）价格得分=（评标基准价/报价）×</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p w14:paraId="3B6C9CA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注：满足磋商文件要求且报价最低的报价为评标基准价。</w:t>
            </w:r>
          </w:p>
        </w:tc>
        <w:tc>
          <w:tcPr>
            <w:tcW w:w="1140" w:type="dxa"/>
            <w:shd w:val="clear" w:color="auto" w:fill="auto"/>
            <w:vAlign w:val="center"/>
          </w:tcPr>
          <w:p w14:paraId="1FE9FA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tc>
      </w:tr>
      <w:tr w14:paraId="25E36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0D18F9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第二部分 客观分（</w:t>
            </w:r>
            <w:r>
              <w:rPr>
                <w:rFonts w:hint="eastAsia" w:ascii="Times New Roman" w:hAnsi="Times New Roman" w:eastAsia="宋体" w:cs="Times New Roman"/>
                <w:color w:val="auto"/>
                <w:kern w:val="0"/>
                <w:sz w:val="24"/>
                <w:szCs w:val="24"/>
                <w:highlight w:val="none"/>
                <w:lang w:val="en-US" w:eastAsia="zh-CN"/>
              </w:rPr>
              <w:t>30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4F2471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269AE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663" w:type="dxa"/>
            <w:shd w:val="clear" w:color="auto" w:fill="auto"/>
            <w:noWrap/>
            <w:vAlign w:val="center"/>
          </w:tcPr>
          <w:p w14:paraId="4E1E38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2FC39D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投标人业绩</w:t>
            </w:r>
          </w:p>
        </w:tc>
        <w:tc>
          <w:tcPr>
            <w:tcW w:w="7314" w:type="dxa"/>
            <w:gridSpan w:val="2"/>
            <w:shd w:val="clear" w:color="auto" w:fill="auto"/>
            <w:vAlign w:val="center"/>
          </w:tcPr>
          <w:p w14:paraId="3BB5628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完全按照以下要求提供投标人曾实施的</w:t>
            </w:r>
            <w:r>
              <w:rPr>
                <w:rFonts w:hint="eastAsia" w:cs="Times New Roman"/>
                <w:color w:val="auto"/>
                <w:kern w:val="0"/>
                <w:sz w:val="24"/>
                <w:szCs w:val="24"/>
                <w:highlight w:val="none"/>
                <w:lang w:val="en-US" w:eastAsia="zh-CN"/>
              </w:rPr>
              <w:t>人工智能或基金监管软件开发或运维项目服务业绩</w:t>
            </w:r>
            <w:r>
              <w:rPr>
                <w:rFonts w:hint="default" w:ascii="Times New Roman" w:hAnsi="Times New Roman" w:eastAsia="宋体" w:cs="Times New Roman"/>
                <w:color w:val="auto"/>
                <w:kern w:val="0"/>
                <w:sz w:val="24"/>
                <w:szCs w:val="24"/>
                <w:highlight w:val="none"/>
              </w:rPr>
              <w:t>，提供的证明材料均不得遮挡涂黑，否则不予认定加分。</w:t>
            </w:r>
          </w:p>
          <w:p w14:paraId="2ACAC68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A. 合同原件扫描件。包括买卖双方名称及盖章、服务内容</w:t>
            </w:r>
            <w:r>
              <w:rPr>
                <w:rFonts w:hint="default" w:ascii="Times New Roman" w:hAnsi="Times New Roman" w:eastAsia="宋体" w:cs="Times New Roman"/>
                <w:bCs/>
                <w:color w:val="auto"/>
                <w:sz w:val="24"/>
                <w:szCs w:val="24"/>
                <w:highlight w:val="none"/>
              </w:rPr>
              <w:t>、合同签订日期（应为202</w:t>
            </w:r>
            <w:r>
              <w:rPr>
                <w:rFonts w:hint="eastAsia" w:cs="Times New Roman"/>
                <w:bCs/>
                <w:color w:val="auto"/>
                <w:sz w:val="24"/>
                <w:szCs w:val="24"/>
                <w:highlight w:val="none"/>
                <w:lang w:val="en-US" w:eastAsia="zh-CN"/>
              </w:rPr>
              <w:t>1</w:t>
            </w:r>
            <w:r>
              <w:rPr>
                <w:rFonts w:hint="default" w:ascii="Times New Roman" w:hAnsi="Times New Roman" w:eastAsia="宋体" w:cs="Times New Roman"/>
                <w:bCs/>
                <w:color w:val="auto"/>
                <w:sz w:val="24"/>
                <w:szCs w:val="24"/>
                <w:highlight w:val="none"/>
              </w:rPr>
              <w:t>年1月1日或以后）</w:t>
            </w:r>
            <w:r>
              <w:rPr>
                <w:rFonts w:hint="default" w:ascii="Times New Roman" w:hAnsi="Times New Roman" w:eastAsia="宋体" w:cs="Times New Roman"/>
                <w:color w:val="auto"/>
                <w:kern w:val="0"/>
                <w:sz w:val="24"/>
                <w:szCs w:val="24"/>
                <w:highlight w:val="none"/>
              </w:rPr>
              <w:t>。</w:t>
            </w:r>
          </w:p>
          <w:p w14:paraId="32D6588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B. 上述合同履行良好的相关证明材料原件扫描件（</w:t>
            </w:r>
            <w:r>
              <w:rPr>
                <w:rFonts w:hint="default" w:ascii="Times New Roman" w:hAnsi="Times New Roman" w:eastAsia="宋体" w:cs="Times New Roman"/>
                <w:color w:val="auto"/>
                <w:sz w:val="24"/>
                <w:szCs w:val="24"/>
                <w:highlight w:val="none"/>
              </w:rPr>
              <w:t>加盖上述合同甲方单位公章或上述合同中所盖的甲方印章</w:t>
            </w:r>
            <w:r>
              <w:rPr>
                <w:rFonts w:hint="default" w:ascii="Times New Roman" w:hAnsi="Times New Roman" w:eastAsia="宋体" w:cs="Times New Roman"/>
                <w:color w:val="auto"/>
                <w:kern w:val="0"/>
                <w:sz w:val="24"/>
                <w:szCs w:val="24"/>
                <w:highlight w:val="none"/>
              </w:rPr>
              <w:t>）。</w:t>
            </w:r>
          </w:p>
          <w:p w14:paraId="3C2076D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每个业绩2分，最多</w:t>
            </w:r>
            <w:r>
              <w:rPr>
                <w:rFonts w:hint="eastAsia" w:cs="Times New Roman"/>
                <w:color w:val="auto"/>
                <w:kern w:val="0"/>
                <w:sz w:val="24"/>
                <w:szCs w:val="24"/>
                <w:highlight w:val="none"/>
                <w:lang w:val="en-US" w:eastAsia="zh-CN"/>
              </w:rPr>
              <w:t>10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1F6CEF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10</w:t>
            </w:r>
          </w:p>
        </w:tc>
      </w:tr>
      <w:tr w14:paraId="312B1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855C4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rPr>
              <w:t>2</w:t>
            </w:r>
          </w:p>
        </w:tc>
        <w:tc>
          <w:tcPr>
            <w:tcW w:w="1425" w:type="dxa"/>
            <w:gridSpan w:val="2"/>
            <w:shd w:val="clear" w:color="auto" w:fill="auto"/>
            <w:vAlign w:val="center"/>
          </w:tcPr>
          <w:p w14:paraId="4120EE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kern w:val="0"/>
                <w:sz w:val="24"/>
                <w:szCs w:val="24"/>
                <w:highlight w:val="none"/>
              </w:rPr>
              <w:t>投标人相关证书评价</w:t>
            </w:r>
          </w:p>
        </w:tc>
        <w:tc>
          <w:tcPr>
            <w:tcW w:w="7308" w:type="dxa"/>
            <w:shd w:val="clear" w:color="auto" w:fill="auto"/>
            <w:vAlign w:val="center"/>
          </w:tcPr>
          <w:p w14:paraId="761F50B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w:t>
            </w:r>
            <w:r>
              <w:rPr>
                <w:rFonts w:hint="eastAsia" w:cs="Times New Roman"/>
                <w:color w:val="auto"/>
                <w:kern w:val="0"/>
                <w:sz w:val="24"/>
                <w:szCs w:val="24"/>
                <w:highlight w:val="none"/>
                <w:lang w:val="en-US" w:eastAsia="zh-CN"/>
              </w:rPr>
              <w:t>具备</w:t>
            </w:r>
            <w:r>
              <w:rPr>
                <w:color w:val="auto"/>
                <w:spacing w:val="6"/>
                <w:sz w:val="24"/>
                <w:szCs w:val="24"/>
                <w:highlight w:val="none"/>
              </w:rPr>
              <w:t>质量管理体系认证</w:t>
            </w:r>
            <w:r>
              <w:rPr>
                <w:rFonts w:hint="default" w:ascii="Times New Roman" w:hAnsi="Times New Roman" w:eastAsia="宋体" w:cs="Times New Roman"/>
                <w:color w:val="auto"/>
                <w:kern w:val="0"/>
                <w:sz w:val="24"/>
                <w:szCs w:val="24"/>
                <w:highlight w:val="none"/>
                <w:lang w:val="en-US" w:eastAsia="zh-CN"/>
              </w:rPr>
              <w:t>、环境管理体系认证、信息技术服务管理体系认证</w:t>
            </w:r>
            <w:r>
              <w:rPr>
                <w:rFonts w:hint="eastAsia" w:cs="Times New Roman"/>
                <w:color w:val="auto"/>
                <w:kern w:val="0"/>
                <w:sz w:val="24"/>
                <w:szCs w:val="24"/>
                <w:highlight w:val="none"/>
                <w:lang w:val="en-US" w:eastAsia="zh-CN"/>
              </w:rPr>
              <w:t>、</w:t>
            </w:r>
            <w:r>
              <w:rPr>
                <w:rFonts w:hint="default" w:ascii="Times New Roman" w:hAnsi="Times New Roman" w:eastAsia="宋体" w:cs="Times New Roman"/>
                <w:color w:val="auto"/>
                <w:kern w:val="0"/>
                <w:sz w:val="24"/>
                <w:szCs w:val="24"/>
                <w:highlight w:val="none"/>
                <w:lang w:val="en-US" w:eastAsia="zh-CN"/>
              </w:rPr>
              <w:t>ITSS信息技术服务运行维护标准符合性证书三级</w:t>
            </w:r>
            <w:r>
              <w:rPr>
                <w:rFonts w:hint="eastAsia" w:cs="Times New Roman"/>
                <w:color w:val="auto"/>
                <w:kern w:val="0"/>
                <w:sz w:val="24"/>
                <w:szCs w:val="24"/>
                <w:highlight w:val="none"/>
                <w:lang w:val="en-US" w:eastAsia="zh-CN"/>
              </w:rPr>
              <w:t>或以上</w:t>
            </w:r>
            <w:r>
              <w:rPr>
                <w:rFonts w:hint="default" w:ascii="Times New Roman" w:hAnsi="Times New Roman" w:eastAsia="宋体" w:cs="Times New Roman"/>
                <w:color w:val="auto"/>
                <w:kern w:val="0"/>
                <w:sz w:val="24"/>
                <w:szCs w:val="24"/>
                <w:highlight w:val="none"/>
                <w:lang w:val="en-US" w:eastAsia="zh-CN"/>
              </w:rPr>
              <w:t>、</w:t>
            </w:r>
            <w:r>
              <w:rPr>
                <w:rFonts w:hint="eastAsia" w:cs="Times New Roman"/>
                <w:color w:val="auto"/>
                <w:kern w:val="0"/>
                <w:sz w:val="24"/>
                <w:szCs w:val="24"/>
                <w:highlight w:val="none"/>
                <w:lang w:val="en-US" w:eastAsia="zh-CN"/>
              </w:rPr>
              <w:t>信息安全服务资质认证证书（安全集成）二级或以上、信息安全服务资质认证证书（安全运维）二级或以上、信息安全服务资质认证证书（软件安全开发）二级或以上、信息系统建设和服务能力CS2级或以上</w:t>
            </w:r>
            <w:r>
              <w:rPr>
                <w:rFonts w:hint="default" w:ascii="Times New Roman" w:hAnsi="Times New Roman" w:eastAsia="宋体" w:cs="Times New Roman"/>
                <w:color w:val="auto"/>
                <w:kern w:val="0"/>
                <w:sz w:val="24"/>
                <w:szCs w:val="24"/>
                <w:highlight w:val="none"/>
                <w:lang w:val="en-US" w:eastAsia="zh-CN"/>
              </w:rPr>
              <w:t>，提供证书扫描件，每个合格的证书扫描件得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lang w:val="en-US" w:eastAsia="zh-CN"/>
              </w:rPr>
              <w:t>分，最多</w:t>
            </w:r>
            <w:r>
              <w:rPr>
                <w:rFonts w:hint="eastAsia" w:cs="Times New Roman"/>
                <w:color w:val="auto"/>
                <w:kern w:val="0"/>
                <w:sz w:val="24"/>
                <w:szCs w:val="24"/>
                <w:highlight w:val="none"/>
                <w:lang w:val="en-US" w:eastAsia="zh-CN"/>
              </w:rPr>
              <w:t>8</w:t>
            </w:r>
            <w:r>
              <w:rPr>
                <w:rFonts w:hint="default" w:ascii="Times New Roman" w:hAnsi="Times New Roman" w:eastAsia="宋体" w:cs="Times New Roman"/>
                <w:color w:val="auto"/>
                <w:kern w:val="0"/>
                <w:sz w:val="24"/>
                <w:szCs w:val="24"/>
                <w:highlight w:val="none"/>
                <w:lang w:val="en-US" w:eastAsia="zh-CN"/>
              </w:rPr>
              <w:t>分；</w:t>
            </w:r>
          </w:p>
        </w:tc>
        <w:tc>
          <w:tcPr>
            <w:tcW w:w="1140" w:type="dxa"/>
            <w:shd w:val="clear" w:color="auto" w:fill="auto"/>
            <w:vAlign w:val="center"/>
          </w:tcPr>
          <w:p w14:paraId="76DD32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8</w:t>
            </w:r>
          </w:p>
        </w:tc>
      </w:tr>
      <w:tr w14:paraId="730C4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663" w:type="dxa"/>
            <w:shd w:val="clear" w:color="auto" w:fill="auto"/>
            <w:noWrap/>
            <w:vAlign w:val="center"/>
          </w:tcPr>
          <w:p w14:paraId="353B3F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3</w:t>
            </w:r>
          </w:p>
        </w:tc>
        <w:tc>
          <w:tcPr>
            <w:tcW w:w="1425" w:type="dxa"/>
            <w:gridSpan w:val="2"/>
            <w:shd w:val="clear" w:color="auto" w:fill="auto"/>
            <w:vAlign w:val="center"/>
          </w:tcPr>
          <w:p w14:paraId="4D13FF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投入人员评价</w:t>
            </w:r>
          </w:p>
        </w:tc>
        <w:tc>
          <w:tcPr>
            <w:tcW w:w="7308" w:type="dxa"/>
            <w:shd w:val="clear" w:color="auto" w:fill="auto"/>
            <w:vAlign w:val="center"/>
          </w:tcPr>
          <w:p w14:paraId="17E15A6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投入的人员为投标单位正式员工，提供姓名、递交响应文件</w:t>
            </w:r>
            <w:r>
              <w:rPr>
                <w:rFonts w:hint="default" w:ascii="Times New Roman" w:hAnsi="Times New Roman" w:eastAsia="宋体" w:cs="Times New Roman"/>
                <w:color w:val="auto"/>
                <w:sz w:val="24"/>
                <w:szCs w:val="24"/>
                <w:highlight w:val="none"/>
              </w:rPr>
              <w:t>截止</w:t>
            </w:r>
            <w:r>
              <w:rPr>
                <w:rFonts w:hint="default" w:ascii="Times New Roman" w:hAnsi="Times New Roman" w:eastAsia="宋体" w:cs="Times New Roman"/>
                <w:color w:val="auto"/>
                <w:kern w:val="0"/>
                <w:sz w:val="24"/>
                <w:szCs w:val="24"/>
                <w:highlight w:val="none"/>
              </w:rPr>
              <w:t>日前三个月中任意一个月的由投标单位为投入人员缴纳社会保险证明扫描件，否则不予认定加分。</w:t>
            </w:r>
          </w:p>
          <w:p w14:paraId="1F6EAB3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r>
              <w:rPr>
                <w:rFonts w:hint="default" w:ascii="Times New Roman" w:hAnsi="Times New Roman" w:eastAsia="宋体" w:cs="Times New Roman"/>
                <w:color w:val="auto"/>
                <w:sz w:val="24"/>
                <w:szCs w:val="24"/>
                <w:highlight w:val="none"/>
                <w:lang w:val="en-US" w:eastAsia="zh-CN"/>
              </w:rPr>
              <w:t>项目经理</w:t>
            </w:r>
            <w:r>
              <w:rPr>
                <w:rFonts w:hint="default" w:ascii="Times New Roman" w:hAnsi="Times New Roman" w:eastAsia="宋体" w:cs="Times New Roman"/>
                <w:color w:val="auto"/>
                <w:kern w:val="0"/>
                <w:sz w:val="24"/>
                <w:szCs w:val="24"/>
                <w:highlight w:val="none"/>
              </w:rPr>
              <w:t>具备</w:t>
            </w:r>
            <w:r>
              <w:rPr>
                <w:rFonts w:hint="default" w:ascii="Times New Roman" w:hAnsi="Times New Roman" w:eastAsia="宋体" w:cs="Times New Roman"/>
                <w:b w:val="0"/>
                <w:bCs w:val="0"/>
                <w:color w:val="auto"/>
                <w:sz w:val="24"/>
                <w:szCs w:val="24"/>
                <w:highlight w:val="none"/>
              </w:rPr>
              <w:t>计算机技术与软件专业技术资格证书（信息系统项目管理师）、计算机技术与软件专业技术资格证书（系统规划与管理师）、</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default" w:ascii="Times New Roman" w:hAnsi="Times New Roman" w:eastAsia="宋体" w:cs="Times New Roman"/>
                <w:b w:val="0"/>
                <w:bCs w:val="0"/>
                <w:color w:val="auto"/>
                <w:sz w:val="24"/>
                <w:szCs w:val="24"/>
                <w:highlight w:val="none"/>
              </w:rPr>
              <w:t>（应急服务）</w:t>
            </w:r>
            <w:r>
              <w:rPr>
                <w:rFonts w:hint="default" w:ascii="Times New Roman" w:hAnsi="Times New Roman" w:eastAsia="宋体" w:cs="Times New Roman"/>
                <w:color w:val="auto"/>
                <w:kern w:val="0"/>
                <w:sz w:val="24"/>
                <w:szCs w:val="24"/>
                <w:highlight w:val="none"/>
              </w:rPr>
              <w:t>，提供以上证书扫描件，</w:t>
            </w:r>
            <w:r>
              <w:rPr>
                <w:rFonts w:hint="eastAsia" w:cs="Times New Roman"/>
                <w:color w:val="auto"/>
                <w:kern w:val="0"/>
                <w:sz w:val="24"/>
                <w:szCs w:val="24"/>
                <w:highlight w:val="none"/>
                <w:lang w:val="en-US" w:eastAsia="zh-CN"/>
              </w:rPr>
              <w:t>每个合格的证书</w:t>
            </w:r>
            <w:r>
              <w:rPr>
                <w:rFonts w:hint="default" w:ascii="Times New Roman" w:hAnsi="Times New Roman" w:eastAsia="宋体" w:cs="Times New Roman"/>
                <w:color w:val="auto"/>
                <w:kern w:val="0"/>
                <w:sz w:val="24"/>
                <w:szCs w:val="24"/>
                <w:highlight w:val="none"/>
              </w:rPr>
              <w:t>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分；</w:t>
            </w:r>
          </w:p>
          <w:p w14:paraId="4FCC360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default" w:ascii="Times New Roman" w:hAnsi="Times New Roman"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w:t>
            </w:r>
            <w:r>
              <w:rPr>
                <w:rFonts w:hint="eastAsia" w:ascii="宋体" w:hAnsi="宋体" w:cs="宋体"/>
                <w:b w:val="0"/>
                <w:bCs w:val="0"/>
                <w:color w:val="auto"/>
                <w:kern w:val="0"/>
                <w:sz w:val="24"/>
                <w:szCs w:val="24"/>
                <w:highlight w:val="none"/>
                <w:lang w:val="en-US" w:eastAsia="zh-CN" w:bidi="ar"/>
              </w:rPr>
              <w:t>运维人员中至少1人</w:t>
            </w:r>
            <w:r>
              <w:rPr>
                <w:rFonts w:hint="default" w:ascii="Times New Roman" w:hAnsi="Times New Roman" w:eastAsia="宋体" w:cs="Times New Roman"/>
                <w:b w:val="0"/>
                <w:bCs w:val="0"/>
                <w:color w:val="auto"/>
                <w:sz w:val="24"/>
                <w:szCs w:val="24"/>
                <w:highlight w:val="none"/>
              </w:rPr>
              <w:t>具备ITSS IT服务工程师</w:t>
            </w:r>
            <w:r>
              <w:rPr>
                <w:rFonts w:hint="eastAsia" w:ascii="Times New Roman" w:hAnsi="Times New Roman" w:eastAsia="宋体" w:cs="Times New Roman"/>
                <w:b w:val="0"/>
                <w:bCs w:val="0"/>
                <w:color w:val="auto"/>
                <w:sz w:val="24"/>
                <w:szCs w:val="24"/>
                <w:highlight w:val="none"/>
                <w:lang w:val="en-US" w:eastAsia="zh-CN"/>
              </w:rPr>
              <w:t>证书</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color w:val="auto"/>
                <w:kern w:val="0"/>
                <w:sz w:val="24"/>
                <w:szCs w:val="24"/>
                <w:highlight w:val="none"/>
              </w:rPr>
              <w:t>提供证书扫描件，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w:t>
            </w:r>
          </w:p>
          <w:p w14:paraId="17F0546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w:t>
            </w:r>
            <w:r>
              <w:rPr>
                <w:rFonts w:hint="eastAsia" w:ascii="宋体" w:hAnsi="宋体" w:cs="宋体"/>
                <w:b w:val="0"/>
                <w:bCs w:val="0"/>
                <w:color w:val="auto"/>
                <w:kern w:val="0"/>
                <w:sz w:val="24"/>
                <w:szCs w:val="24"/>
                <w:highlight w:val="none"/>
                <w:lang w:val="en-US" w:eastAsia="zh-CN" w:bidi="ar"/>
              </w:rPr>
              <w:t>技术人员</w:t>
            </w:r>
            <w:r>
              <w:rPr>
                <w:rFonts w:hint="default" w:ascii="Times New Roman" w:hAnsi="Times New Roman" w:eastAsia="宋体" w:cs="Times New Roman"/>
                <w:b w:val="0"/>
                <w:bCs w:val="0"/>
                <w:color w:val="auto"/>
                <w:sz w:val="24"/>
                <w:szCs w:val="24"/>
                <w:highlight w:val="none"/>
              </w:rPr>
              <w:t>具备计算机技术与软件专业技术资格证书（</w:t>
            </w:r>
            <w:r>
              <w:rPr>
                <w:rFonts w:hint="default" w:ascii="Times New Roman" w:hAnsi="Times New Roman" w:eastAsia="宋体" w:cs="Times New Roman"/>
                <w:b w:val="0"/>
                <w:bCs w:val="0"/>
                <w:color w:val="auto"/>
                <w:sz w:val="24"/>
                <w:szCs w:val="24"/>
                <w:highlight w:val="none"/>
                <w:lang w:val="en-US" w:eastAsia="zh-CN"/>
              </w:rPr>
              <w:t>数据库系统工程师</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color w:val="auto"/>
                <w:kern w:val="0"/>
                <w:sz w:val="24"/>
                <w:szCs w:val="24"/>
                <w:highlight w:val="none"/>
              </w:rPr>
              <w:t>提供证书扫描件，</w:t>
            </w:r>
            <w:r>
              <w:rPr>
                <w:rFonts w:hint="eastAsia" w:cs="Times New Roman"/>
                <w:color w:val="auto"/>
                <w:kern w:val="0"/>
                <w:sz w:val="24"/>
                <w:szCs w:val="24"/>
                <w:highlight w:val="none"/>
                <w:lang w:val="en-US" w:eastAsia="zh-CN"/>
              </w:rPr>
              <w:t>每个提供</w:t>
            </w:r>
            <w:r>
              <w:rPr>
                <w:rFonts w:hint="default" w:ascii="Times New Roman" w:hAnsi="Times New Roman" w:eastAsia="宋体" w:cs="Times New Roman"/>
                <w:color w:val="auto"/>
                <w:kern w:val="0"/>
                <w:sz w:val="24"/>
                <w:szCs w:val="24"/>
                <w:highlight w:val="none"/>
              </w:rPr>
              <w:t>合格证书扫描件</w:t>
            </w:r>
            <w:r>
              <w:rPr>
                <w:rFonts w:hint="eastAsia" w:cs="Times New Roman"/>
                <w:color w:val="auto"/>
                <w:kern w:val="0"/>
                <w:sz w:val="24"/>
                <w:szCs w:val="24"/>
                <w:highlight w:val="none"/>
                <w:lang w:val="en-US" w:eastAsia="zh-CN"/>
              </w:rPr>
              <w:t>的上述人员</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0D34B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8</w:t>
            </w:r>
          </w:p>
        </w:tc>
      </w:tr>
      <w:tr w14:paraId="0FDC0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7767D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4</w:t>
            </w:r>
          </w:p>
        </w:tc>
        <w:tc>
          <w:tcPr>
            <w:tcW w:w="1425" w:type="dxa"/>
            <w:gridSpan w:val="2"/>
            <w:shd w:val="clear" w:color="auto" w:fill="auto"/>
            <w:vAlign w:val="center"/>
          </w:tcPr>
          <w:p w14:paraId="702D13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投标人承诺评价</w:t>
            </w:r>
          </w:p>
        </w:tc>
        <w:tc>
          <w:tcPr>
            <w:tcW w:w="7308" w:type="dxa"/>
            <w:shd w:val="clear" w:color="auto" w:fill="auto"/>
            <w:vAlign w:val="center"/>
          </w:tcPr>
          <w:p w14:paraId="22E9CAA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承诺完全满足磋商文件“报价要求”、“时间地点要求”、“付款方式要求”和技术要求中非“★”号要求的：</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分，其他0分。</w:t>
            </w:r>
          </w:p>
        </w:tc>
        <w:tc>
          <w:tcPr>
            <w:tcW w:w="1140" w:type="dxa"/>
            <w:shd w:val="clear" w:color="auto" w:fill="auto"/>
            <w:vAlign w:val="center"/>
          </w:tcPr>
          <w:p w14:paraId="3A1DF6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p>
        </w:tc>
      </w:tr>
      <w:tr w14:paraId="13AAE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779B83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第三部分 主观分（</w:t>
            </w:r>
            <w:r>
              <w:rPr>
                <w:rFonts w:hint="eastAsia" w:ascii="Times New Roman" w:hAnsi="Times New Roman" w:eastAsia="宋体" w:cs="Times New Roman"/>
                <w:color w:val="auto"/>
                <w:kern w:val="0"/>
                <w:sz w:val="24"/>
                <w:szCs w:val="24"/>
                <w:highlight w:val="none"/>
                <w:lang w:val="en-US" w:eastAsia="zh-CN"/>
              </w:rPr>
              <w:t>60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330831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33CF7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3A56419">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1</w:t>
            </w:r>
          </w:p>
        </w:tc>
        <w:tc>
          <w:tcPr>
            <w:tcW w:w="1419" w:type="dxa"/>
            <w:shd w:val="clear" w:color="auto" w:fill="auto"/>
            <w:vAlign w:val="center"/>
          </w:tcPr>
          <w:p w14:paraId="7333B8EE">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rPr>
              <w:t>项目需求理解</w:t>
            </w:r>
          </w:p>
        </w:tc>
        <w:tc>
          <w:tcPr>
            <w:tcW w:w="7314" w:type="dxa"/>
            <w:gridSpan w:val="2"/>
            <w:shd w:val="clear" w:color="auto" w:fill="auto"/>
            <w:vAlign w:val="top"/>
          </w:tcPr>
          <w:p w14:paraId="0BD07994">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rPr>
            </w:pPr>
            <w:r>
              <w:rPr>
                <w:rFonts w:hint="default" w:ascii="Times New Roman" w:hAnsi="Times New Roman" w:cs="Times New Roman" w:eastAsiaTheme="minorEastAsia"/>
                <w:color w:val="auto"/>
                <w:sz w:val="24"/>
                <w:szCs w:val="22"/>
                <w:highlight w:val="none"/>
              </w:rPr>
              <w:t>投标人根据本项目采购内容及服务要求，结合实际提出针</w:t>
            </w:r>
            <w:r>
              <w:rPr>
                <w:rFonts w:hint="default" w:ascii="Times New Roman" w:hAnsi="Times New Roman" w:cs="Times New Roman" w:eastAsiaTheme="minorEastAsia"/>
                <w:color w:val="auto"/>
                <w:sz w:val="24"/>
                <w:szCs w:val="22"/>
                <w:highlight w:val="none"/>
                <w:lang w:val="en-US" w:eastAsia="zh-CN"/>
              </w:rPr>
              <w:t>对</w:t>
            </w:r>
            <w:r>
              <w:rPr>
                <w:rFonts w:hint="default" w:ascii="Times New Roman" w:hAnsi="Times New Roman" w:cs="Times New Roman" w:eastAsiaTheme="minorEastAsia"/>
                <w:color w:val="auto"/>
                <w:sz w:val="24"/>
                <w:szCs w:val="22"/>
                <w:highlight w:val="none"/>
              </w:rPr>
              <w:t>项目需求进行分析，并提出针对性建议。包括但不限于：现状背景阐述、</w:t>
            </w:r>
            <w:r>
              <w:rPr>
                <w:rFonts w:hint="default" w:ascii="Times New Roman" w:hAnsi="Times New Roman" w:cs="Times New Roman" w:eastAsiaTheme="minorEastAsia"/>
                <w:color w:val="auto"/>
                <w:sz w:val="24"/>
                <w:szCs w:val="22"/>
                <w:highlight w:val="none"/>
                <w:lang w:val="en-US" w:eastAsia="zh-CN"/>
              </w:rPr>
              <w:t>对</w:t>
            </w:r>
            <w:r>
              <w:rPr>
                <w:rFonts w:hint="default" w:ascii="Times New Roman" w:hAnsi="Times New Roman" w:cs="Times New Roman" w:eastAsiaTheme="minorEastAsia"/>
                <w:color w:val="auto"/>
                <w:sz w:val="24"/>
                <w:szCs w:val="22"/>
                <w:highlight w:val="none"/>
              </w:rPr>
              <w:t>本项目难点与关键点</w:t>
            </w:r>
            <w:r>
              <w:rPr>
                <w:rFonts w:hint="default" w:ascii="Times New Roman" w:hAnsi="Times New Roman" w:cs="Times New Roman" w:eastAsiaTheme="minorEastAsia"/>
                <w:color w:val="auto"/>
                <w:sz w:val="24"/>
                <w:szCs w:val="22"/>
                <w:highlight w:val="none"/>
                <w:lang w:val="en-US" w:eastAsia="zh-CN"/>
              </w:rPr>
              <w:t>的理解、相关建议</w:t>
            </w:r>
            <w:r>
              <w:rPr>
                <w:rFonts w:hint="default" w:ascii="Times New Roman" w:hAnsi="Times New Roman" w:cs="Times New Roman" w:eastAsiaTheme="minorEastAsia"/>
                <w:color w:val="auto"/>
                <w:sz w:val="24"/>
                <w:szCs w:val="22"/>
                <w:highlight w:val="none"/>
              </w:rPr>
              <w:t>等具有深刻分析理解。</w:t>
            </w:r>
          </w:p>
          <w:p w14:paraId="57D25A5E">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方案满足招标文件要求，内容无瑕疵：</w:t>
            </w:r>
            <w:r>
              <w:rPr>
                <w:rFonts w:hint="eastAsia" w:ascii="Times New Roman" w:hAnsi="Times New Roman" w:cs="Times New Roman" w:eastAsiaTheme="minorEastAsia"/>
                <w:color w:val="auto"/>
                <w:sz w:val="24"/>
                <w:szCs w:val="22"/>
                <w:highlight w:val="none"/>
                <w:lang w:val="en-US" w:eastAsia="zh-CN"/>
              </w:rPr>
              <w:t>12</w:t>
            </w:r>
            <w:r>
              <w:rPr>
                <w:rFonts w:hint="default" w:ascii="Times New Roman" w:hAnsi="Times New Roman" w:cs="Times New Roman" w:eastAsiaTheme="minorEastAsia"/>
                <w:color w:val="auto"/>
                <w:sz w:val="24"/>
                <w:szCs w:val="22"/>
                <w:highlight w:val="none"/>
                <w:lang w:val="en-US" w:eastAsia="zh-CN"/>
              </w:rPr>
              <w:t>分；</w:t>
            </w:r>
          </w:p>
          <w:p w14:paraId="7A66B8E5">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方案满足招标文件要求，但内容存在1处瑕疵：</w:t>
            </w:r>
            <w:r>
              <w:rPr>
                <w:rFonts w:hint="eastAsia" w:ascii="Times New Roman" w:hAnsi="Times New Roman" w:cs="Times New Roman" w:eastAsiaTheme="minorEastAsia"/>
                <w:color w:val="auto"/>
                <w:sz w:val="24"/>
                <w:szCs w:val="22"/>
                <w:highlight w:val="none"/>
                <w:lang w:val="en-US" w:eastAsia="zh-CN"/>
              </w:rPr>
              <w:t>9</w:t>
            </w:r>
            <w:r>
              <w:rPr>
                <w:rFonts w:hint="default" w:ascii="Times New Roman" w:hAnsi="Times New Roman" w:cs="Times New Roman" w:eastAsiaTheme="minorEastAsia"/>
                <w:color w:val="auto"/>
                <w:sz w:val="24"/>
                <w:szCs w:val="22"/>
                <w:highlight w:val="none"/>
                <w:lang w:val="en-US" w:eastAsia="zh-CN"/>
              </w:rPr>
              <w:t>分；</w:t>
            </w:r>
          </w:p>
          <w:p w14:paraId="664C91AC">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方案满足招标文件要求，但内容存在2处瑕疵：</w:t>
            </w:r>
            <w:r>
              <w:rPr>
                <w:rFonts w:hint="eastAsia" w:ascii="Times New Roman" w:hAnsi="Times New Roman" w:cs="Times New Roman" w:eastAsiaTheme="minorEastAsia"/>
                <w:color w:val="auto"/>
                <w:sz w:val="24"/>
                <w:szCs w:val="22"/>
                <w:highlight w:val="none"/>
                <w:lang w:val="en-US" w:eastAsia="zh-CN"/>
              </w:rPr>
              <w:t>6</w:t>
            </w:r>
            <w:r>
              <w:rPr>
                <w:rFonts w:hint="default" w:ascii="Times New Roman" w:hAnsi="Times New Roman" w:cs="Times New Roman" w:eastAsiaTheme="minorEastAsia"/>
                <w:color w:val="auto"/>
                <w:sz w:val="24"/>
                <w:szCs w:val="22"/>
                <w:highlight w:val="none"/>
                <w:lang w:val="en-US" w:eastAsia="zh-CN"/>
              </w:rPr>
              <w:t>分；</w:t>
            </w:r>
          </w:p>
          <w:p w14:paraId="7CCF81C2">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w:t>
            </w:r>
            <w:r>
              <w:rPr>
                <w:rFonts w:hint="eastAsia" w:cs="Times New Roman" w:eastAsiaTheme="minorEastAsia"/>
                <w:color w:val="auto"/>
                <w:sz w:val="24"/>
                <w:szCs w:val="22"/>
                <w:highlight w:val="none"/>
                <w:lang w:val="en-US" w:eastAsia="zh-CN"/>
              </w:rPr>
              <w:t>3</w:t>
            </w:r>
            <w:r>
              <w:rPr>
                <w:rFonts w:hint="default" w:ascii="Times New Roman" w:hAnsi="Times New Roman" w:cs="Times New Roman" w:eastAsiaTheme="minorEastAsia"/>
                <w:color w:val="auto"/>
                <w:sz w:val="24"/>
                <w:szCs w:val="22"/>
                <w:highlight w:val="none"/>
                <w:lang w:val="en-US" w:eastAsia="zh-CN"/>
              </w:rPr>
              <w:t>处瑕疵：</w:t>
            </w:r>
            <w:r>
              <w:rPr>
                <w:rFonts w:hint="eastAsia" w:cs="Times New Roman" w:eastAsiaTheme="minorEastAsia"/>
                <w:color w:val="auto"/>
                <w:sz w:val="24"/>
                <w:szCs w:val="22"/>
                <w:highlight w:val="none"/>
                <w:lang w:val="en-US" w:eastAsia="zh-CN"/>
              </w:rPr>
              <w:t>3</w:t>
            </w:r>
            <w:r>
              <w:rPr>
                <w:rFonts w:hint="default" w:ascii="Times New Roman" w:hAnsi="Times New Roman" w:cs="Times New Roman" w:eastAsiaTheme="minorEastAsia"/>
                <w:color w:val="auto"/>
                <w:sz w:val="24"/>
                <w:szCs w:val="22"/>
                <w:highlight w:val="none"/>
                <w:lang w:val="en-US" w:eastAsia="zh-CN"/>
              </w:rPr>
              <w:t>分；</w:t>
            </w:r>
          </w:p>
          <w:p w14:paraId="5DC40132">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rPr>
            </w:pPr>
            <w:r>
              <w:rPr>
                <w:rFonts w:hint="default" w:ascii="Times New Roman" w:hAnsi="Times New Roman" w:cs="Times New Roman" w:eastAsiaTheme="minorEastAsia"/>
                <w:color w:val="auto"/>
                <w:sz w:val="24"/>
                <w:szCs w:val="22"/>
                <w:highlight w:val="none"/>
              </w:rPr>
              <w:t>未提供方案或不满足招标文件要求或内容存在</w:t>
            </w:r>
            <w:r>
              <w:rPr>
                <w:rFonts w:hint="eastAsia" w:ascii="Times New Roman" w:hAnsi="Times New Roman" w:cs="Times New Roman" w:eastAsiaTheme="minorEastAsia"/>
                <w:color w:val="auto"/>
                <w:sz w:val="24"/>
                <w:szCs w:val="22"/>
                <w:highlight w:val="none"/>
                <w:lang w:val="en-US" w:eastAsia="zh-CN"/>
              </w:rPr>
              <w:t>4</w:t>
            </w:r>
            <w:r>
              <w:rPr>
                <w:rFonts w:hint="default" w:ascii="Times New Roman" w:hAnsi="Times New Roman" w:cs="Times New Roman" w:eastAsiaTheme="minorEastAsia"/>
                <w:color w:val="auto"/>
                <w:sz w:val="24"/>
                <w:szCs w:val="22"/>
                <w:highlight w:val="none"/>
              </w:rPr>
              <w:t>处及以上瑕疵：0分；</w:t>
            </w:r>
          </w:p>
          <w:p w14:paraId="2D3F612A">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7983E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rPr>
            </w:pPr>
            <w:r>
              <w:rPr>
                <w:rFonts w:hint="eastAsia" w:ascii="Times New Roman" w:hAnsi="Times New Roman" w:cs="Times New Roman"/>
                <w:color w:val="auto"/>
                <w:kern w:val="0"/>
                <w:sz w:val="24"/>
                <w:szCs w:val="24"/>
                <w:highlight w:val="none"/>
                <w:lang w:val="en-US" w:eastAsia="zh-CN"/>
              </w:rPr>
              <w:t>12</w:t>
            </w:r>
          </w:p>
        </w:tc>
      </w:tr>
      <w:tr w14:paraId="175D4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091C6C7">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2</w:t>
            </w:r>
          </w:p>
        </w:tc>
        <w:tc>
          <w:tcPr>
            <w:tcW w:w="1419" w:type="dxa"/>
            <w:shd w:val="clear" w:color="auto" w:fill="auto"/>
            <w:vAlign w:val="center"/>
          </w:tcPr>
          <w:p w14:paraId="197F1606">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sz w:val="24"/>
                <w:szCs w:val="24"/>
                <w:highlight w:val="none"/>
                <w:lang w:val="zh-CN"/>
              </w:rPr>
            </w:pPr>
            <w:r>
              <w:rPr>
                <w:rFonts w:hint="default" w:ascii="Times New Roman" w:hAnsi="Times New Roman" w:cs="Times New Roman" w:eastAsiaTheme="minorEastAsia"/>
                <w:color w:val="auto"/>
                <w:sz w:val="24"/>
                <w:szCs w:val="22"/>
                <w:highlight w:val="none"/>
                <w:lang w:val="en-US" w:eastAsia="zh-CN"/>
              </w:rPr>
              <w:t>总体运维服务方案</w:t>
            </w:r>
          </w:p>
        </w:tc>
        <w:tc>
          <w:tcPr>
            <w:tcW w:w="7314" w:type="dxa"/>
            <w:gridSpan w:val="2"/>
            <w:shd w:val="clear" w:color="auto" w:fill="auto"/>
            <w:vAlign w:val="top"/>
          </w:tcPr>
          <w:p w14:paraId="5A499BC1">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rPr>
            </w:pPr>
            <w:r>
              <w:rPr>
                <w:rFonts w:hint="default" w:ascii="Times New Roman" w:hAnsi="Times New Roman" w:cs="Times New Roman" w:eastAsiaTheme="minorEastAsia"/>
                <w:color w:val="auto"/>
                <w:sz w:val="24"/>
                <w:szCs w:val="22"/>
                <w:highlight w:val="none"/>
              </w:rPr>
              <w:t>投标人提供售后服务方案，包括但不限于故障响应支持、电话及现场技术支持、软件维护升级服务、定期巡检、应急响应预案等，评标委员会根据方案的合理性、可操作性进行综合评</w:t>
            </w:r>
            <w:r>
              <w:rPr>
                <w:rFonts w:hint="default" w:ascii="Times New Roman" w:hAnsi="Times New Roman" w:cs="Times New Roman" w:eastAsiaTheme="minorEastAsia"/>
                <w:color w:val="auto"/>
                <w:sz w:val="24"/>
                <w:szCs w:val="22"/>
                <w:highlight w:val="none"/>
                <w:lang w:val="en-US" w:eastAsia="zh-CN"/>
              </w:rPr>
              <w:t>分：</w:t>
            </w:r>
          </w:p>
          <w:p w14:paraId="1A8E9744">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方案满足招标文件要求，内容无瑕疵：</w:t>
            </w:r>
            <w:r>
              <w:rPr>
                <w:rFonts w:hint="eastAsia" w:ascii="Times New Roman" w:hAnsi="Times New Roman" w:cs="Times New Roman" w:eastAsiaTheme="minorEastAsia"/>
                <w:color w:val="auto"/>
                <w:sz w:val="24"/>
                <w:szCs w:val="22"/>
                <w:highlight w:val="none"/>
                <w:lang w:val="en-US" w:eastAsia="zh-CN"/>
              </w:rPr>
              <w:t>12</w:t>
            </w:r>
            <w:r>
              <w:rPr>
                <w:rFonts w:hint="default" w:ascii="Times New Roman" w:hAnsi="Times New Roman" w:cs="Times New Roman" w:eastAsiaTheme="minorEastAsia"/>
                <w:color w:val="auto"/>
                <w:sz w:val="24"/>
                <w:szCs w:val="22"/>
                <w:highlight w:val="none"/>
                <w:lang w:val="en-US" w:eastAsia="zh-CN"/>
              </w:rPr>
              <w:t>分；</w:t>
            </w:r>
          </w:p>
          <w:p w14:paraId="3C690A2E">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方案满足招标文件要求，但内容存在1处瑕疵：</w:t>
            </w:r>
            <w:r>
              <w:rPr>
                <w:rFonts w:hint="eastAsia" w:ascii="Times New Roman" w:hAnsi="Times New Roman" w:cs="Times New Roman" w:eastAsiaTheme="minorEastAsia"/>
                <w:color w:val="auto"/>
                <w:sz w:val="24"/>
                <w:szCs w:val="22"/>
                <w:highlight w:val="none"/>
                <w:lang w:val="en-US" w:eastAsia="zh-CN"/>
              </w:rPr>
              <w:t>9</w:t>
            </w:r>
            <w:r>
              <w:rPr>
                <w:rFonts w:hint="default" w:ascii="Times New Roman" w:hAnsi="Times New Roman" w:cs="Times New Roman" w:eastAsiaTheme="minorEastAsia"/>
                <w:color w:val="auto"/>
                <w:sz w:val="24"/>
                <w:szCs w:val="22"/>
                <w:highlight w:val="none"/>
                <w:lang w:val="en-US" w:eastAsia="zh-CN"/>
              </w:rPr>
              <w:t>分；</w:t>
            </w:r>
          </w:p>
          <w:p w14:paraId="09C9C3AF">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方案满足招标文件要求，但内容存在2处瑕疵：</w:t>
            </w:r>
            <w:r>
              <w:rPr>
                <w:rFonts w:hint="eastAsia" w:ascii="Times New Roman" w:hAnsi="Times New Roman" w:cs="Times New Roman" w:eastAsiaTheme="minorEastAsia"/>
                <w:color w:val="auto"/>
                <w:sz w:val="24"/>
                <w:szCs w:val="22"/>
                <w:highlight w:val="none"/>
                <w:lang w:val="en-US" w:eastAsia="zh-CN"/>
              </w:rPr>
              <w:t>6</w:t>
            </w:r>
            <w:r>
              <w:rPr>
                <w:rFonts w:hint="default" w:ascii="Times New Roman" w:hAnsi="Times New Roman" w:cs="Times New Roman" w:eastAsiaTheme="minorEastAsia"/>
                <w:color w:val="auto"/>
                <w:sz w:val="24"/>
                <w:szCs w:val="22"/>
                <w:highlight w:val="none"/>
                <w:lang w:val="en-US" w:eastAsia="zh-CN"/>
              </w:rPr>
              <w:t>分；</w:t>
            </w:r>
          </w:p>
          <w:p w14:paraId="030478D7">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w:t>
            </w:r>
            <w:r>
              <w:rPr>
                <w:rFonts w:hint="eastAsia" w:cs="Times New Roman" w:eastAsiaTheme="minorEastAsia"/>
                <w:color w:val="auto"/>
                <w:sz w:val="24"/>
                <w:szCs w:val="22"/>
                <w:highlight w:val="none"/>
                <w:lang w:val="en-US" w:eastAsia="zh-CN"/>
              </w:rPr>
              <w:t>3</w:t>
            </w:r>
            <w:r>
              <w:rPr>
                <w:rFonts w:hint="default" w:ascii="Times New Roman" w:hAnsi="Times New Roman" w:cs="Times New Roman" w:eastAsiaTheme="minorEastAsia"/>
                <w:color w:val="auto"/>
                <w:sz w:val="24"/>
                <w:szCs w:val="22"/>
                <w:highlight w:val="none"/>
                <w:lang w:val="en-US" w:eastAsia="zh-CN"/>
              </w:rPr>
              <w:t>处瑕疵：</w:t>
            </w:r>
            <w:r>
              <w:rPr>
                <w:rFonts w:hint="eastAsia" w:cs="Times New Roman" w:eastAsiaTheme="minorEastAsia"/>
                <w:color w:val="auto"/>
                <w:sz w:val="24"/>
                <w:szCs w:val="22"/>
                <w:highlight w:val="none"/>
                <w:lang w:val="en-US" w:eastAsia="zh-CN"/>
              </w:rPr>
              <w:t>3</w:t>
            </w:r>
            <w:r>
              <w:rPr>
                <w:rFonts w:hint="default" w:ascii="Times New Roman" w:hAnsi="Times New Roman" w:cs="Times New Roman" w:eastAsiaTheme="minorEastAsia"/>
                <w:color w:val="auto"/>
                <w:sz w:val="24"/>
                <w:szCs w:val="22"/>
                <w:highlight w:val="none"/>
                <w:lang w:val="en-US" w:eastAsia="zh-CN"/>
              </w:rPr>
              <w:t>分；</w:t>
            </w:r>
          </w:p>
          <w:p w14:paraId="72545CB9">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rPr>
            </w:pPr>
            <w:r>
              <w:rPr>
                <w:rFonts w:hint="default" w:ascii="Times New Roman" w:hAnsi="Times New Roman" w:cs="Times New Roman" w:eastAsiaTheme="minorEastAsia"/>
                <w:color w:val="auto"/>
                <w:sz w:val="24"/>
                <w:szCs w:val="22"/>
                <w:highlight w:val="none"/>
              </w:rPr>
              <w:t>未提供方案或不满足招标文件要求或内容存在</w:t>
            </w:r>
            <w:r>
              <w:rPr>
                <w:rFonts w:hint="eastAsia" w:ascii="Times New Roman" w:hAnsi="Times New Roman" w:cs="Times New Roman" w:eastAsiaTheme="minorEastAsia"/>
                <w:color w:val="auto"/>
                <w:sz w:val="24"/>
                <w:szCs w:val="22"/>
                <w:highlight w:val="none"/>
                <w:lang w:val="en-US" w:eastAsia="zh-CN"/>
              </w:rPr>
              <w:t>4</w:t>
            </w:r>
            <w:r>
              <w:rPr>
                <w:rFonts w:hint="default" w:ascii="Times New Roman" w:hAnsi="Times New Roman" w:cs="Times New Roman" w:eastAsiaTheme="minorEastAsia"/>
                <w:color w:val="auto"/>
                <w:sz w:val="24"/>
                <w:szCs w:val="22"/>
                <w:highlight w:val="none"/>
              </w:rPr>
              <w:t>处及以上瑕疵：0分；</w:t>
            </w:r>
          </w:p>
          <w:p w14:paraId="3EFBC6A4">
            <w:pPr>
              <w:keepNext w:val="0"/>
              <w:keepLines w:val="0"/>
              <w:pageBreakBefore w:val="0"/>
              <w:kinsoku/>
              <w:wordWrap/>
              <w:overflowPunct/>
              <w:topLinePunct w:val="0"/>
              <w:bidi w:val="0"/>
              <w:spacing w:line="360" w:lineRule="auto"/>
              <w:ind w:firstLine="0" w:firstLineChars="0"/>
              <w:jc w:val="both"/>
              <w:rPr>
                <w:rFonts w:hint="default" w:ascii="Times New Roman" w:hAnsi="Times New Roman" w:eastAsia="宋体" w:cs="Times New Roman"/>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155D6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rPr>
            </w:pPr>
            <w:r>
              <w:rPr>
                <w:rFonts w:hint="eastAsia" w:ascii="Times New Roman" w:hAnsi="Times New Roman" w:cs="Times New Roman"/>
                <w:color w:val="auto"/>
                <w:kern w:val="0"/>
                <w:sz w:val="24"/>
                <w:szCs w:val="24"/>
                <w:highlight w:val="none"/>
                <w:lang w:val="en-US" w:eastAsia="zh-CN"/>
              </w:rPr>
              <w:t>12</w:t>
            </w:r>
          </w:p>
        </w:tc>
      </w:tr>
      <w:tr w14:paraId="563ED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F8D123F">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3</w:t>
            </w:r>
          </w:p>
        </w:tc>
        <w:tc>
          <w:tcPr>
            <w:tcW w:w="1419" w:type="dxa"/>
            <w:shd w:val="clear" w:color="auto" w:fill="auto"/>
            <w:vAlign w:val="center"/>
          </w:tcPr>
          <w:p w14:paraId="10385FC1">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sz w:val="24"/>
                <w:szCs w:val="24"/>
                <w:highlight w:val="none"/>
                <w:lang w:val="zh-CN"/>
              </w:rPr>
            </w:pPr>
            <w:r>
              <w:rPr>
                <w:rFonts w:hint="default" w:ascii="Times New Roman" w:hAnsi="Times New Roman" w:cs="Times New Roman" w:eastAsiaTheme="minorEastAsia"/>
                <w:color w:val="auto"/>
                <w:sz w:val="24"/>
                <w:szCs w:val="22"/>
                <w:highlight w:val="none"/>
              </w:rPr>
              <w:t>应急响应方案</w:t>
            </w:r>
          </w:p>
        </w:tc>
        <w:tc>
          <w:tcPr>
            <w:tcW w:w="7314" w:type="dxa"/>
            <w:gridSpan w:val="2"/>
            <w:shd w:val="clear" w:color="auto" w:fill="auto"/>
            <w:vAlign w:val="top"/>
          </w:tcPr>
          <w:p w14:paraId="7436C0DF">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rPr>
              <w:t>投标人对本项目提供详细、全面、可操作性强的应急响应方案，需要包含：应急响应</w:t>
            </w:r>
            <w:r>
              <w:rPr>
                <w:rFonts w:hint="default" w:ascii="Times New Roman" w:hAnsi="Times New Roman" w:cs="Times New Roman" w:eastAsiaTheme="minorEastAsia"/>
                <w:color w:val="auto"/>
                <w:sz w:val="24"/>
                <w:szCs w:val="22"/>
                <w:highlight w:val="none"/>
                <w:lang w:val="en-US" w:eastAsia="zh-CN"/>
              </w:rPr>
              <w:t>流程</w:t>
            </w:r>
            <w:r>
              <w:rPr>
                <w:rFonts w:hint="default" w:ascii="Times New Roman" w:hAnsi="Times New Roman" w:cs="Times New Roman" w:eastAsiaTheme="minorEastAsia"/>
                <w:color w:val="auto"/>
                <w:sz w:val="24"/>
                <w:szCs w:val="22"/>
                <w:highlight w:val="none"/>
              </w:rPr>
              <w:t>、应急响应</w:t>
            </w:r>
            <w:r>
              <w:rPr>
                <w:rFonts w:hint="default" w:ascii="Times New Roman" w:hAnsi="Times New Roman" w:cs="Times New Roman" w:eastAsiaTheme="minorEastAsia"/>
                <w:color w:val="auto"/>
                <w:sz w:val="24"/>
                <w:szCs w:val="22"/>
                <w:highlight w:val="none"/>
                <w:lang w:val="en-US" w:eastAsia="zh-CN"/>
              </w:rPr>
              <w:t>内容</w:t>
            </w:r>
            <w:r>
              <w:rPr>
                <w:rFonts w:hint="default" w:ascii="Times New Roman" w:hAnsi="Times New Roman" w:cs="Times New Roman" w:eastAsiaTheme="minorEastAsia"/>
                <w:color w:val="auto"/>
                <w:sz w:val="24"/>
                <w:szCs w:val="22"/>
                <w:highlight w:val="none"/>
              </w:rPr>
              <w:t>、应急响应</w:t>
            </w:r>
            <w:r>
              <w:rPr>
                <w:rFonts w:hint="default" w:ascii="Times New Roman" w:hAnsi="Times New Roman" w:cs="Times New Roman" w:eastAsiaTheme="minorEastAsia"/>
                <w:color w:val="auto"/>
                <w:sz w:val="24"/>
                <w:szCs w:val="22"/>
                <w:highlight w:val="none"/>
                <w:lang w:val="en-US" w:eastAsia="zh-CN"/>
              </w:rPr>
              <w:t>时间、应急响应人员安排、应急处理措方案满足招标文件要求，内容无瑕疵：</w:t>
            </w:r>
            <w:r>
              <w:rPr>
                <w:rFonts w:hint="eastAsia" w:ascii="Times New Roman" w:hAnsi="Times New Roman" w:cs="Times New Roman" w:eastAsiaTheme="minorEastAsia"/>
                <w:color w:val="auto"/>
                <w:sz w:val="24"/>
                <w:szCs w:val="22"/>
                <w:highlight w:val="none"/>
                <w:lang w:val="en-US" w:eastAsia="zh-CN"/>
              </w:rPr>
              <w:t>9</w:t>
            </w:r>
            <w:r>
              <w:rPr>
                <w:rFonts w:hint="default" w:ascii="Times New Roman" w:hAnsi="Times New Roman" w:cs="Times New Roman" w:eastAsiaTheme="minorEastAsia"/>
                <w:color w:val="auto"/>
                <w:sz w:val="24"/>
                <w:szCs w:val="22"/>
                <w:highlight w:val="none"/>
                <w:lang w:val="en-US" w:eastAsia="zh-CN"/>
              </w:rPr>
              <w:t>分；</w:t>
            </w:r>
          </w:p>
          <w:p w14:paraId="1143E048">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方案满足招标文件要求，但内容存在1处瑕疵：</w:t>
            </w:r>
            <w:r>
              <w:rPr>
                <w:rFonts w:hint="eastAsia" w:ascii="Times New Roman" w:hAnsi="Times New Roman" w:cs="Times New Roman" w:eastAsiaTheme="minorEastAsia"/>
                <w:color w:val="auto"/>
                <w:sz w:val="24"/>
                <w:szCs w:val="22"/>
                <w:highlight w:val="none"/>
                <w:lang w:val="en-US" w:eastAsia="zh-CN"/>
              </w:rPr>
              <w:t>6</w:t>
            </w:r>
            <w:r>
              <w:rPr>
                <w:rFonts w:hint="default" w:ascii="Times New Roman" w:hAnsi="Times New Roman" w:cs="Times New Roman" w:eastAsiaTheme="minorEastAsia"/>
                <w:color w:val="auto"/>
                <w:sz w:val="24"/>
                <w:szCs w:val="22"/>
                <w:highlight w:val="none"/>
                <w:lang w:val="en-US" w:eastAsia="zh-CN"/>
              </w:rPr>
              <w:t>分；</w:t>
            </w:r>
          </w:p>
          <w:p w14:paraId="5A2267E4">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方案满足招标文件要求，但内容存在2处瑕疵：</w:t>
            </w:r>
            <w:r>
              <w:rPr>
                <w:rFonts w:hint="eastAsia" w:ascii="Times New Roman" w:hAnsi="Times New Roman" w:cs="Times New Roman" w:eastAsiaTheme="minorEastAsia"/>
                <w:color w:val="auto"/>
                <w:sz w:val="24"/>
                <w:szCs w:val="22"/>
                <w:highlight w:val="none"/>
                <w:lang w:val="en-US" w:eastAsia="zh-CN"/>
              </w:rPr>
              <w:t>3</w:t>
            </w:r>
            <w:r>
              <w:rPr>
                <w:rFonts w:hint="default" w:ascii="Times New Roman" w:hAnsi="Times New Roman" w:cs="Times New Roman" w:eastAsiaTheme="minorEastAsia"/>
                <w:color w:val="auto"/>
                <w:sz w:val="24"/>
                <w:szCs w:val="22"/>
                <w:highlight w:val="none"/>
                <w:lang w:val="en-US" w:eastAsia="zh-CN"/>
              </w:rPr>
              <w:t>分；</w:t>
            </w:r>
          </w:p>
          <w:p w14:paraId="4121F31E">
            <w:pPr>
              <w:keepNext w:val="0"/>
              <w:keepLines w:val="0"/>
              <w:pageBreakBefore w:val="0"/>
              <w:kinsoku/>
              <w:wordWrap/>
              <w:overflowPunct/>
              <w:topLinePunct w:val="0"/>
              <w:bidi w:val="0"/>
              <w:spacing w:line="360" w:lineRule="auto"/>
              <w:ind w:firstLine="0" w:firstLineChars="0"/>
              <w:jc w:val="both"/>
              <w:rPr>
                <w:rFonts w:hint="default" w:ascii="Times New Roman" w:hAnsi="Times New Roman" w:eastAsia="宋体" w:cs="Times New Roman"/>
                <w:color w:val="auto"/>
                <w:sz w:val="24"/>
                <w:szCs w:val="24"/>
                <w:highlight w:val="none"/>
                <w:lang w:val="zh-CN"/>
              </w:rPr>
            </w:pPr>
            <w:r>
              <w:rPr>
                <w:rFonts w:hint="default" w:ascii="Times New Roman" w:hAnsi="Times New Roman" w:cs="Times New Roman" w:eastAsiaTheme="minorEastAsia"/>
                <w:color w:val="auto"/>
                <w:sz w:val="24"/>
                <w:szCs w:val="22"/>
                <w:highlight w:val="none"/>
              </w:rPr>
              <w:t>未提供方案或不满足招标文件要求或内容存在3处及以上瑕疵：0分；</w:t>
            </w:r>
          </w:p>
        </w:tc>
        <w:tc>
          <w:tcPr>
            <w:tcW w:w="1140" w:type="dxa"/>
            <w:shd w:val="clear" w:color="auto" w:fill="auto"/>
            <w:vAlign w:val="center"/>
          </w:tcPr>
          <w:p w14:paraId="0811C6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cs="Times New Roman"/>
                <w:color w:val="auto"/>
                <w:kern w:val="0"/>
                <w:sz w:val="24"/>
                <w:szCs w:val="24"/>
                <w:highlight w:val="none"/>
                <w:lang w:val="en-US" w:eastAsia="zh-CN"/>
              </w:rPr>
              <w:t>9</w:t>
            </w:r>
          </w:p>
        </w:tc>
      </w:tr>
      <w:tr w14:paraId="308D3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3FEC7EE">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4</w:t>
            </w:r>
          </w:p>
        </w:tc>
        <w:tc>
          <w:tcPr>
            <w:tcW w:w="1419" w:type="dxa"/>
            <w:shd w:val="clear" w:color="auto" w:fill="auto"/>
            <w:vAlign w:val="center"/>
          </w:tcPr>
          <w:p w14:paraId="10078202">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rPr>
              <w:t>培训服务方案</w:t>
            </w:r>
          </w:p>
        </w:tc>
        <w:tc>
          <w:tcPr>
            <w:tcW w:w="7314" w:type="dxa"/>
            <w:gridSpan w:val="2"/>
            <w:shd w:val="clear" w:color="auto" w:fill="auto"/>
            <w:vAlign w:val="top"/>
          </w:tcPr>
          <w:p w14:paraId="2C3BECD7">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rPr>
            </w:pPr>
            <w:r>
              <w:rPr>
                <w:rFonts w:hint="default" w:ascii="Times New Roman" w:hAnsi="Times New Roman" w:cs="Times New Roman" w:eastAsiaTheme="minorEastAsia"/>
                <w:color w:val="auto"/>
                <w:sz w:val="24"/>
                <w:szCs w:val="22"/>
                <w:highlight w:val="none"/>
              </w:rPr>
              <w:t>投标人对本项目提供详细、全面、可操作性强的培训方案，需要包含：培训方式、培训计划、培训内容</w:t>
            </w:r>
            <w:r>
              <w:rPr>
                <w:rFonts w:hint="default" w:ascii="Times New Roman" w:hAnsi="Times New Roman" w:cs="Times New Roman" w:eastAsiaTheme="minorEastAsia"/>
                <w:color w:val="auto"/>
                <w:sz w:val="24"/>
                <w:szCs w:val="22"/>
                <w:highlight w:val="none"/>
                <w:lang w:eastAsia="zh-CN"/>
              </w:rPr>
              <w:t>、</w:t>
            </w:r>
            <w:r>
              <w:rPr>
                <w:rFonts w:hint="default" w:ascii="Times New Roman" w:hAnsi="Times New Roman" w:cs="Times New Roman" w:eastAsiaTheme="minorEastAsia"/>
                <w:color w:val="auto"/>
                <w:sz w:val="24"/>
                <w:szCs w:val="22"/>
                <w:highlight w:val="none"/>
              </w:rPr>
              <w:t>培训效果评价、培训质量保证等内容。</w:t>
            </w:r>
          </w:p>
          <w:p w14:paraId="017CBFA6">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rPr>
            </w:pPr>
            <w:r>
              <w:rPr>
                <w:rFonts w:hint="default" w:ascii="Times New Roman" w:hAnsi="Times New Roman" w:cs="Times New Roman" w:eastAsiaTheme="minorEastAsia"/>
                <w:color w:val="auto"/>
                <w:sz w:val="24"/>
                <w:szCs w:val="22"/>
                <w:highlight w:val="none"/>
              </w:rPr>
              <w:t>根据方案的质量进行综合评审打分:</w:t>
            </w:r>
          </w:p>
          <w:p w14:paraId="72593A11">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方案满足招标文件要求，内容无瑕疵：</w:t>
            </w:r>
            <w:r>
              <w:rPr>
                <w:rFonts w:hint="eastAsia" w:ascii="Times New Roman" w:hAnsi="Times New Roman" w:cs="Times New Roman" w:eastAsiaTheme="minorEastAsia"/>
                <w:color w:val="auto"/>
                <w:sz w:val="24"/>
                <w:szCs w:val="22"/>
                <w:highlight w:val="none"/>
                <w:lang w:val="en-US" w:eastAsia="zh-CN"/>
              </w:rPr>
              <w:t>9</w:t>
            </w:r>
            <w:r>
              <w:rPr>
                <w:rFonts w:hint="default" w:ascii="Times New Roman" w:hAnsi="Times New Roman" w:cs="Times New Roman" w:eastAsiaTheme="minorEastAsia"/>
                <w:color w:val="auto"/>
                <w:sz w:val="24"/>
                <w:szCs w:val="22"/>
                <w:highlight w:val="none"/>
                <w:lang w:val="en-US" w:eastAsia="zh-CN"/>
              </w:rPr>
              <w:t>分；</w:t>
            </w:r>
          </w:p>
          <w:p w14:paraId="048E34C8">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方案满足招标文件要求，但内容存在1处瑕疵：</w:t>
            </w:r>
            <w:r>
              <w:rPr>
                <w:rFonts w:hint="eastAsia" w:ascii="Times New Roman" w:hAnsi="Times New Roman" w:cs="Times New Roman" w:eastAsiaTheme="minorEastAsia"/>
                <w:color w:val="auto"/>
                <w:sz w:val="24"/>
                <w:szCs w:val="22"/>
                <w:highlight w:val="none"/>
                <w:lang w:val="en-US" w:eastAsia="zh-CN"/>
              </w:rPr>
              <w:t>6</w:t>
            </w:r>
            <w:r>
              <w:rPr>
                <w:rFonts w:hint="default" w:ascii="Times New Roman" w:hAnsi="Times New Roman" w:cs="Times New Roman" w:eastAsiaTheme="minorEastAsia"/>
                <w:color w:val="auto"/>
                <w:sz w:val="24"/>
                <w:szCs w:val="22"/>
                <w:highlight w:val="none"/>
                <w:lang w:val="en-US" w:eastAsia="zh-CN"/>
              </w:rPr>
              <w:t>分；</w:t>
            </w:r>
          </w:p>
          <w:p w14:paraId="3D6215F5">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方案满足招标文件要求，但内容存在2处瑕疵：</w:t>
            </w:r>
            <w:r>
              <w:rPr>
                <w:rFonts w:hint="eastAsia" w:ascii="Times New Roman" w:hAnsi="Times New Roman" w:cs="Times New Roman" w:eastAsiaTheme="minorEastAsia"/>
                <w:color w:val="auto"/>
                <w:sz w:val="24"/>
                <w:szCs w:val="22"/>
                <w:highlight w:val="none"/>
                <w:lang w:val="en-US" w:eastAsia="zh-CN"/>
              </w:rPr>
              <w:t>3</w:t>
            </w:r>
            <w:r>
              <w:rPr>
                <w:rFonts w:hint="default" w:ascii="Times New Roman" w:hAnsi="Times New Roman" w:cs="Times New Roman" w:eastAsiaTheme="minorEastAsia"/>
                <w:color w:val="auto"/>
                <w:sz w:val="24"/>
                <w:szCs w:val="22"/>
                <w:highlight w:val="none"/>
                <w:lang w:val="en-US" w:eastAsia="zh-CN"/>
              </w:rPr>
              <w:t>分；</w:t>
            </w:r>
          </w:p>
          <w:p w14:paraId="799136FE">
            <w:pPr>
              <w:keepNext w:val="0"/>
              <w:keepLines w:val="0"/>
              <w:pageBreakBefore w:val="0"/>
              <w:kinsoku/>
              <w:wordWrap/>
              <w:overflowPunct/>
              <w:topLinePunct w:val="0"/>
              <w:bidi w:val="0"/>
              <w:spacing w:line="360" w:lineRule="auto"/>
              <w:ind w:firstLine="0" w:firstLineChars="0"/>
              <w:jc w:val="both"/>
              <w:rPr>
                <w:rFonts w:hint="default" w:ascii="Times New Roman" w:hAnsi="Times New Roman" w:eastAsia="宋体" w:cs="Times New Roman"/>
                <w:color w:val="auto"/>
                <w:sz w:val="24"/>
                <w:szCs w:val="24"/>
                <w:highlight w:val="none"/>
                <w:lang w:val="zh-CN"/>
              </w:rPr>
            </w:pPr>
            <w:r>
              <w:rPr>
                <w:rFonts w:hint="default" w:ascii="Times New Roman" w:hAnsi="Times New Roman" w:cs="Times New Roman" w:eastAsiaTheme="minorEastAsia"/>
                <w:color w:val="auto"/>
                <w:sz w:val="24"/>
                <w:szCs w:val="22"/>
                <w:highlight w:val="none"/>
              </w:rPr>
              <w:t>未提供方案或不满足招标文件要求或内容存在3处及以上瑕疵：0分；</w:t>
            </w:r>
          </w:p>
        </w:tc>
        <w:tc>
          <w:tcPr>
            <w:tcW w:w="1140" w:type="dxa"/>
            <w:shd w:val="clear" w:color="auto" w:fill="auto"/>
            <w:vAlign w:val="center"/>
          </w:tcPr>
          <w:p w14:paraId="569E58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cs="Times New Roman"/>
                <w:color w:val="auto"/>
                <w:kern w:val="0"/>
                <w:sz w:val="24"/>
                <w:szCs w:val="24"/>
                <w:highlight w:val="none"/>
                <w:lang w:val="en-US" w:eastAsia="zh-CN"/>
              </w:rPr>
              <w:t>9</w:t>
            </w:r>
          </w:p>
        </w:tc>
      </w:tr>
      <w:tr w14:paraId="5338F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58E05D8">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5</w:t>
            </w:r>
          </w:p>
        </w:tc>
        <w:tc>
          <w:tcPr>
            <w:tcW w:w="1419" w:type="dxa"/>
            <w:shd w:val="clear" w:color="auto" w:fill="auto"/>
            <w:vAlign w:val="center"/>
          </w:tcPr>
          <w:p w14:paraId="6F147B73">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zh-CN"/>
              </w:rPr>
              <w:t>定期预防性检查方案</w:t>
            </w:r>
          </w:p>
        </w:tc>
        <w:tc>
          <w:tcPr>
            <w:tcW w:w="7314" w:type="dxa"/>
            <w:gridSpan w:val="2"/>
            <w:shd w:val="clear" w:color="auto" w:fill="auto"/>
            <w:vAlign w:val="center"/>
          </w:tcPr>
          <w:p w14:paraId="04FA8DAA">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rPr>
            </w:pPr>
            <w:r>
              <w:rPr>
                <w:rFonts w:hint="default" w:ascii="Times New Roman" w:hAnsi="Times New Roman" w:cs="Times New Roman" w:eastAsiaTheme="minorEastAsia"/>
                <w:color w:val="auto"/>
                <w:sz w:val="24"/>
                <w:szCs w:val="22"/>
                <w:highlight w:val="none"/>
              </w:rPr>
              <w:t>至少包含预防性检查频率、检查内容、检查方案、发现问题后的解决方案等方面内容</w:t>
            </w:r>
          </w:p>
          <w:p w14:paraId="75DE8C28">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rPr>
            </w:pPr>
            <w:r>
              <w:rPr>
                <w:rFonts w:hint="default" w:ascii="Times New Roman" w:hAnsi="Times New Roman" w:cs="Times New Roman" w:eastAsiaTheme="minorEastAsia"/>
                <w:color w:val="auto"/>
                <w:sz w:val="24"/>
                <w:szCs w:val="22"/>
                <w:highlight w:val="none"/>
              </w:rPr>
              <w:t>方案满足招标文件要求，内容无瑕疵：</w:t>
            </w:r>
            <w:r>
              <w:rPr>
                <w:rFonts w:hint="eastAsia" w:ascii="Times New Roman" w:hAnsi="Times New Roman" w:cs="Times New Roman" w:eastAsiaTheme="minorEastAsia"/>
                <w:color w:val="auto"/>
                <w:sz w:val="24"/>
                <w:szCs w:val="22"/>
                <w:highlight w:val="none"/>
                <w:lang w:val="en-US" w:eastAsia="zh-CN"/>
              </w:rPr>
              <w:t>9</w:t>
            </w:r>
            <w:r>
              <w:rPr>
                <w:rFonts w:hint="default" w:ascii="Times New Roman" w:hAnsi="Times New Roman" w:cs="Times New Roman" w:eastAsiaTheme="minorEastAsia"/>
                <w:color w:val="auto"/>
                <w:sz w:val="24"/>
                <w:szCs w:val="22"/>
                <w:highlight w:val="none"/>
              </w:rPr>
              <w:t>分；</w:t>
            </w:r>
          </w:p>
          <w:p w14:paraId="5A355542">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rPr>
            </w:pPr>
            <w:r>
              <w:rPr>
                <w:rFonts w:hint="default" w:ascii="Times New Roman" w:hAnsi="Times New Roman" w:cs="Times New Roman" w:eastAsiaTheme="minorEastAsia"/>
                <w:color w:val="auto"/>
                <w:sz w:val="24"/>
                <w:szCs w:val="22"/>
                <w:highlight w:val="none"/>
              </w:rPr>
              <w:t>方案满足招标文件要求，但内容存在1处瑕疵：</w:t>
            </w:r>
            <w:r>
              <w:rPr>
                <w:rFonts w:hint="eastAsia" w:ascii="Times New Roman" w:hAnsi="Times New Roman" w:cs="Times New Roman" w:eastAsiaTheme="minorEastAsia"/>
                <w:color w:val="auto"/>
                <w:sz w:val="24"/>
                <w:szCs w:val="22"/>
                <w:highlight w:val="none"/>
                <w:lang w:val="en-US" w:eastAsia="zh-CN"/>
              </w:rPr>
              <w:t>6</w:t>
            </w:r>
            <w:r>
              <w:rPr>
                <w:rFonts w:hint="default" w:ascii="Times New Roman" w:hAnsi="Times New Roman" w:cs="Times New Roman" w:eastAsiaTheme="minorEastAsia"/>
                <w:color w:val="auto"/>
                <w:sz w:val="24"/>
                <w:szCs w:val="22"/>
                <w:highlight w:val="none"/>
              </w:rPr>
              <w:t>分；</w:t>
            </w:r>
          </w:p>
          <w:p w14:paraId="1D93AE15">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rPr>
            </w:pPr>
            <w:r>
              <w:rPr>
                <w:rFonts w:hint="default" w:ascii="Times New Roman" w:hAnsi="Times New Roman" w:cs="Times New Roman" w:eastAsiaTheme="minorEastAsia"/>
                <w:color w:val="auto"/>
                <w:sz w:val="24"/>
                <w:szCs w:val="22"/>
                <w:highlight w:val="none"/>
              </w:rPr>
              <w:t>方案满足招标文件要求，但内容存在2处瑕疵：</w:t>
            </w:r>
            <w:r>
              <w:rPr>
                <w:rFonts w:hint="eastAsia" w:ascii="Times New Roman" w:hAnsi="Times New Roman" w:cs="Times New Roman" w:eastAsiaTheme="minorEastAsia"/>
                <w:color w:val="auto"/>
                <w:sz w:val="24"/>
                <w:szCs w:val="22"/>
                <w:highlight w:val="none"/>
                <w:lang w:val="en-US" w:eastAsia="zh-CN"/>
              </w:rPr>
              <w:t>3</w:t>
            </w:r>
            <w:r>
              <w:rPr>
                <w:rFonts w:hint="default" w:ascii="Times New Roman" w:hAnsi="Times New Roman" w:cs="Times New Roman" w:eastAsiaTheme="minorEastAsia"/>
                <w:color w:val="auto"/>
                <w:sz w:val="24"/>
                <w:szCs w:val="22"/>
                <w:highlight w:val="none"/>
              </w:rPr>
              <w:t>分；</w:t>
            </w:r>
          </w:p>
          <w:p w14:paraId="74DCFAD2">
            <w:pPr>
              <w:keepNext w:val="0"/>
              <w:keepLines w:val="0"/>
              <w:pageBreakBefore w:val="0"/>
              <w:kinsoku/>
              <w:wordWrap/>
              <w:overflowPunct/>
              <w:topLinePunct w:val="0"/>
              <w:bidi w:val="0"/>
              <w:spacing w:line="360" w:lineRule="auto"/>
              <w:ind w:firstLine="0" w:firstLineChars="0"/>
              <w:jc w:val="both"/>
              <w:rPr>
                <w:rFonts w:hint="default" w:ascii="Times New Roman" w:hAnsi="Times New Roman" w:eastAsia="宋体" w:cs="Times New Roman"/>
                <w:color w:val="auto"/>
                <w:sz w:val="24"/>
                <w:szCs w:val="24"/>
                <w:highlight w:val="none"/>
                <w:lang w:val="zh-CN"/>
              </w:rPr>
            </w:pPr>
            <w:r>
              <w:rPr>
                <w:rFonts w:hint="default" w:ascii="Times New Roman" w:hAnsi="Times New Roman" w:cs="Times New Roman" w:eastAsiaTheme="minorEastAsia"/>
                <w:color w:val="auto"/>
                <w:sz w:val="24"/>
                <w:szCs w:val="22"/>
                <w:highlight w:val="none"/>
              </w:rPr>
              <w:t>未提供方案或不满足招标文件要求或内容存在</w:t>
            </w:r>
            <w:r>
              <w:rPr>
                <w:rFonts w:hint="eastAsia" w:ascii="Times New Roman" w:hAnsi="Times New Roman" w:cs="Times New Roman" w:eastAsiaTheme="minorEastAsia"/>
                <w:color w:val="auto"/>
                <w:sz w:val="24"/>
                <w:szCs w:val="22"/>
                <w:highlight w:val="none"/>
                <w:lang w:val="en-US" w:eastAsia="zh-CN"/>
              </w:rPr>
              <w:t>3</w:t>
            </w:r>
            <w:r>
              <w:rPr>
                <w:rFonts w:hint="default" w:ascii="Times New Roman" w:hAnsi="Times New Roman" w:cs="Times New Roman" w:eastAsiaTheme="minorEastAsia"/>
                <w:color w:val="auto"/>
                <w:sz w:val="24"/>
                <w:szCs w:val="22"/>
                <w:highlight w:val="none"/>
              </w:rPr>
              <w:t>处及以上瑕疵：0分；</w:t>
            </w:r>
          </w:p>
        </w:tc>
        <w:tc>
          <w:tcPr>
            <w:tcW w:w="1140" w:type="dxa"/>
            <w:shd w:val="clear" w:color="auto" w:fill="auto"/>
            <w:vAlign w:val="center"/>
          </w:tcPr>
          <w:p w14:paraId="3A5D52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ascii="Times New Roman" w:hAnsi="Times New Roman" w:cs="Times New Roman"/>
                <w:color w:val="auto"/>
                <w:kern w:val="0"/>
                <w:sz w:val="24"/>
                <w:szCs w:val="24"/>
                <w:highlight w:val="none"/>
                <w:lang w:val="en-US" w:eastAsia="zh-CN"/>
              </w:rPr>
              <w:t>9</w:t>
            </w:r>
          </w:p>
        </w:tc>
      </w:tr>
      <w:tr w14:paraId="2A5C9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52F0A39">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6</w:t>
            </w:r>
          </w:p>
        </w:tc>
        <w:tc>
          <w:tcPr>
            <w:tcW w:w="1419" w:type="dxa"/>
            <w:shd w:val="clear" w:color="auto" w:fill="auto"/>
            <w:vAlign w:val="center"/>
          </w:tcPr>
          <w:p w14:paraId="4A630303">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zh-CN" w:eastAsia="zh-CN"/>
              </w:rPr>
              <w:t>故障管理处理方案</w:t>
            </w:r>
          </w:p>
        </w:tc>
        <w:tc>
          <w:tcPr>
            <w:tcW w:w="7314" w:type="dxa"/>
            <w:gridSpan w:val="2"/>
            <w:shd w:val="clear" w:color="auto" w:fill="auto"/>
            <w:vAlign w:val="center"/>
          </w:tcPr>
          <w:p w14:paraId="126AD7AA">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至少包含响应时间、故障处理方案、故障管理流程、防止再发方案等方面内容</w:t>
            </w:r>
          </w:p>
          <w:p w14:paraId="3C8F4098">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方案满足招标文件要求，内容无瑕疵：</w:t>
            </w:r>
            <w:r>
              <w:rPr>
                <w:rFonts w:hint="eastAsia" w:ascii="Times New Roman" w:hAnsi="Times New Roman" w:cs="Times New Roman" w:eastAsiaTheme="minorEastAsia"/>
                <w:color w:val="auto"/>
                <w:sz w:val="24"/>
                <w:szCs w:val="22"/>
                <w:highlight w:val="none"/>
                <w:lang w:val="en-US" w:eastAsia="zh-CN"/>
              </w:rPr>
              <w:t>9</w:t>
            </w:r>
            <w:r>
              <w:rPr>
                <w:rFonts w:hint="default" w:ascii="Times New Roman" w:hAnsi="Times New Roman" w:cs="Times New Roman" w:eastAsiaTheme="minorEastAsia"/>
                <w:color w:val="auto"/>
                <w:sz w:val="24"/>
                <w:szCs w:val="22"/>
                <w:highlight w:val="none"/>
                <w:lang w:val="en-US" w:eastAsia="zh-CN"/>
              </w:rPr>
              <w:t>分；</w:t>
            </w:r>
          </w:p>
          <w:p w14:paraId="4061ACEE">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方案满足招标文件要求，但内容存在1处瑕疵：</w:t>
            </w:r>
            <w:r>
              <w:rPr>
                <w:rFonts w:hint="eastAsia" w:ascii="Times New Roman" w:hAnsi="Times New Roman" w:cs="Times New Roman" w:eastAsiaTheme="minorEastAsia"/>
                <w:color w:val="auto"/>
                <w:sz w:val="24"/>
                <w:szCs w:val="22"/>
                <w:highlight w:val="none"/>
                <w:lang w:val="en-US" w:eastAsia="zh-CN"/>
              </w:rPr>
              <w:t>6</w:t>
            </w:r>
            <w:r>
              <w:rPr>
                <w:rFonts w:hint="default" w:ascii="Times New Roman" w:hAnsi="Times New Roman" w:cs="Times New Roman" w:eastAsiaTheme="minorEastAsia"/>
                <w:color w:val="auto"/>
                <w:sz w:val="24"/>
                <w:szCs w:val="22"/>
                <w:highlight w:val="none"/>
                <w:lang w:val="en-US" w:eastAsia="zh-CN"/>
              </w:rPr>
              <w:t>分；</w:t>
            </w:r>
          </w:p>
          <w:p w14:paraId="1F8C173D">
            <w:pPr>
              <w:keepNext w:val="0"/>
              <w:keepLines w:val="0"/>
              <w:pageBreakBefore w:val="0"/>
              <w:kinsoku/>
              <w:wordWrap/>
              <w:overflowPunct/>
              <w:topLinePunct w:val="0"/>
              <w:bidi w:val="0"/>
              <w:spacing w:line="360" w:lineRule="auto"/>
              <w:ind w:firstLine="0" w:firstLineChars="0"/>
              <w:jc w:val="both"/>
              <w:rPr>
                <w:rFonts w:hint="default" w:ascii="Times New Roman" w:hAnsi="Times New Roman" w:cs="Times New Roman" w:eastAsiaTheme="minorEastAsia"/>
                <w:color w:val="auto"/>
                <w:sz w:val="24"/>
                <w:szCs w:val="22"/>
                <w:highlight w:val="none"/>
                <w:lang w:val="en-US" w:eastAsia="zh-CN"/>
              </w:rPr>
            </w:pPr>
            <w:r>
              <w:rPr>
                <w:rFonts w:hint="default" w:ascii="Times New Roman" w:hAnsi="Times New Roman" w:cs="Times New Roman" w:eastAsiaTheme="minorEastAsia"/>
                <w:color w:val="auto"/>
                <w:sz w:val="24"/>
                <w:szCs w:val="22"/>
                <w:highlight w:val="none"/>
                <w:lang w:val="en-US" w:eastAsia="zh-CN"/>
              </w:rPr>
              <w:t>方案满足招标文件要求，但内容存在2处瑕疵：</w:t>
            </w:r>
            <w:r>
              <w:rPr>
                <w:rFonts w:hint="eastAsia" w:ascii="Times New Roman" w:hAnsi="Times New Roman" w:cs="Times New Roman" w:eastAsiaTheme="minorEastAsia"/>
                <w:color w:val="auto"/>
                <w:sz w:val="24"/>
                <w:szCs w:val="22"/>
                <w:highlight w:val="none"/>
                <w:lang w:val="en-US" w:eastAsia="zh-CN"/>
              </w:rPr>
              <w:t>3</w:t>
            </w:r>
            <w:r>
              <w:rPr>
                <w:rFonts w:hint="default" w:ascii="Times New Roman" w:hAnsi="Times New Roman" w:cs="Times New Roman" w:eastAsiaTheme="minorEastAsia"/>
                <w:color w:val="auto"/>
                <w:sz w:val="24"/>
                <w:szCs w:val="22"/>
                <w:highlight w:val="none"/>
                <w:lang w:val="en-US" w:eastAsia="zh-CN"/>
              </w:rPr>
              <w:t>分；</w:t>
            </w:r>
          </w:p>
          <w:p w14:paraId="06BEE7B9">
            <w:pPr>
              <w:keepNext w:val="0"/>
              <w:keepLines w:val="0"/>
              <w:pageBreakBefore w:val="0"/>
              <w:kinsoku/>
              <w:wordWrap/>
              <w:overflowPunct/>
              <w:topLinePunct w:val="0"/>
              <w:bidi w:val="0"/>
              <w:spacing w:line="360" w:lineRule="auto"/>
              <w:ind w:firstLine="0" w:firstLineChars="0"/>
              <w:jc w:val="both"/>
              <w:rPr>
                <w:rFonts w:hint="default" w:ascii="Times New Roman" w:hAnsi="Times New Roman" w:eastAsia="宋体" w:cs="Times New Roman"/>
                <w:color w:val="auto"/>
                <w:sz w:val="24"/>
                <w:szCs w:val="24"/>
                <w:highlight w:val="none"/>
              </w:rPr>
            </w:pPr>
            <w:r>
              <w:rPr>
                <w:rFonts w:hint="default" w:ascii="Times New Roman" w:hAnsi="Times New Roman" w:cs="Times New Roman" w:eastAsiaTheme="minorEastAsia"/>
                <w:color w:val="auto"/>
                <w:sz w:val="24"/>
                <w:szCs w:val="22"/>
                <w:highlight w:val="none"/>
              </w:rPr>
              <w:t>未提供方案或不满足招标文件要求或内容存在3处及以上瑕疵：0分</w:t>
            </w:r>
            <w:r>
              <w:rPr>
                <w:rFonts w:hint="default" w:ascii="Times New Roman" w:hAnsi="Times New Roman" w:cs="Times New Roman" w:eastAsiaTheme="minorEastAsia"/>
                <w:color w:val="auto"/>
                <w:sz w:val="24"/>
                <w:szCs w:val="22"/>
                <w:highlight w:val="none"/>
                <w:lang w:val="en-US" w:eastAsia="zh-CN"/>
              </w:rPr>
              <w:t>；</w:t>
            </w:r>
          </w:p>
        </w:tc>
        <w:tc>
          <w:tcPr>
            <w:tcW w:w="1140" w:type="dxa"/>
            <w:shd w:val="clear" w:color="auto" w:fill="auto"/>
            <w:vAlign w:val="center"/>
          </w:tcPr>
          <w:p w14:paraId="164C82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ascii="Times New Roman" w:hAnsi="Times New Roman" w:cs="Times New Roman"/>
                <w:color w:val="auto"/>
                <w:kern w:val="0"/>
                <w:sz w:val="24"/>
                <w:szCs w:val="24"/>
                <w:highlight w:val="none"/>
                <w:lang w:val="en-US" w:eastAsia="zh-CN"/>
              </w:rPr>
              <w:t>9</w:t>
            </w:r>
          </w:p>
        </w:tc>
      </w:tr>
      <w:tr w14:paraId="24E4C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3316D4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合计</w:t>
            </w:r>
          </w:p>
        </w:tc>
        <w:tc>
          <w:tcPr>
            <w:tcW w:w="1140" w:type="dxa"/>
            <w:shd w:val="clear" w:color="auto" w:fill="auto"/>
            <w:vAlign w:val="center"/>
          </w:tcPr>
          <w:p w14:paraId="2B556D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100</w:t>
            </w:r>
          </w:p>
        </w:tc>
      </w:tr>
    </w:tbl>
    <w:p w14:paraId="2ED4C0FD">
      <w:pPr>
        <w:autoSpaceDE w:val="0"/>
        <w:autoSpaceDN w:val="0"/>
        <w:adjustRightInd w:val="0"/>
        <w:spacing w:line="360" w:lineRule="auto"/>
        <w:ind w:firstLine="482" w:firstLineChars="200"/>
        <w:rPr>
          <w:rFonts w:hint="eastAsia"/>
          <w:b/>
          <w:bCs w:val="0"/>
          <w:color w:val="auto"/>
          <w:sz w:val="24"/>
          <w:highlight w:val="none"/>
          <w:lang w:val="en-US" w:eastAsia="zh-CN"/>
        </w:rPr>
      </w:pPr>
      <w:r>
        <w:rPr>
          <w:rFonts w:hint="eastAsia"/>
          <w:b/>
          <w:bCs w:val="0"/>
          <w:color w:val="auto"/>
          <w:sz w:val="24"/>
          <w:highlight w:val="none"/>
          <w:lang w:val="en-US" w:eastAsia="zh-CN"/>
        </w:rPr>
        <w:t>第七包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1AE51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21E8CD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第一部分 价格（</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0分）</w:t>
            </w:r>
          </w:p>
        </w:tc>
        <w:tc>
          <w:tcPr>
            <w:tcW w:w="1140" w:type="dxa"/>
            <w:shd w:val="clear" w:color="auto" w:fill="auto"/>
            <w:vAlign w:val="center"/>
          </w:tcPr>
          <w:p w14:paraId="3B8B72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18358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4F3AD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38513A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价格</w:t>
            </w:r>
          </w:p>
        </w:tc>
        <w:tc>
          <w:tcPr>
            <w:tcW w:w="7314" w:type="dxa"/>
            <w:gridSpan w:val="2"/>
            <w:shd w:val="clear" w:color="auto" w:fill="auto"/>
            <w:vAlign w:val="center"/>
          </w:tcPr>
          <w:p w14:paraId="699135A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（1）报价超过采购预算的，响应无效，未超过采购预算的报价按以下公式进行计算。</w:t>
            </w:r>
          </w:p>
          <w:p w14:paraId="5CF678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（2）价格得分=（评标基准价/报价）×</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p w14:paraId="2F6699D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注：满足磋商文件要求且报价最低的报价为评标基准价。</w:t>
            </w:r>
          </w:p>
        </w:tc>
        <w:tc>
          <w:tcPr>
            <w:tcW w:w="1140" w:type="dxa"/>
            <w:shd w:val="clear" w:color="auto" w:fill="auto"/>
            <w:vAlign w:val="center"/>
          </w:tcPr>
          <w:p w14:paraId="549FCE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tc>
      </w:tr>
      <w:tr w14:paraId="743C2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485116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第二部分 客观分（</w:t>
            </w:r>
            <w:r>
              <w:rPr>
                <w:rFonts w:hint="eastAsia" w:ascii="Times New Roman" w:hAnsi="Times New Roman" w:eastAsia="宋体" w:cs="Times New Roman"/>
                <w:color w:val="auto"/>
                <w:kern w:val="0"/>
                <w:sz w:val="24"/>
                <w:szCs w:val="24"/>
                <w:highlight w:val="none"/>
                <w:lang w:val="en-US" w:eastAsia="zh-CN"/>
              </w:rPr>
              <w:t>30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3F2E38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5BC76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663" w:type="dxa"/>
            <w:shd w:val="clear" w:color="auto" w:fill="auto"/>
            <w:noWrap/>
            <w:vAlign w:val="center"/>
          </w:tcPr>
          <w:p w14:paraId="397BB3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00F412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投标人业绩</w:t>
            </w:r>
          </w:p>
        </w:tc>
        <w:tc>
          <w:tcPr>
            <w:tcW w:w="7314" w:type="dxa"/>
            <w:gridSpan w:val="2"/>
            <w:shd w:val="clear" w:color="auto" w:fill="auto"/>
            <w:vAlign w:val="center"/>
          </w:tcPr>
          <w:p w14:paraId="68FB4CC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完全按照以下要求提供投标人曾实施的</w:t>
            </w:r>
            <w:r>
              <w:rPr>
                <w:rFonts w:hint="eastAsia" w:cs="Times New Roman"/>
                <w:color w:val="auto"/>
                <w:kern w:val="0"/>
                <w:sz w:val="24"/>
                <w:szCs w:val="24"/>
                <w:highlight w:val="none"/>
                <w:lang w:val="en-US" w:eastAsia="zh-CN"/>
              </w:rPr>
              <w:t>软件运行维护业绩</w:t>
            </w:r>
            <w:r>
              <w:rPr>
                <w:rFonts w:hint="default" w:ascii="Times New Roman" w:hAnsi="Times New Roman" w:eastAsia="宋体" w:cs="Times New Roman"/>
                <w:color w:val="auto"/>
                <w:kern w:val="0"/>
                <w:sz w:val="24"/>
                <w:szCs w:val="24"/>
                <w:highlight w:val="none"/>
              </w:rPr>
              <w:t>，提供的证明材料均不得遮挡涂黑，否则不予认定加分。</w:t>
            </w:r>
          </w:p>
          <w:p w14:paraId="0DB7016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A. 合同原件扫描件。包括买卖双方名称及盖章、服务内容</w:t>
            </w:r>
            <w:r>
              <w:rPr>
                <w:rFonts w:hint="default" w:ascii="Times New Roman" w:hAnsi="Times New Roman" w:eastAsia="宋体" w:cs="Times New Roman"/>
                <w:bCs/>
                <w:color w:val="auto"/>
                <w:sz w:val="24"/>
                <w:szCs w:val="24"/>
                <w:highlight w:val="none"/>
              </w:rPr>
              <w:t>、合同签订日期（应为202</w:t>
            </w:r>
            <w:r>
              <w:rPr>
                <w:rFonts w:hint="eastAsia" w:cs="Times New Roman"/>
                <w:bCs/>
                <w:color w:val="auto"/>
                <w:sz w:val="24"/>
                <w:szCs w:val="24"/>
                <w:highlight w:val="none"/>
                <w:lang w:val="en-US" w:eastAsia="zh-CN"/>
              </w:rPr>
              <w:t>2</w:t>
            </w:r>
            <w:r>
              <w:rPr>
                <w:rFonts w:hint="default" w:ascii="Times New Roman" w:hAnsi="Times New Roman" w:eastAsia="宋体" w:cs="Times New Roman"/>
                <w:bCs/>
                <w:color w:val="auto"/>
                <w:sz w:val="24"/>
                <w:szCs w:val="24"/>
                <w:highlight w:val="none"/>
              </w:rPr>
              <w:t>年1月1日或以后）</w:t>
            </w:r>
            <w:r>
              <w:rPr>
                <w:rFonts w:hint="default" w:ascii="Times New Roman" w:hAnsi="Times New Roman" w:eastAsia="宋体" w:cs="Times New Roman"/>
                <w:color w:val="auto"/>
                <w:kern w:val="0"/>
                <w:sz w:val="24"/>
                <w:szCs w:val="24"/>
                <w:highlight w:val="none"/>
              </w:rPr>
              <w:t>。</w:t>
            </w:r>
          </w:p>
          <w:p w14:paraId="787514D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B. 上述合同履行良好的相关证明材料原件扫描件（</w:t>
            </w:r>
            <w:r>
              <w:rPr>
                <w:rFonts w:hint="default" w:ascii="Times New Roman" w:hAnsi="Times New Roman" w:eastAsia="宋体" w:cs="Times New Roman"/>
                <w:color w:val="auto"/>
                <w:sz w:val="24"/>
                <w:szCs w:val="24"/>
                <w:highlight w:val="none"/>
              </w:rPr>
              <w:t>加盖上述合同甲方单位公章或上述合同中所盖的甲方印章</w:t>
            </w:r>
            <w:r>
              <w:rPr>
                <w:rFonts w:hint="default" w:ascii="Times New Roman" w:hAnsi="Times New Roman" w:eastAsia="宋体" w:cs="Times New Roman"/>
                <w:color w:val="auto"/>
                <w:kern w:val="0"/>
                <w:sz w:val="24"/>
                <w:szCs w:val="24"/>
                <w:highlight w:val="none"/>
              </w:rPr>
              <w:t>）。</w:t>
            </w:r>
          </w:p>
          <w:p w14:paraId="55D6F31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每个业绩2分，最多</w:t>
            </w:r>
            <w:r>
              <w:rPr>
                <w:rFonts w:hint="eastAsia"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239982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6</w:t>
            </w:r>
          </w:p>
        </w:tc>
      </w:tr>
      <w:tr w14:paraId="7963E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180FD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rPr>
              <w:t>2</w:t>
            </w:r>
          </w:p>
        </w:tc>
        <w:tc>
          <w:tcPr>
            <w:tcW w:w="1425" w:type="dxa"/>
            <w:gridSpan w:val="2"/>
            <w:shd w:val="clear" w:color="auto" w:fill="auto"/>
            <w:vAlign w:val="center"/>
          </w:tcPr>
          <w:p w14:paraId="1172B6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kern w:val="0"/>
                <w:sz w:val="24"/>
                <w:szCs w:val="24"/>
                <w:highlight w:val="none"/>
              </w:rPr>
              <w:t>投标人相关证书评价</w:t>
            </w:r>
          </w:p>
        </w:tc>
        <w:tc>
          <w:tcPr>
            <w:tcW w:w="7308" w:type="dxa"/>
            <w:shd w:val="clear" w:color="auto" w:fill="auto"/>
            <w:vAlign w:val="center"/>
          </w:tcPr>
          <w:p w14:paraId="2A1F8DF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w:t>
            </w:r>
            <w:r>
              <w:rPr>
                <w:rFonts w:hint="eastAsia" w:cs="Times New Roman"/>
                <w:color w:val="auto"/>
                <w:kern w:val="0"/>
                <w:sz w:val="24"/>
                <w:szCs w:val="24"/>
                <w:highlight w:val="none"/>
                <w:lang w:val="en-US" w:eastAsia="zh-CN"/>
              </w:rPr>
              <w:t>具备</w:t>
            </w:r>
            <w:r>
              <w:rPr>
                <w:color w:val="auto"/>
                <w:spacing w:val="6"/>
                <w:sz w:val="24"/>
                <w:szCs w:val="24"/>
                <w:highlight w:val="none"/>
              </w:rPr>
              <w:t>质量管理体系认证</w:t>
            </w:r>
            <w:r>
              <w:rPr>
                <w:rFonts w:hint="default" w:ascii="Times New Roman" w:hAnsi="Times New Roman" w:eastAsia="宋体" w:cs="Times New Roman"/>
                <w:color w:val="auto"/>
                <w:kern w:val="0"/>
                <w:sz w:val="24"/>
                <w:szCs w:val="24"/>
                <w:highlight w:val="none"/>
                <w:lang w:val="en-US" w:eastAsia="zh-CN"/>
              </w:rPr>
              <w:t>，提供证书扫描件，每个合格的证书扫描件得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lang w:val="en-US" w:eastAsia="zh-CN"/>
              </w:rPr>
              <w:t>分，最多</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lang w:val="en-US" w:eastAsia="zh-CN"/>
              </w:rPr>
              <w:t>分；</w:t>
            </w:r>
          </w:p>
        </w:tc>
        <w:tc>
          <w:tcPr>
            <w:tcW w:w="1140" w:type="dxa"/>
            <w:shd w:val="clear" w:color="auto" w:fill="auto"/>
            <w:vAlign w:val="center"/>
          </w:tcPr>
          <w:p w14:paraId="659118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2</w:t>
            </w:r>
          </w:p>
        </w:tc>
      </w:tr>
      <w:tr w14:paraId="3A3F0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663" w:type="dxa"/>
            <w:shd w:val="clear" w:color="auto" w:fill="auto"/>
            <w:noWrap/>
            <w:vAlign w:val="center"/>
          </w:tcPr>
          <w:p w14:paraId="53EE95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3</w:t>
            </w:r>
          </w:p>
        </w:tc>
        <w:tc>
          <w:tcPr>
            <w:tcW w:w="1425" w:type="dxa"/>
            <w:gridSpan w:val="2"/>
            <w:shd w:val="clear" w:color="auto" w:fill="auto"/>
            <w:vAlign w:val="center"/>
          </w:tcPr>
          <w:p w14:paraId="0C920C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投入人员评价</w:t>
            </w:r>
          </w:p>
        </w:tc>
        <w:tc>
          <w:tcPr>
            <w:tcW w:w="7308" w:type="dxa"/>
            <w:shd w:val="clear" w:color="auto" w:fill="auto"/>
            <w:vAlign w:val="center"/>
          </w:tcPr>
          <w:p w14:paraId="0B13043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投入的人员为投标单位正式员工，提供姓名、递交响应文件</w:t>
            </w:r>
            <w:r>
              <w:rPr>
                <w:rFonts w:hint="default" w:ascii="Times New Roman" w:hAnsi="Times New Roman" w:eastAsia="宋体" w:cs="Times New Roman"/>
                <w:color w:val="auto"/>
                <w:sz w:val="24"/>
                <w:szCs w:val="24"/>
                <w:highlight w:val="none"/>
              </w:rPr>
              <w:t>截止</w:t>
            </w:r>
            <w:r>
              <w:rPr>
                <w:rFonts w:hint="default" w:ascii="Times New Roman" w:hAnsi="Times New Roman" w:eastAsia="宋体" w:cs="Times New Roman"/>
                <w:color w:val="auto"/>
                <w:kern w:val="0"/>
                <w:sz w:val="24"/>
                <w:szCs w:val="24"/>
                <w:highlight w:val="none"/>
              </w:rPr>
              <w:t>日前三个月中任意一个月的由投标单位为投入人员缴纳社会保险证明扫描件，否则不予认定加分。</w:t>
            </w:r>
          </w:p>
          <w:p w14:paraId="5D8DE48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r>
              <w:rPr>
                <w:rFonts w:hint="default" w:ascii="Times New Roman" w:hAnsi="Times New Roman" w:eastAsia="宋体" w:cs="Times New Roman"/>
                <w:color w:val="auto"/>
                <w:sz w:val="24"/>
                <w:szCs w:val="24"/>
                <w:highlight w:val="none"/>
                <w:lang w:val="en-US" w:eastAsia="zh-CN"/>
              </w:rPr>
              <w:t>项目经理</w:t>
            </w:r>
            <w:r>
              <w:rPr>
                <w:rFonts w:hint="default" w:ascii="Times New Roman" w:hAnsi="Times New Roman" w:eastAsia="宋体" w:cs="Times New Roman"/>
                <w:color w:val="auto"/>
                <w:kern w:val="0"/>
                <w:sz w:val="24"/>
                <w:szCs w:val="24"/>
                <w:highlight w:val="none"/>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、CCRC信息安全保障人员认证（CISAW）证书（认证方向安全运维）、ITSS IT服务项目经理证书</w:t>
            </w:r>
            <w:r>
              <w:rPr>
                <w:rFonts w:hint="default" w:ascii="Times New Roman" w:hAnsi="Times New Roman" w:eastAsia="宋体" w:cs="Times New Roman"/>
                <w:color w:val="auto"/>
                <w:kern w:val="0"/>
                <w:sz w:val="24"/>
                <w:szCs w:val="24"/>
                <w:highlight w:val="none"/>
              </w:rPr>
              <w:t>，提供以上证书扫描件，</w:t>
            </w:r>
            <w:r>
              <w:rPr>
                <w:rFonts w:hint="eastAsia" w:cs="Times New Roman"/>
                <w:color w:val="auto"/>
                <w:kern w:val="0"/>
                <w:sz w:val="24"/>
                <w:szCs w:val="24"/>
                <w:highlight w:val="none"/>
                <w:lang w:val="en-US" w:eastAsia="zh-CN"/>
              </w:rPr>
              <w:t>每个合格的证书</w:t>
            </w:r>
            <w:r>
              <w:rPr>
                <w:rFonts w:hint="default" w:ascii="Times New Roman" w:hAnsi="Times New Roman" w:eastAsia="宋体" w:cs="Times New Roman"/>
                <w:color w:val="auto"/>
                <w:kern w:val="0"/>
                <w:sz w:val="24"/>
                <w:szCs w:val="24"/>
                <w:highlight w:val="none"/>
              </w:rPr>
              <w:t>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p w14:paraId="720A0DB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default" w:ascii="Times New Roman" w:hAnsi="Times New Roman"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w:t>
            </w:r>
            <w:r>
              <w:rPr>
                <w:rFonts w:hint="eastAsia" w:ascii="宋体" w:hAnsi="宋体" w:cs="宋体"/>
                <w:b w:val="0"/>
                <w:bCs w:val="0"/>
                <w:color w:val="auto"/>
                <w:kern w:val="0"/>
                <w:sz w:val="24"/>
                <w:szCs w:val="24"/>
                <w:highlight w:val="none"/>
                <w:lang w:val="en-US" w:eastAsia="zh-CN" w:bidi="ar"/>
              </w:rPr>
              <w:t>现场运维负责人</w:t>
            </w:r>
            <w:r>
              <w:rPr>
                <w:rFonts w:hint="default" w:ascii="Times New Roman" w:hAnsi="Times New Roman" w:eastAsia="宋体" w:cs="Times New Roman"/>
                <w:b w:val="0"/>
                <w:bCs w:val="0"/>
                <w:color w:val="auto"/>
                <w:sz w:val="24"/>
                <w:szCs w:val="24"/>
                <w:highlight w:val="none"/>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i w:val="0"/>
                <w:iCs w:val="0"/>
                <w:color w:val="auto"/>
                <w:kern w:val="0"/>
                <w:sz w:val="24"/>
                <w:szCs w:val="24"/>
                <w:highlight w:val="none"/>
                <w:u w:val="none"/>
                <w:lang w:val="en-US" w:eastAsia="zh-CN" w:bidi="ar"/>
              </w:rPr>
              <w:t>系统规划与管理师</w:t>
            </w:r>
            <w:r>
              <w:rPr>
                <w:rFonts w:hint="eastAsia" w:eastAsiaTheme="minorEastAsia"/>
                <w:color w:val="auto"/>
                <w:kern w:val="0"/>
                <w:sz w:val="24"/>
                <w:szCs w:val="24"/>
                <w:highlight w:val="none"/>
              </w:rPr>
              <w:t>）</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color w:val="auto"/>
                <w:kern w:val="0"/>
                <w:sz w:val="24"/>
                <w:szCs w:val="24"/>
                <w:highlight w:val="none"/>
              </w:rPr>
              <w:t>提供证书扫描件，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0F77567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w:t>
            </w:r>
            <w:r>
              <w:rPr>
                <w:rFonts w:hint="eastAsia" w:ascii="宋体" w:hAnsi="宋体" w:eastAsia="宋体" w:cs="宋体"/>
                <w:color w:val="auto"/>
                <w:sz w:val="24"/>
                <w:szCs w:val="24"/>
                <w:highlight w:val="none"/>
                <w:lang w:val="en-US" w:eastAsia="zh-CN"/>
              </w:rPr>
              <w:t>运维测评负责人</w:t>
            </w:r>
            <w:r>
              <w:rPr>
                <w:rFonts w:hint="default" w:ascii="Times New Roman" w:hAnsi="Times New Roman" w:eastAsia="宋体" w:cs="Times New Roman"/>
                <w:b w:val="0"/>
                <w:bCs w:val="0"/>
                <w:color w:val="auto"/>
                <w:sz w:val="24"/>
                <w:szCs w:val="24"/>
                <w:highlight w:val="none"/>
              </w:rPr>
              <w:t>具备</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i w:val="0"/>
                <w:iCs w:val="0"/>
                <w:color w:val="auto"/>
                <w:kern w:val="0"/>
                <w:sz w:val="24"/>
                <w:szCs w:val="24"/>
                <w:highlight w:val="none"/>
                <w:u w:val="none"/>
                <w:lang w:val="en-US" w:eastAsia="zh-CN" w:bidi="ar"/>
              </w:rPr>
              <w:t>软件评测师</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、CCRC信息安全保障人员认证（CISAW）证书（认证方向安全运维）</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color w:val="auto"/>
                <w:kern w:val="0"/>
                <w:sz w:val="24"/>
                <w:szCs w:val="24"/>
                <w:highlight w:val="none"/>
              </w:rPr>
              <w:t>提供证书扫描件，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69685E9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w:t>
            </w:r>
            <w:r>
              <w:rPr>
                <w:rFonts w:hint="eastAsia" w:ascii="宋体" w:hAnsi="宋体" w:eastAsia="宋体" w:cs="宋体"/>
                <w:color w:val="auto"/>
                <w:sz w:val="24"/>
                <w:szCs w:val="24"/>
                <w:highlight w:val="none"/>
                <w:lang w:val="en-US" w:eastAsia="zh-CN"/>
              </w:rPr>
              <w:t>运维安全负责人</w:t>
            </w:r>
            <w:r>
              <w:rPr>
                <w:rFonts w:hint="default" w:ascii="Times New Roman" w:hAnsi="Times New Roman" w:eastAsia="宋体" w:cs="Times New Roman"/>
                <w:b w:val="0"/>
                <w:bCs w:val="0"/>
                <w:color w:val="auto"/>
                <w:sz w:val="24"/>
                <w:szCs w:val="24"/>
                <w:highlight w:val="none"/>
              </w:rPr>
              <w:t>具备</w:t>
            </w:r>
            <w:r>
              <w:rPr>
                <w:rFonts w:hint="eastAsia" w:ascii="宋体" w:hAnsi="宋体" w:eastAsia="宋体" w:cs="宋体"/>
                <w:i w:val="0"/>
                <w:iCs w:val="0"/>
                <w:color w:val="auto"/>
                <w:kern w:val="0"/>
                <w:sz w:val="24"/>
                <w:szCs w:val="24"/>
                <w:highlight w:val="none"/>
                <w:u w:val="none"/>
                <w:lang w:val="en-US" w:eastAsia="zh-CN" w:bidi="ar"/>
              </w:rPr>
              <w:t>注册信息安全人员（CISP）证书（认证方向注册信息安全工程师（CISE）)、CCRC信息安全保障人员认证（CISAW）证书（认证方向安全运维）</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color w:val="auto"/>
                <w:kern w:val="0"/>
                <w:sz w:val="24"/>
                <w:szCs w:val="24"/>
                <w:highlight w:val="none"/>
              </w:rPr>
              <w:t>提供证书扫描件，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53C10B7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ascii="宋体" w:hAnsi="宋体" w:eastAsia="宋体" w:cs="宋体"/>
                <w:color w:val="auto"/>
                <w:kern w:val="0"/>
                <w:sz w:val="24"/>
                <w:szCs w:val="24"/>
                <w:highlight w:val="none"/>
              </w:rPr>
              <w:t>注：</w:t>
            </w:r>
            <w:r>
              <w:rPr>
                <w:rFonts w:hint="eastAsia" w:ascii="宋体" w:hAnsi="宋体" w:cs="宋体"/>
                <w:color w:val="auto"/>
                <w:kern w:val="0"/>
                <w:sz w:val="24"/>
                <w:szCs w:val="24"/>
                <w:highlight w:val="none"/>
                <w:lang w:val="en-US" w:eastAsia="zh-CN"/>
              </w:rPr>
              <w:t>上述岗位不得兼任</w:t>
            </w:r>
            <w:r>
              <w:rPr>
                <w:rFonts w:hint="eastAsia" w:ascii="宋体" w:hAnsi="宋体" w:eastAsia="宋体" w:cs="宋体"/>
                <w:color w:val="auto"/>
                <w:kern w:val="0"/>
                <w:sz w:val="24"/>
                <w:szCs w:val="24"/>
                <w:highlight w:val="none"/>
              </w:rPr>
              <w:t>。</w:t>
            </w:r>
          </w:p>
        </w:tc>
        <w:tc>
          <w:tcPr>
            <w:tcW w:w="1140" w:type="dxa"/>
            <w:shd w:val="clear" w:color="auto" w:fill="auto"/>
            <w:vAlign w:val="center"/>
          </w:tcPr>
          <w:p w14:paraId="22552E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328AB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B323F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4</w:t>
            </w:r>
          </w:p>
        </w:tc>
        <w:tc>
          <w:tcPr>
            <w:tcW w:w="1425" w:type="dxa"/>
            <w:gridSpan w:val="2"/>
            <w:shd w:val="clear" w:color="auto" w:fill="auto"/>
            <w:vAlign w:val="center"/>
          </w:tcPr>
          <w:p w14:paraId="779DDD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投标人承诺评价</w:t>
            </w:r>
          </w:p>
        </w:tc>
        <w:tc>
          <w:tcPr>
            <w:tcW w:w="7308" w:type="dxa"/>
            <w:shd w:val="clear" w:color="auto" w:fill="auto"/>
            <w:vAlign w:val="center"/>
          </w:tcPr>
          <w:p w14:paraId="49B2408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承诺完全满足磋商文件“报价要求”、“时间地点要求”、“付款方式要求”和技术要求中非“★”号要求的：</w:t>
            </w:r>
            <w:r>
              <w:rPr>
                <w:rFonts w:hint="eastAsia" w:cs="Times New Roman"/>
                <w:color w:val="auto"/>
                <w:kern w:val="0"/>
                <w:sz w:val="24"/>
                <w:szCs w:val="24"/>
                <w:highlight w:val="none"/>
                <w:lang w:val="en-US" w:eastAsia="zh-CN"/>
              </w:rPr>
              <w:t>10</w:t>
            </w:r>
            <w:r>
              <w:rPr>
                <w:rFonts w:hint="default" w:ascii="Times New Roman" w:hAnsi="Times New Roman" w:eastAsia="宋体" w:cs="Times New Roman"/>
                <w:color w:val="auto"/>
                <w:kern w:val="0"/>
                <w:sz w:val="24"/>
                <w:szCs w:val="24"/>
                <w:highlight w:val="none"/>
              </w:rPr>
              <w:t>分，其他0分。</w:t>
            </w:r>
          </w:p>
        </w:tc>
        <w:tc>
          <w:tcPr>
            <w:tcW w:w="1140" w:type="dxa"/>
            <w:shd w:val="clear" w:color="auto" w:fill="auto"/>
            <w:vAlign w:val="center"/>
          </w:tcPr>
          <w:p w14:paraId="0E23B8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10</w:t>
            </w:r>
          </w:p>
        </w:tc>
      </w:tr>
      <w:tr w14:paraId="260A1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729BF0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第三部分 主观分（</w:t>
            </w:r>
            <w:r>
              <w:rPr>
                <w:rFonts w:hint="eastAsia" w:ascii="Times New Roman" w:hAnsi="Times New Roman" w:eastAsia="宋体" w:cs="Times New Roman"/>
                <w:color w:val="auto"/>
                <w:kern w:val="0"/>
                <w:sz w:val="24"/>
                <w:szCs w:val="24"/>
                <w:highlight w:val="none"/>
                <w:lang w:val="en-US" w:eastAsia="zh-CN"/>
              </w:rPr>
              <w:t>60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2053C2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65B85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C9DD82">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1</w:t>
            </w:r>
          </w:p>
        </w:tc>
        <w:tc>
          <w:tcPr>
            <w:tcW w:w="1419" w:type="dxa"/>
            <w:shd w:val="clear" w:color="auto" w:fill="auto"/>
            <w:vAlign w:val="center"/>
          </w:tcPr>
          <w:p w14:paraId="4D16BF32">
            <w:pPr>
              <w:keepNext w:val="0"/>
              <w:keepLines w:val="0"/>
              <w:pageBreakBefore w:val="0"/>
              <w:widowControl/>
              <w:suppressLineNumbers w:val="0"/>
              <w:kinsoku/>
              <w:wordWrap/>
              <w:overflowPunct/>
              <w:topLinePunct w:val="0"/>
              <w:bidi w:val="0"/>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2"/>
                <w:highlight w:val="none"/>
                <w:u w:val="none"/>
                <w:lang w:val="en-US" w:eastAsia="zh-CN" w:bidi="ar"/>
              </w:rPr>
              <w:t>项目需求理解分析评价</w:t>
            </w:r>
          </w:p>
        </w:tc>
        <w:tc>
          <w:tcPr>
            <w:tcW w:w="7314" w:type="dxa"/>
            <w:gridSpan w:val="2"/>
            <w:shd w:val="clear" w:color="auto" w:fill="auto"/>
            <w:vAlign w:val="center"/>
          </w:tcPr>
          <w:p w14:paraId="786E4233">
            <w:pPr>
              <w:keepNext w:val="0"/>
              <w:keepLines w:val="0"/>
              <w:pageBreakBefore w:val="0"/>
              <w:widowControl/>
              <w:suppressLineNumbers w:val="0"/>
              <w:kinsoku/>
              <w:wordWrap/>
              <w:overflowPunct/>
              <w:topLinePunct w:val="0"/>
              <w:bidi w:val="0"/>
              <w:spacing w:line="360" w:lineRule="auto"/>
              <w:jc w:val="left"/>
              <w:textAlignment w:val="center"/>
              <w:rPr>
                <w:rFonts w:hint="default" w:ascii="Times New Roman" w:hAnsi="Times New Roman" w:cs="Times New Roman" w:eastAsiaTheme="minorEastAsia"/>
                <w:color w:val="auto"/>
                <w:sz w:val="24"/>
                <w:szCs w:val="22"/>
                <w:highlight w:val="none"/>
              </w:rPr>
            </w:pPr>
            <w:r>
              <w:rPr>
                <w:rFonts w:hint="default" w:ascii="Times New Roman" w:hAnsi="Times New Roman" w:eastAsia="宋体" w:cs="Times New Roman"/>
                <w:i w:val="0"/>
                <w:iCs w:val="0"/>
                <w:color w:val="auto"/>
                <w:kern w:val="0"/>
                <w:sz w:val="24"/>
                <w:szCs w:val="22"/>
                <w:highlight w:val="none"/>
                <w:u w:val="none"/>
                <w:lang w:val="en-US" w:eastAsia="zh-CN" w:bidi="ar"/>
              </w:rPr>
              <w:t>至少包含对现有系统业务流程分析、任务目标、实施要求理解等方面内容</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满足招标文件要求，无瑕疵：9分；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方案内容存在1处瑕疵：6分；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方案内容存在2处瑕疵：3分；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未提供方案或不满足招标文件要求或内容存在3处及以上瑕疵：0分；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9A979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rPr>
            </w:pPr>
            <w:r>
              <w:rPr>
                <w:rFonts w:hint="eastAsia" w:ascii="Times New Roman" w:hAnsi="Times New Roman" w:cs="Times New Roman"/>
                <w:color w:val="auto"/>
                <w:kern w:val="0"/>
                <w:sz w:val="24"/>
                <w:szCs w:val="24"/>
                <w:highlight w:val="none"/>
                <w:lang w:val="en-US" w:eastAsia="zh-CN"/>
              </w:rPr>
              <w:t>9</w:t>
            </w:r>
          </w:p>
        </w:tc>
      </w:tr>
      <w:tr w14:paraId="405DF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58464C7">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2</w:t>
            </w:r>
          </w:p>
        </w:tc>
        <w:tc>
          <w:tcPr>
            <w:tcW w:w="1419" w:type="dxa"/>
            <w:shd w:val="clear" w:color="auto" w:fill="auto"/>
            <w:vAlign w:val="center"/>
          </w:tcPr>
          <w:p w14:paraId="68EE792C">
            <w:pPr>
              <w:keepNext w:val="0"/>
              <w:keepLines w:val="0"/>
              <w:pageBreakBefore w:val="0"/>
              <w:widowControl/>
              <w:suppressLineNumbers w:val="0"/>
              <w:kinsoku/>
              <w:wordWrap/>
              <w:overflowPunct/>
              <w:topLinePunct w:val="0"/>
              <w:bidi w:val="0"/>
              <w:spacing w:line="360" w:lineRule="auto"/>
              <w:jc w:val="left"/>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i w:val="0"/>
                <w:iCs w:val="0"/>
                <w:color w:val="auto"/>
                <w:kern w:val="0"/>
                <w:sz w:val="24"/>
                <w:szCs w:val="22"/>
                <w:highlight w:val="none"/>
                <w:u w:val="none"/>
                <w:lang w:val="en-US" w:eastAsia="zh-CN" w:bidi="ar"/>
              </w:rPr>
              <w:t>项目服务人员评价</w:t>
            </w:r>
          </w:p>
        </w:tc>
        <w:tc>
          <w:tcPr>
            <w:tcW w:w="7314" w:type="dxa"/>
            <w:gridSpan w:val="2"/>
            <w:shd w:val="clear" w:color="auto" w:fill="auto"/>
            <w:vAlign w:val="center"/>
          </w:tcPr>
          <w:p w14:paraId="7CA55368">
            <w:pPr>
              <w:keepNext w:val="0"/>
              <w:keepLines w:val="0"/>
              <w:pageBreakBefore w:val="0"/>
              <w:widowControl/>
              <w:suppressLineNumbers w:val="0"/>
              <w:kinsoku/>
              <w:wordWrap/>
              <w:overflowPunct/>
              <w:topLinePunct w:val="0"/>
              <w:bidi w:val="0"/>
              <w:spacing w:line="360" w:lineRule="auto"/>
              <w:jc w:val="left"/>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i w:val="0"/>
                <w:iCs w:val="0"/>
                <w:color w:val="auto"/>
                <w:kern w:val="0"/>
                <w:sz w:val="24"/>
                <w:szCs w:val="22"/>
                <w:highlight w:val="none"/>
                <w:u w:val="none"/>
                <w:lang w:val="en-US" w:eastAsia="zh-CN" w:bidi="ar"/>
              </w:rPr>
              <w:t>至少包含人员分工及人员配置、岗位职责、人员数量及稳定性保障措施等方面内容</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满足招标文件要求，无瑕疵：9分；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方案内容存在1处瑕疵：6分；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方案内容存在2处瑕疵：3分；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未提供方案或不满足招标文件要求或内容存在3处及以上瑕疵：0分；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0B6B4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rPr>
            </w:pPr>
            <w:r>
              <w:rPr>
                <w:rFonts w:hint="eastAsia" w:ascii="Times New Roman" w:hAnsi="Times New Roman" w:cs="Times New Roman"/>
                <w:color w:val="auto"/>
                <w:kern w:val="0"/>
                <w:sz w:val="24"/>
                <w:szCs w:val="24"/>
                <w:highlight w:val="none"/>
                <w:lang w:val="en-US" w:eastAsia="zh-CN"/>
              </w:rPr>
              <w:t>9</w:t>
            </w:r>
          </w:p>
        </w:tc>
      </w:tr>
      <w:tr w14:paraId="4BB5E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663" w:type="dxa"/>
            <w:shd w:val="clear" w:color="auto" w:fill="auto"/>
            <w:noWrap/>
            <w:vAlign w:val="center"/>
          </w:tcPr>
          <w:p w14:paraId="113E2B92">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3</w:t>
            </w:r>
          </w:p>
        </w:tc>
        <w:tc>
          <w:tcPr>
            <w:tcW w:w="1419" w:type="dxa"/>
            <w:shd w:val="clear" w:color="auto" w:fill="auto"/>
            <w:vAlign w:val="center"/>
          </w:tcPr>
          <w:p w14:paraId="23D2F5DC">
            <w:pPr>
              <w:keepNext w:val="0"/>
              <w:keepLines w:val="0"/>
              <w:pageBreakBefore w:val="0"/>
              <w:widowControl/>
              <w:suppressLineNumbers w:val="0"/>
              <w:kinsoku/>
              <w:wordWrap/>
              <w:overflowPunct/>
              <w:topLinePunct w:val="0"/>
              <w:bidi w:val="0"/>
              <w:spacing w:line="360" w:lineRule="auto"/>
              <w:jc w:val="left"/>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i w:val="0"/>
                <w:iCs w:val="0"/>
                <w:color w:val="auto"/>
                <w:kern w:val="0"/>
                <w:sz w:val="24"/>
                <w:szCs w:val="22"/>
                <w:highlight w:val="none"/>
                <w:u w:val="none"/>
                <w:lang w:val="en-US" w:eastAsia="zh-CN" w:bidi="ar"/>
              </w:rPr>
              <w:t>整体运行维护方案评价</w:t>
            </w:r>
          </w:p>
        </w:tc>
        <w:tc>
          <w:tcPr>
            <w:tcW w:w="7314" w:type="dxa"/>
            <w:gridSpan w:val="2"/>
            <w:shd w:val="clear" w:color="auto" w:fill="auto"/>
            <w:vAlign w:val="center"/>
          </w:tcPr>
          <w:p w14:paraId="57FEF36B">
            <w:pPr>
              <w:keepNext w:val="0"/>
              <w:keepLines w:val="0"/>
              <w:pageBreakBefore w:val="0"/>
              <w:widowControl/>
              <w:suppressLineNumbers w:val="0"/>
              <w:kinsoku/>
              <w:wordWrap/>
              <w:overflowPunct/>
              <w:topLinePunct w:val="0"/>
              <w:bidi w:val="0"/>
              <w:spacing w:line="360" w:lineRule="auto"/>
              <w:jc w:val="left"/>
              <w:textAlignment w:val="center"/>
              <w:rPr>
                <w:rFonts w:hint="default" w:ascii="Times New Roman" w:hAnsi="Times New Roman" w:cs="Times New Roman"/>
                <w:i w:val="0"/>
                <w:iCs w:val="0"/>
                <w:color w:val="auto"/>
                <w:kern w:val="0"/>
                <w:sz w:val="24"/>
                <w:szCs w:val="22"/>
                <w:highlight w:val="none"/>
                <w:u w:val="none"/>
                <w:lang w:val="en-US" w:eastAsia="zh-CN" w:bidi="ar"/>
              </w:rPr>
            </w:pPr>
            <w:r>
              <w:rPr>
                <w:rFonts w:hint="default" w:ascii="Times New Roman" w:hAnsi="Times New Roman" w:eastAsia="宋体" w:cs="Times New Roman"/>
                <w:i w:val="0"/>
                <w:iCs w:val="0"/>
                <w:color w:val="auto"/>
                <w:kern w:val="0"/>
                <w:sz w:val="24"/>
                <w:szCs w:val="22"/>
                <w:highlight w:val="none"/>
                <w:u w:val="none"/>
                <w:lang w:val="en-US" w:eastAsia="zh-CN" w:bidi="ar"/>
              </w:rPr>
              <w:t>至少包含针对本项目系统的运维计划、实施方案等方面内容</w:t>
            </w:r>
            <w:r>
              <w:rPr>
                <w:rFonts w:hint="default" w:ascii="Times New Roman" w:hAnsi="Times New Roman" w:cs="Times New Roman"/>
                <w:i w:val="0"/>
                <w:iCs w:val="0"/>
                <w:color w:val="auto"/>
                <w:kern w:val="0"/>
                <w:sz w:val="24"/>
                <w:szCs w:val="22"/>
                <w:highlight w:val="none"/>
                <w:u w:val="none"/>
                <w:lang w:val="en-US" w:eastAsia="zh-CN" w:bidi="ar"/>
              </w:rPr>
              <w:t>；内容必须包括：日常巡检、数据提取、数据修改、数据归集、核心业务支撑平台部署方案以及机构入驻app的信息配置方案，缺失任意一项</w:t>
            </w:r>
            <w:r>
              <w:rPr>
                <w:rFonts w:hint="default" w:ascii="Times New Roman" w:hAnsi="Times New Roman" w:eastAsia="宋体" w:cs="Times New Roman"/>
                <w:i w:val="0"/>
                <w:iCs w:val="0"/>
                <w:color w:val="auto"/>
                <w:kern w:val="0"/>
                <w:sz w:val="24"/>
                <w:szCs w:val="22"/>
                <w:highlight w:val="none"/>
                <w:u w:val="none"/>
                <w:lang w:val="en-US" w:eastAsia="zh-CN" w:bidi="ar"/>
              </w:rPr>
              <w:t>不予认定加分。</w:t>
            </w:r>
          </w:p>
          <w:p w14:paraId="2838B72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满足招标文件要求，无瑕疵：</w:t>
            </w:r>
            <w:r>
              <w:rPr>
                <w:rFonts w:hint="default" w:ascii="Times New Roman" w:hAnsi="Times New Roman" w:cs="Times New Roman"/>
                <w:color w:val="auto"/>
                <w:kern w:val="0"/>
                <w:sz w:val="24"/>
                <w:szCs w:val="24"/>
                <w:highlight w:val="none"/>
                <w:lang w:val="en-US" w:eastAsia="zh-CN"/>
              </w:rPr>
              <w:t>12</w:t>
            </w:r>
            <w:r>
              <w:rPr>
                <w:rFonts w:hint="default" w:ascii="Times New Roman" w:hAnsi="Times New Roman" w:cs="Times New Roman"/>
                <w:color w:val="auto"/>
                <w:kern w:val="0"/>
                <w:sz w:val="24"/>
                <w:szCs w:val="24"/>
                <w:highlight w:val="none"/>
              </w:rPr>
              <w:t>分；</w:t>
            </w:r>
          </w:p>
          <w:p w14:paraId="6B9D71D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方案内容存在1处瑕疵：</w:t>
            </w:r>
            <w:r>
              <w:rPr>
                <w:rFonts w:hint="default" w:ascii="Times New Roman" w:hAnsi="Times New Roman" w:cs="Times New Roman"/>
                <w:color w:val="auto"/>
                <w:kern w:val="0"/>
                <w:sz w:val="24"/>
                <w:szCs w:val="24"/>
                <w:highlight w:val="none"/>
                <w:lang w:val="en-US" w:eastAsia="zh-CN"/>
              </w:rPr>
              <w:t>9</w:t>
            </w:r>
            <w:r>
              <w:rPr>
                <w:rFonts w:hint="default" w:ascii="Times New Roman" w:hAnsi="Times New Roman" w:cs="Times New Roman"/>
                <w:color w:val="auto"/>
                <w:kern w:val="0"/>
                <w:sz w:val="24"/>
                <w:szCs w:val="24"/>
                <w:highlight w:val="none"/>
              </w:rPr>
              <w:t>分；</w:t>
            </w:r>
          </w:p>
          <w:p w14:paraId="331E992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方案内容存在2处瑕疵：</w:t>
            </w:r>
            <w:r>
              <w:rPr>
                <w:rFonts w:hint="default" w:ascii="Times New Roman" w:hAnsi="Times New Roman" w:cs="Times New Roman"/>
                <w:color w:val="auto"/>
                <w:kern w:val="0"/>
                <w:sz w:val="24"/>
                <w:szCs w:val="24"/>
                <w:highlight w:val="none"/>
                <w:lang w:val="en-US" w:eastAsia="zh-CN"/>
              </w:rPr>
              <w:t>6</w:t>
            </w:r>
            <w:r>
              <w:rPr>
                <w:rFonts w:hint="default" w:ascii="Times New Roman" w:hAnsi="Times New Roman" w:cs="Times New Roman"/>
                <w:color w:val="auto"/>
                <w:kern w:val="0"/>
                <w:sz w:val="24"/>
                <w:szCs w:val="24"/>
                <w:highlight w:val="none"/>
              </w:rPr>
              <w:t>分；</w:t>
            </w:r>
          </w:p>
          <w:p w14:paraId="76A43C1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cs="Times New Roman"/>
                <w:color w:val="auto"/>
                <w:kern w:val="0"/>
                <w:sz w:val="24"/>
                <w:szCs w:val="24"/>
                <w:highlight w:val="none"/>
              </w:rPr>
              <w:t>处瑕疵：</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cs="Times New Roman"/>
                <w:color w:val="auto"/>
                <w:kern w:val="0"/>
                <w:sz w:val="24"/>
                <w:szCs w:val="24"/>
                <w:highlight w:val="none"/>
              </w:rPr>
              <w:t>分；</w:t>
            </w:r>
          </w:p>
          <w:p w14:paraId="40FBC25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未提供方案或不满足招标文件要求或内容存在</w:t>
            </w:r>
            <w:r>
              <w:rPr>
                <w:rFonts w:hint="default" w:ascii="Times New Roman" w:hAnsi="Times New Roman" w:cs="Times New Roman"/>
                <w:color w:val="auto"/>
                <w:kern w:val="0"/>
                <w:sz w:val="24"/>
                <w:szCs w:val="24"/>
                <w:highlight w:val="none"/>
                <w:lang w:val="en-US" w:eastAsia="zh-CN"/>
              </w:rPr>
              <w:t>4</w:t>
            </w:r>
            <w:r>
              <w:rPr>
                <w:rFonts w:hint="default" w:ascii="Times New Roman" w:hAnsi="Times New Roman" w:cs="Times New Roman"/>
                <w:color w:val="auto"/>
                <w:kern w:val="0"/>
                <w:sz w:val="24"/>
                <w:szCs w:val="24"/>
                <w:highlight w:val="none"/>
              </w:rPr>
              <w:t>处及以上瑕疵：0分；</w:t>
            </w:r>
          </w:p>
          <w:p w14:paraId="65035925">
            <w:pPr>
              <w:keepNext w:val="0"/>
              <w:keepLines w:val="0"/>
              <w:pageBreakBefore w:val="0"/>
              <w:widowControl/>
              <w:suppressLineNumbers w:val="0"/>
              <w:kinsoku/>
              <w:wordWrap/>
              <w:overflowPunct/>
              <w:topLinePunct w:val="0"/>
              <w:bidi w:val="0"/>
              <w:spacing w:line="360" w:lineRule="auto"/>
              <w:jc w:val="left"/>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421DF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rPr>
            </w:pPr>
            <w:r>
              <w:rPr>
                <w:rFonts w:hint="eastAsia" w:ascii="Times New Roman" w:hAnsi="Times New Roman" w:cs="Times New Roman"/>
                <w:color w:val="auto"/>
                <w:kern w:val="0"/>
                <w:sz w:val="24"/>
                <w:szCs w:val="24"/>
                <w:highlight w:val="none"/>
                <w:lang w:val="en-US" w:eastAsia="zh-CN"/>
              </w:rPr>
              <w:t>12</w:t>
            </w:r>
          </w:p>
        </w:tc>
      </w:tr>
      <w:tr w14:paraId="0D42D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98BE6B3">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4</w:t>
            </w:r>
          </w:p>
        </w:tc>
        <w:tc>
          <w:tcPr>
            <w:tcW w:w="1419" w:type="dxa"/>
            <w:shd w:val="clear" w:color="auto" w:fill="auto"/>
            <w:vAlign w:val="center"/>
          </w:tcPr>
          <w:p w14:paraId="5024F33B">
            <w:pPr>
              <w:keepNext w:val="0"/>
              <w:keepLines w:val="0"/>
              <w:pageBreakBefore w:val="0"/>
              <w:widowControl/>
              <w:suppressLineNumbers w:val="0"/>
              <w:kinsoku/>
              <w:wordWrap/>
              <w:overflowPunct/>
              <w:topLinePunct w:val="0"/>
              <w:bidi w:val="0"/>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2"/>
                <w:highlight w:val="none"/>
                <w:u w:val="none"/>
                <w:lang w:val="en-US" w:eastAsia="zh-CN" w:bidi="ar"/>
              </w:rPr>
              <w:t>定期预防性检查方案</w:t>
            </w:r>
          </w:p>
        </w:tc>
        <w:tc>
          <w:tcPr>
            <w:tcW w:w="7314" w:type="dxa"/>
            <w:gridSpan w:val="2"/>
            <w:shd w:val="clear" w:color="auto" w:fill="auto"/>
            <w:vAlign w:val="center"/>
          </w:tcPr>
          <w:p w14:paraId="549D8278">
            <w:pPr>
              <w:keepNext w:val="0"/>
              <w:keepLines w:val="0"/>
              <w:pageBreakBefore w:val="0"/>
              <w:widowControl/>
              <w:suppressLineNumbers w:val="0"/>
              <w:kinsoku/>
              <w:wordWrap/>
              <w:overflowPunct/>
              <w:topLinePunct w:val="0"/>
              <w:bidi w:val="0"/>
              <w:spacing w:line="360" w:lineRule="auto"/>
              <w:jc w:val="left"/>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i w:val="0"/>
                <w:iCs w:val="0"/>
                <w:color w:val="auto"/>
                <w:kern w:val="0"/>
                <w:sz w:val="24"/>
                <w:szCs w:val="22"/>
                <w:highlight w:val="none"/>
                <w:u w:val="none"/>
                <w:lang w:val="en-US" w:eastAsia="zh-CN" w:bidi="ar"/>
              </w:rPr>
              <w:t>至少包含预防性检查频率、检查内容、发现问题后的解决方案等方面内容</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满足招标文件要求，无瑕疵：9分；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方案内容存在1处瑕疵：6分；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方案内容存在2处瑕疵：3分；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未提供方案或不满足招标文件要求或内容存在3处及以上瑕疵：0分；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41665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9</w:t>
            </w:r>
          </w:p>
        </w:tc>
      </w:tr>
      <w:tr w14:paraId="31795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0F8DBCC">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5</w:t>
            </w:r>
          </w:p>
        </w:tc>
        <w:tc>
          <w:tcPr>
            <w:tcW w:w="1419" w:type="dxa"/>
            <w:shd w:val="clear" w:color="auto" w:fill="auto"/>
            <w:vAlign w:val="center"/>
          </w:tcPr>
          <w:p w14:paraId="517D3135">
            <w:pPr>
              <w:keepNext w:val="0"/>
              <w:keepLines w:val="0"/>
              <w:pageBreakBefore w:val="0"/>
              <w:widowControl/>
              <w:suppressLineNumbers w:val="0"/>
              <w:kinsoku/>
              <w:wordWrap/>
              <w:overflowPunct/>
              <w:topLinePunct w:val="0"/>
              <w:bidi w:val="0"/>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2"/>
                <w:highlight w:val="none"/>
                <w:u w:val="none"/>
                <w:lang w:val="en-US" w:eastAsia="zh-CN" w:bidi="ar"/>
              </w:rPr>
              <w:t>故障管理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处理方案</w:t>
            </w:r>
          </w:p>
        </w:tc>
        <w:tc>
          <w:tcPr>
            <w:tcW w:w="7314" w:type="dxa"/>
            <w:gridSpan w:val="2"/>
            <w:shd w:val="clear" w:color="auto" w:fill="auto"/>
            <w:vAlign w:val="center"/>
          </w:tcPr>
          <w:p w14:paraId="0153956F">
            <w:pPr>
              <w:keepNext w:val="0"/>
              <w:keepLines w:val="0"/>
              <w:pageBreakBefore w:val="0"/>
              <w:widowControl/>
              <w:suppressLineNumbers w:val="0"/>
              <w:kinsoku/>
              <w:wordWrap/>
              <w:overflowPunct/>
              <w:topLinePunct w:val="0"/>
              <w:bidi w:val="0"/>
              <w:spacing w:line="360" w:lineRule="auto"/>
              <w:jc w:val="left"/>
              <w:textAlignment w:val="center"/>
              <w:rPr>
                <w:rFonts w:hint="default" w:ascii="Times New Roman" w:hAnsi="Times New Roman" w:cs="Times New Roman"/>
                <w:i w:val="0"/>
                <w:iCs w:val="0"/>
                <w:color w:val="auto"/>
                <w:kern w:val="0"/>
                <w:sz w:val="24"/>
                <w:szCs w:val="22"/>
                <w:highlight w:val="none"/>
                <w:u w:val="none"/>
                <w:lang w:val="en-US" w:eastAsia="zh-CN" w:bidi="ar"/>
              </w:rPr>
            </w:pPr>
            <w:r>
              <w:rPr>
                <w:rFonts w:hint="default" w:ascii="Times New Roman" w:hAnsi="Times New Roman" w:eastAsia="宋体" w:cs="Times New Roman"/>
                <w:i w:val="0"/>
                <w:iCs w:val="0"/>
                <w:color w:val="auto"/>
                <w:kern w:val="0"/>
                <w:sz w:val="24"/>
                <w:szCs w:val="22"/>
                <w:highlight w:val="none"/>
                <w:u w:val="none"/>
                <w:lang w:val="en-US" w:eastAsia="zh-CN" w:bidi="ar"/>
              </w:rPr>
              <w:t>至少包含响应时间、故障</w:t>
            </w:r>
            <w:r>
              <w:rPr>
                <w:rFonts w:hint="default" w:ascii="Times New Roman" w:hAnsi="Times New Roman" w:cs="Times New Roman"/>
                <w:i w:val="0"/>
                <w:iCs w:val="0"/>
                <w:color w:val="auto"/>
                <w:kern w:val="0"/>
                <w:sz w:val="24"/>
                <w:szCs w:val="22"/>
                <w:highlight w:val="none"/>
                <w:u w:val="none"/>
                <w:lang w:val="en-US" w:eastAsia="zh-CN" w:bidi="ar"/>
              </w:rPr>
              <w:t>排查与</w:t>
            </w:r>
            <w:r>
              <w:rPr>
                <w:rFonts w:hint="default" w:ascii="Times New Roman" w:hAnsi="Times New Roman" w:eastAsia="宋体" w:cs="Times New Roman"/>
                <w:i w:val="0"/>
                <w:iCs w:val="0"/>
                <w:color w:val="auto"/>
                <w:kern w:val="0"/>
                <w:sz w:val="24"/>
                <w:szCs w:val="22"/>
                <w:highlight w:val="none"/>
                <w:u w:val="none"/>
                <w:lang w:val="en-US" w:eastAsia="zh-CN" w:bidi="ar"/>
              </w:rPr>
              <w:t>处理方案、防止再发方案等方面内容</w:t>
            </w:r>
            <w:r>
              <w:rPr>
                <w:rFonts w:hint="default" w:ascii="Times New Roman" w:hAnsi="Times New Roman" w:cs="Times New Roman"/>
                <w:i w:val="0"/>
                <w:iCs w:val="0"/>
                <w:color w:val="auto"/>
                <w:kern w:val="0"/>
                <w:sz w:val="24"/>
                <w:szCs w:val="22"/>
                <w:highlight w:val="none"/>
                <w:u w:val="none"/>
                <w:lang w:val="en-US" w:eastAsia="zh-CN" w:bidi="ar"/>
              </w:rPr>
              <w:t>；内容中应包括跨省异地结算三方对账、联网结算突发故障的排查方案，缺失任意一项</w:t>
            </w:r>
            <w:r>
              <w:rPr>
                <w:rFonts w:hint="default" w:ascii="Times New Roman" w:hAnsi="Times New Roman" w:eastAsia="宋体" w:cs="Times New Roman"/>
                <w:i w:val="0"/>
                <w:iCs w:val="0"/>
                <w:color w:val="auto"/>
                <w:kern w:val="0"/>
                <w:sz w:val="24"/>
                <w:szCs w:val="22"/>
                <w:highlight w:val="none"/>
                <w:u w:val="none"/>
                <w:lang w:val="en-US" w:eastAsia="zh-CN" w:bidi="ar"/>
              </w:rPr>
              <w:t>不予认定加分。</w:t>
            </w:r>
          </w:p>
          <w:p w14:paraId="30232AF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满足招标文件要求，无瑕疵：</w:t>
            </w:r>
            <w:r>
              <w:rPr>
                <w:rFonts w:hint="default" w:ascii="Times New Roman" w:hAnsi="Times New Roman" w:cs="Times New Roman"/>
                <w:color w:val="auto"/>
                <w:kern w:val="0"/>
                <w:sz w:val="24"/>
                <w:szCs w:val="24"/>
                <w:highlight w:val="none"/>
                <w:lang w:val="en-US" w:eastAsia="zh-CN"/>
              </w:rPr>
              <w:t>12</w:t>
            </w:r>
            <w:r>
              <w:rPr>
                <w:rFonts w:hint="default" w:ascii="Times New Roman" w:hAnsi="Times New Roman" w:cs="Times New Roman"/>
                <w:color w:val="auto"/>
                <w:kern w:val="0"/>
                <w:sz w:val="24"/>
                <w:szCs w:val="24"/>
                <w:highlight w:val="none"/>
              </w:rPr>
              <w:t>分；</w:t>
            </w:r>
          </w:p>
          <w:p w14:paraId="0AAD60D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方案内容存在1处瑕疵：</w:t>
            </w:r>
            <w:r>
              <w:rPr>
                <w:rFonts w:hint="default" w:ascii="Times New Roman" w:hAnsi="Times New Roman" w:cs="Times New Roman"/>
                <w:color w:val="auto"/>
                <w:kern w:val="0"/>
                <w:sz w:val="24"/>
                <w:szCs w:val="24"/>
                <w:highlight w:val="none"/>
                <w:lang w:val="en-US" w:eastAsia="zh-CN"/>
              </w:rPr>
              <w:t>9</w:t>
            </w:r>
            <w:r>
              <w:rPr>
                <w:rFonts w:hint="default" w:ascii="Times New Roman" w:hAnsi="Times New Roman" w:cs="Times New Roman"/>
                <w:color w:val="auto"/>
                <w:kern w:val="0"/>
                <w:sz w:val="24"/>
                <w:szCs w:val="24"/>
                <w:highlight w:val="none"/>
              </w:rPr>
              <w:t>分；</w:t>
            </w:r>
          </w:p>
          <w:p w14:paraId="729C985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方案内容存在2处瑕疵：</w:t>
            </w:r>
            <w:r>
              <w:rPr>
                <w:rFonts w:hint="default" w:ascii="Times New Roman" w:hAnsi="Times New Roman" w:cs="Times New Roman"/>
                <w:color w:val="auto"/>
                <w:kern w:val="0"/>
                <w:sz w:val="24"/>
                <w:szCs w:val="24"/>
                <w:highlight w:val="none"/>
                <w:lang w:val="en-US" w:eastAsia="zh-CN"/>
              </w:rPr>
              <w:t>6</w:t>
            </w:r>
            <w:r>
              <w:rPr>
                <w:rFonts w:hint="default" w:ascii="Times New Roman" w:hAnsi="Times New Roman" w:cs="Times New Roman"/>
                <w:color w:val="auto"/>
                <w:kern w:val="0"/>
                <w:sz w:val="24"/>
                <w:szCs w:val="24"/>
                <w:highlight w:val="none"/>
              </w:rPr>
              <w:t>分；</w:t>
            </w:r>
          </w:p>
          <w:p w14:paraId="040F40A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方案内容存在</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cs="Times New Roman"/>
                <w:color w:val="auto"/>
                <w:kern w:val="0"/>
                <w:sz w:val="24"/>
                <w:szCs w:val="24"/>
                <w:highlight w:val="none"/>
              </w:rPr>
              <w:t>处瑕疵：</w:t>
            </w:r>
            <w:r>
              <w:rPr>
                <w:rFonts w:hint="default" w:ascii="Times New Roman" w:hAnsi="Times New Roman" w:cs="Times New Roman"/>
                <w:color w:val="auto"/>
                <w:kern w:val="0"/>
                <w:sz w:val="24"/>
                <w:szCs w:val="24"/>
                <w:highlight w:val="none"/>
                <w:lang w:val="en-US" w:eastAsia="zh-CN"/>
              </w:rPr>
              <w:t>3</w:t>
            </w:r>
            <w:r>
              <w:rPr>
                <w:rFonts w:hint="default" w:ascii="Times New Roman" w:hAnsi="Times New Roman" w:cs="Times New Roman"/>
                <w:color w:val="auto"/>
                <w:kern w:val="0"/>
                <w:sz w:val="24"/>
                <w:szCs w:val="24"/>
                <w:highlight w:val="none"/>
              </w:rPr>
              <w:t>分；</w:t>
            </w:r>
          </w:p>
          <w:p w14:paraId="334B354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未提供方案或不满足招标文件要求或内容存在</w:t>
            </w:r>
            <w:r>
              <w:rPr>
                <w:rFonts w:hint="default" w:ascii="Times New Roman" w:hAnsi="Times New Roman" w:cs="Times New Roman"/>
                <w:color w:val="auto"/>
                <w:kern w:val="0"/>
                <w:sz w:val="24"/>
                <w:szCs w:val="24"/>
                <w:highlight w:val="none"/>
                <w:lang w:val="en-US" w:eastAsia="zh-CN"/>
              </w:rPr>
              <w:t>4</w:t>
            </w:r>
            <w:r>
              <w:rPr>
                <w:rFonts w:hint="default" w:ascii="Times New Roman" w:hAnsi="Times New Roman" w:cs="Times New Roman"/>
                <w:color w:val="auto"/>
                <w:kern w:val="0"/>
                <w:sz w:val="24"/>
                <w:szCs w:val="24"/>
                <w:highlight w:val="none"/>
              </w:rPr>
              <w:t>处及以上瑕疵：0分；</w:t>
            </w:r>
          </w:p>
          <w:p w14:paraId="2300835D">
            <w:pPr>
              <w:keepNext w:val="0"/>
              <w:keepLines w:val="0"/>
              <w:pageBreakBefore w:val="0"/>
              <w:widowControl/>
              <w:suppressLineNumbers w:val="0"/>
              <w:kinsoku/>
              <w:wordWrap/>
              <w:overflowPunct/>
              <w:topLinePunct w:val="0"/>
              <w:bidi w:val="0"/>
              <w:spacing w:line="360" w:lineRule="auto"/>
              <w:jc w:val="left"/>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B08FA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ascii="Times New Roman" w:hAnsi="Times New Roman" w:cs="Times New Roman"/>
                <w:color w:val="auto"/>
                <w:kern w:val="0"/>
                <w:sz w:val="24"/>
                <w:szCs w:val="24"/>
                <w:highlight w:val="none"/>
                <w:lang w:val="en-US" w:eastAsia="zh-CN"/>
              </w:rPr>
              <w:t>12</w:t>
            </w:r>
          </w:p>
        </w:tc>
      </w:tr>
      <w:tr w14:paraId="2E570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746892A">
            <w:pPr>
              <w:keepNext w:val="0"/>
              <w:keepLines w:val="0"/>
              <w:pageBreakBefore w:val="0"/>
              <w:kinsoku/>
              <w:wordWrap/>
              <w:overflowPunct/>
              <w:topLinePunct w:val="0"/>
              <w:bidi w:val="0"/>
              <w:spacing w:line="360" w:lineRule="auto"/>
              <w:ind w:firstLine="0" w:firstLineChars="0"/>
              <w:jc w:val="center"/>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eastAsiaTheme="minorEastAsia"/>
                <w:color w:val="auto"/>
                <w:sz w:val="24"/>
                <w:szCs w:val="22"/>
                <w:highlight w:val="none"/>
                <w:lang w:val="en-US" w:eastAsia="zh-CN"/>
              </w:rPr>
              <w:t>6</w:t>
            </w:r>
          </w:p>
        </w:tc>
        <w:tc>
          <w:tcPr>
            <w:tcW w:w="1419" w:type="dxa"/>
            <w:shd w:val="clear" w:color="auto" w:fill="auto"/>
            <w:vAlign w:val="center"/>
          </w:tcPr>
          <w:p w14:paraId="4FB5276F">
            <w:pPr>
              <w:keepNext w:val="0"/>
              <w:keepLines w:val="0"/>
              <w:pageBreakBefore w:val="0"/>
              <w:widowControl/>
              <w:suppressLineNumbers w:val="0"/>
              <w:kinsoku/>
              <w:wordWrap/>
              <w:overflowPunct/>
              <w:topLinePunct w:val="0"/>
              <w:bidi w:val="0"/>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2"/>
                <w:highlight w:val="none"/>
                <w:u w:val="none"/>
                <w:lang w:val="en-US" w:eastAsia="zh-CN" w:bidi="ar"/>
              </w:rPr>
              <w:t>突发事件</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管理方案</w:t>
            </w:r>
          </w:p>
        </w:tc>
        <w:tc>
          <w:tcPr>
            <w:tcW w:w="7314" w:type="dxa"/>
            <w:gridSpan w:val="2"/>
            <w:shd w:val="clear" w:color="auto" w:fill="auto"/>
            <w:vAlign w:val="center"/>
          </w:tcPr>
          <w:p w14:paraId="52736C16">
            <w:pPr>
              <w:keepNext w:val="0"/>
              <w:keepLines w:val="0"/>
              <w:pageBreakBefore w:val="0"/>
              <w:widowControl/>
              <w:suppressLineNumbers w:val="0"/>
              <w:kinsoku/>
              <w:wordWrap/>
              <w:overflowPunct/>
              <w:topLinePunct w:val="0"/>
              <w:bidi w:val="0"/>
              <w:spacing w:line="360" w:lineRule="auto"/>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i w:val="0"/>
                <w:iCs w:val="0"/>
                <w:color w:val="auto"/>
                <w:kern w:val="0"/>
                <w:sz w:val="24"/>
                <w:szCs w:val="22"/>
                <w:highlight w:val="none"/>
                <w:u w:val="none"/>
                <w:lang w:val="en-US" w:eastAsia="zh-CN" w:bidi="ar"/>
              </w:rPr>
              <w:t>至少包含针对恶意攻击、访问量激增等处理方案</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满足招标文件要求，无瑕疵：</w:t>
            </w:r>
            <w:r>
              <w:rPr>
                <w:rFonts w:hint="default" w:ascii="Times New Roman" w:hAnsi="Times New Roman" w:cs="Times New Roman"/>
                <w:i w:val="0"/>
                <w:iCs w:val="0"/>
                <w:color w:val="auto"/>
                <w:kern w:val="0"/>
                <w:sz w:val="24"/>
                <w:szCs w:val="22"/>
                <w:highlight w:val="none"/>
                <w:u w:val="none"/>
                <w:lang w:val="en-US" w:eastAsia="zh-CN" w:bidi="ar"/>
              </w:rPr>
              <w:t>9</w:t>
            </w:r>
            <w:r>
              <w:rPr>
                <w:rFonts w:hint="default" w:ascii="Times New Roman" w:hAnsi="Times New Roman" w:eastAsia="宋体" w:cs="Times New Roman"/>
                <w:i w:val="0"/>
                <w:iCs w:val="0"/>
                <w:color w:val="auto"/>
                <w:kern w:val="0"/>
                <w:sz w:val="24"/>
                <w:szCs w:val="22"/>
                <w:highlight w:val="none"/>
                <w:u w:val="none"/>
                <w:lang w:val="en-US" w:eastAsia="zh-CN" w:bidi="ar"/>
              </w:rPr>
              <w:t>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方案内容存在1处瑕疵：</w:t>
            </w:r>
            <w:r>
              <w:rPr>
                <w:rFonts w:hint="default" w:ascii="Times New Roman" w:hAnsi="Times New Roman" w:cs="Times New Roman"/>
                <w:i w:val="0"/>
                <w:iCs w:val="0"/>
                <w:color w:val="auto"/>
                <w:kern w:val="0"/>
                <w:sz w:val="24"/>
                <w:szCs w:val="22"/>
                <w:highlight w:val="none"/>
                <w:u w:val="none"/>
                <w:lang w:val="en-US" w:eastAsia="zh-CN" w:bidi="ar"/>
              </w:rPr>
              <w:t>6</w:t>
            </w:r>
            <w:r>
              <w:rPr>
                <w:rFonts w:hint="default" w:ascii="Times New Roman" w:hAnsi="Times New Roman" w:eastAsia="宋体" w:cs="Times New Roman"/>
                <w:i w:val="0"/>
                <w:iCs w:val="0"/>
                <w:color w:val="auto"/>
                <w:kern w:val="0"/>
                <w:sz w:val="24"/>
                <w:szCs w:val="22"/>
                <w:highlight w:val="none"/>
                <w:u w:val="none"/>
                <w:lang w:val="en-US" w:eastAsia="zh-CN" w:bidi="ar"/>
              </w:rPr>
              <w:t>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方案内容存在2处瑕疵：</w:t>
            </w:r>
            <w:r>
              <w:rPr>
                <w:rFonts w:hint="default" w:ascii="Times New Roman" w:hAnsi="Times New Roman" w:cs="Times New Roman"/>
                <w:i w:val="0"/>
                <w:iCs w:val="0"/>
                <w:color w:val="auto"/>
                <w:kern w:val="0"/>
                <w:sz w:val="24"/>
                <w:szCs w:val="22"/>
                <w:highlight w:val="none"/>
                <w:u w:val="none"/>
                <w:lang w:val="en-US" w:eastAsia="zh-CN" w:bidi="ar"/>
              </w:rPr>
              <w:t>3</w:t>
            </w:r>
            <w:r>
              <w:rPr>
                <w:rFonts w:hint="default" w:ascii="Times New Roman" w:hAnsi="Times New Roman" w:eastAsia="宋体" w:cs="Times New Roman"/>
                <w:i w:val="0"/>
                <w:iCs w:val="0"/>
                <w:color w:val="auto"/>
                <w:kern w:val="0"/>
                <w:sz w:val="24"/>
                <w:szCs w:val="22"/>
                <w:highlight w:val="none"/>
                <w:u w:val="none"/>
                <w:lang w:val="en-US" w:eastAsia="zh-CN" w:bidi="ar"/>
              </w:rPr>
              <w:t>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未提供方案或不满足招标文件要求或内容存在3处及以上瑕疵：0分；</w:t>
            </w:r>
            <w:r>
              <w:rPr>
                <w:rFonts w:hint="default" w:ascii="Times New Roman" w:hAnsi="Times New Roman" w:eastAsia="宋体" w:cs="Times New Roman"/>
                <w:i w:val="0"/>
                <w:iCs w:val="0"/>
                <w:color w:val="auto"/>
                <w:kern w:val="0"/>
                <w:sz w:val="24"/>
                <w:szCs w:val="22"/>
                <w:highlight w:val="none"/>
                <w:u w:val="none"/>
                <w:lang w:val="en-US" w:eastAsia="zh-CN" w:bidi="ar"/>
              </w:rPr>
              <w:br w:type="textWrapping"/>
            </w:r>
            <w:r>
              <w:rPr>
                <w:rFonts w:hint="default" w:ascii="Times New Roman" w:hAnsi="Times New Roman" w:eastAsia="宋体" w:cs="Times New Roman"/>
                <w:i w:val="0"/>
                <w:iCs w:val="0"/>
                <w:color w:val="auto"/>
                <w:kern w:val="0"/>
                <w:sz w:val="24"/>
                <w:szCs w:val="22"/>
                <w:highlight w:val="none"/>
                <w:u w:val="none"/>
                <w:lang w:val="en-US"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21AC9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cs="Times New Roman"/>
                <w:color w:val="auto"/>
                <w:kern w:val="0"/>
                <w:sz w:val="24"/>
                <w:szCs w:val="24"/>
                <w:highlight w:val="none"/>
                <w:lang w:val="en-US" w:eastAsia="zh-CN"/>
              </w:rPr>
              <w:t>9</w:t>
            </w:r>
          </w:p>
        </w:tc>
      </w:tr>
      <w:tr w14:paraId="1EBE8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14B1F0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合计</w:t>
            </w:r>
          </w:p>
        </w:tc>
        <w:tc>
          <w:tcPr>
            <w:tcW w:w="1140" w:type="dxa"/>
            <w:shd w:val="clear" w:color="auto" w:fill="auto"/>
            <w:vAlign w:val="center"/>
          </w:tcPr>
          <w:p w14:paraId="277F8F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100</w:t>
            </w:r>
          </w:p>
        </w:tc>
      </w:tr>
    </w:tbl>
    <w:p w14:paraId="3577E520">
      <w:pPr>
        <w:autoSpaceDE w:val="0"/>
        <w:autoSpaceDN w:val="0"/>
        <w:adjustRightInd w:val="0"/>
        <w:spacing w:line="360" w:lineRule="auto"/>
        <w:ind w:firstLine="482" w:firstLineChars="200"/>
        <w:rPr>
          <w:rFonts w:hint="eastAsia"/>
          <w:b/>
          <w:bCs w:val="0"/>
          <w:color w:val="auto"/>
          <w:sz w:val="24"/>
          <w:highlight w:val="none"/>
          <w:lang w:val="en-US" w:eastAsia="zh-CN"/>
        </w:rPr>
      </w:pPr>
      <w:r>
        <w:rPr>
          <w:rFonts w:hint="eastAsia"/>
          <w:b/>
          <w:bCs w:val="0"/>
          <w:color w:val="auto"/>
          <w:sz w:val="24"/>
          <w:highlight w:val="none"/>
          <w:lang w:val="en-US" w:eastAsia="zh-CN"/>
        </w:rPr>
        <w:t>第八包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3D661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012040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第一部分 价格（</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0分）</w:t>
            </w:r>
          </w:p>
        </w:tc>
        <w:tc>
          <w:tcPr>
            <w:tcW w:w="1140" w:type="dxa"/>
            <w:shd w:val="clear" w:color="auto" w:fill="auto"/>
            <w:vAlign w:val="center"/>
          </w:tcPr>
          <w:p w14:paraId="0CB840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7C59A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CAC55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191889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价格</w:t>
            </w:r>
          </w:p>
        </w:tc>
        <w:tc>
          <w:tcPr>
            <w:tcW w:w="7314" w:type="dxa"/>
            <w:gridSpan w:val="2"/>
            <w:shd w:val="clear" w:color="auto" w:fill="auto"/>
            <w:vAlign w:val="center"/>
          </w:tcPr>
          <w:p w14:paraId="4212F3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（1）报价超过采购预算的，响应无效，未超过采购预算的报价按以下公式进行计算。</w:t>
            </w:r>
          </w:p>
          <w:p w14:paraId="2C72EBA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（2）价格得分=（评标基准价/报价）×</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p w14:paraId="76AAAC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注：满足磋商文件要求且报价最低的报价为评标基准价。</w:t>
            </w:r>
          </w:p>
        </w:tc>
        <w:tc>
          <w:tcPr>
            <w:tcW w:w="1140" w:type="dxa"/>
            <w:shd w:val="clear" w:color="auto" w:fill="auto"/>
            <w:vAlign w:val="center"/>
          </w:tcPr>
          <w:p w14:paraId="62E4D7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tc>
      </w:tr>
      <w:tr w14:paraId="05DFA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4B122A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第二部分 客观分（</w:t>
            </w:r>
            <w:r>
              <w:rPr>
                <w:rFonts w:hint="eastAsia" w:ascii="Times New Roman" w:hAnsi="Times New Roman" w:eastAsia="宋体" w:cs="Times New Roman"/>
                <w:color w:val="auto"/>
                <w:kern w:val="0"/>
                <w:sz w:val="24"/>
                <w:szCs w:val="24"/>
                <w:highlight w:val="none"/>
                <w:lang w:val="en-US" w:eastAsia="zh-CN"/>
              </w:rPr>
              <w:t>30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492A74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434DD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663" w:type="dxa"/>
            <w:shd w:val="clear" w:color="auto" w:fill="auto"/>
            <w:noWrap/>
            <w:vAlign w:val="center"/>
          </w:tcPr>
          <w:p w14:paraId="2BF5C0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46A1B4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投标人业绩</w:t>
            </w:r>
          </w:p>
        </w:tc>
        <w:tc>
          <w:tcPr>
            <w:tcW w:w="7314" w:type="dxa"/>
            <w:gridSpan w:val="2"/>
            <w:shd w:val="clear" w:color="auto" w:fill="auto"/>
            <w:vAlign w:val="center"/>
          </w:tcPr>
          <w:p w14:paraId="1BF3E6C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完全按照以下要求提供投标人曾实施的</w:t>
            </w:r>
            <w:r>
              <w:rPr>
                <w:rFonts w:hint="eastAsia" w:cs="Times New Roman"/>
                <w:color w:val="auto"/>
                <w:kern w:val="0"/>
                <w:sz w:val="24"/>
                <w:szCs w:val="24"/>
                <w:highlight w:val="none"/>
                <w:lang w:val="en-US" w:eastAsia="zh-CN"/>
              </w:rPr>
              <w:t>软件运行维护业绩</w:t>
            </w:r>
            <w:r>
              <w:rPr>
                <w:rFonts w:hint="default" w:ascii="Times New Roman" w:hAnsi="Times New Roman" w:eastAsia="宋体" w:cs="Times New Roman"/>
                <w:color w:val="auto"/>
                <w:kern w:val="0"/>
                <w:sz w:val="24"/>
                <w:szCs w:val="24"/>
                <w:highlight w:val="none"/>
              </w:rPr>
              <w:t>，提供的证明材料均不得遮挡涂黑，否则不予认定加分。</w:t>
            </w:r>
          </w:p>
          <w:p w14:paraId="25FF549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A. 合同原件扫描件。包括买卖双方名称及盖章、服务内容</w:t>
            </w:r>
            <w:r>
              <w:rPr>
                <w:rFonts w:hint="default" w:ascii="Times New Roman" w:hAnsi="Times New Roman" w:eastAsia="宋体" w:cs="Times New Roman"/>
                <w:bCs/>
                <w:color w:val="auto"/>
                <w:sz w:val="24"/>
                <w:szCs w:val="24"/>
                <w:highlight w:val="none"/>
              </w:rPr>
              <w:t>、合同签订日期（应为202</w:t>
            </w:r>
            <w:r>
              <w:rPr>
                <w:rFonts w:hint="eastAsia" w:cs="Times New Roman"/>
                <w:bCs/>
                <w:color w:val="auto"/>
                <w:sz w:val="24"/>
                <w:szCs w:val="24"/>
                <w:highlight w:val="none"/>
                <w:lang w:val="en-US" w:eastAsia="zh-CN"/>
              </w:rPr>
              <w:t>2</w:t>
            </w:r>
            <w:r>
              <w:rPr>
                <w:rFonts w:hint="default" w:ascii="Times New Roman" w:hAnsi="Times New Roman" w:eastAsia="宋体" w:cs="Times New Roman"/>
                <w:bCs/>
                <w:color w:val="auto"/>
                <w:sz w:val="24"/>
                <w:szCs w:val="24"/>
                <w:highlight w:val="none"/>
              </w:rPr>
              <w:t>年1月1日或以后）</w:t>
            </w:r>
            <w:r>
              <w:rPr>
                <w:rFonts w:hint="default" w:ascii="Times New Roman" w:hAnsi="Times New Roman" w:eastAsia="宋体" w:cs="Times New Roman"/>
                <w:color w:val="auto"/>
                <w:kern w:val="0"/>
                <w:sz w:val="24"/>
                <w:szCs w:val="24"/>
                <w:highlight w:val="none"/>
              </w:rPr>
              <w:t>。</w:t>
            </w:r>
          </w:p>
          <w:p w14:paraId="07D1585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B. 上述合同履行良好的相关证明材料原件扫描件（</w:t>
            </w:r>
            <w:r>
              <w:rPr>
                <w:rFonts w:hint="default" w:ascii="Times New Roman" w:hAnsi="Times New Roman" w:eastAsia="宋体" w:cs="Times New Roman"/>
                <w:color w:val="auto"/>
                <w:sz w:val="24"/>
                <w:szCs w:val="24"/>
                <w:highlight w:val="none"/>
              </w:rPr>
              <w:t>加盖上述合同甲方单位公章或上述合同中所盖的甲方印章</w:t>
            </w:r>
            <w:r>
              <w:rPr>
                <w:rFonts w:hint="default" w:ascii="Times New Roman" w:hAnsi="Times New Roman" w:eastAsia="宋体" w:cs="Times New Roman"/>
                <w:color w:val="auto"/>
                <w:kern w:val="0"/>
                <w:sz w:val="24"/>
                <w:szCs w:val="24"/>
                <w:highlight w:val="none"/>
              </w:rPr>
              <w:t>）。</w:t>
            </w:r>
          </w:p>
          <w:p w14:paraId="3FB8F2E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每个业绩2分，最多</w:t>
            </w:r>
            <w:r>
              <w:rPr>
                <w:rFonts w:hint="eastAsia"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1A986A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6</w:t>
            </w:r>
          </w:p>
        </w:tc>
      </w:tr>
      <w:tr w14:paraId="2E6AB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5DDFFA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cs="Times New Roman"/>
                <w:color w:val="auto"/>
                <w:kern w:val="0"/>
                <w:sz w:val="24"/>
                <w:szCs w:val="24"/>
                <w:highlight w:val="none"/>
              </w:rPr>
              <w:t>2</w:t>
            </w:r>
          </w:p>
        </w:tc>
        <w:tc>
          <w:tcPr>
            <w:tcW w:w="1425" w:type="dxa"/>
            <w:gridSpan w:val="2"/>
            <w:shd w:val="clear" w:color="auto" w:fill="auto"/>
            <w:vAlign w:val="center"/>
          </w:tcPr>
          <w:p w14:paraId="467BE5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cs="Times New Roman"/>
                <w:color w:val="auto"/>
                <w:kern w:val="0"/>
                <w:sz w:val="24"/>
                <w:szCs w:val="24"/>
                <w:highlight w:val="none"/>
              </w:rPr>
              <w:t>投标人相关证书评价</w:t>
            </w:r>
          </w:p>
        </w:tc>
        <w:tc>
          <w:tcPr>
            <w:tcW w:w="7308" w:type="dxa"/>
            <w:shd w:val="clear" w:color="auto" w:fill="auto"/>
            <w:vAlign w:val="center"/>
          </w:tcPr>
          <w:p w14:paraId="4AB6BD3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w:t>
            </w:r>
            <w:r>
              <w:rPr>
                <w:rFonts w:hint="eastAsia" w:cs="Times New Roman"/>
                <w:color w:val="auto"/>
                <w:kern w:val="0"/>
                <w:sz w:val="24"/>
                <w:szCs w:val="24"/>
                <w:highlight w:val="none"/>
                <w:lang w:val="en-US" w:eastAsia="zh-CN"/>
              </w:rPr>
              <w:t>具备</w:t>
            </w:r>
            <w:r>
              <w:rPr>
                <w:color w:val="auto"/>
                <w:spacing w:val="6"/>
                <w:sz w:val="24"/>
                <w:szCs w:val="24"/>
                <w:highlight w:val="none"/>
              </w:rPr>
              <w:t>质量管理体系认证</w:t>
            </w:r>
            <w:r>
              <w:rPr>
                <w:rFonts w:hint="eastAsia"/>
                <w:color w:val="auto"/>
                <w:spacing w:val="6"/>
                <w:sz w:val="24"/>
                <w:szCs w:val="24"/>
                <w:highlight w:val="none"/>
                <w:lang w:eastAsia="zh-CN"/>
              </w:rPr>
              <w:t>、</w:t>
            </w:r>
            <w:r>
              <w:rPr>
                <w:rFonts w:hint="eastAsia"/>
                <w:color w:val="auto"/>
                <w:sz w:val="24"/>
                <w:szCs w:val="24"/>
                <w:highlight w:val="none"/>
              </w:rPr>
              <w:t>信息技术服务管理体系</w:t>
            </w:r>
            <w:r>
              <w:rPr>
                <w:rFonts w:hint="eastAsia"/>
                <w:color w:val="auto"/>
                <w:sz w:val="24"/>
                <w:szCs w:val="24"/>
                <w:highlight w:val="none"/>
                <w:lang w:val="en-US" w:eastAsia="zh-CN"/>
              </w:rPr>
              <w:t>认证</w:t>
            </w:r>
            <w:r>
              <w:rPr>
                <w:rFonts w:hint="default" w:ascii="Times New Roman" w:hAnsi="Times New Roman" w:eastAsia="宋体" w:cs="Times New Roman"/>
                <w:color w:val="auto"/>
                <w:kern w:val="0"/>
                <w:sz w:val="24"/>
                <w:szCs w:val="24"/>
                <w:highlight w:val="none"/>
                <w:lang w:val="en-US" w:eastAsia="zh-CN"/>
              </w:rPr>
              <w:t>，提供证书扫描件，每个合格的证书扫描件得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lang w:val="en-US" w:eastAsia="zh-CN"/>
              </w:rPr>
              <w:t>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lang w:val="en-US" w:eastAsia="zh-CN"/>
              </w:rPr>
              <w:t>分；</w:t>
            </w:r>
          </w:p>
        </w:tc>
        <w:tc>
          <w:tcPr>
            <w:tcW w:w="1140" w:type="dxa"/>
            <w:shd w:val="clear" w:color="auto" w:fill="auto"/>
            <w:vAlign w:val="center"/>
          </w:tcPr>
          <w:p w14:paraId="171457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p>
        </w:tc>
      </w:tr>
      <w:tr w14:paraId="1774D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663" w:type="dxa"/>
            <w:shd w:val="clear" w:color="auto" w:fill="auto"/>
            <w:noWrap/>
            <w:vAlign w:val="center"/>
          </w:tcPr>
          <w:p w14:paraId="28A8FA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3</w:t>
            </w:r>
          </w:p>
        </w:tc>
        <w:tc>
          <w:tcPr>
            <w:tcW w:w="1425" w:type="dxa"/>
            <w:gridSpan w:val="2"/>
            <w:shd w:val="clear" w:color="auto" w:fill="auto"/>
            <w:vAlign w:val="center"/>
          </w:tcPr>
          <w:p w14:paraId="2002FA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投入人员评价</w:t>
            </w:r>
          </w:p>
        </w:tc>
        <w:tc>
          <w:tcPr>
            <w:tcW w:w="7308" w:type="dxa"/>
            <w:shd w:val="clear" w:color="auto" w:fill="auto"/>
            <w:vAlign w:val="center"/>
          </w:tcPr>
          <w:p w14:paraId="0CB10A8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投入的人员为投标单位正式员工，提供姓名、递交响应文件</w:t>
            </w:r>
            <w:r>
              <w:rPr>
                <w:rFonts w:hint="default" w:ascii="Times New Roman" w:hAnsi="Times New Roman" w:eastAsia="宋体" w:cs="Times New Roman"/>
                <w:color w:val="auto"/>
                <w:sz w:val="24"/>
                <w:szCs w:val="24"/>
                <w:highlight w:val="none"/>
              </w:rPr>
              <w:t>截止</w:t>
            </w:r>
            <w:r>
              <w:rPr>
                <w:rFonts w:hint="default" w:ascii="Times New Roman" w:hAnsi="Times New Roman" w:eastAsia="宋体" w:cs="Times New Roman"/>
                <w:color w:val="auto"/>
                <w:kern w:val="0"/>
                <w:sz w:val="24"/>
                <w:szCs w:val="24"/>
                <w:highlight w:val="none"/>
              </w:rPr>
              <w:t>日前三个月中任意一个月的由投标单位为投入人员缴纳社会保险证明扫描件，否则不予认定加分。</w:t>
            </w:r>
          </w:p>
          <w:p w14:paraId="5215823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r>
              <w:rPr>
                <w:rFonts w:hint="default" w:ascii="Times New Roman" w:hAnsi="Times New Roman" w:eastAsia="宋体" w:cs="Times New Roman"/>
                <w:color w:val="auto"/>
                <w:sz w:val="24"/>
                <w:szCs w:val="24"/>
                <w:highlight w:val="none"/>
              </w:rPr>
              <w:t>项目经理ITSS IT项目经理证书</w:t>
            </w:r>
            <w:r>
              <w:rPr>
                <w:rFonts w:hint="default" w:ascii="Times New Roman" w:hAnsi="Times New Roman" w:eastAsia="宋体" w:cs="Times New Roman"/>
                <w:color w:val="auto"/>
                <w:kern w:val="0"/>
                <w:sz w:val="24"/>
                <w:szCs w:val="24"/>
                <w:highlight w:val="none"/>
              </w:rPr>
              <w:t>，提供以上证书扫描件，</w:t>
            </w:r>
            <w:r>
              <w:rPr>
                <w:rFonts w:hint="eastAsia" w:cs="Times New Roman"/>
                <w:color w:val="auto"/>
                <w:kern w:val="0"/>
                <w:sz w:val="24"/>
                <w:szCs w:val="24"/>
                <w:highlight w:val="none"/>
                <w:lang w:val="en-US" w:eastAsia="zh-CN"/>
              </w:rPr>
              <w:t>每个合格的证书</w:t>
            </w:r>
            <w:r>
              <w:rPr>
                <w:rFonts w:hint="default" w:ascii="Times New Roman" w:hAnsi="Times New Roman" w:eastAsia="宋体" w:cs="Times New Roman"/>
                <w:color w:val="auto"/>
                <w:kern w:val="0"/>
                <w:sz w:val="24"/>
                <w:szCs w:val="24"/>
                <w:highlight w:val="none"/>
              </w:rPr>
              <w:t>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104E19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default" w:ascii="Times New Roman" w:hAnsi="Times New Roman"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w:t>
            </w:r>
            <w:r>
              <w:rPr>
                <w:rFonts w:hint="default" w:ascii="Times New Roman" w:hAnsi="Times New Roman" w:eastAsia="宋体" w:cs="Times New Roman"/>
                <w:color w:val="auto"/>
                <w:sz w:val="24"/>
                <w:szCs w:val="24"/>
                <w:highlight w:val="none"/>
              </w:rPr>
              <w:t>开发工程师</w:t>
            </w:r>
            <w:r>
              <w:rPr>
                <w:rFonts w:hint="default" w:ascii="Times New Roman" w:hAnsi="Times New Roman" w:eastAsia="宋体" w:cs="Times New Roman"/>
                <w:b w:val="0"/>
                <w:bCs w:val="0"/>
                <w:color w:val="auto"/>
                <w:sz w:val="24"/>
                <w:szCs w:val="24"/>
                <w:highlight w:val="none"/>
              </w:rPr>
              <w:t>具备</w:t>
            </w:r>
            <w:r>
              <w:rPr>
                <w:rFonts w:hint="eastAsia" w:cs="Times New Roman"/>
                <w:color w:val="auto"/>
                <w:sz w:val="24"/>
                <w:szCs w:val="24"/>
                <w:highlight w:val="none"/>
                <w:lang w:val="en-US" w:eastAsia="zh-CN"/>
              </w:rPr>
              <w:t>工程技术系列中级或以上职称证书（计算机相关专业）</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color w:val="auto"/>
                <w:kern w:val="0"/>
                <w:sz w:val="24"/>
                <w:szCs w:val="24"/>
                <w:highlight w:val="none"/>
              </w:rPr>
              <w:t>提供证书扫描件，</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合格的证书扫描件</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574364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w:t>
            </w:r>
            <w:r>
              <w:rPr>
                <w:rFonts w:hint="default" w:ascii="Times New Roman" w:hAnsi="Times New Roman" w:eastAsia="宋体" w:cs="Times New Roman"/>
                <w:color w:val="auto"/>
                <w:sz w:val="24"/>
                <w:szCs w:val="24"/>
                <w:highlight w:val="none"/>
              </w:rPr>
              <w:t>运维人员</w:t>
            </w:r>
            <w:r>
              <w:rPr>
                <w:rFonts w:hint="default" w:ascii="Times New Roman" w:hAnsi="Times New Roman" w:eastAsia="宋体" w:cs="Times New Roman"/>
                <w:b w:val="0"/>
                <w:bCs w:val="0"/>
                <w:color w:val="auto"/>
                <w:sz w:val="24"/>
                <w:szCs w:val="24"/>
                <w:highlight w:val="none"/>
              </w:rPr>
              <w:t>具备</w:t>
            </w:r>
            <w:r>
              <w:rPr>
                <w:rFonts w:hint="default" w:ascii="Times New Roman" w:hAnsi="Times New Roman" w:eastAsia="宋体" w:cs="Times New Roman"/>
                <w:color w:val="auto"/>
                <w:sz w:val="24"/>
                <w:szCs w:val="24"/>
                <w:highlight w:val="none"/>
              </w:rPr>
              <w:t>大学本科或以上学历</w:t>
            </w:r>
            <w:r>
              <w:rPr>
                <w:rFonts w:hint="eastAsia" w:cs="Times New Roman"/>
                <w:color w:val="auto"/>
                <w:sz w:val="24"/>
                <w:szCs w:val="24"/>
                <w:highlight w:val="none"/>
                <w:lang w:val="en-US" w:eastAsia="zh-CN"/>
              </w:rPr>
              <w:t>及</w:t>
            </w:r>
            <w:r>
              <w:rPr>
                <w:rFonts w:hint="default" w:ascii="Times New Roman" w:hAnsi="Times New Roman" w:eastAsia="宋体" w:cs="Times New Roman"/>
                <w:color w:val="auto"/>
                <w:sz w:val="24"/>
                <w:szCs w:val="24"/>
                <w:highlight w:val="none"/>
              </w:rPr>
              <w:t>3年</w:t>
            </w:r>
            <w:r>
              <w:rPr>
                <w:rFonts w:hint="eastAsia" w:cs="Times New Roman"/>
                <w:color w:val="auto"/>
                <w:sz w:val="24"/>
                <w:szCs w:val="24"/>
                <w:highlight w:val="none"/>
                <w:lang w:val="en-US" w:eastAsia="zh-CN"/>
              </w:rPr>
              <w:t>或以上软件</w:t>
            </w:r>
            <w:r>
              <w:rPr>
                <w:rFonts w:hint="default" w:ascii="Times New Roman" w:hAnsi="Times New Roman" w:eastAsia="宋体" w:cs="Times New Roman"/>
                <w:color w:val="auto"/>
                <w:sz w:val="24"/>
                <w:szCs w:val="24"/>
                <w:highlight w:val="none"/>
              </w:rPr>
              <w:t>系统运维工作经验</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color w:val="auto"/>
                <w:kern w:val="0"/>
                <w:sz w:val="24"/>
                <w:szCs w:val="24"/>
                <w:highlight w:val="none"/>
              </w:rPr>
              <w:t>提供</w:t>
            </w:r>
            <w:r>
              <w:rPr>
                <w:rFonts w:hint="eastAsia" w:cs="Times New Roman"/>
                <w:color w:val="auto"/>
                <w:kern w:val="0"/>
                <w:sz w:val="24"/>
                <w:szCs w:val="24"/>
                <w:highlight w:val="none"/>
                <w:lang w:val="en-US" w:eastAsia="zh-CN"/>
              </w:rPr>
              <w:t>毕业</w:t>
            </w:r>
            <w:r>
              <w:rPr>
                <w:rFonts w:hint="default" w:ascii="Times New Roman" w:hAnsi="Times New Roman" w:eastAsia="宋体" w:cs="Times New Roman"/>
                <w:color w:val="auto"/>
                <w:kern w:val="0"/>
                <w:sz w:val="24"/>
                <w:szCs w:val="24"/>
                <w:highlight w:val="none"/>
              </w:rPr>
              <w:t>证书</w:t>
            </w:r>
            <w:r>
              <w:rPr>
                <w:rFonts w:hint="eastAsia" w:cs="Times New Roman"/>
                <w:color w:val="auto"/>
                <w:kern w:val="0"/>
                <w:sz w:val="24"/>
                <w:szCs w:val="24"/>
                <w:highlight w:val="none"/>
                <w:lang w:val="en-US" w:eastAsia="zh-CN"/>
              </w:rPr>
              <w:t>扫描件及人员简历</w:t>
            </w: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每个</w:t>
            </w:r>
            <w:r>
              <w:rPr>
                <w:rFonts w:hint="default" w:ascii="Times New Roman" w:hAnsi="Times New Roman" w:eastAsia="宋体" w:cs="Times New Roman"/>
                <w:color w:val="auto"/>
                <w:kern w:val="0"/>
                <w:sz w:val="24"/>
                <w:szCs w:val="24"/>
                <w:highlight w:val="none"/>
              </w:rPr>
              <w:t>合格的</w:t>
            </w:r>
            <w:r>
              <w:rPr>
                <w:rFonts w:hint="eastAsia" w:cs="Times New Roman"/>
                <w:color w:val="auto"/>
                <w:kern w:val="0"/>
                <w:sz w:val="24"/>
                <w:szCs w:val="24"/>
                <w:highlight w:val="none"/>
                <w:lang w:val="en-US" w:eastAsia="zh-CN"/>
              </w:rPr>
              <w:t>人员</w:t>
            </w:r>
            <w:r>
              <w:rPr>
                <w:rFonts w:hint="default" w:ascii="Times New Roman" w:hAnsi="Times New Roman" w:eastAsia="宋体" w:cs="Times New Roman"/>
                <w:color w:val="auto"/>
                <w:kern w:val="0"/>
                <w:sz w:val="24"/>
                <w:szCs w:val="24"/>
                <w:highlight w:val="none"/>
                <w:lang w:val="en-US" w:eastAsia="zh-CN"/>
              </w:rPr>
              <w:t>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59CABD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8</w:t>
            </w:r>
          </w:p>
        </w:tc>
      </w:tr>
      <w:tr w14:paraId="69ECC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5847A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4</w:t>
            </w:r>
          </w:p>
        </w:tc>
        <w:tc>
          <w:tcPr>
            <w:tcW w:w="1425" w:type="dxa"/>
            <w:gridSpan w:val="2"/>
            <w:shd w:val="clear" w:color="auto" w:fill="auto"/>
            <w:vAlign w:val="center"/>
          </w:tcPr>
          <w:p w14:paraId="67259F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投标人承诺评价</w:t>
            </w:r>
          </w:p>
        </w:tc>
        <w:tc>
          <w:tcPr>
            <w:tcW w:w="7308" w:type="dxa"/>
            <w:shd w:val="clear" w:color="auto" w:fill="auto"/>
            <w:vAlign w:val="center"/>
          </w:tcPr>
          <w:p w14:paraId="1A85130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承诺完全满足磋商文件“报价要求”、“时间地点要求”、“付款方式要求”和技术要求中非“★”号要求的：</w:t>
            </w:r>
            <w:r>
              <w:rPr>
                <w:rFonts w:hint="eastAsia" w:cs="Times New Roman"/>
                <w:color w:val="auto"/>
                <w:kern w:val="0"/>
                <w:sz w:val="24"/>
                <w:szCs w:val="24"/>
                <w:highlight w:val="none"/>
                <w:lang w:val="en-US" w:eastAsia="zh-CN"/>
              </w:rPr>
              <w:t>12</w:t>
            </w:r>
            <w:r>
              <w:rPr>
                <w:rFonts w:hint="default" w:ascii="Times New Roman" w:hAnsi="Times New Roman" w:eastAsia="宋体" w:cs="Times New Roman"/>
                <w:color w:val="auto"/>
                <w:kern w:val="0"/>
                <w:sz w:val="24"/>
                <w:szCs w:val="24"/>
                <w:highlight w:val="none"/>
              </w:rPr>
              <w:t>分，其他0分。</w:t>
            </w:r>
          </w:p>
        </w:tc>
        <w:tc>
          <w:tcPr>
            <w:tcW w:w="1140" w:type="dxa"/>
            <w:shd w:val="clear" w:color="auto" w:fill="auto"/>
            <w:vAlign w:val="center"/>
          </w:tcPr>
          <w:p w14:paraId="6484B8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5E49D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53445A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第三部分 主观分（</w:t>
            </w:r>
            <w:r>
              <w:rPr>
                <w:rFonts w:hint="eastAsia" w:ascii="Times New Roman" w:hAnsi="Times New Roman" w:eastAsia="宋体" w:cs="Times New Roman"/>
                <w:color w:val="auto"/>
                <w:kern w:val="0"/>
                <w:sz w:val="24"/>
                <w:szCs w:val="24"/>
                <w:highlight w:val="none"/>
                <w:lang w:val="en-US" w:eastAsia="zh-CN"/>
              </w:rPr>
              <w:t>60</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7F09BF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00C02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DA51C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3A4DB3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项目需求理解分析评价</w:t>
            </w:r>
          </w:p>
        </w:tc>
        <w:tc>
          <w:tcPr>
            <w:tcW w:w="7314" w:type="dxa"/>
            <w:gridSpan w:val="2"/>
            <w:shd w:val="clear" w:color="auto" w:fill="auto"/>
            <w:vAlign w:val="center"/>
          </w:tcPr>
          <w:p w14:paraId="1493908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rPr>
              <w:t>至少包含系统现状、任务目标、</w:t>
            </w:r>
            <w:r>
              <w:rPr>
                <w:rFonts w:hint="default" w:ascii="Times New Roman" w:hAnsi="Times New Roman" w:eastAsia="宋体" w:cs="Times New Roman"/>
                <w:color w:val="auto"/>
                <w:sz w:val="24"/>
                <w:szCs w:val="24"/>
                <w:highlight w:val="none"/>
                <w:lang w:val="zh-CN"/>
              </w:rPr>
              <w:t>实施要求等方面内容</w:t>
            </w:r>
          </w:p>
          <w:p w14:paraId="65BEF9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满足招标文件要求，无瑕疵：</w:t>
            </w:r>
            <w:r>
              <w:rPr>
                <w:rFonts w:hint="default" w:ascii="Times New Roman" w:hAnsi="Times New Roman" w:eastAsia="宋体" w:cs="Times New Roman"/>
                <w:color w:val="auto"/>
                <w:kern w:val="0"/>
                <w:sz w:val="24"/>
                <w:szCs w:val="24"/>
                <w:highlight w:val="none"/>
                <w:lang w:val="en-US" w:eastAsia="zh-CN"/>
              </w:rPr>
              <w:t>9</w:t>
            </w:r>
            <w:r>
              <w:rPr>
                <w:rFonts w:hint="default" w:ascii="Times New Roman" w:hAnsi="Times New Roman" w:eastAsia="宋体" w:cs="Times New Roman"/>
                <w:color w:val="auto"/>
                <w:kern w:val="0"/>
                <w:sz w:val="24"/>
                <w:szCs w:val="24"/>
                <w:highlight w:val="none"/>
              </w:rPr>
              <w:t>分；</w:t>
            </w:r>
          </w:p>
          <w:p w14:paraId="4F23FEC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w:t>
            </w:r>
            <w:r>
              <w:rPr>
                <w:rFonts w:hint="default" w:ascii="Times New Roman" w:hAnsi="Times New Roman" w:eastAsia="宋体"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p w14:paraId="3C5BA6A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分；</w:t>
            </w:r>
          </w:p>
          <w:p w14:paraId="1CB8D09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未提供方案或不满足招标文件要求或内容存在</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处及以上瑕疵：0分</w:t>
            </w:r>
          </w:p>
          <w:p w14:paraId="5AF96D0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2"/>
                <w:highlight w:val="none"/>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8A5F8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rPr>
            </w:pPr>
            <w:r>
              <w:rPr>
                <w:rFonts w:hint="default" w:ascii="Times New Roman" w:hAnsi="Times New Roman" w:eastAsia="宋体" w:cs="Times New Roman"/>
                <w:color w:val="auto"/>
                <w:kern w:val="0"/>
                <w:sz w:val="24"/>
                <w:szCs w:val="24"/>
                <w:highlight w:val="none"/>
                <w:lang w:val="en-US" w:eastAsia="zh-CN"/>
              </w:rPr>
              <w:t>9</w:t>
            </w:r>
          </w:p>
        </w:tc>
      </w:tr>
      <w:tr w14:paraId="4C7FF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93EFF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p>
        </w:tc>
        <w:tc>
          <w:tcPr>
            <w:tcW w:w="1419" w:type="dxa"/>
            <w:shd w:val="clear" w:color="auto" w:fill="auto"/>
            <w:vAlign w:val="center"/>
          </w:tcPr>
          <w:p w14:paraId="123C05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项目服务人员评价</w:t>
            </w:r>
          </w:p>
        </w:tc>
        <w:tc>
          <w:tcPr>
            <w:tcW w:w="7314" w:type="dxa"/>
            <w:gridSpan w:val="2"/>
            <w:shd w:val="clear" w:color="auto" w:fill="auto"/>
            <w:vAlign w:val="center"/>
          </w:tcPr>
          <w:p w14:paraId="32F4B99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至少包含人员分工、岗位职责、人员工作经验及技术实力、人员稳定性保障措施等方面内容</w:t>
            </w:r>
          </w:p>
          <w:p w14:paraId="49E36C0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满足招标文件要求，无瑕疵：</w:t>
            </w:r>
            <w:r>
              <w:rPr>
                <w:rFonts w:hint="default" w:ascii="Times New Roman" w:hAnsi="Times New Roman" w:eastAsia="宋体" w:cs="Times New Roman"/>
                <w:color w:val="auto"/>
                <w:kern w:val="0"/>
                <w:sz w:val="24"/>
                <w:szCs w:val="24"/>
                <w:highlight w:val="none"/>
                <w:lang w:val="en-US" w:eastAsia="zh-CN"/>
              </w:rPr>
              <w:t>9</w:t>
            </w:r>
            <w:r>
              <w:rPr>
                <w:rFonts w:hint="default" w:ascii="Times New Roman" w:hAnsi="Times New Roman" w:eastAsia="宋体" w:cs="Times New Roman"/>
                <w:color w:val="auto"/>
                <w:kern w:val="0"/>
                <w:sz w:val="24"/>
                <w:szCs w:val="24"/>
                <w:highlight w:val="none"/>
              </w:rPr>
              <w:t>分；</w:t>
            </w:r>
          </w:p>
          <w:p w14:paraId="3DE4B8C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w:t>
            </w:r>
            <w:r>
              <w:rPr>
                <w:rFonts w:hint="default" w:ascii="Times New Roman" w:hAnsi="Times New Roman" w:eastAsia="宋体"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p w14:paraId="56A3AD2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分；</w:t>
            </w:r>
          </w:p>
          <w:p w14:paraId="124F6D5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rPr>
              <w:t>未提供方案或不满足招标文件要求或内容存在</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BFF8C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rPr>
            </w:pPr>
            <w:r>
              <w:rPr>
                <w:rFonts w:hint="default" w:ascii="Times New Roman" w:hAnsi="Times New Roman" w:eastAsia="宋体" w:cs="Times New Roman"/>
                <w:color w:val="auto"/>
                <w:kern w:val="0"/>
                <w:sz w:val="24"/>
                <w:szCs w:val="24"/>
                <w:highlight w:val="none"/>
                <w:lang w:val="en-US" w:eastAsia="zh-CN"/>
              </w:rPr>
              <w:t>9</w:t>
            </w:r>
          </w:p>
        </w:tc>
      </w:tr>
      <w:tr w14:paraId="1F040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663" w:type="dxa"/>
            <w:shd w:val="clear" w:color="auto" w:fill="auto"/>
            <w:noWrap/>
            <w:vAlign w:val="center"/>
          </w:tcPr>
          <w:p w14:paraId="132E41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c>
          <w:tcPr>
            <w:tcW w:w="1419" w:type="dxa"/>
            <w:shd w:val="clear" w:color="auto" w:fill="auto"/>
            <w:vAlign w:val="center"/>
          </w:tcPr>
          <w:p w14:paraId="7AD77E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整体运行维护方案评价</w:t>
            </w:r>
          </w:p>
        </w:tc>
        <w:tc>
          <w:tcPr>
            <w:tcW w:w="7314" w:type="dxa"/>
            <w:gridSpan w:val="2"/>
            <w:shd w:val="clear" w:color="auto" w:fill="auto"/>
            <w:vAlign w:val="center"/>
          </w:tcPr>
          <w:p w14:paraId="746C371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rPr>
              <w:t>至少包含针对</w:t>
            </w:r>
            <w:r>
              <w:rPr>
                <w:rFonts w:hint="default" w:ascii="Times New Roman" w:hAnsi="Times New Roman" w:eastAsia="宋体" w:cs="Times New Roman"/>
                <w:color w:val="auto"/>
                <w:sz w:val="24"/>
                <w:szCs w:val="24"/>
                <w:highlight w:val="none"/>
                <w:lang w:val="zh-CN"/>
              </w:rPr>
              <w:t>本项目系统的运维计划、实施方案、</w:t>
            </w:r>
            <w:r>
              <w:rPr>
                <w:rFonts w:hint="default" w:ascii="Times New Roman" w:hAnsi="Times New Roman" w:eastAsia="宋体" w:cs="Times New Roman"/>
                <w:color w:val="auto"/>
                <w:sz w:val="24"/>
                <w:szCs w:val="24"/>
                <w:highlight w:val="none"/>
                <w:lang w:val="en-US" w:eastAsia="zh-CN"/>
              </w:rPr>
              <w:t>日常巡检及监控流程、日常系统维护（含基础的系统配置优化维护、单位资源内容栏目模块调整维护、组织机构调整维护）、公文系统培训</w:t>
            </w:r>
            <w:r>
              <w:rPr>
                <w:rFonts w:hint="default" w:ascii="Times New Roman" w:hAnsi="Times New Roman" w:eastAsia="宋体" w:cs="Times New Roman"/>
                <w:color w:val="auto"/>
                <w:sz w:val="24"/>
                <w:szCs w:val="24"/>
                <w:highlight w:val="none"/>
                <w:lang w:val="zh-CN"/>
              </w:rPr>
              <w:t>等方面内容。</w:t>
            </w:r>
          </w:p>
          <w:p w14:paraId="359EE3C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满足招标文件要求，无瑕疵：1</w:t>
            </w:r>
            <w:r>
              <w:rPr>
                <w:rFonts w:hint="default" w:ascii="Times New Roman" w:hAnsi="Times New Roman" w:eastAsia="宋体"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3A90FBD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w:t>
            </w:r>
            <w:r>
              <w:rPr>
                <w:rFonts w:hint="default" w:ascii="Times New Roman" w:hAnsi="Times New Roman" w:eastAsia="宋体" w:cs="Times New Roman"/>
                <w:color w:val="auto"/>
                <w:kern w:val="0"/>
                <w:sz w:val="24"/>
                <w:szCs w:val="24"/>
                <w:highlight w:val="none"/>
                <w:lang w:val="en-US" w:eastAsia="zh-CN"/>
              </w:rPr>
              <w:t>9</w:t>
            </w:r>
            <w:r>
              <w:rPr>
                <w:rFonts w:hint="default" w:ascii="Times New Roman" w:hAnsi="Times New Roman" w:eastAsia="宋体" w:cs="Times New Roman"/>
                <w:color w:val="auto"/>
                <w:kern w:val="0"/>
                <w:sz w:val="24"/>
                <w:szCs w:val="24"/>
                <w:highlight w:val="none"/>
              </w:rPr>
              <w:t>分；</w:t>
            </w:r>
          </w:p>
          <w:p w14:paraId="7C8B8DF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w:t>
            </w:r>
            <w:r>
              <w:rPr>
                <w:rFonts w:hint="default" w:ascii="Times New Roman" w:hAnsi="Times New Roman" w:eastAsia="宋体"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p w14:paraId="27152E8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方案内容存在3处瑕疵：</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分；</w:t>
            </w:r>
          </w:p>
          <w:p w14:paraId="6FAB485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未提供方案或不满足招标文件要求或内容存在4处及以上瑕疵：0分；</w:t>
            </w:r>
          </w:p>
          <w:p w14:paraId="5428141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25874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rPr>
            </w:pPr>
            <w:r>
              <w:rPr>
                <w:rFonts w:hint="default" w:ascii="Times New Roman" w:hAnsi="Times New Roman" w:eastAsia="宋体" w:cs="Times New Roman"/>
                <w:color w:val="auto"/>
                <w:kern w:val="0"/>
                <w:sz w:val="24"/>
                <w:szCs w:val="24"/>
                <w:highlight w:val="none"/>
                <w:lang w:val="en-US" w:eastAsia="zh-CN"/>
              </w:rPr>
              <w:t>12</w:t>
            </w:r>
          </w:p>
        </w:tc>
      </w:tr>
      <w:tr w14:paraId="0DEC1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BBEC0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w:t>
            </w:r>
          </w:p>
        </w:tc>
        <w:tc>
          <w:tcPr>
            <w:tcW w:w="1419" w:type="dxa"/>
            <w:shd w:val="clear" w:color="auto" w:fill="auto"/>
            <w:vAlign w:val="center"/>
          </w:tcPr>
          <w:p w14:paraId="1B9A59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pacing w:val="-8"/>
                <w:sz w:val="24"/>
                <w:szCs w:val="24"/>
                <w:highlight w:val="none"/>
              </w:rPr>
              <w:t>应急预案</w:t>
            </w:r>
            <w:r>
              <w:rPr>
                <w:rFonts w:hint="default" w:ascii="Times New Roman" w:hAnsi="Times New Roman" w:eastAsia="宋体" w:cs="Times New Roman"/>
                <w:color w:val="auto"/>
                <w:sz w:val="24"/>
                <w:szCs w:val="24"/>
                <w:highlight w:val="none"/>
                <w:lang w:val="zh-CN"/>
              </w:rPr>
              <w:t>性检查方案</w:t>
            </w:r>
          </w:p>
        </w:tc>
        <w:tc>
          <w:tcPr>
            <w:tcW w:w="7314" w:type="dxa"/>
            <w:gridSpan w:val="2"/>
            <w:shd w:val="clear" w:color="auto" w:fill="auto"/>
            <w:vAlign w:val="center"/>
          </w:tcPr>
          <w:p w14:paraId="7DF5654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至少包含预防性检查频率、检查内容、发现问题后的解决方案等方面内容</w:t>
            </w:r>
          </w:p>
          <w:p w14:paraId="2B823D7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满足招标文件要求，无瑕疵：</w:t>
            </w:r>
            <w:r>
              <w:rPr>
                <w:rFonts w:hint="default" w:ascii="Times New Roman" w:hAnsi="Times New Roman" w:eastAsia="宋体" w:cs="Times New Roman"/>
                <w:color w:val="auto"/>
                <w:kern w:val="0"/>
                <w:sz w:val="24"/>
                <w:szCs w:val="24"/>
                <w:highlight w:val="none"/>
                <w:lang w:val="en-US" w:eastAsia="zh-CN"/>
              </w:rPr>
              <w:t>9</w:t>
            </w:r>
            <w:r>
              <w:rPr>
                <w:rFonts w:hint="default" w:ascii="Times New Roman" w:hAnsi="Times New Roman" w:eastAsia="宋体" w:cs="Times New Roman"/>
                <w:color w:val="auto"/>
                <w:kern w:val="0"/>
                <w:sz w:val="24"/>
                <w:szCs w:val="24"/>
                <w:highlight w:val="none"/>
              </w:rPr>
              <w:t>分；</w:t>
            </w:r>
          </w:p>
          <w:p w14:paraId="0001359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w:t>
            </w:r>
            <w:r>
              <w:rPr>
                <w:rFonts w:hint="default" w:ascii="Times New Roman" w:hAnsi="Times New Roman" w:eastAsia="宋体"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p w14:paraId="6AFC979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分；</w:t>
            </w:r>
          </w:p>
          <w:p w14:paraId="2E3BEDE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rPr>
              <w:t>未提供方案或不满足招标文件要求或内容存在</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8B80D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9</w:t>
            </w:r>
          </w:p>
        </w:tc>
      </w:tr>
      <w:tr w14:paraId="65FF5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262AE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5</w:t>
            </w:r>
          </w:p>
        </w:tc>
        <w:tc>
          <w:tcPr>
            <w:tcW w:w="1419" w:type="dxa"/>
            <w:shd w:val="clear" w:color="auto" w:fill="auto"/>
            <w:vAlign w:val="center"/>
          </w:tcPr>
          <w:p w14:paraId="10E06C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lang w:val="zh-CN"/>
              </w:rPr>
              <w:t>服务质量保证管理方案</w:t>
            </w:r>
          </w:p>
        </w:tc>
        <w:tc>
          <w:tcPr>
            <w:tcW w:w="7314" w:type="dxa"/>
            <w:gridSpan w:val="2"/>
            <w:shd w:val="clear" w:color="auto" w:fill="auto"/>
            <w:vAlign w:val="center"/>
          </w:tcPr>
          <w:p w14:paraId="17FB327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至少包含</w:t>
            </w:r>
            <w:r>
              <w:rPr>
                <w:rFonts w:hint="default" w:ascii="Times New Roman" w:hAnsi="Times New Roman" w:eastAsia="宋体" w:cs="Times New Roman"/>
                <w:color w:val="auto"/>
                <w:spacing w:val="-3"/>
                <w:sz w:val="24"/>
                <w:szCs w:val="24"/>
                <w:highlight w:val="none"/>
              </w:rPr>
              <w:t>为保证平台服务质量所采取的措施，制定的专门的服务质量保障方案，并说明相关措施的具体实施</w:t>
            </w:r>
            <w:r>
              <w:rPr>
                <w:rFonts w:hint="default" w:ascii="Times New Roman" w:hAnsi="Times New Roman" w:eastAsia="宋体" w:cs="Times New Roman"/>
                <w:color w:val="auto"/>
                <w:sz w:val="24"/>
                <w:szCs w:val="24"/>
                <w:highlight w:val="none"/>
                <w:lang w:val="zh-CN"/>
              </w:rPr>
              <w:t>方案</w:t>
            </w:r>
          </w:p>
          <w:p w14:paraId="162F315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满足招标文件要求，无瑕疵：1</w:t>
            </w:r>
            <w:r>
              <w:rPr>
                <w:rFonts w:hint="default" w:ascii="Times New Roman" w:hAnsi="Times New Roman" w:eastAsia="宋体"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16B034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w:t>
            </w:r>
            <w:r>
              <w:rPr>
                <w:rFonts w:hint="default" w:ascii="Times New Roman" w:hAnsi="Times New Roman" w:eastAsia="宋体" w:cs="Times New Roman"/>
                <w:color w:val="auto"/>
                <w:kern w:val="0"/>
                <w:sz w:val="24"/>
                <w:szCs w:val="24"/>
                <w:highlight w:val="none"/>
                <w:lang w:val="en-US" w:eastAsia="zh-CN"/>
              </w:rPr>
              <w:t>9</w:t>
            </w:r>
            <w:r>
              <w:rPr>
                <w:rFonts w:hint="default" w:ascii="Times New Roman" w:hAnsi="Times New Roman" w:eastAsia="宋体" w:cs="Times New Roman"/>
                <w:color w:val="auto"/>
                <w:kern w:val="0"/>
                <w:sz w:val="24"/>
                <w:szCs w:val="24"/>
                <w:highlight w:val="none"/>
              </w:rPr>
              <w:t>分；</w:t>
            </w:r>
          </w:p>
          <w:p w14:paraId="7EE1694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w:t>
            </w:r>
            <w:r>
              <w:rPr>
                <w:rFonts w:hint="default" w:ascii="Times New Roman" w:hAnsi="Times New Roman" w:eastAsia="宋体"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p w14:paraId="3FF2184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方案内容存在3处瑕疵：</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分；</w:t>
            </w:r>
          </w:p>
          <w:p w14:paraId="7474654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未提供方案或不满足招标文件要求或内容存在4处及以上瑕疵：0分；</w:t>
            </w:r>
          </w:p>
          <w:p w14:paraId="19F154E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95B14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12</w:t>
            </w:r>
          </w:p>
        </w:tc>
      </w:tr>
      <w:tr w14:paraId="35C83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0D7FED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6</w:t>
            </w:r>
          </w:p>
        </w:tc>
        <w:tc>
          <w:tcPr>
            <w:tcW w:w="1419" w:type="dxa"/>
            <w:shd w:val="clear" w:color="auto" w:fill="auto"/>
            <w:vAlign w:val="center"/>
          </w:tcPr>
          <w:p w14:paraId="2C5DAF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lang w:val="en-US" w:eastAsia="zh-CN"/>
              </w:rPr>
              <w:t>故障排查解决方案评价</w:t>
            </w:r>
          </w:p>
        </w:tc>
        <w:tc>
          <w:tcPr>
            <w:tcW w:w="7314" w:type="dxa"/>
            <w:gridSpan w:val="2"/>
            <w:shd w:val="clear" w:color="auto" w:fill="auto"/>
            <w:vAlign w:val="center"/>
          </w:tcPr>
          <w:p w14:paraId="5407BAF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至少包含</w:t>
            </w:r>
            <w:r>
              <w:rPr>
                <w:rFonts w:hint="default" w:ascii="Times New Roman" w:hAnsi="Times New Roman" w:eastAsia="宋体" w:cs="Times New Roman"/>
                <w:color w:val="auto"/>
                <w:sz w:val="24"/>
                <w:szCs w:val="24"/>
                <w:highlight w:val="none"/>
                <w:lang w:val="en-US" w:eastAsia="zh-CN"/>
              </w:rPr>
              <w:t>公文系统使用中频次高的各类故障问题</w:t>
            </w:r>
            <w:r>
              <w:rPr>
                <w:rFonts w:hint="default" w:ascii="Times New Roman" w:hAnsi="Times New Roman" w:eastAsia="宋体" w:cs="Times New Roman"/>
                <w:color w:val="auto"/>
                <w:sz w:val="24"/>
                <w:szCs w:val="24"/>
                <w:highlight w:val="none"/>
                <w:lang w:val="zh-CN"/>
              </w:rPr>
              <w:t>的</w:t>
            </w:r>
            <w:r>
              <w:rPr>
                <w:rFonts w:hint="default" w:ascii="Times New Roman" w:hAnsi="Times New Roman" w:eastAsia="宋体" w:cs="Times New Roman"/>
                <w:color w:val="auto"/>
                <w:sz w:val="24"/>
                <w:szCs w:val="24"/>
                <w:highlight w:val="none"/>
                <w:lang w:val="en-US" w:eastAsia="zh-CN"/>
              </w:rPr>
              <w:t>总结、</w:t>
            </w:r>
            <w:r>
              <w:rPr>
                <w:rFonts w:hint="default" w:ascii="Times New Roman" w:hAnsi="Times New Roman" w:eastAsia="宋体" w:cs="Times New Roman"/>
                <w:color w:val="auto"/>
                <w:sz w:val="24"/>
                <w:szCs w:val="24"/>
                <w:highlight w:val="none"/>
                <w:lang w:val="zh-CN"/>
              </w:rPr>
              <w:t>解决方案等方面内容</w:t>
            </w:r>
          </w:p>
          <w:p w14:paraId="3169616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满足招标文件要求，无瑕疵：</w:t>
            </w:r>
            <w:r>
              <w:rPr>
                <w:rFonts w:hint="default" w:ascii="Times New Roman" w:hAnsi="Times New Roman" w:eastAsia="宋体" w:cs="Times New Roman"/>
                <w:color w:val="auto"/>
                <w:kern w:val="0"/>
                <w:sz w:val="24"/>
                <w:szCs w:val="24"/>
                <w:highlight w:val="none"/>
                <w:lang w:val="en-US" w:eastAsia="zh-CN"/>
              </w:rPr>
              <w:t>9</w:t>
            </w:r>
            <w:r>
              <w:rPr>
                <w:rFonts w:hint="default" w:ascii="Times New Roman" w:hAnsi="Times New Roman" w:eastAsia="宋体" w:cs="Times New Roman"/>
                <w:color w:val="auto"/>
                <w:kern w:val="0"/>
                <w:sz w:val="24"/>
                <w:szCs w:val="24"/>
                <w:highlight w:val="none"/>
              </w:rPr>
              <w:t>分；</w:t>
            </w:r>
          </w:p>
          <w:p w14:paraId="66EDC62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w:t>
            </w:r>
            <w:r>
              <w:rPr>
                <w:rFonts w:hint="default" w:ascii="Times New Roman" w:hAnsi="Times New Roman" w:eastAsia="宋体"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p w14:paraId="263B41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分；</w:t>
            </w:r>
          </w:p>
          <w:p w14:paraId="3AE06AC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未提供方案或不满足招标文件要求或内容存在</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89CBA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9</w:t>
            </w:r>
          </w:p>
        </w:tc>
      </w:tr>
      <w:tr w14:paraId="2A515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542B88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合计</w:t>
            </w:r>
          </w:p>
        </w:tc>
        <w:tc>
          <w:tcPr>
            <w:tcW w:w="1140" w:type="dxa"/>
            <w:shd w:val="clear" w:color="auto" w:fill="auto"/>
            <w:vAlign w:val="center"/>
          </w:tcPr>
          <w:p w14:paraId="682A45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100</w:t>
            </w:r>
          </w:p>
        </w:tc>
      </w:tr>
    </w:tbl>
    <w:p w14:paraId="5047075E">
      <w:pPr>
        <w:widowControl/>
        <w:jc w:val="left"/>
        <w:rPr>
          <w:b/>
          <w:color w:val="auto"/>
          <w:sz w:val="24"/>
          <w:highlight w:val="none"/>
        </w:rPr>
      </w:pPr>
      <w:r>
        <w:rPr>
          <w:b/>
          <w:color w:val="auto"/>
          <w:sz w:val="24"/>
          <w:highlight w:val="none"/>
        </w:rPr>
        <w:br w:type="page"/>
      </w:r>
    </w:p>
    <w:p w14:paraId="0C5C6D74">
      <w:pPr>
        <w:spacing w:line="360" w:lineRule="auto"/>
        <w:jc w:val="center"/>
        <w:rPr>
          <w:b/>
          <w:color w:val="auto"/>
          <w:sz w:val="24"/>
          <w:highlight w:val="none"/>
        </w:rPr>
      </w:pPr>
      <w:r>
        <w:rPr>
          <w:b/>
          <w:color w:val="auto"/>
          <w:sz w:val="24"/>
          <w:highlight w:val="none"/>
        </w:rPr>
        <w:t>项目需求书</w:t>
      </w:r>
    </w:p>
    <w:p w14:paraId="29DE4552">
      <w:pPr>
        <w:spacing w:line="360" w:lineRule="auto"/>
        <w:ind w:firstLine="482" w:firstLineChars="200"/>
        <w:outlineLvl w:val="0"/>
        <w:rPr>
          <w:b/>
          <w:bCs/>
          <w:color w:val="auto"/>
          <w:sz w:val="24"/>
          <w:highlight w:val="none"/>
        </w:rPr>
      </w:pPr>
      <w:r>
        <w:rPr>
          <w:rFonts w:hint="eastAsia"/>
          <w:b/>
          <w:bCs/>
          <w:color w:val="auto"/>
          <w:sz w:val="24"/>
          <w:highlight w:val="none"/>
        </w:rPr>
        <w:t>一、项目背景</w:t>
      </w:r>
    </w:p>
    <w:p w14:paraId="0FB632B7">
      <w:pPr>
        <w:spacing w:line="360" w:lineRule="auto"/>
        <w:ind w:firstLine="480" w:firstLineChars="200"/>
        <w:outlineLvl w:val="0"/>
        <w:rPr>
          <w:rFonts w:hint="eastAsia"/>
          <w:color w:val="auto"/>
          <w:sz w:val="24"/>
          <w:highlight w:val="none"/>
        </w:rPr>
      </w:pPr>
      <w:r>
        <w:rPr>
          <w:rFonts w:hint="eastAsia"/>
          <w:color w:val="auto"/>
          <w:sz w:val="24"/>
          <w:highlight w:val="none"/>
        </w:rPr>
        <w:t>服务内容：天津市医疗保障信息平台（以下简称平台）严格遵照国家医疗保障信息平台建设指南要求和统一设计原则，贯彻使用全国统一的标准规范体系和中台服务，依托全国统一的技术体系和架构，结合本地实际业务经办要求建成现有的三通五系统总体应用架构，为我市医保支付、医保审核、医保监管提供有力技术支撑，通过数据赋能民生福祉，驱动医改工作不断纵深发展。平台于2021年10月上线试运行，原项目运维服务于近期到期，为确保平台安全平稳运行，现开展应用软件运维项目招标工作。</w:t>
      </w:r>
    </w:p>
    <w:p w14:paraId="132CFF59">
      <w:pPr>
        <w:spacing w:line="360" w:lineRule="auto"/>
        <w:ind w:firstLine="480" w:firstLineChars="200"/>
        <w:outlineLvl w:val="0"/>
        <w:rPr>
          <w:color w:val="auto"/>
          <w:sz w:val="24"/>
          <w:highlight w:val="none"/>
        </w:rPr>
      </w:pPr>
      <w:r>
        <w:rPr>
          <w:rFonts w:hint="eastAsia"/>
          <w:color w:val="auto"/>
          <w:sz w:val="24"/>
          <w:highlight w:val="none"/>
        </w:rPr>
        <w:t>本项目属于软件和信息技术服务业。</w:t>
      </w:r>
    </w:p>
    <w:p w14:paraId="74E4E714">
      <w:pPr>
        <w:spacing w:line="360" w:lineRule="auto"/>
        <w:ind w:firstLine="482" w:firstLineChars="200"/>
        <w:outlineLvl w:val="0"/>
        <w:rPr>
          <w:rFonts w:hint="eastAsia"/>
          <w:b/>
          <w:bCs/>
          <w:color w:val="auto"/>
          <w:sz w:val="24"/>
          <w:highlight w:val="none"/>
        </w:rPr>
      </w:pPr>
      <w:r>
        <w:rPr>
          <w:rFonts w:hint="eastAsia"/>
          <w:b/>
          <w:bCs/>
          <w:color w:val="auto"/>
          <w:sz w:val="24"/>
          <w:highlight w:val="none"/>
          <w:lang w:val="en-US" w:eastAsia="zh-CN"/>
        </w:rPr>
        <w:t>二</w:t>
      </w:r>
      <w:r>
        <w:rPr>
          <w:rFonts w:hint="eastAsia"/>
          <w:b/>
          <w:bCs/>
          <w:color w:val="auto"/>
          <w:sz w:val="24"/>
          <w:highlight w:val="none"/>
        </w:rPr>
        <w:t>、具体要求</w:t>
      </w:r>
    </w:p>
    <w:p w14:paraId="2CA343B4">
      <w:pPr>
        <w:spacing w:line="360" w:lineRule="auto"/>
        <w:ind w:firstLine="482" w:firstLineChars="200"/>
        <w:outlineLvl w:val="0"/>
        <w:rPr>
          <w:rFonts w:hint="eastAsia" w:ascii="Times New Roman" w:hAnsi="Times New Roman" w:eastAsia="宋体" w:cs="Times New Roman"/>
          <w:b/>
          <w:bCs/>
          <w:color w:val="auto"/>
          <w:sz w:val="24"/>
          <w:highlight w:val="none"/>
          <w:lang w:val="en-US" w:eastAsia="zh-CN"/>
        </w:rPr>
      </w:pPr>
      <w:bookmarkStart w:id="2" w:name="第一包需求"/>
      <w:r>
        <w:rPr>
          <w:rFonts w:hint="eastAsia" w:ascii="Times New Roman" w:hAnsi="Times New Roman" w:eastAsia="宋体" w:cs="Times New Roman"/>
          <w:b/>
          <w:bCs/>
          <w:color w:val="auto"/>
          <w:sz w:val="24"/>
          <w:highlight w:val="none"/>
          <w:lang w:val="en-US" w:eastAsia="zh-CN"/>
        </w:rPr>
        <w:t>第一包：</w:t>
      </w:r>
    </w:p>
    <w:bookmarkEnd w:id="2"/>
    <w:p w14:paraId="71EC27D0">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（一）运维软件介绍</w:t>
      </w:r>
    </w:p>
    <w:p w14:paraId="09C154D6">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本项目包括天津医疗保障信息平台多个子系统</w:t>
      </w:r>
    </w:p>
    <w:p w14:paraId="3C2982E5">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(1)内部统一门户管理：对内部基础信息进行管理，主要包括用户管理、组织机构管理、角色和权限管理。</w:t>
      </w:r>
    </w:p>
    <w:p w14:paraId="7286AA1C">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(2)内部控制子系统:对业务经办风险的核心业务或重点关注业务进行风险指标量化、在业务经办之外独立存储记录相关业务经办过程和结果，并定期对该项业务在一定时间段的风控情况进行统计分析，将梳理出来的带有异常情况的业务按任务管理方式发于具体经办人进行业务回溯。</w:t>
      </w:r>
    </w:p>
    <w:p w14:paraId="1CD33696">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(3)医保审计稽核：通过对现有医保业务、医保基金等进行医保审计稽核应用管理。实现审计稽核管理包含稽核登记、稽核审批、稽核调查、结论登记、结论审批、稽核处理、撤销稽核。</w:t>
      </w:r>
    </w:p>
    <w:p w14:paraId="3E004B84">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(4)医保业务基础管理子系统（变更、征缴）:全民参保登记,职工医保参保管理,居民医保参保管理,权益记录管理,参保人身份管理,基金征缴管理,接口服务,信息整合与数据迁移。</w:t>
      </w:r>
    </w:p>
    <w:p w14:paraId="1057A6EC">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(5)档案管理系统:</w:t>
      </w:r>
      <w:r>
        <w:rPr>
          <w:rFonts w:hint="eastAsia" w:ascii="Times New Roman" w:hAnsi="Times New Roman" w:eastAsia="宋体" w:cs="Times New Roman"/>
          <w:b w:val="0"/>
          <w:bCs w:val="0"/>
          <w:color w:val="auto"/>
          <w:sz w:val="24"/>
          <w:highlight w:val="none"/>
          <w:lang w:val="en-US" w:eastAsia="zh-CN"/>
        </w:rPr>
        <w:tab/>
      </w:r>
      <w:r>
        <w:rPr>
          <w:rFonts w:hint="eastAsia" w:ascii="Times New Roman" w:hAnsi="Times New Roman" w:eastAsia="宋体" w:cs="Times New Roman"/>
          <w:b w:val="0"/>
          <w:bCs w:val="0"/>
          <w:color w:val="auto"/>
          <w:sz w:val="24"/>
          <w:highlight w:val="none"/>
          <w:lang w:val="en-US" w:eastAsia="zh-CN"/>
        </w:rPr>
        <w:t>业务档案基础管理,业务材料归档,档案移交验收,库房管理,业务档案鉴定销毁,档案查询利用,电子档案管理。</w:t>
      </w:r>
    </w:p>
    <w:p w14:paraId="3AAF5E37">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(6)基金财务管理与财务系统财务系统包含基金财务管理平台与财务内控管理平台。</w:t>
      </w:r>
    </w:p>
    <w:p w14:paraId="7F6156D8">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(7)接口服务:</w:t>
      </w:r>
      <w:r>
        <w:rPr>
          <w:rFonts w:hint="eastAsia" w:ascii="Times New Roman" w:hAnsi="Times New Roman" w:eastAsia="宋体" w:cs="Times New Roman"/>
          <w:b w:val="0"/>
          <w:bCs w:val="0"/>
          <w:color w:val="auto"/>
          <w:sz w:val="24"/>
          <w:highlight w:val="none"/>
          <w:lang w:val="en-US" w:eastAsia="zh-CN"/>
        </w:rPr>
        <w:tab/>
      </w:r>
      <w:r>
        <w:rPr>
          <w:rFonts w:hint="eastAsia" w:ascii="Times New Roman" w:hAnsi="Times New Roman" w:eastAsia="宋体" w:cs="Times New Roman"/>
          <w:b w:val="0"/>
          <w:bCs w:val="0"/>
          <w:color w:val="auto"/>
          <w:sz w:val="24"/>
          <w:highlight w:val="none"/>
          <w:lang w:val="en-US" w:eastAsia="zh-CN"/>
        </w:rPr>
        <w:t>天津市市级数据共享平台接口,天津市政务信息公开网接口,天津市政府OA办公系统接口等。通过接口或库表，实现天津市医疗保障信息平台与各委办局进行业务有关的数据交换，从市级数据共享平台其他委办局的共享数据中获取相关业务数据。若相关委办局业务数据不能从天津市市级数据共享平台完整获取，则需要单独与相关委办局的业务系统建设接口。</w:t>
      </w:r>
    </w:p>
    <w:p w14:paraId="4F5DEE32">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(8)信息整合与数据迁移等运行维护。</w:t>
      </w:r>
    </w:p>
    <w:p w14:paraId="6F6F7143">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r>
        <w:rPr>
          <w:rFonts w:hint="eastAsia" w:ascii="Times New Roman" w:hAnsi="Times New Roman" w:eastAsia="宋体" w:cs="Times New Roman"/>
          <w:b w:val="0"/>
          <w:bCs w:val="0"/>
          <w:color w:val="auto"/>
          <w:sz w:val="24"/>
          <w:highlight w:val="none"/>
          <w:lang w:val="en-US" w:eastAsia="zh-CN"/>
        </w:rPr>
        <w:t>(9)与“好差评”系统对接与系统维护。对接是政务服务办的政务服务事项，运维服务可以通过提供技术支持、问题咨询，降低用户使用门槛，提升办事效率，监督政府单位的服务标准及服务质量，从而协助督促及改进服务质量，保证工作的规范化、高效化提供全方位保障。</w:t>
      </w:r>
    </w:p>
    <w:p w14:paraId="1389EF55">
      <w:pPr>
        <w:spacing w:line="360" w:lineRule="auto"/>
        <w:ind w:firstLine="480" w:firstLineChars="200"/>
        <w:outlineLvl w:val="0"/>
        <w:rPr>
          <w:rFonts w:hint="eastAsia" w:ascii="Times New Roman" w:hAnsi="Times New Roman" w:eastAsia="宋体" w:cs="Times New Roman"/>
          <w:b w:val="0"/>
          <w:bCs w:val="0"/>
          <w:color w:val="auto"/>
          <w:sz w:val="24"/>
          <w:highlight w:val="none"/>
          <w:lang w:val="en-US" w:eastAsia="zh-CN"/>
        </w:rPr>
      </w:pPr>
      <w:bookmarkStart w:id="3" w:name="第一包人员要求"/>
      <w:r>
        <w:rPr>
          <w:rFonts w:hint="eastAsia" w:ascii="Times New Roman" w:hAnsi="Times New Roman" w:eastAsia="宋体" w:cs="Times New Roman"/>
          <w:b w:val="0"/>
          <w:bCs w:val="0"/>
          <w:color w:val="auto"/>
          <w:sz w:val="24"/>
          <w:highlight w:val="none"/>
          <w:lang w:val="en-US" w:eastAsia="zh-CN"/>
        </w:rPr>
        <w:t>（二）运维人员要求</w:t>
      </w:r>
    </w:p>
    <w:bookmarkEnd w:id="3"/>
    <w:tbl>
      <w:tblPr>
        <w:tblStyle w:val="16"/>
        <w:tblW w:w="9689" w:type="dxa"/>
        <w:jc w:val="center"/>
        <w:tblLayout w:type="fixed"/>
        <w:tblCellMar>
          <w:top w:w="0" w:type="dxa"/>
          <w:left w:w="108" w:type="dxa"/>
          <w:bottom w:w="0" w:type="dxa"/>
          <w:right w:w="108" w:type="dxa"/>
        </w:tblCellMar>
      </w:tblPr>
      <w:tblGrid>
        <w:gridCol w:w="734"/>
        <w:gridCol w:w="533"/>
        <w:gridCol w:w="2490"/>
        <w:gridCol w:w="4965"/>
        <w:gridCol w:w="967"/>
      </w:tblGrid>
      <w:tr w14:paraId="27097354">
        <w:tblPrEx>
          <w:tblCellMar>
            <w:top w:w="0" w:type="dxa"/>
            <w:left w:w="108" w:type="dxa"/>
            <w:bottom w:w="0" w:type="dxa"/>
            <w:right w:w="108" w:type="dxa"/>
          </w:tblCellMar>
        </w:tblPrEx>
        <w:trPr>
          <w:trHeight w:val="735" w:hRule="atLeast"/>
          <w:tblHeader/>
          <w:jc w:val="center"/>
        </w:trPr>
        <w:tc>
          <w:tcPr>
            <w:tcW w:w="73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0D6390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1"/>
                <w:highlight w:val="none"/>
              </w:rPr>
            </w:pPr>
            <w:r>
              <w:rPr>
                <w:color w:val="auto"/>
                <w:sz w:val="24"/>
                <w:szCs w:val="21"/>
                <w:highlight w:val="none"/>
              </w:rPr>
              <w:t>岗位名称</w:t>
            </w:r>
          </w:p>
        </w:tc>
        <w:tc>
          <w:tcPr>
            <w:tcW w:w="533" w:type="dxa"/>
            <w:tcBorders>
              <w:top w:val="single" w:color="000000" w:sz="4" w:space="0"/>
              <w:left w:val="single" w:color="000000" w:sz="4" w:space="0"/>
              <w:bottom w:val="single" w:color="000000" w:sz="4" w:space="0"/>
              <w:right w:val="single" w:color="000000" w:sz="4" w:space="0"/>
            </w:tcBorders>
            <w:vAlign w:val="center"/>
          </w:tcPr>
          <w:p w14:paraId="113744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1"/>
                <w:highlight w:val="none"/>
              </w:rPr>
            </w:pPr>
            <w:r>
              <w:rPr>
                <w:color w:val="auto"/>
                <w:sz w:val="24"/>
                <w:szCs w:val="21"/>
                <w:highlight w:val="none"/>
              </w:rPr>
              <w:t>人数</w:t>
            </w:r>
          </w:p>
        </w:tc>
        <w:tc>
          <w:tcPr>
            <w:tcW w:w="249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3748A8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1"/>
                <w:highlight w:val="none"/>
              </w:rPr>
            </w:pPr>
            <w:r>
              <w:rPr>
                <w:color w:val="auto"/>
                <w:sz w:val="24"/>
                <w:szCs w:val="21"/>
                <w:highlight w:val="none"/>
              </w:rPr>
              <w:t>要求</w:t>
            </w:r>
          </w:p>
        </w:tc>
        <w:tc>
          <w:tcPr>
            <w:tcW w:w="4965" w:type="dxa"/>
            <w:tcBorders>
              <w:top w:val="single" w:color="000000" w:sz="4" w:space="0"/>
              <w:left w:val="single" w:color="000000" w:sz="4" w:space="0"/>
              <w:bottom w:val="single" w:color="000000" w:sz="4" w:space="0"/>
              <w:right w:val="single" w:color="000000" w:sz="4" w:space="0"/>
            </w:tcBorders>
            <w:vAlign w:val="center"/>
          </w:tcPr>
          <w:p w14:paraId="3CD577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1"/>
                <w:highlight w:val="none"/>
              </w:rPr>
            </w:pPr>
            <w:r>
              <w:rPr>
                <w:color w:val="auto"/>
                <w:sz w:val="24"/>
                <w:szCs w:val="21"/>
                <w:highlight w:val="none"/>
              </w:rPr>
              <w:t>工作职责</w:t>
            </w:r>
          </w:p>
        </w:tc>
        <w:tc>
          <w:tcPr>
            <w:tcW w:w="967" w:type="dxa"/>
            <w:tcBorders>
              <w:top w:val="single" w:color="000000" w:sz="4" w:space="0"/>
              <w:left w:val="single" w:color="000000" w:sz="4" w:space="0"/>
              <w:bottom w:val="single" w:color="000000" w:sz="4" w:space="0"/>
              <w:right w:val="single" w:color="000000" w:sz="4" w:space="0"/>
            </w:tcBorders>
            <w:vAlign w:val="center"/>
          </w:tcPr>
          <w:p w14:paraId="6478F2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1"/>
                <w:highlight w:val="none"/>
              </w:rPr>
            </w:pPr>
            <w:r>
              <w:rPr>
                <w:color w:val="auto"/>
                <w:sz w:val="24"/>
                <w:szCs w:val="21"/>
                <w:highlight w:val="none"/>
              </w:rPr>
              <w:t>是否驻场要求</w:t>
            </w:r>
          </w:p>
        </w:tc>
      </w:tr>
      <w:tr w14:paraId="5947022C">
        <w:tblPrEx>
          <w:tblCellMar>
            <w:top w:w="0" w:type="dxa"/>
            <w:left w:w="108" w:type="dxa"/>
            <w:bottom w:w="0" w:type="dxa"/>
            <w:right w:w="108" w:type="dxa"/>
          </w:tblCellMar>
        </w:tblPrEx>
        <w:trPr>
          <w:trHeight w:val="1031" w:hRule="atLeast"/>
          <w:jc w:val="center"/>
        </w:trPr>
        <w:tc>
          <w:tcPr>
            <w:tcW w:w="73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7D20C8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1"/>
                <w:highlight w:val="none"/>
              </w:rPr>
            </w:pPr>
            <w:r>
              <w:rPr>
                <w:rFonts w:hint="eastAsia"/>
                <w:color w:val="auto"/>
                <w:sz w:val="24"/>
                <w:szCs w:val="21"/>
                <w:highlight w:val="none"/>
              </w:rPr>
              <w:t>项目经理</w:t>
            </w:r>
          </w:p>
        </w:tc>
        <w:tc>
          <w:tcPr>
            <w:tcW w:w="533" w:type="dxa"/>
            <w:tcBorders>
              <w:top w:val="single" w:color="000000" w:sz="4" w:space="0"/>
              <w:left w:val="single" w:color="000000" w:sz="4" w:space="0"/>
              <w:bottom w:val="single" w:color="000000" w:sz="4" w:space="0"/>
              <w:right w:val="single" w:color="000000" w:sz="4" w:space="0"/>
            </w:tcBorders>
            <w:vAlign w:val="center"/>
          </w:tcPr>
          <w:p w14:paraId="1048D8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1"/>
                <w:highlight w:val="none"/>
              </w:rPr>
            </w:pPr>
            <w:r>
              <w:rPr>
                <w:rFonts w:hint="eastAsia"/>
                <w:color w:val="auto"/>
                <w:sz w:val="24"/>
                <w:szCs w:val="21"/>
                <w:highlight w:val="none"/>
              </w:rPr>
              <w:t>1</w:t>
            </w:r>
          </w:p>
        </w:tc>
        <w:tc>
          <w:tcPr>
            <w:tcW w:w="249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1067D56C">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szCs w:val="21"/>
                <w:highlight w:val="none"/>
              </w:rPr>
            </w:pPr>
            <w:r>
              <w:rPr>
                <w:color w:val="auto"/>
                <w:sz w:val="24"/>
                <w:szCs w:val="21"/>
                <w:highlight w:val="none"/>
              </w:rPr>
              <w:t>具备</w:t>
            </w:r>
            <w:r>
              <w:rPr>
                <w:rFonts w:hint="eastAsia"/>
                <w:color w:val="auto"/>
                <w:sz w:val="24"/>
                <w:szCs w:val="21"/>
                <w:highlight w:val="none"/>
              </w:rPr>
              <w:t>计算机技术与软件专业技术资格证书（信息系统项目管理师）、计算机技术与软件专业技术资格证书（网络工程师）。</w:t>
            </w:r>
          </w:p>
        </w:tc>
        <w:tc>
          <w:tcPr>
            <w:tcW w:w="4965" w:type="dxa"/>
            <w:tcBorders>
              <w:top w:val="single" w:color="000000" w:sz="4" w:space="0"/>
              <w:left w:val="single" w:color="000000" w:sz="4" w:space="0"/>
              <w:bottom w:val="single" w:color="000000" w:sz="4" w:space="0"/>
              <w:right w:val="single" w:color="000000" w:sz="4" w:space="0"/>
            </w:tcBorders>
            <w:vAlign w:val="center"/>
          </w:tcPr>
          <w:p w14:paraId="315B0038">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szCs w:val="21"/>
                <w:highlight w:val="none"/>
              </w:rPr>
            </w:pPr>
            <w:r>
              <w:rPr>
                <w:bCs/>
                <w:color w:val="auto"/>
                <w:sz w:val="24"/>
                <w:highlight w:val="none"/>
              </w:rPr>
              <w:t>统筹运维项目，制定运维方案，组织项目实施，对项目的人员、资金、设备、进度和质量等进行管理，并据实际情况及时做出调整，系统地监督项目实施过程的绩效，保证项目在一定的约束条件下达到项目目标；按照需求方要求对系统部分功能调整提出整体方案，</w:t>
            </w:r>
            <w:r>
              <w:rPr>
                <w:rFonts w:hint="eastAsia"/>
                <w:bCs/>
                <w:color w:val="auto"/>
                <w:sz w:val="24"/>
                <w:highlight w:val="none"/>
              </w:rPr>
              <w:t>从事</w:t>
            </w:r>
            <w:r>
              <w:rPr>
                <w:bCs/>
                <w:color w:val="auto"/>
                <w:sz w:val="24"/>
                <w:highlight w:val="none"/>
              </w:rPr>
              <w:t>数据库系统运行维护工作，包含数据库、云资源等的调整；协调运维、巡检人员及云服务商、甲方；把控合规与风险，定期提交运维报告，保障项目达标。</w:t>
            </w:r>
          </w:p>
        </w:tc>
        <w:tc>
          <w:tcPr>
            <w:tcW w:w="967" w:type="dxa"/>
            <w:tcBorders>
              <w:top w:val="single" w:color="000000" w:sz="4" w:space="0"/>
              <w:left w:val="single" w:color="000000" w:sz="4" w:space="0"/>
              <w:bottom w:val="single" w:color="000000" w:sz="4" w:space="0"/>
              <w:right w:val="single" w:color="000000" w:sz="4" w:space="0"/>
            </w:tcBorders>
            <w:vAlign w:val="center"/>
          </w:tcPr>
          <w:p w14:paraId="556204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1"/>
                <w:highlight w:val="none"/>
              </w:rPr>
            </w:pPr>
            <w:r>
              <w:rPr>
                <w:color w:val="auto"/>
                <w:sz w:val="24"/>
                <w:szCs w:val="21"/>
                <w:highlight w:val="none"/>
              </w:rPr>
              <w:t>驻场</w:t>
            </w:r>
          </w:p>
        </w:tc>
      </w:tr>
      <w:tr w14:paraId="5CCFC5A3">
        <w:tblPrEx>
          <w:tblCellMar>
            <w:top w:w="0" w:type="dxa"/>
            <w:left w:w="108" w:type="dxa"/>
            <w:bottom w:w="0" w:type="dxa"/>
            <w:right w:w="108" w:type="dxa"/>
          </w:tblCellMar>
        </w:tblPrEx>
        <w:trPr>
          <w:trHeight w:val="405" w:hRule="atLeast"/>
          <w:jc w:val="center"/>
        </w:trPr>
        <w:tc>
          <w:tcPr>
            <w:tcW w:w="73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7EAD47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1"/>
                <w:highlight w:val="none"/>
              </w:rPr>
            </w:pPr>
            <w:r>
              <w:rPr>
                <w:color w:val="auto"/>
                <w:sz w:val="24"/>
                <w:szCs w:val="21"/>
                <w:highlight w:val="none"/>
              </w:rPr>
              <w:t>运维人员</w:t>
            </w:r>
          </w:p>
        </w:tc>
        <w:tc>
          <w:tcPr>
            <w:tcW w:w="533" w:type="dxa"/>
            <w:tcBorders>
              <w:top w:val="single" w:color="000000" w:sz="4" w:space="0"/>
              <w:left w:val="single" w:color="000000" w:sz="4" w:space="0"/>
              <w:bottom w:val="single" w:color="000000" w:sz="4" w:space="0"/>
              <w:right w:val="single" w:color="000000" w:sz="4" w:space="0"/>
            </w:tcBorders>
            <w:vAlign w:val="center"/>
          </w:tcPr>
          <w:p w14:paraId="093485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Theme="minorEastAsia"/>
                <w:color w:val="auto"/>
                <w:sz w:val="24"/>
                <w:szCs w:val="21"/>
                <w:highlight w:val="none"/>
                <w:lang w:val="en-US" w:eastAsia="zh-CN"/>
              </w:rPr>
            </w:pPr>
            <w:r>
              <w:rPr>
                <w:rFonts w:hint="eastAsia" w:eastAsiaTheme="minorEastAsia"/>
                <w:color w:val="auto"/>
                <w:sz w:val="24"/>
                <w:szCs w:val="21"/>
                <w:highlight w:val="none"/>
                <w:lang w:val="en-US" w:eastAsia="zh-CN"/>
              </w:rPr>
              <w:t>4</w:t>
            </w:r>
          </w:p>
        </w:tc>
        <w:tc>
          <w:tcPr>
            <w:tcW w:w="249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354F9253">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szCs w:val="21"/>
                <w:highlight w:val="none"/>
              </w:rPr>
            </w:pPr>
            <w:r>
              <w:rPr>
                <w:color w:val="auto"/>
                <w:sz w:val="24"/>
                <w:szCs w:val="21"/>
                <w:highlight w:val="none"/>
              </w:rPr>
              <w:t>具备</w:t>
            </w:r>
            <w:r>
              <w:rPr>
                <w:rFonts w:hint="eastAsia"/>
                <w:color w:val="auto"/>
                <w:sz w:val="24"/>
                <w:szCs w:val="21"/>
                <w:highlight w:val="none"/>
              </w:rPr>
              <w:t>计算机技术与软件专业技术资格证书（信息系统项目管理师）、计算机技术与软件专业技术资格证书（网络工程师）。</w:t>
            </w:r>
          </w:p>
        </w:tc>
        <w:tc>
          <w:tcPr>
            <w:tcW w:w="4965" w:type="dxa"/>
            <w:tcBorders>
              <w:top w:val="single" w:color="000000" w:sz="4" w:space="0"/>
              <w:left w:val="single" w:color="000000" w:sz="4" w:space="0"/>
              <w:bottom w:val="single" w:color="000000" w:sz="4" w:space="0"/>
              <w:right w:val="single" w:color="000000" w:sz="4" w:space="0"/>
            </w:tcBorders>
            <w:vAlign w:val="center"/>
          </w:tcPr>
          <w:p w14:paraId="0AC7DE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1"/>
                <w:highlight w:val="none"/>
              </w:rPr>
            </w:pPr>
            <w:r>
              <w:rPr>
                <w:bCs/>
                <w:color w:val="auto"/>
                <w:sz w:val="24"/>
                <w:highlight w:val="none"/>
              </w:rPr>
              <w:t>管理部署更新应用，排查故障；负责系统各类安全防护的正常运行和日常更新；备份数据、检查系统漏洞并及时修复，响应告警与用户需求，记录操作，确保系统稳定合规运行。开展系统的各类培训，解决用户提出的各种问题。</w:t>
            </w:r>
          </w:p>
        </w:tc>
        <w:tc>
          <w:tcPr>
            <w:tcW w:w="967" w:type="dxa"/>
            <w:tcBorders>
              <w:top w:val="single" w:color="000000" w:sz="4" w:space="0"/>
              <w:left w:val="single" w:color="000000" w:sz="4" w:space="0"/>
              <w:bottom w:val="single" w:color="000000" w:sz="4" w:space="0"/>
              <w:right w:val="single" w:color="000000" w:sz="4" w:space="0"/>
            </w:tcBorders>
            <w:vAlign w:val="center"/>
          </w:tcPr>
          <w:p w14:paraId="7E8266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1"/>
                <w:highlight w:val="none"/>
              </w:rPr>
            </w:pPr>
            <w:r>
              <w:rPr>
                <w:color w:val="auto"/>
                <w:sz w:val="24"/>
                <w:szCs w:val="21"/>
                <w:highlight w:val="none"/>
              </w:rPr>
              <w:t>驻场</w:t>
            </w:r>
          </w:p>
        </w:tc>
      </w:tr>
    </w:tbl>
    <w:p w14:paraId="48DF4762">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1.投标方应提供不少于</w:t>
      </w:r>
      <w:r>
        <w:rPr>
          <w:rFonts w:hint="eastAsia" w:ascii="Times New Roman" w:hAnsi="Times New Roman"/>
          <w:b w:val="0"/>
          <w:bCs w:val="0"/>
          <w:color w:val="auto"/>
          <w:sz w:val="24"/>
          <w:szCs w:val="24"/>
          <w:highlight w:val="none"/>
          <w:lang w:val="en-US" w:eastAsia="zh-CN"/>
        </w:rPr>
        <w:t>5</w:t>
      </w:r>
      <w:r>
        <w:rPr>
          <w:rFonts w:hint="eastAsia" w:ascii="Times New Roman" w:hAnsi="Times New Roman"/>
          <w:b w:val="0"/>
          <w:bCs w:val="0"/>
          <w:color w:val="auto"/>
          <w:sz w:val="24"/>
          <w:szCs w:val="24"/>
          <w:highlight w:val="none"/>
          <w:lang w:val="en-US"/>
        </w:rPr>
        <w:t>人运维团队，其中不少于1人7*24驻场服务以及不少于2人5*8日常驻场服务驻场咨询服务人员。驻场工程师工作量不额外计费，驻场工程师具备本系统进行修改、调整能力。</w:t>
      </w:r>
    </w:p>
    <w:p w14:paraId="025A39B2">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2.投标方承诺驻场服务人员每日按照招标方要求，定时汇报核心业务运行情况。</w:t>
      </w:r>
    </w:p>
    <w:p w14:paraId="2099A291">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人员稳定性要求。服务期内核心岗位（项目经理、技术负责人、安全工程师）人员变动率不得超过20%，普通岗位变动率不得超过30%；人员变动需提15个工作日提交申请，说明变动原因及替补人员资质，替补人员需经甲方面试合格并完成岗位交接（交接期不少于15个工作日）后方可上岗，确保服务连续性。</w:t>
      </w:r>
    </w:p>
    <w:p w14:paraId="2EA8715A">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（三）运维服务要求</w:t>
      </w:r>
    </w:p>
    <w:p w14:paraId="56FCE247">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投标方应服从天津市医疗保障信息平台整体技术规范和管理规范，配合医保平台整体工作部署并能按照相关要求开展运维工作。</w:t>
      </w:r>
    </w:p>
    <w:p w14:paraId="7C61B6FD">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1．基础运行保障</w:t>
      </w:r>
    </w:p>
    <w:p w14:paraId="2CC92A73">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解决系统日常运行中出现的异常情况，包括数据变化异常、业务系统报错等问题，确保系统维护和服务工作，服务人员驻场在用户现场，对系统实时进行检查：对系统进行诊断，对诊断发现的问题进行跟踪解决，并进行隐患问题监测，数据平衡性校验等工作：对应服务期内完成天津市医保应用系统年度和月度参数初始化工作。</w:t>
      </w:r>
    </w:p>
    <w:p w14:paraId="3ED64446">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系统故障与应急响应处理服务</w:t>
      </w:r>
    </w:p>
    <w:p w14:paraId="3BE5F3C2">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1.1建立分级故障响应机制，针对系统崩溃、服务中断、功能异常、数据错误、网络故障等问题，按影响范围（单模块、多模块、全系统）分级响应。</w:t>
      </w:r>
    </w:p>
    <w:p w14:paraId="683D06D2">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1.2一般故障15分钟内响应、2小时内解决；重大故障15分钟内响应，30分钟内控制事态，确保不影响医保经办、参保待遇享受等核心业务。</w:t>
      </w:r>
    </w:p>
    <w:p w14:paraId="65DFC729">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提供不少于4次应急响应处理服务，提供7*24小时事件响应、应急响应、处理及恢复服务；重大应急事件保证15分钟内做出响应并提供应急处理方案，保证30分钟内到达现场。应急服务完成后，负责工作记录、处理报告等相关文档的编制工作。如遇紧急事件临时需要提供应急响应处理服务，承诺无条件服从采购人安排。</w:t>
      </w:r>
    </w:p>
    <w:p w14:paraId="5A7CE556">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1.4提供驻场运维、电话咨询、现场响应等服务，故障处理后形成复盘报告，优化防控措施。</w:t>
      </w:r>
    </w:p>
    <w:p w14:paraId="5D7CF0AA">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2．需求变更开发</w:t>
      </w:r>
    </w:p>
    <w:p w14:paraId="0FC9CBD8">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2.1服务期内，基于项目免费维保期结束时点已建成的功能模块（清单附后），由于业务变化，在原有业务流程、功能要素、数据结构等不变情况下对现有功能 模块进行的调整均纳入维保项目：经供需双方评估，对于不超过3个人月工作量 的业务需求（数据提取、修改、数据接口开发、小规模校验规则修改、参数调整 等）纳入运维工作范围，由中标单位负责业务需求的开发等相关工作。</w:t>
      </w:r>
    </w:p>
    <w:p w14:paraId="0E0C7504">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服务模式为驻场服务，对于运维范围内的需求变更调整，可以支持驻场人员与业务部门、信息部门当面沟通需求分析，实现驻场开发，业务测试和现场投产。</w:t>
      </w:r>
    </w:p>
    <w:p w14:paraId="55F118F6">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2.2数据提取、数据修改、系统调优等原因引发的数据接口开发、小规模校验规则修改、经办流程微调、参数调整等纳入运维工作范围，由中标单位负责业务需求的开发等相关工作。</w:t>
      </w:r>
    </w:p>
    <w:p w14:paraId="3DEF4A97">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2.3遇重大需求变更，中标方应对需求进行合规性、可行性审核，开展影响分析及方案评审，对需求涉及的项目建设范围进行评估，并将评估结果及时反馈有关集成单位和监理单位。</w:t>
      </w:r>
    </w:p>
    <w:p w14:paraId="608DB864">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2.4中标单位需同步调整运维保障策略，更新运维保障范围，确保变更落地不影响系统稳定性。同步更新用户使用手册、系统操作手册、系统部署方案、安装部署手册等材料。</w:t>
      </w:r>
    </w:p>
    <w:p w14:paraId="2CEC0879">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3．系统数据处理</w:t>
      </w:r>
    </w:p>
    <w:p w14:paraId="787510B4">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应服务期内完成天津市医保应用系统年度和月度参数初始化工作：配合信息化部门完成个性化数据提取工作：按照医保局要求从生产库向交换库转换数据，生成国家局指标数据排查及上报工作，生成审计局联网指标数据上报工作：配合财务数据对账工作：做好程序问题产生的错误数据恢复工作。</w:t>
      </w:r>
    </w:p>
    <w:p w14:paraId="6116A163">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服务方式为驻场服务。</w:t>
      </w:r>
    </w:p>
    <w:p w14:paraId="76270DCD">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4．系统巡检优化</w:t>
      </w:r>
    </w:p>
    <w:p w14:paraId="65560F2D">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程序执行效率优化（特别是SQL语句的优化）：确保各信息系统平稳运行，保障各项业务的正常经办。</w:t>
      </w:r>
    </w:p>
    <w:p w14:paraId="06BCB8C7">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定期到现场巡检，检查应用服务器、数据库服务器工作状态，解决系统问题、优化系统性能、系统安全保障。</w:t>
      </w:r>
    </w:p>
    <w:p w14:paraId="5C4D36B1">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服务方式为驻场服务、远程维护（实时维护，方式包括电话解答、互联网登录。</w:t>
      </w:r>
    </w:p>
    <w:p w14:paraId="415D9F76">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5．系统安全保障</w:t>
      </w:r>
    </w:p>
    <w:p w14:paraId="4B880421">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对安全部门定期扫描、通报的可能存在的漏洞及时予以修复，全面保障系统 安全。配合对责任范围内的应用系统所使用的操作系统、中间件、数据库等进行 升级验证服务。</w:t>
      </w:r>
    </w:p>
    <w:p w14:paraId="26237FFA">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服务方式为驻场服务。</w:t>
      </w:r>
    </w:p>
    <w:p w14:paraId="08F24D04">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6．突发事件处理</w:t>
      </w:r>
    </w:p>
    <w:p w14:paraId="10C4157C">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严格按照国家和天津市相关安全体系文件的要求提供安全保障，本着“谁运维、谁负责”的原则建立和落实运维安全管理制度。投标方需在投标文件中明确，本项目中数据（包含原始数据和衍生数据）全部为招标方所有，全部列入保密范围，投标方不得未经用户许可的情况下导出、分析以及移作他用。投标方需依据与采购方签订的保密协议或提供保密承诺，承诺投标方及其员工不透露或者以其它方式提供给第三方。承担核心数据库运维的服务商员工需与采购方单独签署保密协议或提供保密承诺，主动配合招标方开展个人背景调查工作。（特殊情况以合同为准）</w:t>
      </w:r>
    </w:p>
    <w:p w14:paraId="7EDD46E3">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服务方式为驻场服务。</w:t>
      </w:r>
    </w:p>
    <w:p w14:paraId="1F4BD4E8">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7.应用指导与技术支持</w:t>
      </w:r>
    </w:p>
    <w:p w14:paraId="53DCD3B5">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7.1为不同的系统对接用户建立多渠道服务体系（驻场咨询、技术支持邮箱、服务热线、在线客服），响应用户操作疑问、功能咨询、问题反馈。确保用户反馈响应率100%、解决率不低于98%，形成问题处理闭环。</w:t>
      </w:r>
    </w:p>
    <w:p w14:paraId="342554C8">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7.2为参保群众、参保单位等外部系统应用用户提供多元化指导服务，编制操作手册、常见问题清单，录制培训视频，支撑自助办事需求。提供5×8小时线上以及电话热线服务，遇特殊情况需及时响应招标人要求提供阶段性24小时远程电话服务。</w:t>
      </w:r>
    </w:p>
    <w:p w14:paraId="3D5D0E63">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7.3为内部业务经办人员提供系统操作、故障处理、政策适配等专项培训，采用线上线下授课、实操演练等形式。提供多元化指导服务，编制用户操作手册、常见问题清单，录制培训视频，协助提升经办服务效能。提供5×8小时现场业务咨询及软件操作指导，7*24小时远程电话咨询服务。确保用户熟练使用系统功能。</w:t>
      </w:r>
    </w:p>
    <w:p w14:paraId="53619AA1">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7.4配合有关部门开展系统推广、数据核查、攻防演练、业务演练等工作。提供技术支撑。 </w:t>
      </w:r>
    </w:p>
    <w:p w14:paraId="557F1EDB">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 8.密评改造服务</w:t>
      </w:r>
    </w:p>
    <w:p w14:paraId="7A3FAF64">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8.1依据国家密码应用安全性评估标准，完成系统敏感数据加密改造（含数据库、网厅、管理后台），确保数据传输、存储、使用全流程加密合规。</w:t>
      </w:r>
    </w:p>
    <w:p w14:paraId="21F6B024">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8.2优化系统，满足密评要求，配合密评机构开展评估测试，及时整改发现问题，完成密评备案并建立长效机制。</w:t>
      </w:r>
    </w:p>
    <w:p w14:paraId="44F4F7FF">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8.3配合年度等级保护测评、密评相关巡检，并按要求完成整改工作，确保系统合规运行。</w:t>
      </w:r>
    </w:p>
    <w:p w14:paraId="46147F6B">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9.漏洞扫描配合服务</w:t>
      </w:r>
    </w:p>
    <w:p w14:paraId="517DEEC4">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9.1配合上级单位及安全服务机构代码审计工作，按照漏洞扫描工作要求，提供系统拓扑、资产清单等技术支持，并按要求完成整改工作。9.2对扫描发现的高危、中危漏洞进行优先级排序，制定整改方案并实施修复，整改完成后配合复扫，确保漏洞闭环修复率100%。</w:t>
      </w:r>
    </w:p>
    <w:p w14:paraId="3288B756">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9.3建立漏洞库，总结防控规律，提升系统安全防护能力。</w:t>
      </w:r>
    </w:p>
    <w:p w14:paraId="4D1EDCBA">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10.数据需求与支持服务</w:t>
      </w:r>
    </w:p>
    <w:p w14:paraId="70BB1BFC">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医疗保障信息平台数据库设计规范》、《医疗保障信息平台用户交互设计规范》、《医疗保障信息平台生物识别数据规范》、《医疗保障信息平台医保区划编码规范》、《医疗保障信息平台数据归集技术规范》《医疗保障信息平台数据归集交换库设计说明书》等一系列国家及本市有关政策、技术规范、数据安全、网络安全管理要求，负责数据中台相关运维服务、医保数据归集运维服务、医保数据治理运维服务、医保数据提取分析运维服务、数据治理业务培训服务等并承担制度中明确的相关责任。</w:t>
      </w:r>
    </w:p>
    <w:p w14:paraId="616BCA98">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w:t>
      </w:r>
      <w:r>
        <w:rPr>
          <w:rFonts w:hint="eastAsia" w:ascii="Times New Roman" w:hAnsi="Times New Roman"/>
          <w:b w:val="0"/>
          <w:bCs w:val="0"/>
          <w:color w:val="auto"/>
          <w:sz w:val="24"/>
          <w:szCs w:val="24"/>
          <w:highlight w:val="none"/>
          <w:lang w:val="en-US" w:eastAsia="zh-CN"/>
        </w:rPr>
        <w:t>1</w:t>
      </w:r>
      <w:r>
        <w:rPr>
          <w:rFonts w:hint="eastAsia" w:ascii="Times New Roman" w:hAnsi="Times New Roman"/>
          <w:b w:val="0"/>
          <w:bCs w:val="0"/>
          <w:color w:val="auto"/>
          <w:sz w:val="24"/>
          <w:szCs w:val="24"/>
          <w:highlight w:val="none"/>
          <w:lang w:val="en-US"/>
        </w:rPr>
        <w:t>负责数据治理工作。按照国家医保局数据标准规范和市医保局业务部门数据治理要求，对运维范围内天津市医保平台应用系统产生的脏数据、数据中台统一汇聚后的脏数据、国家医保局反馈的脏数据以及其他相关场景产生的脏数据进行全面分析、监控和治理，制定和完善数据归集上报流程和质量校验规则，开发相应的校验脚本，形成医保数据质控规则库，并定期产出数据质量分析报告。数据治理工作包括:一是开展数据关联性验证、主外键约束处理、数据矛盾处理、数据逻辑错误处理等技术侧治理;二是开展非标业务编码使用处理、非标数据字典使用处理、重复参保数据处理、重复缴费数据处理、数据缺失处理等业务侧治理;三是开展数据质控，并根据市医保局工作安排，开启数据上传接口校验，从源头避免脏数据产生。</w:t>
      </w:r>
    </w:p>
    <w:p w14:paraId="3C7390AD">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w:t>
      </w:r>
      <w:r>
        <w:rPr>
          <w:rFonts w:hint="eastAsia" w:ascii="Times New Roman" w:hAnsi="Times New Roman"/>
          <w:b w:val="0"/>
          <w:bCs w:val="0"/>
          <w:color w:val="auto"/>
          <w:sz w:val="24"/>
          <w:szCs w:val="24"/>
          <w:highlight w:val="none"/>
          <w:lang w:val="en-US" w:eastAsia="zh-CN"/>
        </w:rPr>
        <w:t>2</w:t>
      </w:r>
      <w:r>
        <w:rPr>
          <w:rFonts w:hint="eastAsia" w:ascii="Times New Roman" w:hAnsi="Times New Roman"/>
          <w:b w:val="0"/>
          <w:bCs w:val="0"/>
          <w:color w:val="auto"/>
          <w:sz w:val="24"/>
          <w:szCs w:val="24"/>
          <w:highlight w:val="none"/>
          <w:lang w:val="en-US"/>
        </w:rPr>
        <w:t>高效完成数据归集工作。投标方需按照国家医保局数据归集同步机制，负责保障医保平台数据正常同步至国家医保平台，全天候监控数据归集同步进程及问题，定期检查资源使用情况，第一时间解决归集出现的中断、报错等故障，确保符合国家医保局对于数据归集的及时性、一致性、准确性、完整性要求。</w:t>
      </w:r>
    </w:p>
    <w:p w14:paraId="640E7095">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w:t>
      </w:r>
      <w:r>
        <w:rPr>
          <w:rFonts w:hint="eastAsia" w:ascii="Times New Roman" w:hAnsi="Times New Roman"/>
          <w:b w:val="0"/>
          <w:bCs w:val="0"/>
          <w:color w:val="auto"/>
          <w:sz w:val="24"/>
          <w:szCs w:val="24"/>
          <w:highlight w:val="none"/>
          <w:lang w:val="en-US" w:eastAsia="zh-CN"/>
        </w:rPr>
        <w:t>3</w:t>
      </w:r>
      <w:r>
        <w:rPr>
          <w:rFonts w:hint="eastAsia" w:ascii="Times New Roman" w:hAnsi="Times New Roman"/>
          <w:b w:val="0"/>
          <w:bCs w:val="0"/>
          <w:color w:val="auto"/>
          <w:sz w:val="24"/>
          <w:szCs w:val="24"/>
          <w:highlight w:val="none"/>
          <w:lang w:val="en-US"/>
        </w:rPr>
        <w:t>支持合规的数据共享交换需求，保障与其他政务平台数据对接顺畅，提供数据脱敏、索引优化、查询优化等服务。</w:t>
      </w:r>
    </w:p>
    <w:p w14:paraId="21377436">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w:t>
      </w:r>
      <w:r>
        <w:rPr>
          <w:rFonts w:hint="eastAsia" w:ascii="Times New Roman" w:hAnsi="Times New Roman"/>
          <w:b w:val="0"/>
          <w:bCs w:val="0"/>
          <w:color w:val="auto"/>
          <w:sz w:val="24"/>
          <w:szCs w:val="24"/>
          <w:highlight w:val="none"/>
          <w:lang w:val="en-US" w:eastAsia="zh-CN"/>
        </w:rPr>
        <w:t>4</w:t>
      </w:r>
      <w:r>
        <w:rPr>
          <w:rFonts w:hint="eastAsia" w:ascii="Times New Roman" w:hAnsi="Times New Roman"/>
          <w:b w:val="0"/>
          <w:bCs w:val="0"/>
          <w:color w:val="auto"/>
          <w:sz w:val="24"/>
          <w:szCs w:val="24"/>
          <w:highlight w:val="none"/>
          <w:lang w:val="en-US"/>
        </w:rPr>
        <w:t>配合各有关单位工作，提供运维服务范围内合理合规的数据服务。</w:t>
      </w:r>
    </w:p>
    <w:p w14:paraId="6A789E0D">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配合完成对应服务期内应用系统年度和月度参数初始化工作：负责配合信息化部门完成个性化数据查询、统计、提取和分析测算工作；负责做好异地参保缴费费用三方对账工作；按时完成与审计局数据共享工作：负责配合做好与财务数据的对帐工作；做好程序问题产生的错误数据恢复工作。</w:t>
      </w:r>
    </w:p>
    <w:p w14:paraId="18656F4F">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w:t>
      </w:r>
      <w:r>
        <w:rPr>
          <w:rFonts w:hint="eastAsia" w:ascii="Times New Roman" w:hAnsi="Times New Roman"/>
          <w:b w:val="0"/>
          <w:bCs w:val="0"/>
          <w:color w:val="auto"/>
          <w:sz w:val="24"/>
          <w:szCs w:val="24"/>
          <w:highlight w:val="none"/>
          <w:lang w:val="en-US" w:eastAsia="zh-CN"/>
        </w:rPr>
        <w:t>5</w:t>
      </w:r>
      <w:r>
        <w:rPr>
          <w:rFonts w:hint="eastAsia" w:ascii="Times New Roman" w:hAnsi="Times New Roman"/>
          <w:b w:val="0"/>
          <w:bCs w:val="0"/>
          <w:color w:val="auto"/>
          <w:sz w:val="24"/>
          <w:szCs w:val="24"/>
          <w:highlight w:val="none"/>
          <w:lang w:val="en-US"/>
        </w:rPr>
        <w:t>负责做好运维范围内应用系统异地灾备等安全演练工作。</w:t>
      </w:r>
    </w:p>
    <w:p w14:paraId="7D3F871B">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w:t>
      </w:r>
      <w:r>
        <w:rPr>
          <w:rFonts w:hint="eastAsia" w:ascii="Times New Roman" w:hAnsi="Times New Roman"/>
          <w:b w:val="0"/>
          <w:bCs w:val="0"/>
          <w:color w:val="auto"/>
          <w:sz w:val="24"/>
          <w:szCs w:val="24"/>
          <w:highlight w:val="none"/>
          <w:lang w:val="en-US" w:eastAsia="zh-CN"/>
        </w:rPr>
        <w:t>6</w:t>
      </w:r>
      <w:r>
        <w:rPr>
          <w:rFonts w:hint="eastAsia" w:ascii="Times New Roman" w:hAnsi="Times New Roman"/>
          <w:b w:val="0"/>
          <w:bCs w:val="0"/>
          <w:color w:val="auto"/>
          <w:sz w:val="24"/>
          <w:szCs w:val="24"/>
          <w:highlight w:val="none"/>
          <w:lang w:val="en-US"/>
        </w:rPr>
        <w:t>负责做好历史数据迁移与应用工作。</w:t>
      </w:r>
    </w:p>
    <w:p w14:paraId="42D32327">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w:t>
      </w:r>
      <w:r>
        <w:rPr>
          <w:rFonts w:hint="eastAsia" w:ascii="Times New Roman" w:hAnsi="Times New Roman"/>
          <w:b w:val="0"/>
          <w:bCs w:val="0"/>
          <w:color w:val="auto"/>
          <w:sz w:val="24"/>
          <w:szCs w:val="24"/>
          <w:highlight w:val="none"/>
          <w:lang w:val="en-US" w:eastAsia="zh-CN"/>
        </w:rPr>
        <w:t>7</w:t>
      </w:r>
      <w:r>
        <w:rPr>
          <w:rFonts w:hint="eastAsia" w:ascii="Times New Roman" w:hAnsi="Times New Roman"/>
          <w:b w:val="0"/>
          <w:bCs w:val="0"/>
          <w:color w:val="auto"/>
          <w:sz w:val="24"/>
          <w:szCs w:val="24"/>
          <w:highlight w:val="none"/>
          <w:lang w:val="en-US"/>
        </w:rPr>
        <w:t>服务方式为驻场服务</w:t>
      </w:r>
    </w:p>
    <w:p w14:paraId="18D7479D">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11.重保服务</w:t>
      </w:r>
    </w:p>
    <w:p w14:paraId="7365B0A6">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供每年不少于7次重大活动期间安全保障服务，启动专项重保机制，制定保障方案，明确责任分工及应急流程。重保前开展全系统排查加固，升级安全策略。重保期间派驻专业工程师提供7*24小时现场技术支持，增强信息安全防护的技术力量，实时监控系统状态，与应急部门建立联动，及时处置应急安全事件。确保零重大故障、零安全事件。</w:t>
      </w:r>
    </w:p>
    <w:p w14:paraId="00B0E8B1">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重大活动包括重要节假日、重大活动或其他招标人明确要求的活动。</w:t>
      </w:r>
    </w:p>
    <w:p w14:paraId="70275298">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12.质量管理要求</w:t>
      </w:r>
    </w:p>
    <w:p w14:paraId="008E0EDD">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在项目实施全过程中，招标方有对运维质量进行监督控制的职责和权利，运维承建商应按照项目管理要求进行严格的质量控制，并制定详细合理的沟通计划，至少包括周报、月报和运维例会，应确保双方能及时了解所需的信息。</w:t>
      </w:r>
    </w:p>
    <w:p w14:paraId="459C4E78">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13.运维文档编制与管理</w:t>
      </w:r>
    </w:p>
    <w:p w14:paraId="440697A4">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构建完整运维文档体系，包含系统基础资料（拓扑图、资产清单、配置参数等）、操作手册（巡检、故障处理、升级变更）、安全保障文档（密评方案、漏洞报告、应急预案）、服务记录文档及管理类文档（巡检记录、月报、总结等）。</w:t>
      </w:r>
    </w:p>
    <w:p w14:paraId="5CEA635D">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jc w:val="both"/>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13.2建立文档版本管理机制，及时更新以匹配系统变更，采用权限管控方式存储，确保文档准确、完整、可访问。</w:t>
      </w:r>
    </w:p>
    <w:p w14:paraId="1CF7E074">
      <w:pPr>
        <w:rPr>
          <w:rFonts w:ascii="Times New Roman" w:hAnsi="Times New Roman"/>
          <w:b w:val="0"/>
          <w:bCs w:val="0"/>
          <w:color w:val="auto"/>
          <w:sz w:val="24"/>
          <w:szCs w:val="24"/>
          <w:highlight w:val="none"/>
          <w:lang w:val="en-US"/>
        </w:rPr>
      </w:pPr>
      <w:r>
        <w:rPr>
          <w:rFonts w:ascii="Times New Roman" w:hAnsi="Times New Roman"/>
          <w:b w:val="0"/>
          <w:bCs w:val="0"/>
          <w:color w:val="auto"/>
          <w:sz w:val="24"/>
          <w:szCs w:val="24"/>
          <w:highlight w:val="none"/>
          <w:lang w:val="en-US"/>
        </w:rPr>
        <w:br w:type="page"/>
      </w:r>
    </w:p>
    <w:p w14:paraId="20EEA58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b/>
          <w:bCs/>
          <w:color w:val="auto"/>
          <w:sz w:val="24"/>
          <w:szCs w:val="24"/>
          <w:highlight w:val="none"/>
          <w:lang w:val="en-US" w:eastAsia="zh-CN"/>
        </w:rPr>
      </w:pPr>
      <w:bookmarkStart w:id="4" w:name="第二包需求"/>
      <w:r>
        <w:rPr>
          <w:rFonts w:hint="eastAsia" w:ascii="Times New Roman" w:hAnsi="Times New Roman"/>
          <w:b/>
          <w:bCs/>
          <w:color w:val="auto"/>
          <w:sz w:val="24"/>
          <w:szCs w:val="24"/>
          <w:highlight w:val="none"/>
          <w:lang w:val="en-US"/>
        </w:rPr>
        <w:t>第二包</w:t>
      </w:r>
      <w:r>
        <w:rPr>
          <w:rFonts w:hint="eastAsia"/>
          <w:b/>
          <w:bCs/>
          <w:color w:val="auto"/>
          <w:sz w:val="24"/>
          <w:szCs w:val="24"/>
          <w:highlight w:val="none"/>
          <w:lang w:val="en-US" w:eastAsia="zh-CN"/>
        </w:rPr>
        <w:t>：</w:t>
      </w:r>
    </w:p>
    <w:bookmarkEnd w:id="4"/>
    <w:p w14:paraId="6CAE92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（一）运维软件介绍</w:t>
      </w:r>
    </w:p>
    <w:p w14:paraId="37740C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1.系统总体框架</w:t>
      </w:r>
    </w:p>
    <w:p w14:paraId="0797E5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根据国家医疗保障局医疗保障信息平台规划建设要求，天津市医疗保障局医疗保障信息平台采用国家医疗保障局医疗保障信息平台统一的总体架构，天津市医疗保障局医疗保障信息平台总体架构如下图所示：</w:t>
      </w:r>
    </w:p>
    <w:tbl>
      <w:tblPr>
        <w:tblStyle w:val="17"/>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22"/>
      </w:tblGrid>
      <w:tr w14:paraId="2C94E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4" w:hRule="atLeast"/>
          <w:jc w:val="center"/>
        </w:trPr>
        <w:tc>
          <w:tcPr>
            <w:tcW w:w="8522" w:type="dxa"/>
          </w:tcPr>
          <w:p w14:paraId="66CF39C9">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b w:val="0"/>
                <w:bCs w:val="0"/>
                <w:color w:val="auto"/>
                <w:sz w:val="24"/>
                <w:szCs w:val="24"/>
                <w:highlight w:val="none"/>
                <w:vertAlign w:val="baseline"/>
                <w:lang w:val="en-US"/>
              </w:rPr>
            </w:pPr>
            <w:r>
              <w:rPr>
                <w:rFonts w:hint="eastAsia"/>
                <w:color w:val="auto"/>
                <w:sz w:val="24"/>
                <w:highlight w:val="none"/>
              </w:rPr>
              <w:drawing>
                <wp:anchor distT="0" distB="0" distL="114300" distR="114300" simplePos="0" relativeHeight="251662336" behindDoc="0" locked="0" layoutInCell="1" allowOverlap="1">
                  <wp:simplePos x="0" y="0"/>
                  <wp:positionH relativeFrom="column">
                    <wp:posOffset>173990</wp:posOffset>
                  </wp:positionH>
                  <wp:positionV relativeFrom="paragraph">
                    <wp:posOffset>-1554480</wp:posOffset>
                  </wp:positionV>
                  <wp:extent cx="5276850" cy="4181475"/>
                  <wp:effectExtent l="0" t="0" r="0" b="0"/>
                  <wp:wrapTopAndBottom/>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7"/>
                          <a:stretch>
                            <a:fillRect/>
                          </a:stretch>
                        </pic:blipFill>
                        <pic:spPr>
                          <a:xfrm>
                            <a:off x="0" y="0"/>
                            <a:ext cx="5276850" cy="4181475"/>
                          </a:xfrm>
                          <a:prstGeom prst="rect">
                            <a:avLst/>
                          </a:prstGeom>
                          <a:noFill/>
                          <a:ln>
                            <a:noFill/>
                          </a:ln>
                        </pic:spPr>
                      </pic:pic>
                    </a:graphicData>
                  </a:graphic>
                </wp:anchor>
              </w:drawing>
            </w:r>
          </w:p>
        </w:tc>
      </w:tr>
    </w:tbl>
    <w:p w14:paraId="0AA59B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2.天津市医疗保障公共服务系统</w:t>
      </w:r>
    </w:p>
    <w:p w14:paraId="577E4D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天津市医疗保障公共服务系统是面向天津市医保领域全主体的综合服务平台，核心围绕“医视通”“三通基础服务”“信用评价管理”三大子系统构建，覆盖医保业务经办、监管、服务全流程，旨在提升医保服务效率、规范资金使用、优化参保及相关主体体验。 </w:t>
      </w:r>
    </w:p>
    <w:p w14:paraId="4D9A29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w:t>
      </w:r>
      <w:r>
        <w:rPr>
          <w:rFonts w:hint="eastAsia"/>
          <w:b w:val="0"/>
          <w:bCs w:val="0"/>
          <w:color w:val="auto"/>
          <w:sz w:val="24"/>
          <w:szCs w:val="24"/>
          <w:highlight w:val="none"/>
          <w:lang w:val="en-US" w:eastAsia="zh-CN"/>
        </w:rPr>
        <w:t>.</w:t>
      </w:r>
      <w:r>
        <w:rPr>
          <w:rFonts w:hint="eastAsia" w:ascii="Times New Roman" w:hAnsi="Times New Roman"/>
          <w:b w:val="0"/>
          <w:bCs w:val="0"/>
          <w:color w:val="auto"/>
          <w:sz w:val="24"/>
          <w:szCs w:val="24"/>
          <w:highlight w:val="none"/>
          <w:lang w:val="en-US"/>
        </w:rPr>
        <w:t>医视通</w:t>
      </w:r>
    </w:p>
    <w:p w14:paraId="6C86CE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面向政府人员，以智能终端等为载体，提供业务经办审核、数据查询分析、在线实时监控、监督执法管理等服务。</w:t>
      </w:r>
    </w:p>
    <w:p w14:paraId="18AEAC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 Pad移动终端</w:t>
      </w:r>
    </w:p>
    <w:p w14:paraId="5106D1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3.1.1业务经办审核</w:t>
      </w:r>
    </w:p>
    <w:p w14:paraId="7751BE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提醒各部门经办人员的待办业务，并提供业务的审批、复核、批准的业务工作流程功能。</w:t>
      </w:r>
    </w:p>
    <w:p w14:paraId="400990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3.1.2专题数据分析</w:t>
      </w:r>
    </w:p>
    <w:p w14:paraId="1A6A13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业务人员通过Web版查看数据分析专题展示，业务人员可随时随地进行数据便查，摆脱设备依赖性，便于人员沟通交流以及业务办公，实现内部沟通便捷、降低工作成本。</w:t>
      </w:r>
    </w:p>
    <w:p w14:paraId="3C1D74A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3.1.3报表分析统计</w:t>
      </w:r>
    </w:p>
    <w:p w14:paraId="70A1384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业务人员根据自己的需求，灵活的选择查询条件，可进行关联分析，平台快速响应需求，生成相应的统计报表。</w:t>
      </w:r>
    </w:p>
    <w:p w14:paraId="4977F1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3.1.4移动执法</w:t>
      </w:r>
    </w:p>
    <w:p w14:paraId="1DEB52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移动执法面向执法人员及领导决策层。（包括宏观版和执法版）可通过移动执法终端随时随地进行数据便查，摆脱设备依赖性，便于人员沟通交流以及业务办公，包括宏观版及执法版两种。</w:t>
      </w:r>
    </w:p>
    <w:p w14:paraId="1BD6D8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4、公共服务</w:t>
      </w:r>
    </w:p>
    <w:p w14:paraId="373DEC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4.1系统管理</w:t>
      </w:r>
    </w:p>
    <w:p w14:paraId="3347BD2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4.1.1身份认证</w:t>
      </w:r>
    </w:p>
    <w:p w14:paraId="7043F7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该功能为用户提供含生物特征采集的线上注册、多方式登录（实名认证、密码找回、短信认证）服务，为药品和医用耗材生产及配送企业提供CA认证入口及相关信息动态维护服务。</w:t>
      </w:r>
    </w:p>
    <w:p w14:paraId="0C5736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4.1.2权限管理</w:t>
      </w:r>
    </w:p>
    <w:p w14:paraId="3EB8E3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包括权限管理和角色管理，根据业务需求或职能的不同，管理和配置不同的角色、角色功能、数据权限。</w:t>
      </w:r>
    </w:p>
    <w:p w14:paraId="78B113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4.1.3 CMS内容管理</w:t>
      </w:r>
    </w:p>
    <w:p w14:paraId="5AC155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该功能为用户提供网站编辑、模板定制（包括模板、栏目、频道）、内容审核发布等全方位网站数据管理服务，并支持短信、小程序、公众号、APP 多渠道消息推送。</w:t>
      </w:r>
    </w:p>
    <w:p w14:paraId="6D146F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4.1.4公共服务功能API</w:t>
      </w:r>
    </w:p>
    <w:p w14:paraId="3E42B5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将公共服务功能形成API，可为提供医药机构编码与医保目录对码接口，支持根据对码结果提交结算申请等API服务。</w:t>
      </w:r>
    </w:p>
    <w:p w14:paraId="147A32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4.1.5公共服务运行监测</w:t>
      </w:r>
    </w:p>
    <w:p w14:paraId="4B260D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随着将对群众的服务从线下向线上转移，服务时间、解决周期、服务方式、服务流程都发生了变化，为提高服务质量和效率，提高群众满意度，需要对网上办事各环节服务进行监控管理。实现对各服务渠道、公共服务信息平台和业务系统服务响应状态的监控管理。包括服务监测、行为数据采集、服务质量监控等功能。</w:t>
      </w:r>
    </w:p>
    <w:p w14:paraId="19C129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4.2网上服务大厅</w:t>
      </w:r>
    </w:p>
    <w:p w14:paraId="69AB655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4.2.1个人中心</w:t>
      </w:r>
    </w:p>
    <w:p w14:paraId="3EC35B1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4.2.1.1注册和登录</w:t>
      </w:r>
    </w:p>
    <w:p w14:paraId="08AD2E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需用户进行在线注册，登录。可以通过生物识别（人脸识别等），进行身份认证。用户数据提交到核心业务中台用户中心进行统一管理。</w:t>
      </w:r>
    </w:p>
    <w:p w14:paraId="1A07FB4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4.2.1.2业务办理</w:t>
      </w:r>
    </w:p>
    <w:p w14:paraId="073EBF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支持参保个人（含居民、职工、大学生、新生儿）及家庭办理参保登记与续保，提供缴费预约扣款、参保缴费核定及明细查询、年度权益记录单发放、医保个人账户清算申请、参保年限查询与计算、跨统筹区转移申请、停保申请、退休申请等服务，参保人可自助生成下载参保证明，参保单位可批量生成本单位员工参保证明。</w:t>
      </w:r>
    </w:p>
    <w:p w14:paraId="02D77F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4.2.1.3个人权益</w:t>
      </w:r>
    </w:p>
    <w:p w14:paraId="144D4E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支持参保人查询个人医保各类信息（含参保状态、医保信息、缴费记录及余额、关系转移、历史医疗与生育记录等），打印缴费证明及明细，办理手工报销，外购处方查看、配送、收药结算业务，查询个人申请业务进度、评价经办服务，以及查看、下载和打印个人电子票据。</w:t>
      </w:r>
    </w:p>
    <w:p w14:paraId="1CF943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4.2.1.4个人异地就医经办</w:t>
      </w:r>
    </w:p>
    <w:p w14:paraId="24AAD5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支持参保人查询异地就医办事流程及定点医疗机构信息，在线办理跨省异地就医备案申请、取消与恢复业务，可查询相关事项进度及结果、按要求补充上传材料，并能对经办机构及工作人员的服务进行评价。</w:t>
      </w:r>
    </w:p>
    <w:p w14:paraId="52F25D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4.2.1.5智能提示</w:t>
      </w:r>
    </w:p>
    <w:p w14:paraId="45A316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对个人办理业务过程进行全程操作提示，可以选择跳过提示。</w:t>
      </w:r>
    </w:p>
    <w:p w14:paraId="17FE6F3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4.2.1.6城多居民三级医院登记</w:t>
      </w:r>
    </w:p>
    <w:p w14:paraId="2318B1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城乡居民三级医院登记记录查询和修改登记二级医院</w:t>
      </w:r>
    </w:p>
    <w:p w14:paraId="584571A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4.2.1.7门特医院记变更</w:t>
      </w:r>
    </w:p>
    <w:p w14:paraId="4FF5CE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用于参保人变更门慢特就医定点医疗机构。</w:t>
      </w:r>
    </w:p>
    <w:p w14:paraId="3F3815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4.2.2单位中心</w:t>
      </w:r>
    </w:p>
    <w:p w14:paraId="722C1A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4.2.2.1单位管理</w:t>
      </w:r>
      <w:r>
        <w:rPr>
          <w:rFonts w:hint="eastAsia" w:ascii="Times New Roman" w:hAnsi="Times New Roman"/>
          <w:b w:val="0"/>
          <w:bCs w:val="0"/>
          <w:color w:val="auto"/>
          <w:sz w:val="24"/>
          <w:szCs w:val="24"/>
          <w:highlight w:val="none"/>
          <w:lang w:val="en-US"/>
        </w:rPr>
        <w:tab/>
      </w:r>
    </w:p>
    <w:p w14:paraId="4F5A69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该功能支持参保单位办理新开户（含参保账号开通、CA 办理申请）、参保登记（选择险种档次并提交相关材料）、基础信息变更、用工范围申报、注销、整体转入 / 转出、合并 / 拆分申请，以及破产企业或困难企业的特殊身份认定业务。</w:t>
      </w:r>
    </w:p>
    <w:p w14:paraId="1147A0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4.2.2.2职工缴费管理</w:t>
      </w:r>
      <w:r>
        <w:rPr>
          <w:rFonts w:hint="eastAsia" w:ascii="Times New Roman" w:hAnsi="Times New Roman"/>
          <w:b w:val="0"/>
          <w:bCs w:val="0"/>
          <w:color w:val="auto"/>
          <w:sz w:val="24"/>
          <w:szCs w:val="24"/>
          <w:highlight w:val="none"/>
          <w:lang w:val="en-US"/>
        </w:rPr>
        <w:tab/>
      </w:r>
    </w:p>
    <w:p w14:paraId="676A3C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职工缴费管理包括职工新参保预登记、职工新增申报、职工减少申报、职工非敏感信息修改、职工缴费工资申报、职工核定基数补缴申报、职工调整基数补缴申报、调整基数减征集等业务环节。</w:t>
      </w:r>
    </w:p>
    <w:p w14:paraId="5BD553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4.2.2.3派遣缴费管理</w:t>
      </w:r>
      <w:r>
        <w:rPr>
          <w:rFonts w:hint="eastAsia" w:ascii="Times New Roman" w:hAnsi="Times New Roman"/>
          <w:b w:val="0"/>
          <w:bCs w:val="0"/>
          <w:color w:val="auto"/>
          <w:sz w:val="24"/>
          <w:szCs w:val="24"/>
          <w:highlight w:val="none"/>
          <w:lang w:val="en-US"/>
        </w:rPr>
        <w:tab/>
      </w:r>
    </w:p>
    <w:p w14:paraId="5E00B30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派遣缴费管理对本单位所属劳务派遣组织下人员进行管理，包括派遣人员新增申报、派遣人员减少申报、派遣人员缴费工资申报、派遣人员核定基数补缴申报、派遣人员调整基数补缴申报等业务环节。</w:t>
      </w:r>
    </w:p>
    <w:p w14:paraId="177F0E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4.2.2.4职工状态申报</w:t>
      </w:r>
      <w:r>
        <w:rPr>
          <w:rFonts w:hint="eastAsia" w:ascii="Times New Roman" w:hAnsi="Times New Roman"/>
          <w:b w:val="0"/>
          <w:bCs w:val="0"/>
          <w:color w:val="auto"/>
          <w:sz w:val="24"/>
          <w:szCs w:val="24"/>
          <w:highlight w:val="none"/>
          <w:lang w:val="en-US"/>
        </w:rPr>
        <w:tab/>
      </w:r>
    </w:p>
    <w:p w14:paraId="082552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将本单位所属职工人员状态申报为退休；医疗保险职工死亡；医疗保险职工终止（暂停）。</w:t>
      </w:r>
    </w:p>
    <w:p w14:paraId="3ACA88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4.2.2.5医疗保险待遇管理</w:t>
      </w:r>
      <w:r>
        <w:rPr>
          <w:rFonts w:hint="eastAsia" w:ascii="Times New Roman" w:hAnsi="Times New Roman"/>
          <w:b w:val="0"/>
          <w:bCs w:val="0"/>
          <w:color w:val="auto"/>
          <w:sz w:val="24"/>
          <w:szCs w:val="24"/>
          <w:highlight w:val="none"/>
          <w:lang w:val="en-US"/>
        </w:rPr>
        <w:tab/>
      </w:r>
    </w:p>
    <w:p w14:paraId="0F8A71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医疗保险待遇管理包括医疗异地安置人员登记和垫付医疗费申报等业务环节。</w:t>
      </w:r>
    </w:p>
    <w:p w14:paraId="4AA7A8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4.2.2.6生育保险待遇管理</w:t>
      </w:r>
    </w:p>
    <w:p w14:paraId="69666E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生育保险待遇管理包括生育津贴申报等业务环节。</w:t>
      </w:r>
    </w:p>
    <w:p w14:paraId="61A606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4.2.2.7申请提交</w:t>
      </w:r>
      <w:r>
        <w:rPr>
          <w:rFonts w:hint="eastAsia" w:ascii="Times New Roman" w:hAnsi="Times New Roman"/>
          <w:b w:val="0"/>
          <w:bCs w:val="0"/>
          <w:color w:val="auto"/>
          <w:sz w:val="24"/>
          <w:szCs w:val="24"/>
          <w:highlight w:val="none"/>
          <w:lang w:val="en-US"/>
        </w:rPr>
        <w:tab/>
      </w:r>
    </w:p>
    <w:p w14:paraId="280DBD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该功能为参保单位提供各类业务申报表打印核对、网厅操作业务提交至中心端等待审核的服务，同时支持单位本月有变动或无变动时完成缴费核定并生成缴费通知单。</w:t>
      </w:r>
    </w:p>
    <w:p w14:paraId="2E1778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4.2.2.8审核结果</w:t>
      </w:r>
      <w:r>
        <w:rPr>
          <w:rFonts w:hint="eastAsia" w:ascii="Times New Roman" w:hAnsi="Times New Roman"/>
          <w:b w:val="0"/>
          <w:bCs w:val="0"/>
          <w:color w:val="auto"/>
          <w:sz w:val="24"/>
          <w:szCs w:val="24"/>
          <w:highlight w:val="none"/>
          <w:lang w:val="en-US"/>
        </w:rPr>
        <w:tab/>
      </w:r>
    </w:p>
    <w:p w14:paraId="1CE4FA4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采用人工智能技术，辅助自动审核，降低工作强度，提高工作效率。审核结果包括审核结果查询和综合业务处理单打印等业务环节。包括审核结果查询、综合业务处理单打印等功能。</w:t>
      </w:r>
    </w:p>
    <w:p w14:paraId="425358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4.2.2.9信息查询</w:t>
      </w:r>
      <w:r>
        <w:rPr>
          <w:rFonts w:hint="eastAsia" w:ascii="Times New Roman" w:hAnsi="Times New Roman"/>
          <w:b w:val="0"/>
          <w:bCs w:val="0"/>
          <w:color w:val="auto"/>
          <w:sz w:val="24"/>
          <w:szCs w:val="24"/>
          <w:highlight w:val="none"/>
          <w:lang w:val="en-US"/>
        </w:rPr>
        <w:tab/>
      </w:r>
    </w:p>
    <w:p w14:paraId="5C65502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信息查询包括单位信息查询、职工信息查询、职工缴费查询、职工参保情况统计查询、派遣单位查询、派遣员工花名册、职工垫付医疗费查询、生育津贴查询、大额医疗救助人员缴费名册查询等业务环节。</w:t>
      </w:r>
    </w:p>
    <w:p w14:paraId="1F849AD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4.2.2.10报表打印</w:t>
      </w:r>
      <w:r>
        <w:rPr>
          <w:rFonts w:hint="eastAsia" w:ascii="Times New Roman" w:hAnsi="Times New Roman"/>
          <w:b w:val="0"/>
          <w:bCs w:val="0"/>
          <w:color w:val="auto"/>
          <w:sz w:val="24"/>
          <w:szCs w:val="24"/>
          <w:highlight w:val="none"/>
          <w:lang w:val="en-US"/>
        </w:rPr>
        <w:tab/>
      </w:r>
    </w:p>
    <w:p w14:paraId="116F12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报表打印包括单位缴费通知单打印、单位征集核定单打印、派遣职工缴费基数名册打印、医疗垫付汇总表打印、退休申报审批表打印、单位缴费证明打印、医疗转出参保凭证打印、单位职工参保证明打印、医疗保险个人账户记载单等业务环节。</w:t>
      </w:r>
    </w:p>
    <w:p w14:paraId="60DC78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4.2.3医药机构</w:t>
      </w:r>
    </w:p>
    <w:p w14:paraId="2265C5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支持医院、药店等查询定点准入要求、下载协议模板、提交（准入、认定、资格）变更等申请，发起医疗相关新增项目申请并查询进度结果，查看医保目录价格及调整方案公示，管理外购处方的（上传、配送、结算），查询相关事项办理进度与结果，且可评价经办机构及工作人员服务。</w:t>
      </w:r>
    </w:p>
    <w:p w14:paraId="0E8B717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4.2.3.1接口发布查询</w:t>
      </w:r>
    </w:p>
    <w:p w14:paraId="43D777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医保局向医疗结构发布接口信息，医疗机构查看接口发布情况。</w:t>
      </w:r>
    </w:p>
    <w:p w14:paraId="705151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4.2.3.2DIP/DRG业务查询</w:t>
      </w:r>
    </w:p>
    <w:p w14:paraId="56D6360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4.2.3.2.1医保结算清单综合査询</w:t>
      </w:r>
    </w:p>
    <w:p w14:paraId="6602E8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两定机构进行医保结算清单综合査询。</w:t>
      </w:r>
    </w:p>
    <w:p w14:paraId="76DB60E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4.2.3.2.2未通过质控医保结算消单查询</w:t>
      </w:r>
    </w:p>
    <w:p w14:paraId="0586E1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两定机构进行未通过质控医保结算消单查询。</w:t>
      </w:r>
    </w:p>
    <w:p w14:paraId="5FA4830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4.2.3.2.3DIP分组情况查询</w:t>
      </w:r>
    </w:p>
    <w:p w14:paraId="5BDFB36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两定机构进行DIP 分组情况查询。</w:t>
      </w:r>
    </w:p>
    <w:p w14:paraId="16E9D3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4.2.3.2.4DRG分组情况查询</w:t>
      </w:r>
    </w:p>
    <w:p w14:paraId="43F666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两定机构进行DRG分组情况查询。</w:t>
      </w:r>
    </w:p>
    <w:p w14:paraId="527D61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4.2.3.3DIP/DRG业务办理</w:t>
      </w:r>
    </w:p>
    <w:p w14:paraId="0C2AF1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4.2.3.3.1DIP住院费用月度结算</w:t>
      </w:r>
    </w:p>
    <w:p w14:paraId="19757E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两定机构进行DIP住院费用月度结算申报。</w:t>
      </w:r>
    </w:p>
    <w:p w14:paraId="320A61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4.2.3.3.2DRG住院费用月度结算</w:t>
      </w:r>
    </w:p>
    <w:p w14:paraId="698833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两定机构进行DRG住院费用月度结算申报。</w:t>
      </w:r>
    </w:p>
    <w:p w14:paraId="1373EC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4.2.4专家库</w:t>
      </w:r>
    </w:p>
    <w:p w14:paraId="328008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包含专家库与生产和配送企业服务两部分，其中专家库为待入库及已入库专家提供申请、审核结果查询、信息变更入口及评审意见录入功能，生产和配送企业可进行基础信息管理、医保目录与价格公示查询、医保目录药品新增申请，还能查询相关事项办理进度与结果并评价经办服务。</w:t>
      </w:r>
    </w:p>
    <w:p w14:paraId="6C459D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4.2.6咨询中心</w:t>
      </w:r>
    </w:p>
    <w:p w14:paraId="095276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信息查询</w:t>
      </w:r>
    </w:p>
    <w:p w14:paraId="6D715A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公众可查询公共服务系统所有发布的公示信息和政策公文等信息；以及项目或委托办事事项（包括但不限于委托办事事宜、研究课题项目、待起草的标准或政策等）；以及违规案例、医保知识等宣传公文；以及网上服务大厅所有操作指南、流程指南、定点机构信息等所有公示信息等。</w:t>
      </w:r>
    </w:p>
    <w:p w14:paraId="1C5952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智能AI辅助</w:t>
      </w:r>
    </w:p>
    <w:p w14:paraId="108CC8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从公共服务系统发布的政策公文，从智能监管系统、药品与医药耗材监管服务系统等其他系统公示信息和政策公文等公示信息转化为结构化数据，并运用自动化运维工具（技术运维和业务运维）、人工智能和人工服务、知识库等工具，向公众和经办部门提供业务和系统问题答疑或操作指南。</w:t>
      </w:r>
    </w:p>
    <w:p w14:paraId="1709EE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4.2.7宣传中心</w:t>
      </w:r>
    </w:p>
    <w:p w14:paraId="093FE16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4.2.7.1信息中心</w:t>
      </w:r>
    </w:p>
    <w:p w14:paraId="7396AB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医保工作人员对立体监管信息、药品与医药耗材招采的公示信息和政策公文等信息进行发布；对项目或委托办事事项（包括但不限于委托办事事宜、研究课题项目、待起草的标准或政策等）进行发布；对法律事务知识、医保知识等宣传公文进行发布；对天津地方政策法规和办事指南进行发布。</w:t>
      </w:r>
    </w:p>
    <w:p w14:paraId="6B72EE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社会公众可进行公示信息、政策公文、办事指南等信息的查询。</w:t>
      </w:r>
    </w:p>
    <w:p w14:paraId="4618344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4.2.7.2法律事务服务</w:t>
      </w:r>
    </w:p>
    <w:p w14:paraId="7CB300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医保工作人员进行政策法规、违规案例、立法受理的公示等法律事务信息的发布。</w:t>
      </w:r>
    </w:p>
    <w:p w14:paraId="2549DF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社会公众可进行政策法规、违规案例、立法受理的公示等法律事务信息的查询。</w:t>
      </w:r>
    </w:p>
    <w:p w14:paraId="73BEC5C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4.2.7.3本市特色信息查询</w:t>
      </w:r>
    </w:p>
    <w:p w14:paraId="37D7EA0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医保工作人员审核后进行本市特色信息的发布，支持公众进行本市特色信息查询。</w:t>
      </w:r>
    </w:p>
    <w:p w14:paraId="6317D2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4.2.8监督中心</w:t>
      </w:r>
    </w:p>
    <w:p w14:paraId="1408A30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4.2.8.1信访管理</w:t>
      </w:r>
    </w:p>
    <w:p w14:paraId="43F36F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该功能支持来访人登记案件信息并由后台受理流转，公众可查询案件进度及办理结果，案件办结后来访人可通过线上、短信或电话方式进行满意度评价。</w:t>
      </w:r>
    </w:p>
    <w:p w14:paraId="7FBC830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4.2.8.2投诉举报</w:t>
      </w:r>
    </w:p>
    <w:p w14:paraId="217124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该功能支持公众进行举报投诉登记，受理后将流转办理，同时公众可查询受理案件的进度及调查结束后的反馈结果。</w:t>
      </w:r>
    </w:p>
    <w:p w14:paraId="7F4EFD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4.2.9三目信息同步平台</w:t>
      </w:r>
    </w:p>
    <w:p w14:paraId="211AFC3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天津市统一三目信息实时同步对接平台，实现医保部门对三目信息的统一维护，对外实时提供三目信息（药品、诊疗、服务设施）的动态变更，可向各个医疗机构提供数据同步接口。 </w:t>
      </w:r>
    </w:p>
    <w:p w14:paraId="4A7578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4.2.10一制三化</w:t>
      </w:r>
    </w:p>
    <w:p w14:paraId="0D7D44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天津市政务一网通权力运行与监管绩效系统，实现智能审批事项的自助办理，群众可通过智能化终端设备几分钟完成业务查询与办理，全面提升“互联网+政务”服务水平，使政务服务智能化、自助化、无人化、远程化，让企业和群众切切实实享受到“一制三化”改革带来的红利。</w:t>
      </w:r>
    </w:p>
    <w:p w14:paraId="0B0FAA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5、业务协同</w:t>
      </w:r>
    </w:p>
    <w:p w14:paraId="1BD312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5.1用户管理</w:t>
      </w:r>
    </w:p>
    <w:p w14:paraId="5D536B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平台用户包括市区医保局各部门、市区各委办局机构、定点医药机构、异地经办机构以及其他医药部门的相关人员，用户名密码以及权限管理可由医保局信息管理部门统一维护，用户基本信息由各部门人员自行维护。</w:t>
      </w:r>
    </w:p>
    <w:p w14:paraId="48A0DD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5.2消息中心</w:t>
      </w:r>
    </w:p>
    <w:p w14:paraId="5709116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允许用户在权限范围内通过短信、微信、邮箱、系统等渠道发送会议通知、政策通知等信息，在平台上进行交流互动等。</w:t>
      </w:r>
    </w:p>
    <w:p w14:paraId="13B9EF3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5.3会议通知</w:t>
      </w:r>
    </w:p>
    <w:p w14:paraId="646F82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推送会议通知，按照参会部门、参会人数等进行报名并向报名人员反馈报名成功与否。</w:t>
      </w:r>
    </w:p>
    <w:p w14:paraId="02A412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5.4本市业务协同管理</w:t>
      </w:r>
    </w:p>
    <w:p w14:paraId="13A440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提供与政策、经办、信息、机构协同等对接，同时与电子票据联网结算明细，可在线查询结算中心的结算审核结果，最终进行电子病历的申请上传。</w:t>
      </w:r>
    </w:p>
    <w:p w14:paraId="62FA7F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5.5异地就医业务协同</w:t>
      </w:r>
    </w:p>
    <w:p w14:paraId="4D2F8E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与国家异地就医结算平台建立对接机制，同时本市医保经办机构与异地经办机构通过联系函发放异地安置人员的个人账户资金。</w:t>
      </w:r>
    </w:p>
    <w:p w14:paraId="11D88E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6、智能客服</w:t>
      </w:r>
    </w:p>
    <w:p w14:paraId="0AF898A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6.1医保知识库管理</w:t>
      </w:r>
    </w:p>
    <w:p w14:paraId="770266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依据行业标准形成药品、诊疗、就医习惯等构建基础医保知识库，基于模块预警机制、自我训练学习的反馈系统帮助机器人自动完善知识库，减少知识库运维的成本。</w:t>
      </w:r>
    </w:p>
    <w:p w14:paraId="185E5C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6.2个人基本信息查询</w:t>
      </w:r>
    </w:p>
    <w:p w14:paraId="1355BB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用于查询用户个人基本信息，信息主要包括个人医保账户信息、参保缴费信息、历史医疗记录等。</w:t>
      </w:r>
    </w:p>
    <w:p w14:paraId="2FEF72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6.3医保经办相关查询</w:t>
      </w:r>
    </w:p>
    <w:p w14:paraId="11CA151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可获取对医保参保、医保个人信息查询、医保个人信息变更等业务的政策解读，问题解答。</w:t>
      </w:r>
    </w:p>
    <w:p w14:paraId="78BEC5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6.4医保结算相关查询</w:t>
      </w:r>
    </w:p>
    <w:p w14:paraId="40E4C0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可获取结算过程中的细节问题信息，包括医保分账规则、医保目录、药物价格等。</w:t>
      </w:r>
    </w:p>
    <w:p w14:paraId="7AFE2B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6.5备用人工客服</w:t>
      </w:r>
    </w:p>
    <w:p w14:paraId="52355D1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接收AI客服无法解决的会话信息，由人工客服继续沟通答疑。</w:t>
      </w:r>
    </w:p>
    <w:p w14:paraId="402021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7、专家智库</w:t>
      </w:r>
    </w:p>
    <w:p w14:paraId="166E4C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专家智库的建立是为各项政策制定、招标采购、项目评审提供公平公正公开的专业意见，专家智库的管理是通过个人申请、单位推荐、同行专家引荐等方式建设专家库，并按照“统一条件，专库管理，资源共享，随机抽取，管用分离”的原则进行专家管理。通过专家智库的建立对各领域各专业的专家进行统计，并建立专家退出机制，形成完善的管理闭环。专家库管理至少要包括基础数据管理、专家服务、专家管理、抽取终端、项目管理、抽取管理、专家通知、专家评价、专家培训、统计查询等功能，所建立的专家智库可以在多个终端上进行展示和数据管理，例如：PC、移动APP、公众号等。</w:t>
      </w:r>
    </w:p>
    <w:p w14:paraId="5A51E3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7.1基础数据</w:t>
      </w:r>
    </w:p>
    <w:p w14:paraId="789BA6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功能主要是对专家智库基础数据进行增删改等管理操作，并提供按照查询条件进行筛选和查询。</w:t>
      </w:r>
    </w:p>
    <w:p w14:paraId="0EAEC0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7.2专家服务</w:t>
      </w:r>
    </w:p>
    <w:p w14:paraId="0E22D8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为专家候选人提供在线申请，信息录入/维护，回避设置，进度（初审、终审）查看、退出等功能。</w:t>
      </w:r>
    </w:p>
    <w:p w14:paraId="1971E7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7.3专家管理</w:t>
      </w:r>
    </w:p>
    <w:p w14:paraId="5AA9AF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为专家候选人评审部门提供专家申报材料受理、初审、终审、培训管理、考试管理、考评、信息变更审核、续聘、退出、处罚、信用管理、项目管理等功能。</w:t>
      </w:r>
    </w:p>
    <w:p w14:paraId="207D99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7.4抽取终端</w:t>
      </w:r>
    </w:p>
    <w:p w14:paraId="43ED1F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针对于采购过程中需要进行专家抽取过程的招采项目，抽取专家时需要使用抽取终端。</w:t>
      </w:r>
    </w:p>
    <w:p w14:paraId="03487C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7.5项目管理</w:t>
      </w:r>
    </w:p>
    <w:p w14:paraId="570248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为项目申报人、招标/采购人（代理机构）等用户提供项目基本信息的填报、保存、提交、查询等功能，通过数据共享接口，招标项目也可从药品和医用耗材招标采购子系统获取项目、招标项目、标段（包）信息。</w:t>
      </w:r>
    </w:p>
    <w:p w14:paraId="5A0E3B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7.6抽取管理</w:t>
      </w:r>
    </w:p>
    <w:p w14:paraId="65A2C82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抽取管理提供给专家抽取终端用户使用，包括抽取通知专家、审核抽取项目、历史抽取记录等内容。</w:t>
      </w:r>
    </w:p>
    <w:p w14:paraId="48A9479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7.7专家通知</w:t>
      </w:r>
    </w:p>
    <w:p w14:paraId="530075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通知进入专家库的专家入库情况予以确认，可通过短信平台通知、网站或立体协作三通服务子系统发布。</w:t>
      </w:r>
    </w:p>
    <w:p w14:paraId="6775B6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7.8专家评价</w:t>
      </w:r>
    </w:p>
    <w:p w14:paraId="539C86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由招采项目代理人对专家在采购项目活动中的表现进行评价，例如，专业水平和职业道德，评价的同时也要考虑违纪记录等各类客观信息。</w:t>
      </w:r>
    </w:p>
    <w:p w14:paraId="09497E6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7.9专家培训</w:t>
      </w:r>
    </w:p>
    <w:p w14:paraId="1F05626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应提供专家评委应当掌握的知识库管理功能，包括课件、试题、资讯等内容。专家可通过在线的方式学习相关内容，并通过考试评估、课后练习等方式确定专家具备胜任评委的相关知识技能。</w:t>
      </w:r>
    </w:p>
    <w:p w14:paraId="592C323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7.10统计查询</w:t>
      </w:r>
    </w:p>
    <w:p w14:paraId="045B45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供各种条件的数据查询统计功能，主要包括专家信息统计、采购代理机构统计、区域统计、违规原因统计、采购方式统计、专家所在区域统计、评审品目统计、专业类型统计、专家影响统计、专家推荐统计、专家学历统计、专家现场评标统计等等。</w:t>
      </w:r>
    </w:p>
    <w:p w14:paraId="341ED0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8、公共服务区业务中台</w:t>
      </w:r>
    </w:p>
    <w:p w14:paraId="7F31C4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公共服务区包括12个业务中心：</w:t>
      </w:r>
    </w:p>
    <w:p w14:paraId="5D89CC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8.1用户中心</w:t>
      </w:r>
    </w:p>
    <w:p w14:paraId="2934020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用户中心主要为企业用户、医疗机构用户、参保企业、药企耗材企业、配送企业、医疗机构或者其他用户提供登录注册操作等，建立统一的用户体系，用于支撑公共服务业务查询和办理需要。</w:t>
      </w:r>
    </w:p>
    <w:p w14:paraId="76EB15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8.2统一认证中心</w:t>
      </w:r>
    </w:p>
    <w:p w14:paraId="3FF270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面向互联网端的个人、单位用户提供数字证书、生物认证等方式的统一身份认证、用户统一鉴权、登录服务等，支持与国家政务平台的认证体系对接。</w:t>
      </w:r>
    </w:p>
    <w:p w14:paraId="524722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8.3服务事项中心</w:t>
      </w:r>
    </w:p>
    <w:p w14:paraId="3DCD01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主要为调用服务事项中心服务的应用模块提供查看相关办事流程指南服务。</w:t>
      </w:r>
    </w:p>
    <w:p w14:paraId="298210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8.4CMS中心</w:t>
      </w:r>
    </w:p>
    <w:p w14:paraId="05D750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主要为调用CMS中心服务的应用模块提供内容管理及检索、栏目管理、展现渠道配置等服务。</w:t>
      </w:r>
    </w:p>
    <w:p w14:paraId="7800EF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8.5咨询中心</w:t>
      </w:r>
    </w:p>
    <w:p w14:paraId="234C85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主要为调用咨询中心服务的应用模块提供咨询类别管理以及咨询内容管理服务。</w:t>
      </w:r>
    </w:p>
    <w:p w14:paraId="3581A57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8.6电子凭证中心</w:t>
      </w:r>
    </w:p>
    <w:p w14:paraId="094A42A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对电子凭证的管理服务，包含电子凭证生成、电子凭证核验、二维码管理等功能。为调用电子凭证中心服务的应用模块提供医疗保障移动支付以及医保唯一的个人身份电子凭证服务。</w:t>
      </w:r>
    </w:p>
    <w:p w14:paraId="023D6BF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8.7电子票据中心</w:t>
      </w:r>
    </w:p>
    <w:p w14:paraId="3191C59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主要为调用电子票据中心服务的应用模块提供电子版医保非税发票服务。</w:t>
      </w:r>
    </w:p>
    <w:p w14:paraId="362302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8.8消息推送中心</w:t>
      </w:r>
    </w:p>
    <w:p w14:paraId="7A7055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主要为调用消息推送中心服务的应用模块提供消息的接收、发送和保存服务。</w:t>
      </w:r>
    </w:p>
    <w:p w14:paraId="3CCF99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8.9知识库中心</w:t>
      </w:r>
    </w:p>
    <w:p w14:paraId="41A7DA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主要为调用知识库中心服务的应用模块提供查询、管理医保相关领域知识的服务，如查询政策，医保词汇等。</w:t>
      </w:r>
    </w:p>
    <w:p w14:paraId="6E0114E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8.10位置管理中心</w:t>
      </w:r>
    </w:p>
    <w:p w14:paraId="2CCD44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位置管理中心主要管理全国两定机构、药企地址相关信息，及登记备案刷卡机，一体机、POS机的位置情况。</w:t>
      </w:r>
    </w:p>
    <w:p w14:paraId="4F6285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8.11个人服务中心</w:t>
      </w:r>
    </w:p>
    <w:p w14:paraId="4695EBC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主要为调用个人服务中心服务的应用模块提供灵活就业人员参保申请、居民保参保申请、灵活就业人员中断缴费申请、医疗个人信息查询服务。</w:t>
      </w:r>
    </w:p>
    <w:p w14:paraId="12BD1D5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8.12单位服务中心</w:t>
      </w:r>
    </w:p>
    <w:p w14:paraId="15173E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主要调用单位服务中心的应用为单位参保单位提供单位信息的管理，参保人员信息的管理，信息查询的服务。</w:t>
      </w:r>
    </w:p>
    <w:p w14:paraId="54BEFCA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9、信用评价管理</w:t>
      </w:r>
    </w:p>
    <w:p w14:paraId="691EA3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9.1信用数据采集</w:t>
      </w:r>
    </w:p>
    <w:p w14:paraId="56A37E1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面向协议机构、执业人员、经办人员、参保人员、生产流通企业等主体，采集其处罚、违规、投诉、荣誉奖励、媒体披露等相关数据，同时同步第三方征信、医保核心业务、智能审核、法院判决、公众投诉等系统中的征信信息，为信用评价管理提供数据支撑。</w:t>
      </w:r>
    </w:p>
    <w:p w14:paraId="6EA53F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9.2信用分析</w:t>
      </w:r>
    </w:p>
    <w:p w14:paraId="5330B0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功能依据征信模型对参保人、执业人员等独立个体及定点医药机构、医药生产流通企业等机构进行征信分析并评定信用等级，组建征信对象诚信档案，划分信用黑白名单并提供新增、修改、删除、查询操作，编制监督检查计划时予以提醒。</w:t>
      </w:r>
    </w:p>
    <w:p w14:paraId="205809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9.3处罚信息上报</w:t>
      </w:r>
    </w:p>
    <w:p w14:paraId="6CFF37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对定点医药机构、执业人员、参保人等进行信用评价后，如存在违规行为，则进行处罚信息上报。</w:t>
      </w:r>
    </w:p>
    <w:p w14:paraId="0EA76B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9.4信用发布管理</w:t>
      </w:r>
    </w:p>
    <w:p w14:paraId="018C19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将征信信息及评价结果通过医保平台进行发布，并推送到国家信用评价平台，包括信用发布模板管理、信用发布内容管理、信用发布流程管理。</w:t>
      </w:r>
    </w:p>
    <w:p w14:paraId="0916A9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9.5大数据诚信画像</w:t>
      </w:r>
    </w:p>
    <w:p w14:paraId="143F8F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基于数据采集系统的数据，利用大数据分析算法，对不同评价对象建立不同的诚信画像，通过诚信画像可以清楚的辨别不同对象的违规情况发生规律和发生趋势，同时为诚信评价模型设计提供基础依据。</w:t>
      </w:r>
    </w:p>
    <w:p w14:paraId="613586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9.6诚信评价管理分析引擎</w:t>
      </w:r>
    </w:p>
    <w:p w14:paraId="6FDC4F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该引擎分别基于医疗机构、定点药店、药商、参保人、医师对应的评价模型，设定诚信分值并根据实际情况进行扣减，最终形成各评价对象的诚信等级。</w:t>
      </w:r>
    </w:p>
    <w:p w14:paraId="787A405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9.7诚信展示管理</w:t>
      </w:r>
    </w:p>
    <w:p w14:paraId="124CA1F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根据评价对象的（医疗机构、参保人、医保医师、药师、药商……）的不同属性，将定期展示诚信情况，通过该系统和其他第三方系统共享对接，相关的系统可以直接查询或者调阅诚信内容。</w:t>
      </w:r>
    </w:p>
    <w:p w14:paraId="179A78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9.8诚信处罚管理</w:t>
      </w:r>
    </w:p>
    <w:p w14:paraId="2CFF79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建立针对评价对象（医疗机构、参保人、医保医师、药师、药商……）的黑名单库和白名单库，黑名单系统的评价对象，将被重点核查和稽核，严重失信或者诚信评分低于某特设定诚信分值的将被追究法律责任或者进入国家、地区征信相关系统。白名单系统内的评价对象，将会被列入市级资助扶持优惠范围，根据市级政策给予相关奖励。</w:t>
      </w:r>
    </w:p>
    <w:p w14:paraId="41D304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9.9诚信档案管理</w:t>
      </w:r>
    </w:p>
    <w:p w14:paraId="670A08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通过对相关对象考核评价规则，对违规行为进行扣费，并中止或解除服务协议，对严重的进行注销，记录考核过程及结果信息，以及违规处理信息，对考核违规信息及考核扣分记录在案。</w:t>
      </w:r>
    </w:p>
    <w:p w14:paraId="1460916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9.10诚信监管分析管理</w:t>
      </w:r>
    </w:p>
    <w:p w14:paraId="3D8228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利用大数据技术，对全市所有评价对象进行大数据分析，实时对当天、当周、当月的全市诚信情况进行汇总分析，实时反映本市诚信变化情况，同时提供统筹区和医疗机构、参保人的排名，通过大数据的分析原理，根据各项指标进行统计、数据挖掘，以图表、柱形图等表现方式呈现。</w:t>
      </w:r>
    </w:p>
    <w:p w14:paraId="0A855A6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9.11系统设置管理</w:t>
      </w:r>
    </w:p>
    <w:p w14:paraId="329833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通过对信用评价系统进行后台管理，管理多用户的权限和分组情况，以及用户CA认证和电子签章的管理，同时提供对评价指标的规则维护等。</w:t>
      </w:r>
    </w:p>
    <w:p w14:paraId="47862D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运维服务范围如下：</w:t>
      </w:r>
    </w:p>
    <w:tbl>
      <w:tblPr>
        <w:tblStyle w:val="16"/>
        <w:tblW w:w="5000" w:type="pct"/>
        <w:tblInd w:w="0" w:type="dxa"/>
        <w:tblLayout w:type="fixed"/>
        <w:tblCellMar>
          <w:top w:w="0" w:type="dxa"/>
          <w:left w:w="108" w:type="dxa"/>
          <w:bottom w:w="0" w:type="dxa"/>
          <w:right w:w="108" w:type="dxa"/>
        </w:tblCellMar>
      </w:tblPr>
      <w:tblGrid>
        <w:gridCol w:w="724"/>
        <w:gridCol w:w="1662"/>
        <w:gridCol w:w="2295"/>
        <w:gridCol w:w="1846"/>
        <w:gridCol w:w="1994"/>
      </w:tblGrid>
      <w:tr w14:paraId="0EC3539A">
        <w:tblPrEx>
          <w:tblCellMar>
            <w:top w:w="0" w:type="dxa"/>
            <w:left w:w="108" w:type="dxa"/>
            <w:bottom w:w="0" w:type="dxa"/>
            <w:right w:w="108" w:type="dxa"/>
          </w:tblCellMar>
        </w:tblPrEx>
        <w:trPr>
          <w:trHeight w:val="272" w:hRule="atLeast"/>
        </w:trPr>
        <w:tc>
          <w:tcPr>
            <w:tcW w:w="4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BD219">
            <w:pPr>
              <w:widowControl/>
              <w:spacing w:line="240" w:lineRule="auto"/>
              <w:ind w:firstLine="0" w:firstLineChars="0"/>
              <w:jc w:val="center"/>
              <w:textAlignment w:val="center"/>
              <w:rPr>
                <w:rFonts w:ascii="宋体" w:hAnsi="宋体" w:cs="宋体"/>
                <w:b/>
                <w:bCs/>
                <w:color w:val="auto"/>
                <w:szCs w:val="21"/>
                <w:highlight w:val="none"/>
              </w:rPr>
            </w:pPr>
            <w:r>
              <w:rPr>
                <w:rFonts w:hint="eastAsia" w:ascii="宋体" w:hAnsi="宋体" w:cs="宋体"/>
                <w:b/>
                <w:bCs/>
                <w:color w:val="auto"/>
                <w:kern w:val="0"/>
                <w:szCs w:val="21"/>
                <w:highlight w:val="none"/>
                <w:lang w:bidi="ar"/>
              </w:rPr>
              <w:t>序号</w:t>
            </w:r>
          </w:p>
        </w:tc>
        <w:tc>
          <w:tcPr>
            <w:tcW w:w="9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DA119">
            <w:pPr>
              <w:widowControl/>
              <w:spacing w:line="240" w:lineRule="auto"/>
              <w:ind w:firstLine="0" w:firstLineChars="0"/>
              <w:jc w:val="center"/>
              <w:textAlignment w:val="center"/>
              <w:rPr>
                <w:rFonts w:ascii="宋体" w:hAnsi="宋体" w:cs="宋体"/>
                <w:b/>
                <w:bCs/>
                <w:color w:val="auto"/>
                <w:kern w:val="0"/>
                <w:szCs w:val="21"/>
                <w:highlight w:val="none"/>
                <w:lang w:bidi="ar"/>
              </w:rPr>
            </w:pPr>
            <w:r>
              <w:rPr>
                <w:rFonts w:hint="eastAsia" w:ascii="宋体" w:hAnsi="宋体" w:cs="宋体"/>
                <w:b/>
                <w:bCs/>
                <w:color w:val="auto"/>
                <w:kern w:val="0"/>
                <w:szCs w:val="21"/>
                <w:highlight w:val="none"/>
                <w:lang w:bidi="ar"/>
              </w:rPr>
              <w:t>系统模块名称</w:t>
            </w:r>
          </w:p>
        </w:tc>
        <w:tc>
          <w:tcPr>
            <w:tcW w:w="3600"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CBFB0">
            <w:pPr>
              <w:widowControl/>
              <w:spacing w:line="240" w:lineRule="auto"/>
              <w:ind w:firstLine="0" w:firstLineChars="0"/>
              <w:jc w:val="center"/>
              <w:textAlignment w:val="center"/>
              <w:rPr>
                <w:rFonts w:ascii="宋体" w:hAnsi="宋体" w:cs="宋体"/>
                <w:b/>
                <w:bCs/>
                <w:color w:val="auto"/>
                <w:kern w:val="0"/>
                <w:szCs w:val="21"/>
                <w:highlight w:val="none"/>
                <w:lang w:bidi="ar"/>
              </w:rPr>
            </w:pPr>
            <w:r>
              <w:rPr>
                <w:rFonts w:hint="eastAsia" w:ascii="宋体" w:hAnsi="宋体" w:cs="宋体"/>
                <w:b/>
                <w:bCs/>
                <w:color w:val="auto"/>
                <w:kern w:val="0"/>
                <w:szCs w:val="21"/>
                <w:highlight w:val="none"/>
                <w:lang w:bidi="ar"/>
              </w:rPr>
              <w:t>功能模块</w:t>
            </w:r>
          </w:p>
        </w:tc>
      </w:tr>
      <w:tr w14:paraId="6D304A91">
        <w:tblPrEx>
          <w:tblCellMar>
            <w:top w:w="0" w:type="dxa"/>
            <w:left w:w="108" w:type="dxa"/>
            <w:bottom w:w="0" w:type="dxa"/>
            <w:right w:w="108" w:type="dxa"/>
          </w:tblCellMar>
        </w:tblPrEx>
        <w:trPr>
          <w:trHeight w:val="272" w:hRule="atLeast"/>
        </w:trPr>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E817E">
            <w:pPr>
              <w:widowControl/>
              <w:spacing w:line="240" w:lineRule="auto"/>
              <w:ind w:firstLine="0" w:firstLineChars="0"/>
              <w:jc w:val="center"/>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1</w:t>
            </w:r>
          </w:p>
        </w:tc>
        <w:tc>
          <w:tcPr>
            <w:tcW w:w="97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99AC0">
            <w:pPr>
              <w:widowControl/>
              <w:spacing w:line="240" w:lineRule="auto"/>
              <w:ind w:firstLine="0" w:firstLineChars="0"/>
              <w:jc w:val="center"/>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医视通</w:t>
            </w:r>
          </w:p>
        </w:tc>
        <w:tc>
          <w:tcPr>
            <w:tcW w:w="134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41D36">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Pad移动终端</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CE465">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业务经办审核</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BFEC4">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w:t>
            </w:r>
          </w:p>
        </w:tc>
      </w:tr>
      <w:tr w14:paraId="70353CE6">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F2351">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6CBDD">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F940A">
            <w:pPr>
              <w:spacing w:line="240" w:lineRule="auto"/>
              <w:ind w:firstLine="420"/>
              <w:jc w:val="left"/>
              <w:rPr>
                <w:rFonts w:ascii="宋体" w:hAnsi="宋体" w:cs="宋体"/>
                <w:color w:val="auto"/>
                <w:szCs w:val="21"/>
                <w:highlight w:val="none"/>
              </w:rPr>
            </w:pP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F419F">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专题数据分析</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1871F">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w:t>
            </w:r>
          </w:p>
        </w:tc>
      </w:tr>
      <w:tr w14:paraId="0F704C28">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F188B">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FBB23">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E699A">
            <w:pPr>
              <w:spacing w:line="240" w:lineRule="auto"/>
              <w:ind w:firstLine="420"/>
              <w:jc w:val="left"/>
              <w:rPr>
                <w:rFonts w:ascii="宋体" w:hAnsi="宋体" w:cs="宋体"/>
                <w:color w:val="auto"/>
                <w:szCs w:val="21"/>
                <w:highlight w:val="none"/>
              </w:rPr>
            </w:pP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DA2D0">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报表分析统计</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C6A8A">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w:t>
            </w:r>
          </w:p>
        </w:tc>
      </w:tr>
      <w:tr w14:paraId="0E312438">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28E42">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16FC6">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28633">
            <w:pPr>
              <w:spacing w:line="240" w:lineRule="auto"/>
              <w:ind w:firstLine="420"/>
              <w:jc w:val="left"/>
              <w:rPr>
                <w:rFonts w:ascii="宋体" w:hAnsi="宋体" w:cs="宋体"/>
                <w:color w:val="auto"/>
                <w:szCs w:val="21"/>
                <w:highlight w:val="none"/>
              </w:rPr>
            </w:pPr>
          </w:p>
        </w:tc>
        <w:tc>
          <w:tcPr>
            <w:tcW w:w="10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E0FB5">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移动执法</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9682A">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宏观版</w:t>
            </w:r>
          </w:p>
        </w:tc>
      </w:tr>
      <w:tr w14:paraId="6986A0D0">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B6F6E">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280B6">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D5FCC">
            <w:pPr>
              <w:spacing w:line="240" w:lineRule="auto"/>
              <w:ind w:firstLine="420"/>
              <w:jc w:val="left"/>
              <w:rPr>
                <w:rFonts w:ascii="宋体" w:hAnsi="宋体" w:cs="宋体"/>
                <w:color w:val="auto"/>
                <w:szCs w:val="21"/>
                <w:highlight w:val="none"/>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D2929">
            <w:pPr>
              <w:spacing w:line="240" w:lineRule="auto"/>
              <w:ind w:firstLine="420"/>
              <w:jc w:val="left"/>
              <w:rPr>
                <w:rFonts w:ascii="宋体" w:hAnsi="宋体" w:cs="宋体"/>
                <w:color w:val="auto"/>
                <w:szCs w:val="21"/>
                <w:highlight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547F6">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执法版</w:t>
            </w:r>
          </w:p>
        </w:tc>
      </w:tr>
      <w:tr w14:paraId="60012EED">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89A68">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7FC95">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E7F64">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数据监测大屏</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30142">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F2854">
            <w:pPr>
              <w:widowControl/>
              <w:spacing w:line="240" w:lineRule="auto"/>
              <w:ind w:firstLine="0" w:firstLineChars="0"/>
              <w:jc w:val="left"/>
              <w:textAlignment w:val="center"/>
              <w:rPr>
                <w:rFonts w:ascii="宋体" w:hAnsi="宋体" w:cs="宋体"/>
                <w:color w:val="auto"/>
                <w:szCs w:val="21"/>
                <w:highlight w:val="none"/>
              </w:rPr>
            </w:pPr>
            <w:r>
              <w:rPr>
                <w:rFonts w:hint="eastAsia" w:ascii="宋体" w:hAnsi="宋体" w:cs="宋体"/>
                <w:color w:val="auto"/>
                <w:kern w:val="0"/>
                <w:szCs w:val="21"/>
                <w:highlight w:val="none"/>
                <w:lang w:bidi="ar"/>
              </w:rPr>
              <w:t>/</w:t>
            </w:r>
          </w:p>
        </w:tc>
      </w:tr>
      <w:tr w14:paraId="66B7A15A">
        <w:tblPrEx>
          <w:tblCellMar>
            <w:top w:w="0" w:type="dxa"/>
            <w:left w:w="108" w:type="dxa"/>
            <w:bottom w:w="0" w:type="dxa"/>
            <w:right w:w="108" w:type="dxa"/>
          </w:tblCellMar>
        </w:tblPrEx>
        <w:trPr>
          <w:trHeight w:val="272" w:hRule="atLeast"/>
        </w:trPr>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C6683">
            <w:pPr>
              <w:widowControl/>
              <w:spacing w:line="240" w:lineRule="auto"/>
              <w:ind w:firstLine="0" w:firstLineChars="0"/>
              <w:jc w:val="center"/>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2</w:t>
            </w:r>
          </w:p>
        </w:tc>
        <w:tc>
          <w:tcPr>
            <w:tcW w:w="97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F84B3">
            <w:pPr>
              <w:widowControl/>
              <w:spacing w:line="240" w:lineRule="auto"/>
              <w:ind w:firstLine="0" w:firstLineChars="0"/>
              <w:jc w:val="center"/>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公共服务</w:t>
            </w:r>
          </w:p>
        </w:tc>
        <w:tc>
          <w:tcPr>
            <w:tcW w:w="134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E9CF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系统管理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C1E3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身份认证</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F19C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4BFB56FF">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421A9">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064A6">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0B7E3">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2EAE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权限管理</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363F4">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7CF05090">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201AE">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3DFA7">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805A1">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764CC">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 xml:space="preserve"> CMS内容管理</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7E68C">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53593DF1">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69790">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A50F0">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3E681">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548EE">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公共服务功能API</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C49E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05882BD6">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8BD43">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ECCAB">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A03A3">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22D0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公共服务运行监测</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FBF4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591CD167">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0D893">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ACA19">
            <w:pPr>
              <w:spacing w:line="240" w:lineRule="auto"/>
              <w:ind w:firstLine="420"/>
              <w:jc w:val="center"/>
              <w:rPr>
                <w:rFonts w:ascii="宋体" w:hAnsi="宋体" w:cs="宋体"/>
                <w:color w:val="auto"/>
                <w:kern w:val="0"/>
                <w:szCs w:val="21"/>
                <w:highlight w:val="none"/>
                <w:lang w:bidi="ar"/>
              </w:rPr>
            </w:pPr>
          </w:p>
        </w:tc>
        <w:tc>
          <w:tcPr>
            <w:tcW w:w="134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0F65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网上服务大厅</w:t>
            </w:r>
          </w:p>
        </w:tc>
        <w:tc>
          <w:tcPr>
            <w:tcW w:w="1083" w:type="pct"/>
            <w:vMerge w:val="restart"/>
            <w:tcBorders>
              <w:top w:val="single" w:color="000000" w:sz="4" w:space="0"/>
              <w:left w:val="single" w:color="000000" w:sz="4" w:space="0"/>
              <w:right w:val="single" w:color="000000" w:sz="4" w:space="0"/>
            </w:tcBorders>
            <w:shd w:val="clear" w:color="auto" w:fill="auto"/>
            <w:noWrap/>
            <w:vAlign w:val="center"/>
          </w:tcPr>
          <w:p w14:paraId="6819834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个人中心</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02CE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注册和登录</w:t>
            </w:r>
          </w:p>
        </w:tc>
      </w:tr>
      <w:tr w14:paraId="67A9A68D">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5B7B2">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B1606">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C6C47">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left w:val="single" w:color="000000" w:sz="4" w:space="0"/>
              <w:right w:val="single" w:color="000000" w:sz="4" w:space="0"/>
            </w:tcBorders>
            <w:shd w:val="clear" w:color="auto" w:fill="auto"/>
            <w:noWrap/>
            <w:vAlign w:val="center"/>
          </w:tcPr>
          <w:p w14:paraId="39068E66">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1620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业务办理</w:t>
            </w:r>
          </w:p>
        </w:tc>
      </w:tr>
      <w:tr w14:paraId="09B4DE1E">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85743">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553FA">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5D70B">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left w:val="single" w:color="000000" w:sz="4" w:space="0"/>
              <w:right w:val="single" w:color="000000" w:sz="4" w:space="0"/>
            </w:tcBorders>
            <w:shd w:val="clear" w:color="auto" w:fill="auto"/>
            <w:noWrap/>
            <w:vAlign w:val="center"/>
          </w:tcPr>
          <w:p w14:paraId="1BE9B75F">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2C904">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个人权益</w:t>
            </w:r>
          </w:p>
        </w:tc>
      </w:tr>
      <w:tr w14:paraId="519D3E24">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58707">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76F34">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6679C">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left w:val="single" w:color="000000" w:sz="4" w:space="0"/>
              <w:right w:val="single" w:color="000000" w:sz="4" w:space="0"/>
            </w:tcBorders>
            <w:shd w:val="clear" w:color="auto" w:fill="auto"/>
            <w:noWrap/>
            <w:vAlign w:val="center"/>
          </w:tcPr>
          <w:p w14:paraId="15B3A0E2">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F68D7">
            <w:pPr>
              <w:widowControl/>
              <w:spacing w:line="240" w:lineRule="auto"/>
              <w:ind w:firstLine="0" w:firstLineChars="0"/>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个人异地就医经办</w:t>
            </w:r>
          </w:p>
        </w:tc>
      </w:tr>
      <w:tr w14:paraId="376DB1ED">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8E59A">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591E5">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8026B">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left w:val="single" w:color="000000" w:sz="4" w:space="0"/>
              <w:right w:val="single" w:color="000000" w:sz="4" w:space="0"/>
            </w:tcBorders>
            <w:shd w:val="clear" w:color="auto" w:fill="auto"/>
            <w:noWrap/>
            <w:vAlign w:val="center"/>
          </w:tcPr>
          <w:p w14:paraId="36A2EE6A">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53972">
            <w:pPr>
              <w:widowControl/>
              <w:spacing w:line="240" w:lineRule="auto"/>
              <w:ind w:firstLine="0" w:firstLineChars="0"/>
              <w:jc w:val="left"/>
              <w:textAlignment w:val="center"/>
              <w:rPr>
                <w:rFonts w:hint="eastAsia" w:ascii="宋体" w:hAnsi="宋体" w:cs="宋体"/>
                <w:color w:val="auto"/>
                <w:kern w:val="0"/>
                <w:szCs w:val="21"/>
                <w:highlight w:val="none"/>
                <w:lang w:bidi="ar"/>
              </w:rPr>
            </w:pPr>
            <w:r>
              <w:rPr>
                <w:rFonts w:hint="default" w:ascii="宋体" w:hAnsi="宋体" w:cs="宋体"/>
                <w:color w:val="auto"/>
                <w:kern w:val="0"/>
                <w:szCs w:val="21"/>
                <w:highlight w:val="none"/>
                <w:lang w:val="en-US" w:eastAsia="zh-CN" w:bidi="ar"/>
              </w:rPr>
              <w:t>智能提示</w:t>
            </w:r>
          </w:p>
          <w:p w14:paraId="26B8ACE7">
            <w:pPr>
              <w:widowControl/>
              <w:spacing w:line="240" w:lineRule="auto"/>
              <w:ind w:firstLine="0" w:firstLineChars="0"/>
              <w:jc w:val="left"/>
              <w:textAlignment w:val="center"/>
              <w:rPr>
                <w:rFonts w:hint="default" w:ascii="宋体" w:hAnsi="宋体" w:cs="宋体"/>
                <w:color w:val="auto"/>
                <w:kern w:val="0"/>
                <w:szCs w:val="21"/>
                <w:highlight w:val="none"/>
                <w:lang w:val="en-US" w:eastAsia="zh-CN" w:bidi="ar"/>
              </w:rPr>
            </w:pPr>
          </w:p>
        </w:tc>
      </w:tr>
      <w:tr w14:paraId="1BC87281">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A1724">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002BA">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36BE5">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left w:val="single" w:color="000000" w:sz="4" w:space="0"/>
              <w:right w:val="single" w:color="000000" w:sz="4" w:space="0"/>
            </w:tcBorders>
            <w:shd w:val="clear" w:color="auto" w:fill="auto"/>
            <w:noWrap/>
            <w:vAlign w:val="center"/>
          </w:tcPr>
          <w:p w14:paraId="43812E89">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311ED">
            <w:pPr>
              <w:widowControl/>
              <w:spacing w:line="240" w:lineRule="auto"/>
              <w:ind w:firstLine="0" w:firstLineChars="0"/>
              <w:jc w:val="left"/>
              <w:textAlignment w:val="center"/>
              <w:rPr>
                <w:rFonts w:hint="default" w:ascii="宋体" w:hAnsi="宋体" w:cs="宋体"/>
                <w:color w:val="auto"/>
                <w:kern w:val="0"/>
                <w:szCs w:val="21"/>
                <w:highlight w:val="none"/>
                <w:lang w:val="en-US" w:eastAsia="zh-CN" w:bidi="ar"/>
              </w:rPr>
            </w:pPr>
            <w:r>
              <w:rPr>
                <w:rFonts w:hint="default" w:ascii="宋体" w:hAnsi="宋体" w:cs="宋体"/>
                <w:color w:val="auto"/>
                <w:kern w:val="0"/>
                <w:szCs w:val="21"/>
                <w:highlight w:val="none"/>
                <w:lang w:val="en-US" w:eastAsia="zh-CN" w:bidi="ar"/>
              </w:rPr>
              <w:t>城多居民三级医院登记</w:t>
            </w:r>
          </w:p>
          <w:p w14:paraId="28789552">
            <w:pPr>
              <w:widowControl/>
              <w:spacing w:line="240" w:lineRule="auto"/>
              <w:ind w:firstLine="0" w:firstLineChars="0"/>
              <w:jc w:val="left"/>
              <w:textAlignment w:val="center"/>
              <w:rPr>
                <w:rFonts w:hint="eastAsia" w:ascii="宋体" w:hAnsi="宋体" w:cs="宋体"/>
                <w:color w:val="auto"/>
                <w:kern w:val="0"/>
                <w:szCs w:val="21"/>
                <w:highlight w:val="none"/>
                <w:lang w:bidi="ar"/>
              </w:rPr>
            </w:pPr>
          </w:p>
        </w:tc>
      </w:tr>
      <w:tr w14:paraId="48E853C3">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80842">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EAAD2">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AD5AF">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left w:val="single" w:color="000000" w:sz="4" w:space="0"/>
              <w:bottom w:val="single" w:color="000000" w:sz="4" w:space="0"/>
              <w:right w:val="single" w:color="000000" w:sz="4" w:space="0"/>
            </w:tcBorders>
            <w:shd w:val="clear" w:color="auto" w:fill="auto"/>
            <w:noWrap/>
            <w:vAlign w:val="center"/>
          </w:tcPr>
          <w:p w14:paraId="36CF4CBA">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F1BF7">
            <w:pPr>
              <w:widowControl/>
              <w:spacing w:line="240" w:lineRule="auto"/>
              <w:ind w:firstLine="0" w:firstLineChars="0"/>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门特医院记变更</w:t>
            </w:r>
          </w:p>
        </w:tc>
      </w:tr>
      <w:tr w14:paraId="7C8FB97A">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4300B">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7DD29">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BDA11">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4AC3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单位中心</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B2956">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单位管理</w:t>
            </w:r>
          </w:p>
        </w:tc>
      </w:tr>
      <w:tr w14:paraId="499587DF">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C87D7">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61004">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C6EC7">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4058D">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6430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职工缴费管理</w:t>
            </w:r>
          </w:p>
        </w:tc>
      </w:tr>
      <w:tr w14:paraId="228F4338">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197E1">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B1B5F">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7A33E">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F3EB2">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F1DD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派遣缴费管理</w:t>
            </w:r>
          </w:p>
        </w:tc>
      </w:tr>
      <w:tr w14:paraId="29269D07">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F557B">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88A89">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1E3BD">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21C8E">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1B3C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职工状态申报</w:t>
            </w:r>
          </w:p>
        </w:tc>
      </w:tr>
      <w:tr w14:paraId="5AA5FF22">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AACA8">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91466">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DB55B">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D13E8">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46103">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医疗保险待遇管理</w:t>
            </w:r>
          </w:p>
        </w:tc>
      </w:tr>
      <w:tr w14:paraId="2E9DE747">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14E35">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382FC">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3E329">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263C6">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53AD7">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生育保险待遇管理</w:t>
            </w:r>
          </w:p>
        </w:tc>
      </w:tr>
      <w:tr w14:paraId="1A62BD7B">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1BAAB">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0064D">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CB51E">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41980">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17DD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申请提交</w:t>
            </w:r>
          </w:p>
        </w:tc>
      </w:tr>
      <w:tr w14:paraId="75B6ED01">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10A4C">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7F0EE">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2A13B">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D15DC">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B54DC">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审核结果</w:t>
            </w:r>
          </w:p>
        </w:tc>
      </w:tr>
      <w:tr w14:paraId="039F0ACB">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C61F4">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9A45D">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3E36A">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D786A">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BE14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信息查询</w:t>
            </w:r>
          </w:p>
        </w:tc>
      </w:tr>
      <w:tr w14:paraId="6F4C5885">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C0330">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54FBB">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2EA41">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6456F">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C9856">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报表打印</w:t>
            </w:r>
          </w:p>
        </w:tc>
      </w:tr>
      <w:tr w14:paraId="26BA7224">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D92BA">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66863">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92705">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restart"/>
            <w:tcBorders>
              <w:top w:val="single" w:color="000000" w:sz="4" w:space="0"/>
              <w:left w:val="single" w:color="000000" w:sz="4" w:space="0"/>
              <w:right w:val="single" w:color="000000" w:sz="4" w:space="0"/>
            </w:tcBorders>
            <w:shd w:val="clear" w:color="auto" w:fill="auto"/>
            <w:noWrap/>
            <w:vAlign w:val="center"/>
          </w:tcPr>
          <w:p w14:paraId="7113087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医药机构</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8FC21">
            <w:pPr>
              <w:widowControl/>
              <w:spacing w:line="240" w:lineRule="auto"/>
              <w:ind w:firstLine="0" w:firstLineChars="0"/>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接口发布查询</w:t>
            </w:r>
          </w:p>
        </w:tc>
      </w:tr>
      <w:tr w14:paraId="6435BE40">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C9F2F">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D008C">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08722">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left w:val="single" w:color="000000" w:sz="4" w:space="0"/>
              <w:right w:val="single" w:color="000000" w:sz="4" w:space="0"/>
            </w:tcBorders>
            <w:shd w:val="clear" w:color="auto" w:fill="auto"/>
            <w:noWrap/>
            <w:vAlign w:val="center"/>
          </w:tcPr>
          <w:p w14:paraId="5AB218CE">
            <w:pPr>
              <w:widowControl/>
              <w:spacing w:line="240" w:lineRule="auto"/>
              <w:ind w:firstLine="0" w:firstLineChars="0"/>
              <w:jc w:val="left"/>
              <w:textAlignment w:val="center"/>
              <w:rPr>
                <w:rFonts w:hint="eastAsia"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02FE7">
            <w:pPr>
              <w:widowControl/>
              <w:spacing w:line="240" w:lineRule="auto"/>
              <w:ind w:firstLine="0" w:firstLineChars="0"/>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DIP/DRG业务查询</w:t>
            </w:r>
          </w:p>
        </w:tc>
      </w:tr>
      <w:tr w14:paraId="6C14931C">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9272F">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C0D23">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0F2D6">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left w:val="single" w:color="000000" w:sz="4" w:space="0"/>
              <w:bottom w:val="single" w:color="000000" w:sz="4" w:space="0"/>
              <w:right w:val="single" w:color="000000" w:sz="4" w:space="0"/>
            </w:tcBorders>
            <w:shd w:val="clear" w:color="auto" w:fill="auto"/>
            <w:noWrap/>
            <w:vAlign w:val="center"/>
          </w:tcPr>
          <w:p w14:paraId="01A7BA06">
            <w:pPr>
              <w:widowControl/>
              <w:spacing w:line="240" w:lineRule="auto"/>
              <w:ind w:firstLine="0" w:firstLineChars="0"/>
              <w:jc w:val="left"/>
              <w:textAlignment w:val="center"/>
              <w:rPr>
                <w:rFonts w:hint="eastAsia"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BCD84">
            <w:pPr>
              <w:widowControl/>
              <w:spacing w:line="240" w:lineRule="auto"/>
              <w:ind w:firstLine="0" w:firstLineChars="0"/>
              <w:jc w:val="left"/>
              <w:textAlignment w:val="center"/>
              <w:rPr>
                <w:rFonts w:hint="eastAsia" w:ascii="宋体" w:hAnsi="宋体" w:cs="宋体"/>
                <w:color w:val="auto"/>
                <w:kern w:val="0"/>
                <w:szCs w:val="21"/>
                <w:highlight w:val="none"/>
                <w:lang w:bidi="ar"/>
              </w:rPr>
            </w:pPr>
            <w:r>
              <w:rPr>
                <w:rFonts w:hint="eastAsia" w:ascii="宋体" w:hAnsi="宋体" w:cs="宋体"/>
                <w:color w:val="auto"/>
                <w:kern w:val="0"/>
                <w:szCs w:val="21"/>
                <w:highlight w:val="none"/>
                <w:lang w:bidi="ar"/>
              </w:rPr>
              <w:t>DIP/DRG业务办理</w:t>
            </w:r>
          </w:p>
        </w:tc>
      </w:tr>
      <w:tr w14:paraId="429D62D0">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91EDD">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3B499">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31984">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F8684">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专家库</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DA0EF">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44BB6B59">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C7F25">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56133">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83CC9">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DDCB3">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生产和配送企业</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81A0C">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09180D5F">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F7F8C">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AC0DF">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96539">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45AFC">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咨询中心</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0480A">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3F5E7E2B">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8B4BE">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B190F">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76DC8">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392A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宣传中心</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01B9F">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信息中心</w:t>
            </w:r>
          </w:p>
        </w:tc>
      </w:tr>
      <w:tr w14:paraId="4FFE8A03">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15AA9">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86993">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7FF54">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95EE7">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4E574">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法律事务服务</w:t>
            </w:r>
          </w:p>
        </w:tc>
      </w:tr>
      <w:tr w14:paraId="7D48DDED">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D29F0">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1743D">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9A658">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8B872">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F039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本市特色信息查询</w:t>
            </w:r>
          </w:p>
        </w:tc>
      </w:tr>
      <w:tr w14:paraId="145531C5">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D2E6B">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0671E">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312C9">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39DEC">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监督中心</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B3A7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信访管理</w:t>
            </w:r>
          </w:p>
        </w:tc>
      </w:tr>
      <w:tr w14:paraId="0AB65BCD">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1F111">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1C32A">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B5581">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01440">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F3DD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投诉举报</w:t>
            </w:r>
          </w:p>
        </w:tc>
      </w:tr>
      <w:tr w14:paraId="534B1CF5">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3CE45">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69597">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080AE">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6413F">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三目信息同步平台</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6413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04188D1B">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97261">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01A52">
            <w:pPr>
              <w:spacing w:line="240" w:lineRule="auto"/>
              <w:ind w:firstLine="420"/>
              <w:jc w:val="center"/>
              <w:rPr>
                <w:rFonts w:ascii="宋体" w:hAnsi="宋体" w:cs="宋体"/>
                <w:color w:val="auto"/>
                <w:kern w:val="0"/>
                <w:szCs w:val="21"/>
                <w:highlight w:val="none"/>
                <w:lang w:bidi="ar"/>
              </w:rPr>
            </w:pPr>
          </w:p>
        </w:tc>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8F985">
            <w:pPr>
              <w:widowControl/>
              <w:spacing w:line="240" w:lineRule="auto"/>
              <w:ind w:firstLine="0" w:firstLineChars="0"/>
              <w:jc w:val="left"/>
              <w:textAlignment w:val="center"/>
              <w:rPr>
                <w:rFonts w:ascii="宋体" w:hAnsi="宋体" w:cs="宋体"/>
                <w:color w:val="auto"/>
                <w:kern w:val="0"/>
                <w:szCs w:val="21"/>
                <w:highlight w:val="none"/>
                <w:lang w:bidi="ar"/>
              </w:rPr>
            </w:pP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EFADA">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一制三化</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C2EDF">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2BF81EC4">
        <w:tblPrEx>
          <w:tblCellMar>
            <w:top w:w="0" w:type="dxa"/>
            <w:left w:w="108" w:type="dxa"/>
            <w:bottom w:w="0" w:type="dxa"/>
            <w:right w:w="108" w:type="dxa"/>
          </w:tblCellMar>
        </w:tblPrEx>
        <w:trPr>
          <w:trHeight w:val="272" w:hRule="atLeast"/>
        </w:trPr>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D47A7">
            <w:pPr>
              <w:widowControl/>
              <w:spacing w:line="240" w:lineRule="auto"/>
              <w:ind w:firstLine="0" w:firstLineChars="0"/>
              <w:jc w:val="center"/>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3</w:t>
            </w:r>
          </w:p>
        </w:tc>
        <w:tc>
          <w:tcPr>
            <w:tcW w:w="97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983BA">
            <w:pPr>
              <w:widowControl/>
              <w:spacing w:line="240" w:lineRule="auto"/>
              <w:ind w:firstLine="0" w:firstLineChars="0"/>
              <w:jc w:val="center"/>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业务协同</w:t>
            </w: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4604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用户管理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A053E">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8EDD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4106C5D5">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C8989">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ED189">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8A62C">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消息中心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3C586">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8AE3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22EB8450">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66128">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77986">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00D03">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会议通知</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0B6A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23FB2">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64D73417">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32314">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C89FD">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06C2F">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本市业务协同管理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D309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7FFCC">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32E81DED">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D6AC2">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42246">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F8E4F">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异地就医业务协同</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FB83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59EC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1A0CEE91">
        <w:tblPrEx>
          <w:tblCellMar>
            <w:top w:w="0" w:type="dxa"/>
            <w:left w:w="108" w:type="dxa"/>
            <w:bottom w:w="0" w:type="dxa"/>
            <w:right w:w="108" w:type="dxa"/>
          </w:tblCellMar>
        </w:tblPrEx>
        <w:trPr>
          <w:trHeight w:val="272" w:hRule="atLeast"/>
        </w:trPr>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9C78D">
            <w:pPr>
              <w:widowControl/>
              <w:spacing w:line="240" w:lineRule="auto"/>
              <w:ind w:firstLine="0" w:firstLineChars="0"/>
              <w:jc w:val="center"/>
              <w:textAlignment w:val="center"/>
              <w:rPr>
                <w:rFonts w:hint="eastAsia" w:ascii="宋体" w:hAnsi="宋体" w:eastAsia="宋体" w:cs="宋体"/>
                <w:color w:val="auto"/>
                <w:kern w:val="0"/>
                <w:szCs w:val="21"/>
                <w:highlight w:val="none"/>
                <w:lang w:eastAsia="zh-CN" w:bidi="ar"/>
              </w:rPr>
            </w:pPr>
            <w:r>
              <w:rPr>
                <w:rFonts w:hint="eastAsia" w:ascii="宋体" w:hAnsi="宋体" w:cs="宋体"/>
                <w:color w:val="auto"/>
                <w:kern w:val="0"/>
                <w:szCs w:val="21"/>
                <w:highlight w:val="none"/>
                <w:lang w:val="en-US" w:eastAsia="zh-CN" w:bidi="ar"/>
              </w:rPr>
              <w:t>4</w:t>
            </w:r>
          </w:p>
        </w:tc>
        <w:tc>
          <w:tcPr>
            <w:tcW w:w="97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ED394">
            <w:pPr>
              <w:widowControl/>
              <w:spacing w:line="240" w:lineRule="auto"/>
              <w:ind w:firstLine="0" w:firstLineChars="0"/>
              <w:jc w:val="center"/>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智能客服</w:t>
            </w: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7C9EE">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医保知识库管理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937E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C5E36">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7823E530">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49E7C">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F509C">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9D43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个人基本信息查询</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20B4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15A5E">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0B3CEE87">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AEF7A">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FF805">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6A087">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医保经办相关查询</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B71E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EECB2">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316BB638">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35BCD">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AD953">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55C7E">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医保结算相关查询</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3BD1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C05D2">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2F42A155">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B9FD6">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A4701">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865E7">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val="en-US" w:eastAsia="zh-CN" w:bidi="ar"/>
              </w:rPr>
              <w:t>备用</w:t>
            </w:r>
            <w:r>
              <w:rPr>
                <w:rFonts w:hint="eastAsia" w:ascii="宋体" w:hAnsi="宋体" w:cs="宋体"/>
                <w:color w:val="auto"/>
                <w:kern w:val="0"/>
                <w:szCs w:val="21"/>
                <w:highlight w:val="none"/>
                <w:lang w:bidi="ar"/>
              </w:rPr>
              <w:t>人工客服</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F6342">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03E9A">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6AFD86ED">
        <w:tblPrEx>
          <w:tblCellMar>
            <w:top w:w="0" w:type="dxa"/>
            <w:left w:w="108" w:type="dxa"/>
            <w:bottom w:w="0" w:type="dxa"/>
            <w:right w:w="108" w:type="dxa"/>
          </w:tblCellMar>
        </w:tblPrEx>
        <w:trPr>
          <w:trHeight w:val="272" w:hRule="atLeast"/>
        </w:trPr>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AC2C0">
            <w:pPr>
              <w:widowControl/>
              <w:spacing w:line="240" w:lineRule="auto"/>
              <w:ind w:firstLine="0" w:firstLineChars="0"/>
              <w:jc w:val="center"/>
              <w:textAlignment w:val="center"/>
              <w:rPr>
                <w:rFonts w:hint="eastAsia" w:ascii="宋体" w:hAnsi="宋体" w:eastAsia="宋体" w:cs="宋体"/>
                <w:color w:val="auto"/>
                <w:kern w:val="0"/>
                <w:szCs w:val="21"/>
                <w:highlight w:val="none"/>
                <w:lang w:eastAsia="zh-CN" w:bidi="ar"/>
              </w:rPr>
            </w:pPr>
            <w:r>
              <w:rPr>
                <w:rFonts w:hint="eastAsia" w:ascii="宋体" w:hAnsi="宋体" w:cs="宋体"/>
                <w:color w:val="auto"/>
                <w:kern w:val="0"/>
                <w:szCs w:val="21"/>
                <w:highlight w:val="none"/>
                <w:lang w:val="en-US" w:eastAsia="zh-CN" w:bidi="ar"/>
              </w:rPr>
              <w:t>5</w:t>
            </w:r>
          </w:p>
        </w:tc>
        <w:tc>
          <w:tcPr>
            <w:tcW w:w="97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1D959">
            <w:pPr>
              <w:widowControl/>
              <w:spacing w:line="240" w:lineRule="auto"/>
              <w:ind w:firstLine="0" w:firstLineChars="0"/>
              <w:jc w:val="center"/>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专家智库</w:t>
            </w: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B3B5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基础数据</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1EF6A">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F9A0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77BF9953">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D0110">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E6627">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8B627">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专家服务</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83A9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B437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4EE890CE">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586FC">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5C309">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EB9C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专家管理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5DD77">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D345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3597BE2A">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66009">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4CC34">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1D7C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抽取终端</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59A7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1535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04380CB9">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70F38">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B878B">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12EF3">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项目管理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D4EB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D17E7">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66A98D47">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9994B">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55500">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DCC77">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抽取管理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1552E">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0085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7ACA1417">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72593">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87034">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1847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专家通知</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76DE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1735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4335134E">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4F427">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62D93">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8FEA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专家评价</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B711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D196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52250BA4">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22F97">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D3191">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8420E">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专家培训</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7897E">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A087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59114660">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B0824">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79063">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C548A">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统计查询</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8618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AE4A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3D297C6E">
        <w:tblPrEx>
          <w:tblCellMar>
            <w:top w:w="0" w:type="dxa"/>
            <w:left w:w="108" w:type="dxa"/>
            <w:bottom w:w="0" w:type="dxa"/>
            <w:right w:w="108" w:type="dxa"/>
          </w:tblCellMar>
        </w:tblPrEx>
        <w:trPr>
          <w:trHeight w:val="272" w:hRule="atLeast"/>
        </w:trPr>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3E3A9">
            <w:pPr>
              <w:widowControl/>
              <w:spacing w:line="240" w:lineRule="auto"/>
              <w:ind w:firstLine="0" w:firstLineChars="0"/>
              <w:jc w:val="center"/>
              <w:textAlignment w:val="center"/>
              <w:rPr>
                <w:rFonts w:hint="eastAsia" w:ascii="宋体" w:hAnsi="宋体" w:eastAsia="宋体" w:cs="宋体"/>
                <w:color w:val="auto"/>
                <w:kern w:val="0"/>
                <w:szCs w:val="21"/>
                <w:highlight w:val="none"/>
                <w:lang w:eastAsia="zh-CN" w:bidi="ar"/>
              </w:rPr>
            </w:pPr>
            <w:r>
              <w:rPr>
                <w:rFonts w:hint="eastAsia" w:ascii="宋体" w:hAnsi="宋体" w:cs="宋体"/>
                <w:color w:val="auto"/>
                <w:kern w:val="0"/>
                <w:szCs w:val="21"/>
                <w:highlight w:val="none"/>
                <w:lang w:val="en-US" w:eastAsia="zh-CN" w:bidi="ar"/>
              </w:rPr>
              <w:t>6</w:t>
            </w:r>
          </w:p>
        </w:tc>
        <w:tc>
          <w:tcPr>
            <w:tcW w:w="97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8FC84">
            <w:pPr>
              <w:widowControl/>
              <w:spacing w:line="240" w:lineRule="auto"/>
              <w:ind w:firstLine="0" w:firstLineChars="0"/>
              <w:jc w:val="center"/>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公共服务区业务中台</w:t>
            </w: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2561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用户中心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EB9E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C03D6">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0309173B">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F039C">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2744D">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5EAE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统一认证中心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D5E53">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63E6A">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08F12355">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9AE14">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A4EE8">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18E7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服务事项中心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72973">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111C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23E18C48">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9112A">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36259">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DCF62">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CMS中心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10BD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C054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1982610E">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4D483">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EDD66">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E0AC4">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咨询中心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E6173">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6C9DE">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0A4CDD50">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D611D">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3DE33">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F5D0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电子凭证中心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69E1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5D7B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5AAC4347">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F70D1">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43D96">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B6AA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电子票据中心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7DCF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E0623">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0823DA2D">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E78A3">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AA864">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7025E">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消息推送中心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60E7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0796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32BA1FD8">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B6FF1">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5221B">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827B3">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知识库中心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86F94">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41A6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0521FAEB">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06AC0">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D3FA5">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637E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位置管理中心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92A06">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21211">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71760EB7">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D1C53">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7130C">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BA456">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个人服务中心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F59FA">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ECA0E">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0AF721BC">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278E1">
            <w:pPr>
              <w:spacing w:line="240" w:lineRule="auto"/>
              <w:ind w:firstLine="420"/>
              <w:jc w:val="center"/>
              <w:rPr>
                <w:rFonts w:ascii="宋体" w:hAnsi="宋体" w:cs="宋体"/>
                <w:color w:val="auto"/>
                <w:kern w:val="0"/>
                <w:szCs w:val="21"/>
                <w:highlight w:val="none"/>
                <w:lang w:bidi="ar"/>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7137A">
            <w:pPr>
              <w:spacing w:line="240" w:lineRule="auto"/>
              <w:ind w:firstLine="420"/>
              <w:jc w:val="center"/>
              <w:rPr>
                <w:rFonts w:ascii="宋体" w:hAnsi="宋体" w:cs="宋体"/>
                <w:color w:val="auto"/>
                <w:kern w:val="0"/>
                <w:szCs w:val="21"/>
                <w:highlight w:val="none"/>
                <w:lang w:bidi="ar"/>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9C36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单位服务中心</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F435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E135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15327CE0">
        <w:tblPrEx>
          <w:tblCellMar>
            <w:top w:w="0" w:type="dxa"/>
            <w:left w:w="108" w:type="dxa"/>
            <w:bottom w:w="0" w:type="dxa"/>
            <w:right w:w="108" w:type="dxa"/>
          </w:tblCellMar>
        </w:tblPrEx>
        <w:trPr>
          <w:trHeight w:val="272" w:hRule="atLeast"/>
        </w:trPr>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E821E">
            <w:pPr>
              <w:widowControl/>
              <w:spacing w:line="240" w:lineRule="auto"/>
              <w:ind w:firstLine="0" w:firstLineChars="0"/>
              <w:jc w:val="center"/>
              <w:textAlignment w:val="center"/>
              <w:rPr>
                <w:rFonts w:hint="eastAsia" w:ascii="宋体" w:hAnsi="宋体" w:eastAsia="宋体" w:cs="宋体"/>
                <w:color w:val="auto"/>
                <w:kern w:val="0"/>
                <w:szCs w:val="21"/>
                <w:highlight w:val="none"/>
                <w:lang w:eastAsia="zh-CN" w:bidi="ar"/>
              </w:rPr>
            </w:pPr>
            <w:r>
              <w:rPr>
                <w:rFonts w:hint="eastAsia" w:ascii="宋体" w:hAnsi="宋体" w:cs="宋体"/>
                <w:color w:val="auto"/>
                <w:kern w:val="0"/>
                <w:szCs w:val="21"/>
                <w:highlight w:val="none"/>
                <w:lang w:val="en-US" w:eastAsia="zh-CN" w:bidi="ar"/>
              </w:rPr>
              <w:t>7</w:t>
            </w:r>
          </w:p>
        </w:tc>
        <w:tc>
          <w:tcPr>
            <w:tcW w:w="97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5AFB5">
            <w:pPr>
              <w:widowControl/>
              <w:spacing w:line="240" w:lineRule="auto"/>
              <w:ind w:firstLine="0" w:firstLineChars="0"/>
              <w:jc w:val="center"/>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信用评价管理</w:t>
            </w: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00FAC">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信用数据采集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DA4E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859F2">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23ED85FA">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98AE5">
            <w:pPr>
              <w:spacing w:line="240" w:lineRule="auto"/>
              <w:ind w:firstLine="420"/>
              <w:jc w:val="center"/>
              <w:rPr>
                <w:rFonts w:ascii="宋体" w:hAnsi="宋体" w:cs="宋体"/>
                <w:color w:val="auto"/>
                <w:szCs w:val="21"/>
                <w:highlight w:val="none"/>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BDE15">
            <w:pPr>
              <w:spacing w:line="240" w:lineRule="auto"/>
              <w:ind w:firstLine="420"/>
              <w:jc w:val="center"/>
              <w:rPr>
                <w:rFonts w:ascii="宋体" w:hAnsi="宋体" w:cs="宋体"/>
                <w:color w:val="auto"/>
                <w:szCs w:val="21"/>
                <w:highlight w:val="none"/>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6138A">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信用分析</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9A89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2F7E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2DB65591">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822F9">
            <w:pPr>
              <w:spacing w:line="240" w:lineRule="auto"/>
              <w:ind w:firstLine="420"/>
              <w:jc w:val="center"/>
              <w:rPr>
                <w:rFonts w:ascii="宋体" w:hAnsi="宋体" w:cs="宋体"/>
                <w:color w:val="auto"/>
                <w:szCs w:val="21"/>
                <w:highlight w:val="none"/>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8CE57">
            <w:pPr>
              <w:spacing w:line="240" w:lineRule="auto"/>
              <w:ind w:firstLine="420"/>
              <w:jc w:val="center"/>
              <w:rPr>
                <w:rFonts w:ascii="宋体" w:hAnsi="宋体" w:cs="宋体"/>
                <w:color w:val="auto"/>
                <w:szCs w:val="21"/>
                <w:highlight w:val="none"/>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809A6">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处罚信息上报</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E26F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FF8DA">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2D031EA8">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963E6">
            <w:pPr>
              <w:spacing w:line="240" w:lineRule="auto"/>
              <w:ind w:firstLine="420"/>
              <w:jc w:val="center"/>
              <w:rPr>
                <w:rFonts w:ascii="宋体" w:hAnsi="宋体" w:cs="宋体"/>
                <w:color w:val="auto"/>
                <w:szCs w:val="21"/>
                <w:highlight w:val="none"/>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24A57">
            <w:pPr>
              <w:spacing w:line="240" w:lineRule="auto"/>
              <w:ind w:firstLine="420"/>
              <w:jc w:val="center"/>
              <w:rPr>
                <w:rFonts w:ascii="宋体" w:hAnsi="宋体" w:cs="宋体"/>
                <w:color w:val="auto"/>
                <w:szCs w:val="21"/>
                <w:highlight w:val="none"/>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1EDA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信用发布管理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0997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230E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285E3669">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681CB">
            <w:pPr>
              <w:spacing w:line="240" w:lineRule="auto"/>
              <w:ind w:firstLine="420"/>
              <w:jc w:val="center"/>
              <w:rPr>
                <w:rFonts w:ascii="宋体" w:hAnsi="宋体" w:cs="宋体"/>
                <w:color w:val="auto"/>
                <w:szCs w:val="21"/>
                <w:highlight w:val="none"/>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629A1">
            <w:pPr>
              <w:spacing w:line="240" w:lineRule="auto"/>
              <w:ind w:firstLine="420"/>
              <w:jc w:val="center"/>
              <w:rPr>
                <w:rFonts w:ascii="宋体" w:hAnsi="宋体" w:cs="宋体"/>
                <w:color w:val="auto"/>
                <w:szCs w:val="21"/>
                <w:highlight w:val="none"/>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73102">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大数据诚信画像</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ABB0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7F65D">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21FCA79D">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10741">
            <w:pPr>
              <w:spacing w:line="240" w:lineRule="auto"/>
              <w:ind w:firstLine="420"/>
              <w:jc w:val="center"/>
              <w:rPr>
                <w:rFonts w:ascii="宋体" w:hAnsi="宋体" w:cs="宋体"/>
                <w:color w:val="auto"/>
                <w:szCs w:val="21"/>
                <w:highlight w:val="none"/>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33A21">
            <w:pPr>
              <w:spacing w:line="240" w:lineRule="auto"/>
              <w:ind w:firstLine="420"/>
              <w:jc w:val="center"/>
              <w:rPr>
                <w:rFonts w:ascii="宋体" w:hAnsi="宋体" w:cs="宋体"/>
                <w:color w:val="auto"/>
                <w:szCs w:val="21"/>
                <w:highlight w:val="none"/>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A1E6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诚信评价管理分析引擎</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618D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CA0E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350D2DEA">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70140">
            <w:pPr>
              <w:spacing w:line="240" w:lineRule="auto"/>
              <w:ind w:firstLine="420"/>
              <w:jc w:val="center"/>
              <w:rPr>
                <w:rFonts w:ascii="宋体" w:hAnsi="宋体" w:cs="宋体"/>
                <w:color w:val="auto"/>
                <w:szCs w:val="21"/>
                <w:highlight w:val="none"/>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D6493">
            <w:pPr>
              <w:spacing w:line="240" w:lineRule="auto"/>
              <w:ind w:firstLine="420"/>
              <w:jc w:val="center"/>
              <w:rPr>
                <w:rFonts w:ascii="宋体" w:hAnsi="宋体" w:cs="宋体"/>
                <w:color w:val="auto"/>
                <w:szCs w:val="21"/>
                <w:highlight w:val="none"/>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A3D70">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诚信展示管理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DC41C">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A4232">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40E57E59">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2CB5A">
            <w:pPr>
              <w:spacing w:line="240" w:lineRule="auto"/>
              <w:ind w:firstLine="420"/>
              <w:jc w:val="center"/>
              <w:rPr>
                <w:rFonts w:ascii="宋体" w:hAnsi="宋体" w:cs="宋体"/>
                <w:color w:val="auto"/>
                <w:szCs w:val="21"/>
                <w:highlight w:val="none"/>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DB3E1">
            <w:pPr>
              <w:spacing w:line="240" w:lineRule="auto"/>
              <w:ind w:firstLine="420"/>
              <w:jc w:val="center"/>
              <w:rPr>
                <w:rFonts w:ascii="宋体" w:hAnsi="宋体" w:cs="宋体"/>
                <w:color w:val="auto"/>
                <w:szCs w:val="21"/>
                <w:highlight w:val="none"/>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B884F">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诚信处罚管理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AAD3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3881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4016CB0B">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F35BC">
            <w:pPr>
              <w:spacing w:line="240" w:lineRule="auto"/>
              <w:ind w:firstLine="420"/>
              <w:jc w:val="center"/>
              <w:rPr>
                <w:rFonts w:ascii="宋体" w:hAnsi="宋体" w:cs="宋体"/>
                <w:color w:val="auto"/>
                <w:szCs w:val="21"/>
                <w:highlight w:val="none"/>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EC3BA">
            <w:pPr>
              <w:spacing w:line="240" w:lineRule="auto"/>
              <w:ind w:firstLine="420"/>
              <w:jc w:val="center"/>
              <w:rPr>
                <w:rFonts w:ascii="宋体" w:hAnsi="宋体" w:cs="宋体"/>
                <w:color w:val="auto"/>
                <w:szCs w:val="21"/>
                <w:highlight w:val="none"/>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DDAA3">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诚信档案管理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2945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A8B2C">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66756DF5">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28EED">
            <w:pPr>
              <w:spacing w:line="240" w:lineRule="auto"/>
              <w:ind w:firstLine="420"/>
              <w:jc w:val="center"/>
              <w:rPr>
                <w:rFonts w:ascii="宋体" w:hAnsi="宋体" w:cs="宋体"/>
                <w:color w:val="auto"/>
                <w:szCs w:val="21"/>
                <w:highlight w:val="none"/>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4DD6B">
            <w:pPr>
              <w:spacing w:line="240" w:lineRule="auto"/>
              <w:ind w:firstLine="420"/>
              <w:jc w:val="center"/>
              <w:rPr>
                <w:rFonts w:ascii="宋体" w:hAnsi="宋体" w:cs="宋体"/>
                <w:color w:val="auto"/>
                <w:szCs w:val="21"/>
                <w:highlight w:val="none"/>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AF938">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诚信监管分析管理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F38AB">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F7222">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r w14:paraId="3A4D59D1">
        <w:tblPrEx>
          <w:tblCellMar>
            <w:top w:w="0" w:type="dxa"/>
            <w:left w:w="108" w:type="dxa"/>
            <w:bottom w:w="0" w:type="dxa"/>
            <w:right w:w="108" w:type="dxa"/>
          </w:tblCellMar>
        </w:tblPrEx>
        <w:trPr>
          <w:trHeight w:val="272" w:hRule="atLeast"/>
        </w:trPr>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8839F">
            <w:pPr>
              <w:spacing w:line="240" w:lineRule="auto"/>
              <w:ind w:firstLine="420"/>
              <w:jc w:val="center"/>
              <w:rPr>
                <w:rFonts w:ascii="宋体" w:hAnsi="宋体" w:cs="宋体"/>
                <w:color w:val="auto"/>
                <w:szCs w:val="21"/>
                <w:highlight w:val="none"/>
              </w:rPr>
            </w:pPr>
          </w:p>
        </w:tc>
        <w:tc>
          <w:tcPr>
            <w:tcW w:w="9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4CC31">
            <w:pPr>
              <w:spacing w:line="240" w:lineRule="auto"/>
              <w:ind w:firstLine="420"/>
              <w:jc w:val="center"/>
              <w:rPr>
                <w:rFonts w:ascii="宋体" w:hAnsi="宋体" w:cs="宋体"/>
                <w:color w:val="auto"/>
                <w:szCs w:val="21"/>
                <w:highlight w:val="none"/>
              </w:rPr>
            </w:pPr>
          </w:p>
        </w:tc>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83199">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系统设置管理</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15E95">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2BEAA">
            <w:pPr>
              <w:widowControl/>
              <w:spacing w:line="240" w:lineRule="auto"/>
              <w:ind w:firstLine="0" w:firstLineChars="0"/>
              <w:jc w:val="left"/>
              <w:textAlignment w:val="center"/>
              <w:rPr>
                <w:rFonts w:ascii="宋体" w:hAnsi="宋体" w:cs="宋体"/>
                <w:color w:val="auto"/>
                <w:kern w:val="0"/>
                <w:szCs w:val="21"/>
                <w:highlight w:val="none"/>
                <w:lang w:bidi="ar"/>
              </w:rPr>
            </w:pPr>
            <w:r>
              <w:rPr>
                <w:rFonts w:hint="eastAsia" w:ascii="宋体" w:hAnsi="宋体" w:cs="宋体"/>
                <w:color w:val="auto"/>
                <w:kern w:val="0"/>
                <w:szCs w:val="21"/>
                <w:highlight w:val="none"/>
                <w:lang w:bidi="ar"/>
              </w:rPr>
              <w:t>/</w:t>
            </w:r>
          </w:p>
        </w:tc>
      </w:tr>
    </w:tbl>
    <w:p w14:paraId="02D5A9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lang w:val="en-US"/>
        </w:rPr>
        <w:t>（二）运维人员要求</w:t>
      </w:r>
    </w:p>
    <w:p w14:paraId="027BF1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rPr>
      </w:pPr>
      <w:r>
        <w:rPr>
          <w:rFonts w:hint="default" w:ascii="Times New Roman" w:hAnsi="Times New Roman" w:eastAsia="宋体" w:cs="Times New Roman"/>
          <w:color w:val="auto"/>
          <w:sz w:val="24"/>
          <w:szCs w:val="24"/>
          <w:highlight w:val="none"/>
          <w:lang w:val="en-US"/>
        </w:rPr>
        <w:t>1.投标方应提供不少于3人运维团队，提供专职驻场服务人员，具体人员配置与服务要求如下：</w:t>
      </w:r>
    </w:p>
    <w:tbl>
      <w:tblPr>
        <w:tblStyle w:val="16"/>
        <w:tblW w:w="8972" w:type="dxa"/>
        <w:jc w:val="center"/>
        <w:tblLayout w:type="fixed"/>
        <w:tblCellMar>
          <w:top w:w="0" w:type="dxa"/>
          <w:left w:w="108" w:type="dxa"/>
          <w:bottom w:w="0" w:type="dxa"/>
          <w:right w:w="108" w:type="dxa"/>
        </w:tblCellMar>
      </w:tblPr>
      <w:tblGrid>
        <w:gridCol w:w="1142"/>
        <w:gridCol w:w="705"/>
        <w:gridCol w:w="3758"/>
        <w:gridCol w:w="2362"/>
        <w:gridCol w:w="1005"/>
      </w:tblGrid>
      <w:tr w14:paraId="5A75A847">
        <w:tblPrEx>
          <w:tblCellMar>
            <w:top w:w="0" w:type="dxa"/>
            <w:left w:w="108" w:type="dxa"/>
            <w:bottom w:w="0" w:type="dxa"/>
            <w:right w:w="108" w:type="dxa"/>
          </w:tblCellMar>
        </w:tblPrEx>
        <w:trPr>
          <w:trHeight w:val="0" w:hRule="atLeast"/>
          <w:tblHeader/>
          <w:jc w:val="center"/>
        </w:trPr>
        <w:tc>
          <w:tcPr>
            <w:tcW w:w="1142"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14:paraId="73C771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岗位名称</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14:paraId="26D65B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人数</w:t>
            </w:r>
          </w:p>
        </w:tc>
        <w:tc>
          <w:tcPr>
            <w:tcW w:w="3758"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14:paraId="643629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要求</w:t>
            </w:r>
          </w:p>
        </w:tc>
        <w:tc>
          <w:tcPr>
            <w:tcW w:w="2362" w:type="dxa"/>
            <w:tcBorders>
              <w:top w:val="single" w:color="000000" w:sz="4" w:space="0"/>
              <w:left w:val="single" w:color="000000" w:sz="4" w:space="0"/>
              <w:bottom w:val="single" w:color="000000" w:sz="4" w:space="0"/>
              <w:right w:val="single" w:color="000000" w:sz="4" w:space="0"/>
            </w:tcBorders>
            <w:noWrap w:val="0"/>
            <w:vAlign w:val="center"/>
          </w:tcPr>
          <w:p w14:paraId="59B0C1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工作职责</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14:paraId="59D27B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是否驻场要求</w:t>
            </w:r>
          </w:p>
        </w:tc>
      </w:tr>
      <w:tr w14:paraId="1AC5F8D2">
        <w:tblPrEx>
          <w:tblCellMar>
            <w:top w:w="0" w:type="dxa"/>
            <w:left w:w="108" w:type="dxa"/>
            <w:bottom w:w="0" w:type="dxa"/>
            <w:right w:w="108" w:type="dxa"/>
          </w:tblCellMar>
        </w:tblPrEx>
        <w:trPr>
          <w:trHeight w:val="0" w:hRule="atLeast"/>
          <w:jc w:val="center"/>
        </w:trPr>
        <w:tc>
          <w:tcPr>
            <w:tcW w:w="1142"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14:paraId="5261AC4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color w:val="auto"/>
                <w:kern w:val="0"/>
                <w:sz w:val="24"/>
                <w:szCs w:val="24"/>
                <w:highlight w:val="none"/>
                <w:lang w:val="en-US" w:eastAsia="zh-CN" w:bidi="ar"/>
              </w:rPr>
            </w:pPr>
            <w:r>
              <w:rPr>
                <w:rFonts w:hint="eastAsia" w:ascii="宋体" w:hAnsi="宋体" w:eastAsia="宋体" w:cs="宋体"/>
                <w:b w:val="0"/>
                <w:bCs w:val="0"/>
                <w:color w:val="auto"/>
                <w:kern w:val="0"/>
                <w:sz w:val="24"/>
                <w:szCs w:val="24"/>
                <w:highlight w:val="none"/>
                <w:lang w:val="en-US" w:eastAsia="zh-CN" w:bidi="ar"/>
              </w:rPr>
              <w:t>项目负责人</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14:paraId="212EDD3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color w:val="auto"/>
                <w:kern w:val="0"/>
                <w:sz w:val="24"/>
                <w:szCs w:val="24"/>
                <w:highlight w:val="none"/>
                <w:lang w:val="en-US" w:eastAsia="zh-CN" w:bidi="ar"/>
              </w:rPr>
            </w:pPr>
            <w:r>
              <w:rPr>
                <w:rFonts w:hint="eastAsia" w:ascii="宋体" w:hAnsi="宋体" w:eastAsia="宋体" w:cs="宋体"/>
                <w:b w:val="0"/>
                <w:bCs w:val="0"/>
                <w:color w:val="auto"/>
                <w:kern w:val="0"/>
                <w:sz w:val="24"/>
                <w:szCs w:val="24"/>
                <w:highlight w:val="none"/>
                <w:lang w:val="en-US" w:eastAsia="zh-CN" w:bidi="ar"/>
              </w:rPr>
              <w:t>1</w:t>
            </w:r>
          </w:p>
        </w:tc>
        <w:tc>
          <w:tcPr>
            <w:tcW w:w="3758"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14:paraId="3CC4D11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驻场</w:t>
            </w:r>
            <w:r>
              <w:rPr>
                <w:rFonts w:hint="eastAsia" w:ascii="宋体" w:hAnsi="宋体" w:eastAsia="宋体" w:cs="宋体"/>
                <w:color w:val="auto"/>
                <w:kern w:val="0"/>
                <w:sz w:val="24"/>
                <w:szCs w:val="24"/>
                <w:highlight w:val="none"/>
                <w:lang w:val="en-US" w:eastAsia="zh-CN"/>
              </w:rPr>
              <w:t>具有5年或以上的政府机关或事业单位软件系统建设经验或公共服务领域信息化相关经验，并对其有深入理解，有良好的沟通能力、耐性和综合素质</w:t>
            </w:r>
            <w:r>
              <w:rPr>
                <w:rFonts w:hint="eastAsia" w:ascii="宋体" w:hAnsi="宋体" w:eastAsia="宋体" w:cs="宋体"/>
                <w:b w:val="0"/>
                <w:bCs w:val="0"/>
                <w:color w:val="auto"/>
                <w:kern w:val="0"/>
                <w:sz w:val="24"/>
                <w:szCs w:val="24"/>
                <w:highlight w:val="none"/>
                <w:lang w:bidi="ar"/>
              </w:rPr>
              <w:t>。</w:t>
            </w:r>
          </w:p>
          <w:p w14:paraId="0699E9B4">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eastAsia="zh-CN" w:bidi="ar"/>
              </w:rPr>
            </w:pPr>
            <w:r>
              <w:rPr>
                <w:rFonts w:hint="eastAsia" w:ascii="宋体" w:hAnsi="宋体" w:eastAsia="宋体" w:cs="宋体"/>
                <w:b w:val="0"/>
                <w:bCs w:val="0"/>
                <w:color w:val="auto"/>
                <w:kern w:val="0"/>
                <w:sz w:val="24"/>
                <w:szCs w:val="24"/>
                <w:highlight w:val="none"/>
                <w:lang w:bidi="ar"/>
              </w:rPr>
              <w:t>项目经理</w:t>
            </w:r>
            <w:r>
              <w:rPr>
                <w:rFonts w:hint="eastAsia" w:ascii="宋体" w:hAnsi="宋体" w:eastAsia="宋体" w:cs="宋体"/>
                <w:b w:val="0"/>
                <w:bCs w:val="0"/>
                <w:color w:val="auto"/>
                <w:kern w:val="0"/>
                <w:sz w:val="24"/>
                <w:szCs w:val="24"/>
                <w:highlight w:val="none"/>
                <w:lang w:val="en-US" w:eastAsia="zh-CN" w:bidi="ar"/>
              </w:rPr>
              <w:t>应</w:t>
            </w:r>
            <w:r>
              <w:rPr>
                <w:rFonts w:hint="eastAsia" w:ascii="宋体" w:hAnsi="宋体" w:eastAsia="宋体" w:cs="宋体"/>
                <w:b w:val="0"/>
                <w:bCs w:val="0"/>
                <w:color w:val="auto"/>
                <w:kern w:val="0"/>
                <w:sz w:val="24"/>
                <w:szCs w:val="24"/>
                <w:highlight w:val="none"/>
                <w:lang w:bidi="ar"/>
              </w:rPr>
              <w:t>具备</w:t>
            </w:r>
            <w:r>
              <w:rPr>
                <w:rFonts w:hint="eastAsia" w:ascii="宋体" w:hAnsi="宋体" w:eastAsia="宋体" w:cs="宋体"/>
                <w:b w:val="0"/>
                <w:bCs w:val="0"/>
                <w:color w:val="auto"/>
                <w:kern w:val="0"/>
                <w:sz w:val="24"/>
                <w:szCs w:val="24"/>
                <w:highlight w:val="none"/>
                <w:lang w:val="en-US" w:eastAsia="zh-CN" w:bidi="ar"/>
              </w:rPr>
              <w:t>下列证书，并</w:t>
            </w:r>
            <w:r>
              <w:rPr>
                <w:rFonts w:hint="eastAsia" w:ascii="宋体" w:hAnsi="宋体" w:eastAsia="宋体" w:cs="宋体"/>
                <w:b w:val="0"/>
                <w:bCs w:val="0"/>
                <w:color w:val="auto"/>
                <w:kern w:val="0"/>
                <w:sz w:val="24"/>
                <w:szCs w:val="24"/>
                <w:highlight w:val="none"/>
                <w:lang w:bidi="ar"/>
              </w:rPr>
              <w:t>提供证书扫描件</w:t>
            </w:r>
            <w:r>
              <w:rPr>
                <w:rFonts w:hint="eastAsia" w:ascii="宋体" w:hAnsi="宋体" w:eastAsia="宋体" w:cs="宋体"/>
                <w:b w:val="0"/>
                <w:bCs w:val="0"/>
                <w:color w:val="auto"/>
                <w:kern w:val="0"/>
                <w:sz w:val="24"/>
                <w:szCs w:val="24"/>
                <w:highlight w:val="none"/>
                <w:lang w:eastAsia="zh-CN" w:bidi="ar"/>
              </w:rPr>
              <w:t>：</w:t>
            </w:r>
          </w:p>
          <w:p w14:paraId="1343F0F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eastAsia="zh-CN" w:bidi="ar"/>
              </w:rPr>
            </w:pPr>
            <w:r>
              <w:rPr>
                <w:rFonts w:hint="eastAsia" w:ascii="宋体" w:hAnsi="宋体" w:eastAsia="宋体" w:cs="宋体"/>
                <w:b w:val="0"/>
                <w:bCs w:val="0"/>
                <w:color w:val="auto"/>
                <w:kern w:val="0"/>
                <w:sz w:val="24"/>
                <w:szCs w:val="24"/>
                <w:highlight w:val="none"/>
                <w:lang w:bidi="ar"/>
              </w:rPr>
              <w:t>（1）</w:t>
            </w:r>
            <w:r>
              <w:rPr>
                <w:rFonts w:hint="eastAsia"/>
                <w:color w:val="auto"/>
                <w:sz w:val="24"/>
                <w:szCs w:val="21"/>
                <w:highlight w:val="none"/>
              </w:rPr>
              <w:t>计算机技术与软件专业技术资格证书（信息系统项目管理师）</w:t>
            </w:r>
            <w:r>
              <w:rPr>
                <w:rFonts w:hint="eastAsia" w:ascii="宋体" w:hAnsi="宋体" w:eastAsia="宋体" w:cs="宋体"/>
                <w:b w:val="0"/>
                <w:bCs w:val="0"/>
                <w:color w:val="auto"/>
                <w:kern w:val="0"/>
                <w:sz w:val="24"/>
                <w:szCs w:val="24"/>
                <w:highlight w:val="none"/>
                <w:lang w:eastAsia="zh-CN" w:bidi="ar"/>
              </w:rPr>
              <w:t>；</w:t>
            </w:r>
          </w:p>
          <w:p w14:paraId="43FE985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eastAsia="zh-CN" w:bidi="ar"/>
              </w:rPr>
            </w:pPr>
            <w:r>
              <w:rPr>
                <w:rFonts w:hint="eastAsia" w:ascii="宋体" w:hAnsi="宋体" w:eastAsia="宋体" w:cs="宋体"/>
                <w:b w:val="0"/>
                <w:bCs w:val="0"/>
                <w:color w:val="auto"/>
                <w:kern w:val="0"/>
                <w:sz w:val="24"/>
                <w:szCs w:val="24"/>
                <w:highlight w:val="none"/>
                <w:lang w:bidi="ar"/>
              </w:rPr>
              <w:t>（2）</w:t>
            </w:r>
            <w:r>
              <w:rPr>
                <w:rFonts w:hint="eastAsia"/>
                <w:color w:val="auto"/>
                <w:sz w:val="24"/>
                <w:szCs w:val="21"/>
                <w:highlight w:val="none"/>
              </w:rPr>
              <w:t>计算机技术与软件专业技术资格证书（</w:t>
            </w:r>
            <w:r>
              <w:rPr>
                <w:rFonts w:hint="eastAsia" w:ascii="宋体" w:hAnsi="宋体" w:eastAsia="宋体" w:cs="宋体"/>
                <w:b w:val="0"/>
                <w:bCs w:val="0"/>
                <w:color w:val="auto"/>
                <w:kern w:val="0"/>
                <w:sz w:val="24"/>
                <w:szCs w:val="24"/>
                <w:highlight w:val="none"/>
                <w:lang w:bidi="ar"/>
              </w:rPr>
              <w:t>系统分析师</w:t>
            </w:r>
            <w:r>
              <w:rPr>
                <w:rFonts w:hint="eastAsia"/>
                <w:color w:val="auto"/>
                <w:sz w:val="24"/>
                <w:szCs w:val="21"/>
                <w:highlight w:val="none"/>
              </w:rPr>
              <w:t>）</w:t>
            </w:r>
            <w:r>
              <w:rPr>
                <w:rFonts w:hint="eastAsia" w:ascii="宋体" w:hAnsi="宋体" w:eastAsia="宋体" w:cs="宋体"/>
                <w:b w:val="0"/>
                <w:bCs w:val="0"/>
                <w:color w:val="auto"/>
                <w:kern w:val="0"/>
                <w:sz w:val="24"/>
                <w:szCs w:val="24"/>
                <w:highlight w:val="none"/>
                <w:lang w:eastAsia="zh-CN" w:bidi="ar"/>
              </w:rPr>
              <w:t>；</w:t>
            </w:r>
          </w:p>
          <w:p w14:paraId="32344E5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eastAsia="zh-CN" w:bidi="ar"/>
              </w:rPr>
            </w:pPr>
            <w:r>
              <w:rPr>
                <w:rFonts w:hint="eastAsia" w:ascii="宋体" w:hAnsi="宋体" w:eastAsia="宋体" w:cs="宋体"/>
                <w:b w:val="0"/>
                <w:bCs w:val="0"/>
                <w:color w:val="auto"/>
                <w:kern w:val="0"/>
                <w:sz w:val="24"/>
                <w:szCs w:val="24"/>
                <w:highlight w:val="none"/>
                <w:lang w:bidi="ar"/>
              </w:rPr>
              <w:t>（3）</w:t>
            </w:r>
            <w:r>
              <w:rPr>
                <w:rFonts w:hint="eastAsia"/>
                <w:color w:val="auto"/>
                <w:sz w:val="24"/>
                <w:szCs w:val="21"/>
                <w:highlight w:val="none"/>
              </w:rPr>
              <w:t>计算机技术与软件专业技术资格证书（</w:t>
            </w:r>
            <w:r>
              <w:rPr>
                <w:rFonts w:hint="eastAsia" w:ascii="宋体" w:hAnsi="宋体" w:eastAsia="宋体" w:cs="宋体"/>
                <w:b w:val="0"/>
                <w:bCs w:val="0"/>
                <w:color w:val="auto"/>
                <w:kern w:val="0"/>
                <w:sz w:val="24"/>
                <w:szCs w:val="24"/>
                <w:highlight w:val="none"/>
                <w:lang w:val="en-US" w:eastAsia="zh-CN" w:bidi="ar"/>
              </w:rPr>
              <w:t>系统规划与管理师</w:t>
            </w:r>
            <w:r>
              <w:rPr>
                <w:rFonts w:hint="eastAsia"/>
                <w:color w:val="auto"/>
                <w:sz w:val="24"/>
                <w:szCs w:val="21"/>
                <w:highlight w:val="none"/>
              </w:rPr>
              <w:t>）</w:t>
            </w:r>
            <w:r>
              <w:rPr>
                <w:rFonts w:hint="eastAsia" w:ascii="宋体" w:hAnsi="宋体" w:eastAsia="宋体" w:cs="宋体"/>
                <w:b w:val="0"/>
                <w:bCs w:val="0"/>
                <w:color w:val="auto"/>
                <w:kern w:val="0"/>
                <w:sz w:val="24"/>
                <w:szCs w:val="24"/>
                <w:highlight w:val="none"/>
                <w:lang w:eastAsia="zh-CN" w:bidi="ar"/>
              </w:rPr>
              <w:t>；</w:t>
            </w:r>
          </w:p>
          <w:p w14:paraId="074DBE14">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eastAsia="zh-CN" w:bidi="ar"/>
              </w:rPr>
            </w:pPr>
            <w:r>
              <w:rPr>
                <w:rFonts w:hint="eastAsia" w:ascii="宋体" w:hAnsi="宋体" w:eastAsia="宋体" w:cs="宋体"/>
                <w:b w:val="0"/>
                <w:bCs w:val="0"/>
                <w:color w:val="auto"/>
                <w:kern w:val="0"/>
                <w:sz w:val="24"/>
                <w:szCs w:val="24"/>
                <w:highlight w:val="none"/>
                <w:lang w:bidi="ar"/>
              </w:rPr>
              <w:t>（4）</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r>
              <w:rPr>
                <w:rFonts w:hint="eastAsia" w:ascii="宋体" w:hAnsi="宋体" w:eastAsia="宋体" w:cs="宋体"/>
                <w:b w:val="0"/>
                <w:bCs w:val="0"/>
                <w:color w:val="auto"/>
                <w:kern w:val="0"/>
                <w:sz w:val="24"/>
                <w:szCs w:val="24"/>
                <w:highlight w:val="none"/>
                <w:lang w:eastAsia="zh-CN" w:bidi="ar"/>
              </w:rPr>
              <w:t>。</w:t>
            </w:r>
          </w:p>
        </w:tc>
        <w:tc>
          <w:tcPr>
            <w:tcW w:w="2362" w:type="dxa"/>
            <w:tcBorders>
              <w:top w:val="single" w:color="000000" w:sz="4" w:space="0"/>
              <w:left w:val="single" w:color="000000" w:sz="4" w:space="0"/>
              <w:bottom w:val="single" w:color="000000" w:sz="4" w:space="0"/>
              <w:right w:val="single" w:color="000000" w:sz="4" w:space="0"/>
            </w:tcBorders>
            <w:noWrap w:val="0"/>
            <w:vAlign w:val="center"/>
          </w:tcPr>
          <w:p w14:paraId="39B69194">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val="en-US" w:eastAsia="zh-CN" w:bidi="ar"/>
              </w:rPr>
              <w:t>项目负责人，</w:t>
            </w:r>
            <w:r>
              <w:rPr>
                <w:rFonts w:hint="eastAsia" w:ascii="宋体" w:hAnsi="宋体" w:eastAsia="宋体" w:cs="宋体"/>
                <w:b w:val="0"/>
                <w:bCs w:val="0"/>
                <w:color w:val="auto"/>
                <w:kern w:val="0"/>
                <w:sz w:val="24"/>
                <w:szCs w:val="24"/>
                <w:highlight w:val="none"/>
                <w:lang w:bidi="ar"/>
              </w:rPr>
              <w:t>负责整体运维项目的管理和协调工作。</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14:paraId="2692402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驻场</w:t>
            </w:r>
          </w:p>
        </w:tc>
      </w:tr>
      <w:tr w14:paraId="6D4858B0">
        <w:tblPrEx>
          <w:tblCellMar>
            <w:top w:w="0" w:type="dxa"/>
            <w:left w:w="108" w:type="dxa"/>
            <w:bottom w:w="0" w:type="dxa"/>
            <w:right w:w="108" w:type="dxa"/>
          </w:tblCellMar>
        </w:tblPrEx>
        <w:trPr>
          <w:trHeight w:val="0" w:hRule="atLeast"/>
          <w:jc w:val="center"/>
        </w:trPr>
        <w:tc>
          <w:tcPr>
            <w:tcW w:w="1142"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14:paraId="1F29EFB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color w:val="auto"/>
                <w:kern w:val="0"/>
                <w:sz w:val="24"/>
                <w:szCs w:val="24"/>
                <w:highlight w:val="none"/>
                <w:lang w:val="en-US" w:eastAsia="zh-CN" w:bidi="ar"/>
              </w:rPr>
            </w:pPr>
            <w:r>
              <w:rPr>
                <w:rFonts w:hint="eastAsia" w:ascii="宋体" w:hAnsi="宋体" w:eastAsia="宋体" w:cs="宋体"/>
                <w:b w:val="0"/>
                <w:bCs w:val="0"/>
                <w:color w:val="auto"/>
                <w:kern w:val="0"/>
                <w:sz w:val="24"/>
                <w:szCs w:val="24"/>
                <w:highlight w:val="none"/>
                <w:lang w:val="en-US" w:eastAsia="zh-CN" w:bidi="ar"/>
              </w:rPr>
              <w:t>技术</w:t>
            </w:r>
            <w:r>
              <w:rPr>
                <w:rFonts w:hint="eastAsia" w:ascii="宋体" w:hAnsi="宋体" w:eastAsia="宋体" w:cs="宋体"/>
                <w:b w:val="0"/>
                <w:bCs w:val="0"/>
                <w:color w:val="auto"/>
                <w:kern w:val="0"/>
                <w:sz w:val="24"/>
                <w:szCs w:val="24"/>
                <w:highlight w:val="none"/>
                <w:lang w:bidi="ar"/>
              </w:rPr>
              <w:t>人员</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14:paraId="4D476EA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color w:val="auto"/>
                <w:kern w:val="0"/>
                <w:sz w:val="24"/>
                <w:szCs w:val="24"/>
                <w:highlight w:val="none"/>
                <w:lang w:val="en-US" w:eastAsia="zh-CN" w:bidi="ar"/>
              </w:rPr>
            </w:pPr>
            <w:r>
              <w:rPr>
                <w:rFonts w:hint="eastAsia" w:ascii="宋体" w:hAnsi="宋体" w:eastAsia="宋体" w:cs="宋体"/>
                <w:b w:val="0"/>
                <w:bCs w:val="0"/>
                <w:color w:val="auto"/>
                <w:kern w:val="0"/>
                <w:sz w:val="24"/>
                <w:szCs w:val="24"/>
                <w:highlight w:val="none"/>
                <w:lang w:val="en-US" w:eastAsia="zh-CN" w:bidi="ar"/>
              </w:rPr>
              <w:t>2</w:t>
            </w:r>
          </w:p>
        </w:tc>
        <w:tc>
          <w:tcPr>
            <w:tcW w:w="3758"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14:paraId="42D173C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技术人员均从业经历2年以上，均获得</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p>
        </w:tc>
        <w:tc>
          <w:tcPr>
            <w:tcW w:w="2362" w:type="dxa"/>
            <w:tcBorders>
              <w:top w:val="single" w:color="000000" w:sz="4" w:space="0"/>
              <w:left w:val="single" w:color="000000" w:sz="4" w:space="0"/>
              <w:bottom w:val="single" w:color="000000" w:sz="4" w:space="0"/>
              <w:right w:val="single" w:color="000000" w:sz="4" w:space="0"/>
            </w:tcBorders>
            <w:noWrap w:val="0"/>
            <w:vAlign w:val="center"/>
          </w:tcPr>
          <w:p w14:paraId="7618435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提供技术指导和运维操作。</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14:paraId="7190F19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驻场</w:t>
            </w:r>
          </w:p>
        </w:tc>
      </w:tr>
      <w:tr w14:paraId="1E1D3BF1">
        <w:tblPrEx>
          <w:tblCellMar>
            <w:top w:w="0" w:type="dxa"/>
            <w:left w:w="108" w:type="dxa"/>
            <w:bottom w:w="0" w:type="dxa"/>
            <w:right w:w="108" w:type="dxa"/>
          </w:tblCellMar>
        </w:tblPrEx>
        <w:trPr>
          <w:trHeight w:val="0" w:hRule="atLeast"/>
          <w:jc w:val="center"/>
        </w:trPr>
        <w:tc>
          <w:tcPr>
            <w:tcW w:w="1142"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14:paraId="0101AF1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color w:val="auto"/>
                <w:kern w:val="0"/>
                <w:sz w:val="24"/>
                <w:szCs w:val="24"/>
                <w:highlight w:val="none"/>
                <w:lang w:val="en-US" w:eastAsia="zh-CN" w:bidi="ar"/>
              </w:rPr>
            </w:pPr>
            <w:r>
              <w:rPr>
                <w:rFonts w:hint="eastAsia" w:ascii="宋体" w:hAnsi="宋体" w:eastAsia="宋体" w:cs="宋体"/>
                <w:b w:val="0"/>
                <w:bCs w:val="0"/>
                <w:color w:val="auto"/>
                <w:kern w:val="0"/>
                <w:sz w:val="24"/>
                <w:szCs w:val="24"/>
                <w:highlight w:val="none"/>
                <w:lang w:val="en-US" w:eastAsia="zh-CN" w:bidi="ar"/>
              </w:rPr>
              <w:t>技术</w:t>
            </w:r>
            <w:r>
              <w:rPr>
                <w:rFonts w:hint="eastAsia" w:ascii="宋体" w:hAnsi="宋体" w:eastAsia="宋体" w:cs="宋体"/>
                <w:b w:val="0"/>
                <w:bCs w:val="0"/>
                <w:color w:val="auto"/>
                <w:kern w:val="0"/>
                <w:sz w:val="24"/>
                <w:szCs w:val="24"/>
                <w:highlight w:val="none"/>
                <w:lang w:bidi="ar"/>
              </w:rPr>
              <w:t>人员</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14:paraId="263179A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color w:val="auto"/>
                <w:kern w:val="0"/>
                <w:sz w:val="24"/>
                <w:szCs w:val="24"/>
                <w:highlight w:val="none"/>
                <w:lang w:val="en-US" w:eastAsia="zh-CN" w:bidi="ar"/>
              </w:rPr>
            </w:pPr>
            <w:r>
              <w:rPr>
                <w:rFonts w:hint="eastAsia" w:ascii="宋体" w:hAnsi="宋体" w:eastAsia="宋体" w:cs="宋体"/>
                <w:b w:val="0"/>
                <w:bCs w:val="0"/>
                <w:color w:val="auto"/>
                <w:kern w:val="0"/>
                <w:sz w:val="24"/>
                <w:szCs w:val="24"/>
                <w:highlight w:val="none"/>
                <w:lang w:val="en-US" w:eastAsia="zh-CN" w:bidi="ar"/>
              </w:rPr>
              <w:t>2</w:t>
            </w:r>
          </w:p>
        </w:tc>
        <w:tc>
          <w:tcPr>
            <w:tcW w:w="3758" w:type="dxa"/>
            <w:tcBorders>
              <w:top w:val="single" w:color="000000" w:sz="4" w:space="0"/>
              <w:left w:val="single" w:color="000000" w:sz="4" w:space="0"/>
              <w:bottom w:val="single" w:color="000000" w:sz="4" w:space="0"/>
              <w:right w:val="single" w:color="000000" w:sz="4" w:space="0"/>
            </w:tcBorders>
            <w:noWrap w:val="0"/>
            <w:tcMar>
              <w:top w:w="15" w:type="dxa"/>
              <w:left w:w="15" w:type="dxa"/>
              <w:bottom w:w="15" w:type="dxa"/>
              <w:right w:w="15" w:type="dxa"/>
            </w:tcMar>
            <w:vAlign w:val="center"/>
          </w:tcPr>
          <w:p w14:paraId="5C0080A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技术人员均从业经历2年以上，均获得</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r>
              <w:rPr>
                <w:rFonts w:hint="eastAsia" w:ascii="宋体" w:hAnsi="宋体" w:eastAsia="宋体" w:cs="宋体"/>
                <w:b w:val="0"/>
                <w:bCs w:val="0"/>
                <w:color w:val="auto"/>
                <w:kern w:val="0"/>
                <w:sz w:val="24"/>
                <w:szCs w:val="24"/>
                <w:highlight w:val="none"/>
                <w:lang w:bidi="ar"/>
              </w:rPr>
              <w:t>。</w:t>
            </w:r>
          </w:p>
        </w:tc>
        <w:tc>
          <w:tcPr>
            <w:tcW w:w="2362" w:type="dxa"/>
            <w:tcBorders>
              <w:top w:val="single" w:color="000000" w:sz="4" w:space="0"/>
              <w:left w:val="single" w:color="000000" w:sz="4" w:space="0"/>
              <w:bottom w:val="single" w:color="000000" w:sz="4" w:space="0"/>
              <w:right w:val="single" w:color="000000" w:sz="4" w:space="0"/>
            </w:tcBorders>
            <w:noWrap w:val="0"/>
            <w:vAlign w:val="center"/>
          </w:tcPr>
          <w:p w14:paraId="225ECF50">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提供技术指导和运维操作。</w:t>
            </w:r>
          </w:p>
        </w:tc>
        <w:tc>
          <w:tcPr>
            <w:tcW w:w="1005" w:type="dxa"/>
            <w:tcBorders>
              <w:top w:val="single" w:color="000000" w:sz="4" w:space="0"/>
              <w:left w:val="single" w:color="000000" w:sz="4" w:space="0"/>
              <w:bottom w:val="single" w:color="000000" w:sz="4" w:space="0"/>
              <w:right w:val="single" w:color="000000" w:sz="4" w:space="0"/>
            </w:tcBorders>
            <w:noWrap w:val="0"/>
            <w:vAlign w:val="center"/>
          </w:tcPr>
          <w:p w14:paraId="5AAEF22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不驻场</w:t>
            </w:r>
          </w:p>
        </w:tc>
      </w:tr>
    </w:tbl>
    <w:p w14:paraId="292979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（1）提供不少于3人5*8日常驻场服务，1人7*24驻场服务。驻场工程师工作量不额外计费，驻场工程师具备本系统进行修改、调整能力。</w:t>
      </w:r>
    </w:p>
    <w:p w14:paraId="6E099D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（2）投标方承诺驻场服务人员每日按照招标方要求，定时汇报核心业务运行情况。</w:t>
      </w:r>
    </w:p>
    <w:p w14:paraId="600A9F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人员稳定性要求。服务期内核心岗位（项目经理、技术负责人、安全工程师）人员变动率不得超过20%，普通岗位变动率不得超过30%；人员变动需提15个工作日提交申请，说明变动原因及替补人员资质，替补人员需经甲方面试合格并完成岗位交接（交接期不少于15个工作日）后方可上岗，确保服务连续性。</w:t>
      </w:r>
    </w:p>
    <w:p w14:paraId="6DBFCFC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（三）运维服务要求</w:t>
      </w:r>
    </w:p>
    <w:p w14:paraId="2E3C33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投标方应服从天津市医疗保障信息平台整体技术规范和管理规范，配合医保平台整体工作部署并能按照相关要求开展运维工作。</w:t>
      </w:r>
    </w:p>
    <w:p w14:paraId="360E415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1.日常巡检服务</w:t>
      </w:r>
    </w:p>
    <w:p w14:paraId="6D76AF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包含软件组件、网络环境、数据存储、安全防护等维度。采用自动化监测+人工核查结合方式，每日开展巡检，重点核查服务器资源占用、系统进程状态、数据同步情况、安全策略有效性，形成完整巡检记录，及时预警并处置潜在隐患。此项服务要求由驻场人员执行。</w:t>
      </w:r>
    </w:p>
    <w:p w14:paraId="064606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1.1系统运行监控服务</w:t>
      </w:r>
    </w:p>
    <w:p w14:paraId="48F5B7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1.1.1对接统一运维监控平台，构建全维度监控体系，覆盖云平台资源、软件服务（进程、连接数、响应时间）、业务指标（办理量、成功率）、安全态势（异常登录、攻击行为）及网络状态（带宽、延迟、连通性）。</w:t>
      </w:r>
    </w:p>
    <w:p w14:paraId="3F28AF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1.1.2设置多级告警阈值，通过短信、邮件等方式实时推送告警信息，确保告警响应及时，监控数据为系统优化提供支撑。</w:t>
      </w:r>
    </w:p>
    <w:p w14:paraId="656801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1.2巡检及日常运维管理</w:t>
      </w:r>
    </w:p>
    <w:p w14:paraId="4E9EDA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1.2.1规范记录每日巡检情况，详细载明巡检时间、范围、结果、问题及处理措施，做到实时归档。</w:t>
      </w:r>
    </w:p>
    <w:p w14:paraId="12835C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1.2.2制定标准化运维清单，涵盖服务器启停、服务重启、数据备份、权限调整等操作流程，明确责任人及注意事项，确保运维操作合规可控。</w:t>
      </w:r>
    </w:p>
    <w:p w14:paraId="2C51790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1.2.3对系统存在的Bug和软件自身缺陷进行修正。</w:t>
      </w:r>
    </w:p>
    <w:p w14:paraId="4C2B6F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1.2.4 对所使用的开发维护工具进行补丁升级。</w:t>
      </w:r>
    </w:p>
    <w:p w14:paraId="703475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1.2.5采用电子+纸质双重归档方式，保障记录可追溯、可审计。每月提交运维报告。</w:t>
      </w:r>
    </w:p>
    <w:p w14:paraId="006E35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1.3月报提交服务</w:t>
      </w:r>
    </w:p>
    <w:p w14:paraId="7EA898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1.3.1每月5日前提交运维月报，内容包括巡检概况、故障处理统计、升级变更情况、需求（包括数据与应用系统需求）处理进度、安全防护情况、资源运行态势、下月工作计划及优化建议。</w:t>
      </w:r>
    </w:p>
    <w:p w14:paraId="3BA253D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1.3.2月报需数据真实、分析全面，及时报送业务主管部门及上级单位。</w:t>
      </w:r>
    </w:p>
    <w:p w14:paraId="559781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2.系统故障与应急响应处理服务</w:t>
      </w:r>
    </w:p>
    <w:p w14:paraId="7302E5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2.1建立分级故障响应机制，针对系统崩溃、服务中断、功能异常、数据错误、网络故障等问题，按影响范围（单模块、多模块、全系统）分级响应。</w:t>
      </w:r>
    </w:p>
    <w:p w14:paraId="11B6D10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2.2一般故障15分钟内响应、2小时内解决；重大故障15分钟内响应，30分钟内控制事态，确保不影响医保经办、参保待遇享受等核心业务。</w:t>
      </w:r>
    </w:p>
    <w:p w14:paraId="141D84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提供不少于4次应急响应处理服务，提供7*24小时事件响应、应急响应、处理及恢复服务；重大应急事件保证15分钟内做出响应并提供应急处理方案，保证30分钟内到达现场。应急服务完成后，负责工作记录、处理报告等相关文档的编制工作。如遇紧急事件临时需要提供应急响应处理服务，承诺无条件服从采购人安排。</w:t>
      </w:r>
    </w:p>
    <w:p w14:paraId="392920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2.4提供驻场运维、电话咨询、现场响应等服务，故障处理后形成复盘报告，优化防控措施。</w:t>
      </w:r>
    </w:p>
    <w:p w14:paraId="7E9749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3.系统升级与优化变更服务</w:t>
      </w:r>
    </w:p>
    <w:p w14:paraId="379B6D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★3.1针对国家医保局下发的系统软件进行部署、联调及运维工作。</w:t>
      </w:r>
    </w:p>
    <w:p w14:paraId="773BDB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针对已部署国家版本及新发版本，提供全流程升级服务，包括但不限于升级方案编制、兼容性测试、业务影响评估、错峰实施（避开业务高峰期）及回滚预案制定。</w:t>
      </w:r>
    </w:p>
    <w:p w14:paraId="527301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3.2主动开展程序执行效率优化，提高运行效率与资源利用效率。</w:t>
      </w:r>
    </w:p>
    <w:p w14:paraId="7875F0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3.3及时完成系统版本更新，确保升级优化过程数据迁移完整、功能衔接顺畅，变更后开展回归测试及用户告知。</w:t>
      </w:r>
    </w:p>
    <w:p w14:paraId="43F4EE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3.4系统变更需同步更新运维文档，记录变更内容、实施过程及效果。</w:t>
      </w:r>
    </w:p>
    <w:p w14:paraId="288E041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w:t>
      </w:r>
      <w:r>
        <w:rPr>
          <w:rFonts w:hint="eastAsia"/>
          <w:b w:val="0"/>
          <w:bCs w:val="0"/>
          <w:color w:val="auto"/>
          <w:sz w:val="24"/>
          <w:szCs w:val="24"/>
          <w:highlight w:val="none"/>
          <w:lang w:val="en-US" w:eastAsia="zh-CN"/>
        </w:rPr>
        <w:t>5</w:t>
      </w:r>
      <w:r>
        <w:rPr>
          <w:rFonts w:hint="eastAsia" w:ascii="Times New Roman" w:hAnsi="Times New Roman"/>
          <w:b w:val="0"/>
          <w:bCs w:val="0"/>
          <w:color w:val="auto"/>
          <w:sz w:val="24"/>
          <w:szCs w:val="24"/>
          <w:highlight w:val="none"/>
          <w:lang w:val="en-US"/>
        </w:rPr>
        <w:t>配合做好与其他系统承建单位的系统对接与联调测试工作。</w:t>
      </w:r>
    </w:p>
    <w:p w14:paraId="2F8BAD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w:t>
      </w:r>
      <w:r>
        <w:rPr>
          <w:rFonts w:hint="eastAsia"/>
          <w:b w:val="0"/>
          <w:bCs w:val="0"/>
          <w:color w:val="auto"/>
          <w:sz w:val="24"/>
          <w:szCs w:val="24"/>
          <w:highlight w:val="none"/>
          <w:lang w:val="en-US" w:eastAsia="zh-CN"/>
        </w:rPr>
        <w:t>6</w:t>
      </w:r>
      <w:r>
        <w:rPr>
          <w:rFonts w:hint="eastAsia" w:ascii="Times New Roman" w:hAnsi="Times New Roman"/>
          <w:b w:val="0"/>
          <w:bCs w:val="0"/>
          <w:color w:val="auto"/>
          <w:sz w:val="24"/>
          <w:szCs w:val="24"/>
          <w:highlight w:val="none"/>
          <w:lang w:val="en-US"/>
        </w:rPr>
        <w:t>提供驻场运维服务</w:t>
      </w:r>
    </w:p>
    <w:p w14:paraId="5ECE8B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4.需求接收及变更服务</w:t>
      </w:r>
    </w:p>
    <w:p w14:paraId="7BC891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中标方须严格遵守包括但不限于《全国医疗保障系统核心业务区骨干网络建设指南》（医保网信办〔2019〕40 号）、《医疗保障信息系统安全开发规范》、《医保信息平台电子凭证技术规范》、《医保信息平台用户界面规范》、《医疗保障标准化工作指导意见》（医保发〔2019〕39号）、《医疗保障信息平台建设指南》（医保网信办〔2019〕4 号）《XJ-A01-2019 医疗保障信息平台云计算平台规范》、《XJ-B01-2019 医疗保障信息平台应用系统技术架构规范》、《XJ-D03-2022 医疗保障信息平台电子处方中心技术规范》、《医疗保障信息平台数据归集交换库设计说明书》、《医疗保障信息平台数据库设计规范》、《医疗保障信息平台内部统一门户集成规范》、《医疗保障信息平台用户交互设计规范》、《医疗保障信息平台生物识别数据规范》、《医疗保障信息平台医保区划编码规范》等一系列规章制度、技术标准、数据安全、网络安全的管理要求，并承担制度中明确的相关责任。</w:t>
      </w:r>
    </w:p>
    <w:p w14:paraId="08CD7F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4.1服务期内，由于业务变化，在原有业务流程、功能要素、数据结构等不变情况下对现有功能模块进行的调整均纳入维保项目。</w:t>
      </w:r>
    </w:p>
    <w:p w14:paraId="05F83C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4.2数据提取、数据修改、系统调优等原因引发的数据接口开发、小规模校验规则修改、经办流程微调、参数调整等纳入运维工作范围，由中标单位负责业务需求的开发等相关工作。</w:t>
      </w:r>
    </w:p>
    <w:p w14:paraId="51CD18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4.3遇重大需求变更，中标方应对需求进行合规性、可行性审核，开展影响分析及方案评审，对需求涉及的项目建设范围进行评估，并将评估结果及时反馈有关集成单位和监理单位。</w:t>
      </w:r>
    </w:p>
    <w:p w14:paraId="3BEFDA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4.4中标单位需同步调整运维保障策略，更新运维保障范围，确保变更落地不影响系统稳定性。同步更新用户使用手册、系统操作手册、系统部署方案、安装部署手册等材料。</w:t>
      </w:r>
    </w:p>
    <w:p w14:paraId="08519B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4.5提供5*8小时驻场运维服务，遇突发工作要求，需提供7*24小时响应，必要是应配合投标方组员技术人员提供现场技术支持。中标单位应配合业务人员需求，驻场人员可现场进行需求对接，实现驻场开发。</w:t>
      </w:r>
    </w:p>
    <w:p w14:paraId="790FB8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5.人员和权限调整服务</w:t>
      </w:r>
    </w:p>
    <w:p w14:paraId="30FAB4E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5.1遵循招标方要求，对应用软件的人员、角色权限、功能菜单进行必要调整、增减和变更，确保各类人员分配合适权限。</w:t>
      </w:r>
    </w:p>
    <w:p w14:paraId="4DD21E4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5.2支持人员角色、功能菜单、操作权限的灵活调整，确保权限分配与岗位职责匹配，调整过程需经审批并留存操作日志。</w:t>
      </w:r>
    </w:p>
    <w:p w14:paraId="3F9EEA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5.3定期开展权限审计，清理冗余权限、排查权限冲突，保障系统操作可追溯。</w:t>
      </w:r>
    </w:p>
    <w:p w14:paraId="554205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6.安全服务要求</w:t>
      </w:r>
    </w:p>
    <w:p w14:paraId="72E19E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严格按照国家和天津市相关安全体系文件的要求提供安全保障，本着“谁运维、谁负责”的原则建立和落实运维安全管理制度。投标方需在投标文件中明确，本项目中数据（包含原始数据和衍生数据）全部为招标方所有，全部列入保密范围，投标方不得未经用户许可的情况下导出、分析以及移作他用。投标方需依据与采购方签订的保密协议或提供保密承诺，承诺投标方及其员工不透露或者以其它方式提供给第三方。承担核心数据库运维的服务商员工需与采购方单独签署保密协议或提供保密承诺，主动配合招标方开展个人背景调查工作。（特殊情况以合同为准）</w:t>
      </w:r>
    </w:p>
    <w:p w14:paraId="494453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7.应用指导与技术支持</w:t>
      </w:r>
    </w:p>
    <w:p w14:paraId="480C40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7.1为不同的系统对接用户建立多渠道服务体系（驻场咨询、技术支持邮箱、服务热线、在线客服），响应用户操作疑问、功能咨询、问题反馈。确保用户反馈响应率100%、解决率不低于98%，形成问题处理闭环。</w:t>
      </w:r>
    </w:p>
    <w:p w14:paraId="6C4EF4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7.2为参保群众、参保单位、药品与耗材生产企业等外部系统应用用户提供多元化指导服务，编制操作手册、常见问题清单，录制培训视频，支撑自助办事需求。提供5×8小时线上以及电话热线服务，遇特殊情况需及时响应招标人要求提供阶段性24小时远程电话服务。</w:t>
      </w:r>
    </w:p>
    <w:p w14:paraId="446E6B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7.3为内部业务经办人员提供系统操作、故障处理、政策适配等专项培训，采用线上线下授课、实操演练等形式。提供多元化指导服务，编制用户操作手册、常见问题清单，录制培训视频，协助提升经办服务效能。提供5×8小时现场业务咨询及软件操作指导，7*24小时远程电话咨询服务。确保用户熟练使用系统功能。</w:t>
      </w:r>
    </w:p>
    <w:p w14:paraId="04CBCF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7.4配合有关部门开展系统推广、数据核查、攻防演练、业务演练等工作。提供技术支撑。 </w:t>
      </w:r>
    </w:p>
    <w:p w14:paraId="6D5DB8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7.5协助招标方对公共服务网厅、网厅管理平台及医视通等系统的管理，包括但不限于账号权限管理、培训管理等，具体按招标方要求落实。</w:t>
      </w:r>
    </w:p>
    <w:p w14:paraId="45BCB6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8.密评改造服务</w:t>
      </w:r>
    </w:p>
    <w:p w14:paraId="0B7865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8.1依据国家密码应用安全性评估标准，完成系统敏感数据加密改造（含数据库、网厅、管理后台），确保数据传输、存储、使用全流程加密合规。</w:t>
      </w:r>
    </w:p>
    <w:p w14:paraId="58278D2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8.2优化系统，满足密评要求，配合密评机构开展评估测试，及时整改发现问题，完成密评备案并建立长效机制。</w:t>
      </w:r>
    </w:p>
    <w:p w14:paraId="7B5A02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8.3配合年度等级保护测评、密评相关巡检，并按要求完成整改工作，确保系统合规运行。</w:t>
      </w:r>
    </w:p>
    <w:p w14:paraId="266C1B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9.漏洞扫描配合服务</w:t>
      </w:r>
    </w:p>
    <w:p w14:paraId="2F0126C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9.1配合上级单位及安全服务机构代码审计工作，按照漏洞扫描工作要求，提供系统拓扑、资产清单等技术支持，并按要求完成整改工作。</w:t>
      </w:r>
    </w:p>
    <w:p w14:paraId="1FE60E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9.2对扫描发现的高危、中危漏洞进行优先级排序，制定整改方案并实施修复，整改完成后配合复扫，确保漏洞闭环修复率100%。</w:t>
      </w:r>
    </w:p>
    <w:p w14:paraId="411A0F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9.3建立漏洞库，总结防控规律，提升系统安全防护能力。</w:t>
      </w:r>
    </w:p>
    <w:p w14:paraId="58DCBE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10.数据需求与支持服务</w:t>
      </w:r>
    </w:p>
    <w:p w14:paraId="04B9E8D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医疗保障信息平台数据库设计规范》、《医疗保障信息平台用户交互设计规范》、《医疗保障信息平台生物识别数据规范》、《医疗保障信息平台医保区划编码规范》、《医疗保障信息平台数据归集技术规范》《医疗保障信息平台数据归集交换库设计说明书》等一系列国家及本市有关政策、技术规范、数据安全、网络安全管理要求，负责数据中台相关运维服务、医保数据归集运维服务、医保数据治理运维服务、医保数据提取分析运维服务、数据治理业务培训服务等并承担制度中明确的相关责任。</w:t>
      </w:r>
    </w:p>
    <w:p w14:paraId="0FC38F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10.1提供数据提取、核对、备份、恢复、清理、更新、优化等全生命周期服务，保障数据完整性、准确性、安全性。</w:t>
      </w:r>
    </w:p>
    <w:p w14:paraId="4DDE73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10.2负责数据治理工作。按照国家医保局数据标准规范和市医保局业务部门数据治理要求，对运维范围内天津市医保平台应用系统产生的脏数据、数据中台统一汇聚后的脏数据、国家医保局反馈的脏数据以及其他相关场景产生的脏数据进行全面分析、监控和治理，制定和完善数据归集上报流程和质量校验规则，开发相应的校验脚本，形成医保数据质控规则库，并定期产出数据质量分析报告。数据治理工作包括:一是开展数据关联性验证、主外键约束处理、数据矛盾处理、数据逻辑错误处理等技术侧治理;二是开展非标业务编码使用处理、非标数据字典使用处理、重复参保数据处理、重复缴费数据处理、数据缺失处理等业务侧治理(业务侧数据治理会涉及向医保经办机构、参保人员、医疗机构或企业等调查核实数据);三是开展数据质控，并根据市医保局工作安排，开启数据上传接口校验，从源头避免脏数据产生。</w:t>
      </w:r>
    </w:p>
    <w:p w14:paraId="0B7452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10.3高效完成数据归集工作。投标方需按照国家医保局数据归集同步机制，负责保障医保平台数据正常同步至国家医保平台，全天候监控数据归集同步进程及问题，定期检查资源使用情况，第一时间解决归集出现的中断、报错等故障，确保符合国家医保局对于数据归集的及时性、一致性、准确性、完整性要求。</w:t>
      </w:r>
    </w:p>
    <w:p w14:paraId="55090C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10.4支持合规的数据共享交换需求，保障与其他政务平台数据对接顺畅，提供数据脱敏、索引优化、查询优化等服务。</w:t>
      </w:r>
    </w:p>
    <w:p w14:paraId="744316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10.5负责配合各有关单位工作，提供运维服务范围内合理合规的数据服务。</w:t>
      </w:r>
    </w:p>
    <w:p w14:paraId="47B10FB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配合完成对应服务期内应用系统年度和月度参数初始化工作：负责配合信息化部门完成个性化数据查询、统计、提取和分析测算工作；做好程序问题产生的错误数据恢复工作。</w:t>
      </w:r>
    </w:p>
    <w:p w14:paraId="53DBEC8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10.6负责做好运维范围内应用系统异地灾备等安全演练工作。</w:t>
      </w:r>
    </w:p>
    <w:p w14:paraId="3BBFF4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10.7配合做好历史数据迁移与应用工作。</w:t>
      </w:r>
    </w:p>
    <w:p w14:paraId="00C1385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10.8服务方式为驻场服务</w:t>
      </w:r>
    </w:p>
    <w:p w14:paraId="0831DF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11.重保服务</w:t>
      </w:r>
    </w:p>
    <w:p w14:paraId="78C333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供每年不少于6次重大活动期间安全保障服务，启动专项重保机制，制定保障方案，明确责任分工及应急流程。重保前开展全系统排查加固，升级安全策略。重保期间派驻专业工程师提供7*24小时现场技术支持，增强信息安全防护的技术力量，实时监控系统状态，与应急部门建立联动，及时处置应急安全事件。确保零重大故障、零安全事件。</w:t>
      </w:r>
    </w:p>
    <w:p w14:paraId="4EDCC0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重大活动包括重要节假日、重大活动或其他招标人明确要求的活动。</w:t>
      </w:r>
    </w:p>
    <w:p w14:paraId="29E208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12.质量管理要求</w:t>
      </w:r>
    </w:p>
    <w:p w14:paraId="287507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在项目实施全过程中，招标方有对运维质量进行监督控制的职责和权利，运维承建商应按照项目管理要求进行严格的质量控制，并制定详细合理的沟通计划，至少包括周报、月报和运维例会，应确保双方能及时了解所需的信息。</w:t>
      </w:r>
    </w:p>
    <w:p w14:paraId="2BD53F7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13.运维文档编制与管理</w:t>
      </w:r>
    </w:p>
    <w:p w14:paraId="52075B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构建完整运维文档体系，包含系统基础资料（拓扑图、资产清单、配置参数等）、操作手册（巡检、故障处理、升级变更）、安全保障文档（密评方案、漏洞报告、应急预案）、服务记录文档及管理类文档（巡检记录、月报、总结等）。</w:t>
      </w:r>
    </w:p>
    <w:p w14:paraId="706044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13.2建立文档版本管理机制，及时更新以匹配系统变更，采用权限管控方式存储，确保文档准确、完整、可访问。</w:t>
      </w:r>
    </w:p>
    <w:p w14:paraId="05A2A41E">
      <w:pPr>
        <w:rPr>
          <w:rFonts w:ascii="Times New Roman" w:hAnsi="Times New Roman"/>
          <w:b w:val="0"/>
          <w:bCs w:val="0"/>
          <w:color w:val="auto"/>
          <w:sz w:val="24"/>
          <w:szCs w:val="24"/>
          <w:highlight w:val="none"/>
          <w:lang w:val="en-US"/>
        </w:rPr>
      </w:pPr>
      <w:r>
        <w:rPr>
          <w:rFonts w:ascii="Times New Roman" w:hAnsi="Times New Roman"/>
          <w:b w:val="0"/>
          <w:bCs w:val="0"/>
          <w:color w:val="auto"/>
          <w:sz w:val="24"/>
          <w:szCs w:val="24"/>
          <w:highlight w:val="none"/>
          <w:lang w:val="en-US"/>
        </w:rPr>
        <w:br w:type="page"/>
      </w:r>
    </w:p>
    <w:p w14:paraId="7D54D06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b/>
          <w:bCs/>
          <w:color w:val="auto"/>
          <w:sz w:val="24"/>
          <w:szCs w:val="24"/>
          <w:highlight w:val="none"/>
          <w:lang w:val="en-US" w:eastAsia="zh-CN"/>
        </w:rPr>
      </w:pPr>
      <w:bookmarkStart w:id="5" w:name="第三包需求"/>
      <w:r>
        <w:rPr>
          <w:rFonts w:hint="eastAsia" w:ascii="Times New Roman" w:hAnsi="Times New Roman"/>
          <w:b/>
          <w:bCs/>
          <w:color w:val="auto"/>
          <w:sz w:val="24"/>
          <w:szCs w:val="24"/>
          <w:highlight w:val="none"/>
          <w:lang w:val="en-US"/>
        </w:rPr>
        <w:t>第三</w:t>
      </w:r>
      <w:r>
        <w:rPr>
          <w:rFonts w:hint="eastAsia"/>
          <w:b/>
          <w:bCs/>
          <w:color w:val="auto"/>
          <w:sz w:val="24"/>
          <w:szCs w:val="24"/>
          <w:highlight w:val="none"/>
          <w:lang w:val="en-US" w:eastAsia="zh-CN"/>
        </w:rPr>
        <w:t>包:</w:t>
      </w:r>
    </w:p>
    <w:bookmarkEnd w:id="5"/>
    <w:p w14:paraId="539CBF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（一）运维软件介绍</w:t>
      </w:r>
    </w:p>
    <w:p w14:paraId="43089C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本包服务内容主要包括以下内容：医疗保障智能监管子系统、运行监测管理子系统</w:t>
      </w:r>
    </w:p>
    <w:p w14:paraId="2320F2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1、系统总体框架</w:t>
      </w:r>
    </w:p>
    <w:p w14:paraId="46B8B84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根据国家医疗保障局医疗保障信息平台规划建设要求，天津市医疗保障局医疗保障信息平台采用国家医疗保障局医疗保障信息平台统一的总体架构，天津市医疗保障局医疗保障信息平台总体架构如下图所示：</w:t>
      </w:r>
    </w:p>
    <w:tbl>
      <w:tblPr>
        <w:tblStyle w:val="17"/>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522"/>
      </w:tblGrid>
      <w:tr w14:paraId="04840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8" w:hRule="atLeast"/>
          <w:jc w:val="center"/>
        </w:trPr>
        <w:tc>
          <w:tcPr>
            <w:tcW w:w="8522" w:type="dxa"/>
            <w:vAlign w:val="top"/>
          </w:tcPr>
          <w:p w14:paraId="1B1DE7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b w:val="0"/>
                <w:bCs w:val="0"/>
                <w:color w:val="auto"/>
                <w:sz w:val="24"/>
                <w:szCs w:val="24"/>
                <w:highlight w:val="none"/>
                <w:vertAlign w:val="baseline"/>
                <w:lang w:val="en-US" w:eastAsia="zh-CN"/>
              </w:rPr>
            </w:pPr>
            <w:r>
              <w:rPr>
                <w:rFonts w:hint="eastAsia" w:ascii="Times New Roman" w:hAnsi="Times New Roman" w:eastAsia="宋体"/>
                <w:b w:val="0"/>
                <w:bCs w:val="0"/>
                <w:color w:val="auto"/>
                <w:sz w:val="24"/>
                <w:szCs w:val="24"/>
                <w:highlight w:val="none"/>
                <w:vertAlign w:val="baseline"/>
                <w:lang w:val="en-US" w:eastAsia="zh-CN"/>
              </w:rPr>
              <w:drawing>
                <wp:inline distT="0" distB="0" distL="114300" distR="114300">
                  <wp:extent cx="5274310" cy="4181475"/>
                  <wp:effectExtent l="0" t="0" r="2540" b="0"/>
                  <wp:docPr id="8" name="图片 8"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片1"/>
                          <pic:cNvPicPr>
                            <a:picLocks noChangeAspect="1"/>
                          </pic:cNvPicPr>
                        </pic:nvPicPr>
                        <pic:blipFill>
                          <a:blip r:embed="rId17"/>
                          <a:stretch>
                            <a:fillRect/>
                          </a:stretch>
                        </pic:blipFill>
                        <pic:spPr>
                          <a:xfrm>
                            <a:off x="0" y="0"/>
                            <a:ext cx="5274310" cy="4181475"/>
                          </a:xfrm>
                          <a:prstGeom prst="rect">
                            <a:avLst/>
                          </a:prstGeom>
                        </pic:spPr>
                      </pic:pic>
                    </a:graphicData>
                  </a:graphic>
                </wp:inline>
              </w:drawing>
            </w:r>
          </w:p>
        </w:tc>
      </w:tr>
    </w:tbl>
    <w:p w14:paraId="660F285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2、系统主要功能</w:t>
      </w:r>
    </w:p>
    <w:p w14:paraId="189084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（1）医疗保障智能监管子系统</w:t>
      </w:r>
    </w:p>
    <w:p w14:paraId="41DF32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医疗保障智能监管子系统，主要包含医保知识库管理、医保规则库管理、数据采集、智能审核大数据分析、事前提醒功能、事前调阅功能、事中预警功能、事后统计分析、医保实时概况、对象监控体系、违规指数分析、人脸等生物特征识别认证、定点机构视频监控、进销存管理、医疗项目审核、联网医疗费用审核、联网生育费用审核、病种付费审核、智能规则审核、风险管控、监督执法管理、新冠费用审核、取消门特登记、黑名单管理、批量调整、门诊门特白名单维护等内容。</w:t>
      </w:r>
    </w:p>
    <w:p w14:paraId="75E406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（2）运行监测管理子系统</w:t>
      </w:r>
    </w:p>
    <w:p w14:paraId="4B3C74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运行监测管理子系统主要包含业务数据监控管理、业务监控展示管理、系统监控数据管理、系统监控展示管理、运行监测APP管理、全市就诊概况信息监测、医疗机构概况信息监测、费用趋势概况信息监测、贯标情况统计监测等内容。</w:t>
      </w:r>
    </w:p>
    <w:p w14:paraId="2EF8F3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（二）（二）运维人员要求</w:t>
      </w:r>
    </w:p>
    <w:p w14:paraId="65E918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1.投标方应提供不少于3人运维团队，提供专职驻场服务，具体人员配置与服务要求如下：</w:t>
      </w:r>
    </w:p>
    <w:tbl>
      <w:tblPr>
        <w:tblStyle w:val="16"/>
        <w:tblW w:w="8891" w:type="dxa"/>
        <w:jc w:val="center"/>
        <w:tblLayout w:type="fixed"/>
        <w:tblCellMar>
          <w:top w:w="0" w:type="dxa"/>
          <w:left w:w="108" w:type="dxa"/>
          <w:bottom w:w="0" w:type="dxa"/>
          <w:right w:w="108" w:type="dxa"/>
        </w:tblCellMar>
      </w:tblPr>
      <w:tblGrid>
        <w:gridCol w:w="1103"/>
        <w:gridCol w:w="765"/>
        <w:gridCol w:w="4442"/>
        <w:gridCol w:w="1614"/>
        <w:gridCol w:w="967"/>
      </w:tblGrid>
      <w:tr w14:paraId="1F41C667">
        <w:tblPrEx>
          <w:tblCellMar>
            <w:top w:w="0" w:type="dxa"/>
            <w:left w:w="108" w:type="dxa"/>
            <w:bottom w:w="0" w:type="dxa"/>
            <w:right w:w="108" w:type="dxa"/>
          </w:tblCellMar>
        </w:tblPrEx>
        <w:trPr>
          <w:trHeight w:val="0" w:hRule="atLeast"/>
          <w:tblHeader/>
          <w:jc w:val="center"/>
        </w:trPr>
        <w:tc>
          <w:tcPr>
            <w:tcW w:w="1103"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1CD854E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岗位名称</w:t>
            </w:r>
          </w:p>
        </w:tc>
        <w:tc>
          <w:tcPr>
            <w:tcW w:w="765" w:type="dxa"/>
            <w:tcBorders>
              <w:top w:val="single" w:color="000000" w:sz="4" w:space="0"/>
              <w:left w:val="single" w:color="000000" w:sz="4" w:space="0"/>
              <w:bottom w:val="single" w:color="000000" w:sz="4" w:space="0"/>
              <w:right w:val="single" w:color="000000" w:sz="4" w:space="0"/>
            </w:tcBorders>
            <w:vAlign w:val="center"/>
          </w:tcPr>
          <w:p w14:paraId="0A5BF2A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人数</w:t>
            </w:r>
          </w:p>
        </w:tc>
        <w:tc>
          <w:tcPr>
            <w:tcW w:w="4442"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2A922CD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要求</w:t>
            </w:r>
          </w:p>
        </w:tc>
        <w:tc>
          <w:tcPr>
            <w:tcW w:w="1614" w:type="dxa"/>
            <w:tcBorders>
              <w:top w:val="single" w:color="000000" w:sz="4" w:space="0"/>
              <w:left w:val="single" w:color="000000" w:sz="4" w:space="0"/>
              <w:bottom w:val="single" w:color="000000" w:sz="4" w:space="0"/>
              <w:right w:val="single" w:color="000000" w:sz="4" w:space="0"/>
            </w:tcBorders>
            <w:vAlign w:val="center"/>
          </w:tcPr>
          <w:p w14:paraId="33B52CA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工作职责</w:t>
            </w:r>
          </w:p>
        </w:tc>
        <w:tc>
          <w:tcPr>
            <w:tcW w:w="967" w:type="dxa"/>
            <w:tcBorders>
              <w:top w:val="single" w:color="000000" w:sz="4" w:space="0"/>
              <w:left w:val="single" w:color="000000" w:sz="4" w:space="0"/>
              <w:bottom w:val="single" w:color="000000" w:sz="4" w:space="0"/>
              <w:right w:val="single" w:color="000000" w:sz="4" w:space="0"/>
            </w:tcBorders>
            <w:vAlign w:val="center"/>
          </w:tcPr>
          <w:p w14:paraId="45663A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是否驻场服务</w:t>
            </w:r>
          </w:p>
        </w:tc>
      </w:tr>
      <w:tr w14:paraId="3A46A918">
        <w:tblPrEx>
          <w:tblCellMar>
            <w:top w:w="0" w:type="dxa"/>
            <w:left w:w="108" w:type="dxa"/>
            <w:bottom w:w="0" w:type="dxa"/>
            <w:right w:w="108" w:type="dxa"/>
          </w:tblCellMar>
        </w:tblPrEx>
        <w:trPr>
          <w:trHeight w:val="0" w:hRule="atLeast"/>
          <w:jc w:val="center"/>
        </w:trPr>
        <w:tc>
          <w:tcPr>
            <w:tcW w:w="1103"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422713F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项目负责人</w:t>
            </w:r>
          </w:p>
        </w:tc>
        <w:tc>
          <w:tcPr>
            <w:tcW w:w="765" w:type="dxa"/>
            <w:tcBorders>
              <w:top w:val="single" w:color="000000" w:sz="4" w:space="0"/>
              <w:left w:val="single" w:color="000000" w:sz="4" w:space="0"/>
              <w:bottom w:val="single" w:color="000000" w:sz="4" w:space="0"/>
              <w:right w:val="single" w:color="000000" w:sz="4" w:space="0"/>
            </w:tcBorders>
            <w:vAlign w:val="center"/>
          </w:tcPr>
          <w:p w14:paraId="673BA9C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4442"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0581AA3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驻场负责人具有5年或以上的政府机关或事业单位信息化建设</w:t>
            </w:r>
            <w:r>
              <w:rPr>
                <w:rFonts w:hint="eastAsia" w:ascii="宋体" w:hAnsi="宋体" w:cs="宋体"/>
                <w:i w:val="0"/>
                <w:iCs w:val="0"/>
                <w:color w:val="auto"/>
                <w:kern w:val="0"/>
                <w:sz w:val="24"/>
                <w:szCs w:val="24"/>
                <w:highlight w:val="none"/>
                <w:u w:val="none"/>
                <w:lang w:val="en-US" w:eastAsia="zh-CN" w:bidi="ar"/>
              </w:rPr>
              <w:t>相关</w:t>
            </w:r>
            <w:r>
              <w:rPr>
                <w:rFonts w:hint="eastAsia" w:ascii="宋体" w:hAnsi="宋体" w:eastAsia="宋体" w:cs="宋体"/>
                <w:i w:val="0"/>
                <w:iCs w:val="0"/>
                <w:color w:val="auto"/>
                <w:kern w:val="0"/>
                <w:sz w:val="24"/>
                <w:szCs w:val="24"/>
                <w:highlight w:val="none"/>
                <w:u w:val="none"/>
                <w:lang w:val="en-US" w:eastAsia="zh-CN" w:bidi="ar"/>
              </w:rPr>
              <w:t>经验，对信息化有深入理解，有良好的沟通能力、耐性和综合素质。具备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i w:val="0"/>
                <w:iCs w:val="0"/>
                <w:color w:val="auto"/>
                <w:kern w:val="0"/>
                <w:sz w:val="24"/>
                <w:szCs w:val="24"/>
                <w:highlight w:val="none"/>
                <w:u w:val="none"/>
                <w:lang w:val="en-US" w:eastAsia="zh-CN" w:bidi="ar"/>
              </w:rPr>
              <w:t>系统规划与管理师</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w:t>
            </w:r>
          </w:p>
        </w:tc>
        <w:tc>
          <w:tcPr>
            <w:tcW w:w="1614" w:type="dxa"/>
            <w:tcBorders>
              <w:top w:val="single" w:color="000000" w:sz="4" w:space="0"/>
              <w:left w:val="single" w:color="000000" w:sz="4" w:space="0"/>
              <w:bottom w:val="single" w:color="000000" w:sz="4" w:space="0"/>
              <w:right w:val="single" w:color="000000" w:sz="4" w:space="0"/>
            </w:tcBorders>
            <w:vAlign w:val="center"/>
          </w:tcPr>
          <w:p w14:paraId="7A391F4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项目负责人，负责整体运维项目的管理和协调工作。</w:t>
            </w:r>
          </w:p>
        </w:tc>
        <w:tc>
          <w:tcPr>
            <w:tcW w:w="967" w:type="dxa"/>
            <w:tcBorders>
              <w:top w:val="single" w:color="000000" w:sz="4" w:space="0"/>
              <w:left w:val="single" w:color="000000" w:sz="4" w:space="0"/>
              <w:bottom w:val="single" w:color="000000" w:sz="4" w:space="0"/>
              <w:right w:val="single" w:color="000000" w:sz="4" w:space="0"/>
            </w:tcBorders>
            <w:vAlign w:val="center"/>
          </w:tcPr>
          <w:p w14:paraId="56CF5F3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驻场</w:t>
            </w:r>
          </w:p>
        </w:tc>
      </w:tr>
      <w:tr w14:paraId="329C19BD">
        <w:tblPrEx>
          <w:tblCellMar>
            <w:top w:w="0" w:type="dxa"/>
            <w:left w:w="108" w:type="dxa"/>
            <w:bottom w:w="0" w:type="dxa"/>
            <w:right w:w="108" w:type="dxa"/>
          </w:tblCellMar>
        </w:tblPrEx>
        <w:trPr>
          <w:trHeight w:val="0" w:hRule="atLeast"/>
          <w:jc w:val="center"/>
        </w:trPr>
        <w:tc>
          <w:tcPr>
            <w:tcW w:w="1103"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13A8425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技术人员</w:t>
            </w:r>
          </w:p>
        </w:tc>
        <w:tc>
          <w:tcPr>
            <w:tcW w:w="765" w:type="dxa"/>
            <w:tcBorders>
              <w:top w:val="single" w:color="000000" w:sz="4" w:space="0"/>
              <w:left w:val="single" w:color="000000" w:sz="4" w:space="0"/>
              <w:bottom w:val="single" w:color="000000" w:sz="4" w:space="0"/>
              <w:right w:val="single" w:color="000000" w:sz="4" w:space="0"/>
            </w:tcBorders>
            <w:vAlign w:val="center"/>
          </w:tcPr>
          <w:p w14:paraId="6682504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color w:val="auto"/>
                <w:kern w:val="0"/>
                <w:sz w:val="24"/>
                <w:szCs w:val="24"/>
                <w:highlight w:val="none"/>
                <w:u w:val="none"/>
                <w:lang w:val="en-US" w:eastAsia="zh-CN" w:bidi="ar"/>
              </w:rPr>
              <w:t>2</w:t>
            </w:r>
          </w:p>
        </w:tc>
        <w:tc>
          <w:tcPr>
            <w:tcW w:w="4442"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4B86650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技术人员均从业经历2年以上，具备政府机关或行政事业单位信息化建设</w:t>
            </w:r>
            <w:r>
              <w:rPr>
                <w:rFonts w:hint="eastAsia" w:ascii="宋体" w:hAnsi="宋体" w:cs="宋体"/>
                <w:i w:val="0"/>
                <w:iCs w:val="0"/>
                <w:color w:val="auto"/>
                <w:kern w:val="0"/>
                <w:sz w:val="24"/>
                <w:szCs w:val="24"/>
                <w:highlight w:val="none"/>
                <w:u w:val="none"/>
                <w:lang w:val="en-US" w:eastAsia="zh-CN" w:bidi="ar"/>
              </w:rPr>
              <w:t>相关</w:t>
            </w:r>
            <w:r>
              <w:rPr>
                <w:rFonts w:hint="eastAsia" w:ascii="宋体" w:hAnsi="宋体" w:eastAsia="宋体" w:cs="宋体"/>
                <w:i w:val="0"/>
                <w:iCs w:val="0"/>
                <w:color w:val="auto"/>
                <w:kern w:val="0"/>
                <w:sz w:val="24"/>
                <w:szCs w:val="24"/>
                <w:highlight w:val="none"/>
                <w:u w:val="none"/>
                <w:lang w:val="en-US" w:eastAsia="zh-CN" w:bidi="ar"/>
              </w:rPr>
              <w:t>经验，具备</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i w:val="0"/>
                <w:iCs w:val="0"/>
                <w:color w:val="auto"/>
                <w:kern w:val="0"/>
                <w:sz w:val="24"/>
                <w:szCs w:val="24"/>
                <w:highlight w:val="none"/>
                <w:u w:val="none"/>
                <w:lang w:val="en-US" w:eastAsia="zh-CN" w:bidi="ar"/>
              </w:rPr>
              <w:t>数据库系统工程师</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i w:val="0"/>
                <w:iCs w:val="0"/>
                <w:color w:val="auto"/>
                <w:kern w:val="0"/>
                <w:sz w:val="24"/>
                <w:szCs w:val="24"/>
                <w:highlight w:val="none"/>
                <w:u w:val="none"/>
                <w:lang w:val="en-US" w:eastAsia="zh-CN" w:bidi="ar"/>
              </w:rPr>
              <w:t>。</w:t>
            </w:r>
          </w:p>
        </w:tc>
        <w:tc>
          <w:tcPr>
            <w:tcW w:w="1614" w:type="dxa"/>
            <w:tcBorders>
              <w:top w:val="single" w:color="000000" w:sz="4" w:space="0"/>
              <w:left w:val="single" w:color="000000" w:sz="4" w:space="0"/>
              <w:bottom w:val="single" w:color="000000" w:sz="4" w:space="0"/>
              <w:right w:val="single" w:color="000000" w:sz="4" w:space="0"/>
            </w:tcBorders>
            <w:vAlign w:val="center"/>
          </w:tcPr>
          <w:p w14:paraId="4CDE530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提供技术指导和运维操作。</w:t>
            </w:r>
          </w:p>
        </w:tc>
        <w:tc>
          <w:tcPr>
            <w:tcW w:w="967" w:type="dxa"/>
            <w:tcBorders>
              <w:top w:val="single" w:color="000000" w:sz="4" w:space="0"/>
              <w:left w:val="single" w:color="000000" w:sz="4" w:space="0"/>
              <w:bottom w:val="single" w:color="000000" w:sz="4" w:space="0"/>
              <w:right w:val="single" w:color="000000" w:sz="4" w:space="0"/>
            </w:tcBorders>
            <w:vAlign w:val="center"/>
          </w:tcPr>
          <w:p w14:paraId="0983AF7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驻场</w:t>
            </w:r>
          </w:p>
        </w:tc>
      </w:tr>
    </w:tbl>
    <w:p w14:paraId="7661B8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（1）提供不少于1人7*24驻场服务以及5*8日常驻场服务。提供至少1部服务热线及不少于1人驻场咨询服务人员。驻场工程师工作量不额外计费，驻场工程师具备本系统进行修改、调整能力。</w:t>
      </w:r>
    </w:p>
    <w:p w14:paraId="461B19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（2）投标方承诺驻场服务人员每日按照招标方要求，定时汇报核心业务运行情况。</w:t>
      </w:r>
    </w:p>
    <w:p w14:paraId="13000D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w:t>
      </w:r>
      <w:r>
        <w:rPr>
          <w:rFonts w:hint="eastAsia"/>
          <w:b w:val="0"/>
          <w:bCs w:val="0"/>
          <w:color w:val="auto"/>
          <w:sz w:val="24"/>
          <w:szCs w:val="24"/>
          <w:highlight w:val="none"/>
          <w:lang w:val="en-US" w:eastAsia="zh-CN"/>
        </w:rPr>
        <w:t>2</w:t>
      </w:r>
      <w:r>
        <w:rPr>
          <w:rFonts w:hint="eastAsia" w:ascii="Times New Roman" w:hAnsi="Times New Roman"/>
          <w:b w:val="0"/>
          <w:bCs w:val="0"/>
          <w:color w:val="auto"/>
          <w:sz w:val="24"/>
          <w:szCs w:val="24"/>
          <w:highlight w:val="none"/>
          <w:lang w:val="en-US"/>
        </w:rPr>
        <w:t>.人员稳定性要求。服务期内核心岗位（项目经理、技术负责人、安全工程师）人员变动率不得超过20%，普通岗位变动率不得超过30%；人员变动需提15个工作日提交申请，说明变动原因及替补人员资质，替补人员需经甲方面试合格并完成岗位交接（交接期不少于15个工作日）后方可上岗，确保服务连续性。</w:t>
      </w:r>
    </w:p>
    <w:p w14:paraId="2D4FA4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（三）运维服务要求</w:t>
      </w:r>
    </w:p>
    <w:p w14:paraId="0DD0D76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投标方应服从天津市医疗保障信息平台整体技术规范和管理规范，配合医保平台整体工作部署并能按照相关要求开展运维工作。</w:t>
      </w:r>
    </w:p>
    <w:p w14:paraId="49A219B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1.日常巡检服务</w:t>
      </w:r>
    </w:p>
    <w:p w14:paraId="3B0A0A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包含软件组件、网络环境、数据存储、安全防护等维度。采用自动化监测+人工核查结合方式，每日开展巡检，重点核查服务器资源占用、系统进程状态、数据同步情况、安全策略有效性、对事前调阅和事前提醒接口检查、智能监管系统接口检查、事中结算预警接口检查、数据中台用药天数运维查看、运行监测实时数据检查等，形成完整巡检记录，及时预警并处置潜在隐患。此项服务要求由驻场人员执行。</w:t>
      </w:r>
    </w:p>
    <w:p w14:paraId="2D309A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1.1系统运行监控服务</w:t>
      </w:r>
    </w:p>
    <w:p w14:paraId="4551FD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1.1.1对接统一运维监控平台，构建全维度监控体系，覆盖云平台资源、软件服务（进程、连接数、响应时间）、业务指标（办理量、成功率）、安全态势（异常登录、攻击行为）及网络状态（带宽、延迟、连通性）。</w:t>
      </w:r>
    </w:p>
    <w:p w14:paraId="19D4AFD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1.1.2设置多级告警阈值，通过短信、邮件等方式实时推送告警信息，确保告警响应及时，监控数据为系统优化提供支撑。</w:t>
      </w:r>
    </w:p>
    <w:p w14:paraId="4AF167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1.2巡检记录及日常运维清单管理</w:t>
      </w:r>
    </w:p>
    <w:p w14:paraId="63253B7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1.2.1规范记录每日巡检情况，详细载明巡检时间、范围、结果、问题及处理措施，做到实时归档。</w:t>
      </w:r>
    </w:p>
    <w:p w14:paraId="5227AA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1.2.2制定标准化运维清单，涵盖服务器启停、服务重启、数据备份、权限调整等操作流程，明确责任人及注意事项，确保运维操作合规可控。</w:t>
      </w:r>
    </w:p>
    <w:p w14:paraId="0E92E4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1.2.3对系统存在的Bug和软件自身缺陷进行修正。</w:t>
      </w:r>
    </w:p>
    <w:p w14:paraId="71ADD5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1.2.4 对所使用的开发维护工具进行补丁升级。</w:t>
      </w:r>
    </w:p>
    <w:p w14:paraId="727CF7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1.2.5采用电子+纸质双重归档方式，保障记录可追溯、可审计。每月提交运维报告。</w:t>
      </w:r>
    </w:p>
    <w:p w14:paraId="77D2CF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1.3月报提交服务</w:t>
      </w:r>
    </w:p>
    <w:p w14:paraId="719C17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1.3.1每月5日前提交运维月报，内容包括巡检概况、故障处理统计、升级变更情况、需求（包括数据与应用系统需求）处理进度、安全防护情况、资源运行态势、下月工作计划及优化建议。</w:t>
      </w:r>
    </w:p>
    <w:p w14:paraId="1E535CC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1.3.2月报需数据真实、分析全面，及时报送业务主管部门及上级单位。</w:t>
      </w:r>
    </w:p>
    <w:p w14:paraId="0BAFBB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2.系统故障与应急响应处理服务</w:t>
      </w:r>
    </w:p>
    <w:p w14:paraId="2DBB13E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2.1建立分级故障响应机制，针对系统崩溃、服务中断、功能异常、数据错误、网络故障等问题，按影响范围（单模块、多模块、全系统）分级响应。</w:t>
      </w:r>
    </w:p>
    <w:p w14:paraId="250A556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2.2一般故障15分钟内响应、2小时内解决；重大故障15分钟内响应，30分钟内控制事态，确保不影响医保经办、参保待遇享受等核心业务。</w:t>
      </w:r>
    </w:p>
    <w:p w14:paraId="4C35F1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提供不少于4次应急响应处理服务，提供7*24小时事件响应、应急响应、处理及恢复服务；重大应急事件保证15分钟内做出响应并提供应急处理方案，保证30分钟内到达现场。应急服务完成后，负责工作记录、处理报告等相关文档的编制工作。如遇紧急事件临时需要提供应急响应处理服务，承诺无条件服从采购人安排。</w:t>
      </w:r>
    </w:p>
    <w:p w14:paraId="380D60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2.4提供驻场运维、电话咨询、现场响应等服务，故障处理后形成复盘报告，优化防控措施。</w:t>
      </w:r>
    </w:p>
    <w:p w14:paraId="740053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3.系统升级与优化变更服务</w:t>
      </w:r>
    </w:p>
    <w:p w14:paraId="36E505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★3.1针对国家医保局下发的系统软件进行部署、联调及运维工作。</w:t>
      </w:r>
    </w:p>
    <w:p w14:paraId="4C72F3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针对已部署国家版本及新发版本，提供全流程升级服务，包括但不限于升级方案编制、兼容性测试、业务影响评估、错峰实施（避开业务高峰期）及回滚预案制定。</w:t>
      </w:r>
    </w:p>
    <w:p w14:paraId="2B1472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3.2主动开展程序执行效率优化，提高运行效率与资源利用效率。</w:t>
      </w:r>
    </w:p>
    <w:p w14:paraId="0F77F1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3.3及时完成系统版本更新，确保升级优化过程数据迁移完整、功能衔接顺畅，变更后开展回归测试及用户告知。</w:t>
      </w:r>
    </w:p>
    <w:p w14:paraId="03B5069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3.4系统变更需同步更新运维文档，记录变更内容、实施过程及效果。</w:t>
      </w:r>
    </w:p>
    <w:p w14:paraId="74C0E8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3.5配合做好与其他系统承建单位的系统对接与联调测试工作。</w:t>
      </w:r>
    </w:p>
    <w:p w14:paraId="185B255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3.6提供驻场运维服务</w:t>
      </w:r>
    </w:p>
    <w:p w14:paraId="0CD751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4.需求接收及变更服务</w:t>
      </w:r>
    </w:p>
    <w:p w14:paraId="7446A5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中标方须严格遵守包括但不限于《全国医疗保障系统核心业务区骨干网络建设指南》（医保网信办〔2019〕40 号）、《医疗保障信息系统安全开发规范》、《医保信息平台电子凭证技术规范》、《医保信息平台用户界面规范》、《医疗保障标准化工作指导意见》（医保发〔2019〕39号）、《医疗保障信息平台建设指南》（医保网信办〔2019〕4 号）《XJ-A01-2019 医疗保障信息平台云计算平台规范》、《XJ-B01-2019 医疗保障信息平台应用系统技术架构规范》、《XJ-D03-2022 医疗保障信息平台电子处方中心技术规范》、《医疗保障信息平台数据归集交换库设计说明书》、《医疗保障信息平台数据库设计规范》、《医疗保障信息平台内部统一门户集成规范》、《医疗保障信息平台用户交互设计规范》、《医疗保障信息平台生物识别数据规范》、《医疗保障信息平台医保区划编码规范》等一系列规章制度、技术标准、数据安全、网络安全的管理要求，并承担制度中明确的相关责任。</w:t>
      </w:r>
    </w:p>
    <w:p w14:paraId="7AF082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4.1服务期内，由于业务变化</w:t>
      </w:r>
      <w:r>
        <w:rPr>
          <w:rFonts w:hint="eastAsia" w:ascii="Times New Roman" w:hAnsi="Times New Roman"/>
          <w:b w:val="0"/>
          <w:bCs w:val="0"/>
          <w:color w:val="auto"/>
          <w:sz w:val="24"/>
          <w:szCs w:val="24"/>
          <w:highlight w:val="none"/>
          <w:lang w:val="en-US"/>
        </w:rPr>
        <w:tab/>
      </w:r>
      <w:r>
        <w:rPr>
          <w:rFonts w:hint="eastAsia" w:ascii="Times New Roman" w:hAnsi="Times New Roman"/>
          <w:b w:val="0"/>
          <w:bCs w:val="0"/>
          <w:color w:val="auto"/>
          <w:sz w:val="24"/>
          <w:szCs w:val="24"/>
          <w:highlight w:val="none"/>
          <w:lang w:val="en-US"/>
        </w:rPr>
        <w:tab/>
      </w:r>
      <w:r>
        <w:rPr>
          <w:rFonts w:hint="eastAsia" w:ascii="Times New Roman" w:hAnsi="Times New Roman"/>
          <w:b w:val="0"/>
          <w:bCs w:val="0"/>
          <w:color w:val="auto"/>
          <w:sz w:val="24"/>
          <w:szCs w:val="24"/>
          <w:highlight w:val="none"/>
          <w:lang w:val="en-US"/>
        </w:rPr>
        <w:tab/>
      </w:r>
      <w:r>
        <w:rPr>
          <w:rFonts w:hint="eastAsia" w:ascii="Times New Roman" w:hAnsi="Times New Roman"/>
          <w:b w:val="0"/>
          <w:bCs w:val="0"/>
          <w:color w:val="auto"/>
          <w:sz w:val="24"/>
          <w:szCs w:val="24"/>
          <w:highlight w:val="none"/>
          <w:lang w:val="en-US"/>
        </w:rPr>
        <w:tab/>
      </w:r>
      <w:r>
        <w:rPr>
          <w:rFonts w:hint="eastAsia" w:ascii="Times New Roman" w:hAnsi="Times New Roman"/>
          <w:b w:val="0"/>
          <w:bCs w:val="0"/>
          <w:color w:val="auto"/>
          <w:sz w:val="24"/>
          <w:szCs w:val="24"/>
          <w:highlight w:val="none"/>
          <w:lang w:val="en-US"/>
        </w:rPr>
        <w:tab/>
      </w:r>
      <w:r>
        <w:rPr>
          <w:rFonts w:hint="eastAsia" w:ascii="Times New Roman" w:hAnsi="Times New Roman"/>
          <w:b w:val="0"/>
          <w:bCs w:val="0"/>
          <w:color w:val="auto"/>
          <w:sz w:val="24"/>
          <w:szCs w:val="24"/>
          <w:highlight w:val="none"/>
          <w:lang w:val="en-US"/>
        </w:rPr>
        <w:tab/>
      </w:r>
      <w:r>
        <w:rPr>
          <w:rFonts w:hint="eastAsia" w:ascii="Times New Roman" w:hAnsi="Times New Roman"/>
          <w:b w:val="0"/>
          <w:bCs w:val="0"/>
          <w:color w:val="auto"/>
          <w:sz w:val="24"/>
          <w:szCs w:val="24"/>
          <w:highlight w:val="none"/>
          <w:lang w:val="en-US"/>
        </w:rPr>
        <w:t>，在原有业务流程、功能要素、数据结构等不变情况下对现有功能模块进行的调整均纳入维保项目。</w:t>
      </w:r>
    </w:p>
    <w:p w14:paraId="521E924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4.2数据提取、数据修改、系统调优等原因引发的数据接口开发、小规模校验规则修改、经办流程微调、参数调整等纳入运维工作范围，由中标单位负责业务需求的开发等相关工作。</w:t>
      </w:r>
    </w:p>
    <w:p w14:paraId="035768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4.3遇重大需求变更，中标方应对需求进行合规性、可行性审核，开展影响分析及方案评审，对需求涉及的项目建设范围进行评估，并将评估结果及时反馈有关集成单位和监理单位。</w:t>
      </w:r>
    </w:p>
    <w:p w14:paraId="36DF48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4.4中标单位需同步调整运维保障策略，更新运维保障范围，确保变更落地不影响系统稳定性。同步更新用户使用手册、系统操作手册、系统部署方案、安装部署手册等材料。</w:t>
      </w:r>
    </w:p>
    <w:p w14:paraId="7CFD30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4.5规则管理和维护，主要包括国家两库的更新部署、规则的动态知识维护和管理。</w:t>
      </w:r>
    </w:p>
    <w:p w14:paraId="4E8A4D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4.6视频平台管理，持续对接两定机构的视频对接需求。</w:t>
      </w:r>
    </w:p>
    <w:p w14:paraId="49F3A4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4.7协助业务对两定机构的问题进行故障排查，问题解答等工作；配合做好两定机构测试工作；对于故障要出具问题分析报告</w:t>
      </w:r>
    </w:p>
    <w:p w14:paraId="4DD645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4.8提供5*8小时驻场运维服务，遇突发工作要求，需提供7*24小时响应，必要是应配合投标方组员技术人员提供现场技术支持。中标单位应配合业务人员需求，驻场人员可现场进行需求对接，实现驻场开发。</w:t>
      </w:r>
    </w:p>
    <w:p w14:paraId="4C29ED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5.人员和权限调整服务</w:t>
      </w:r>
    </w:p>
    <w:p w14:paraId="668754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5.1遵循招标方要求，对应用软件的人员、角色权限、功能菜单进行必要调整、增减和变更，确保各类人员分配合适权限。</w:t>
      </w:r>
    </w:p>
    <w:p w14:paraId="0D09C74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5.2支持人员角色、功能菜单、操作权限的灵活调整，确保权限分配与岗位职责匹配，调整过程需经审批并留存操作日志。</w:t>
      </w:r>
    </w:p>
    <w:p w14:paraId="3091E1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5.3定期开展权限审计，清理冗余权限、排查权限冲突，保障系统操作可追溯。</w:t>
      </w:r>
    </w:p>
    <w:p w14:paraId="1023AF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b w:val="0"/>
          <w:bCs w:val="0"/>
          <w:color w:val="auto"/>
          <w:sz w:val="24"/>
          <w:szCs w:val="24"/>
          <w:highlight w:val="none"/>
          <w:lang w:val="en-US" w:eastAsia="zh-CN"/>
        </w:rPr>
        <w:t>6</w:t>
      </w:r>
      <w:r>
        <w:rPr>
          <w:rFonts w:hint="eastAsia" w:ascii="Times New Roman" w:hAnsi="Times New Roman"/>
          <w:b w:val="0"/>
          <w:bCs w:val="0"/>
          <w:color w:val="auto"/>
          <w:sz w:val="24"/>
          <w:szCs w:val="24"/>
          <w:highlight w:val="none"/>
          <w:lang w:val="en-US"/>
        </w:rPr>
        <w:t>.安全服务要求</w:t>
      </w:r>
    </w:p>
    <w:p w14:paraId="2EFA00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严格按照国家和天津市相关安全体系文件的要求提供安全保障，本着“谁运维、谁负责”的原则建立和落实运维安全管理制度。投标方需在投标文件中明确，本项目中数据（包含原始数据和衍生数据）全部为招标方所有，全部列入保密范围，投标方不得未经用户许可的情况下导出、分析以及移作他用。投标方需依据与采购方签订的保密协议或提供保密承诺，承诺投标方及其员工不透露或者以其它方式提供给第三方。承担核心数据库运维的服务商员工需与采购方单独签署保密协议或提供保密承诺，主动配合招标方开展个人背景调查工作。（特殊情况以合同为准）</w:t>
      </w:r>
    </w:p>
    <w:p w14:paraId="634DE1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7.应用指导与技术支持</w:t>
      </w:r>
    </w:p>
    <w:p w14:paraId="03CB8E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7.1为不同的系统对接用户建立多渠道服务体系（驻场咨询、技术支持邮箱、服务热线、在线客服），响应用户操作疑问、功能咨询、问题反馈。确保用户反馈响应率100%、解决率不低于98%，形成问题处理闭环。</w:t>
      </w:r>
    </w:p>
    <w:p w14:paraId="766901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7.2为内部业务经办人员提供系统操作、故障处理、政策适配等专项培训，采用线上线下授课、实操演练等形式。提供多元化指导服务，编制用户操作手册、常见问题清单，录制培训视频，协助提升经办服务效能。提供5×8小时现场业务咨询及软件操作指导，7*24小时远程电话咨询服务。确保用户熟练使用系统功能。</w:t>
      </w:r>
    </w:p>
    <w:p w14:paraId="590032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7.3配合有关部门开展系统推广、数据核查、攻防演练、业务演练等工作。提供技术支撑。 </w:t>
      </w:r>
    </w:p>
    <w:p w14:paraId="2D25F7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8.密评改造服务</w:t>
      </w:r>
    </w:p>
    <w:p w14:paraId="082860D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8.1依据国家密码应用安全性评估标准，完成系统敏感数据加密改造（含数据库、管理后台），确保数据传输、存储、使用全流程加密合规。</w:t>
      </w:r>
    </w:p>
    <w:p w14:paraId="70671B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8.2优化系统，满足密评要求，配合密评机构开展评估测试，及时整改发现问题，完成密评备案并建立长效机制。</w:t>
      </w:r>
    </w:p>
    <w:p w14:paraId="6216F8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8.3配合年度等级保护测评、密评相关巡检，并按要求完成整改工作，确保系统合规运行。</w:t>
      </w:r>
    </w:p>
    <w:p w14:paraId="5F1A980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9.漏洞扫描配合服务</w:t>
      </w:r>
    </w:p>
    <w:p w14:paraId="2F852E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9.1配合上级单位及安全服务机构代码审计工作，按照漏洞扫描工作要求，提供系统拓扑、资产清单等技术支持，并按要求完成整改工作。</w:t>
      </w:r>
    </w:p>
    <w:p w14:paraId="52C121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9.2对扫描发现的高危、中危漏洞进行优先级排序，制定整改方案并实施修复，整改完成后配合复扫，确保漏洞闭环修复率100%。</w:t>
      </w:r>
    </w:p>
    <w:p w14:paraId="320519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9.3建立漏洞库，总结防控规律，提升系统安全防护能力。</w:t>
      </w:r>
    </w:p>
    <w:p w14:paraId="343755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10.数据需求与支持服务</w:t>
      </w:r>
    </w:p>
    <w:p w14:paraId="14E5AE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医疗保障信息平台数据库设计规范》、《医疗保障信息平台用户交互设计规范》、《医疗保障信息平台生物识别数据规范》、《医疗保障信息平台医保区划编码规范》、《医疗保障信息平台数据归集技术规范》《医疗保障信息平台数据归集交换库设计说明书》等一系列国家及本市有关政策、技术规范、数据安全、网络安全管理要求，负责数据中台相关运维服务、医保数据归集运维服务、医保数据治理运维服务、医保数据提取分析运维服务、数据治理业务培训服务等并承担制度中明确的相关责任。</w:t>
      </w:r>
    </w:p>
    <w:p w14:paraId="781ECC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10.1提供数据提取、核对、备份、恢复、清理、更新、优化等全生命周期服务，保障数据完整性、准确性、安全性。</w:t>
      </w:r>
    </w:p>
    <w:p w14:paraId="58F905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10.2负责数据治理工作。按照国家医保局数据标准规范和市医保局业务部门数据治理要求，对运维范围内天津市医保平台应用系统产生的脏数据、数据中台统一汇聚后的脏数据、国家医保局反馈的脏数据以及其他相关场景产生的脏数据进行全面分析、监控和治理，制定和完善数据归集上报流程和质量校验规则，开发相应的校验脚本，形成医保数据质控规则库，并定期产出数据质量分析报告。数据治理工作包括:一是开展数据关联性验证、主外键约束处理、数据矛盾处理、数据逻辑错误处理等技术侧治理;二是开展非标业务编码使用处理、非标数据字典使用处理、重复参保数据处理、重复缴费数据处理、数据缺失处理等业务侧治理;三是开展数据质控，并根据市医保局工作安排，开启数据上传接口校验，从源头避免脏数据产生。</w:t>
      </w:r>
    </w:p>
    <w:p w14:paraId="0EAB50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10.3高效完成数据归集工作。投标方需按照国家医保局数据归集同步机制，负责保障医保平台数据正常同步至国家医保平台，全天候监控数据归集同步进程及问题，定期检查资源使用情况，第一时间解决归集出现的中断、报错等故障，确保符合国家医保局对于数据归集的及时性、一致性、准确性、完整性要求。</w:t>
      </w:r>
    </w:p>
    <w:p w14:paraId="3591AA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10.4支持合规的数据共享交换需求，保障与其他政务平台数据对接顺畅，提供数据脱敏、索引优化、查询优化等服务。</w:t>
      </w:r>
    </w:p>
    <w:p w14:paraId="4A7A26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10.5配合各有关单位工作，提供运维服务范围内合理合规的数据服务。</w:t>
      </w:r>
    </w:p>
    <w:p w14:paraId="33C2F5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配合信息化部门完成个性化数据提取工作；做好程序问题产生的错误数据恢复工作。</w:t>
      </w:r>
    </w:p>
    <w:p w14:paraId="630819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10.6负责做好运维范围内应用系统异地灾备等安全演练工作。</w:t>
      </w:r>
    </w:p>
    <w:p w14:paraId="3C7DDD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10.7按照国家医保局要求及时、准确、完整实现数据归集工作。</w:t>
      </w:r>
    </w:p>
    <w:p w14:paraId="2B16A76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10.8配合做好历史数据迁移与应用工作。</w:t>
      </w:r>
    </w:p>
    <w:p w14:paraId="7B0520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10.9服务方式为驻场服务</w:t>
      </w:r>
    </w:p>
    <w:p w14:paraId="67AD4A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11.重保服务</w:t>
      </w:r>
    </w:p>
    <w:p w14:paraId="695343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供每年不少于6次重大活动期间安全保障服务，启动专项重保机制，制定保障方案，明确责任分工及应急流程。重保前开展全系统排查加固，升级安全策略。重保期间派驻专业工程师提供7*24小时现场技术支持，增强信息安全防护的技术力量，实时监控系统状态，与应急部门建立联动，及时处置应急安全事件。确保零重大故障、零安全事件。</w:t>
      </w:r>
    </w:p>
    <w:p w14:paraId="68414F7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重大活动包括重要节假日、重大活动或其他招标人明确要求的活动。</w:t>
      </w:r>
    </w:p>
    <w:p w14:paraId="79A6496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12.质量管理要求</w:t>
      </w:r>
    </w:p>
    <w:p w14:paraId="753C5B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在项目实施全过程中，招标方有对运维质量进行监督控制的职责和权利，运维承建商应按照项目管理要求进行严格的质量控制，并制定详细合理的沟通计划，至少包括周报、月报和运维例会，应确保双方能及时了解所需的信息。</w:t>
      </w:r>
    </w:p>
    <w:p w14:paraId="3EB1472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13.运维文档编制与管理</w:t>
      </w:r>
    </w:p>
    <w:p w14:paraId="69DD7E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构建完整运维文档体系，包含系统基础资料（拓扑图、资产清单、配置参数等）、操作手册（巡检、故障处理、升级变更）、安全保障文档（密评方案、漏洞报告、应急预案）、服务记录文档及管理类文档（巡检记录、月报、总结等）。</w:t>
      </w:r>
    </w:p>
    <w:p w14:paraId="7D0E7D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13.2建立文档版本管理机制，及时更新以匹配系统变更，采用权限管控方式存储，确保文档准确、完整、可访问。</w:t>
      </w:r>
    </w:p>
    <w:p w14:paraId="785AB597">
      <w:pPr>
        <w:rPr>
          <w:rFonts w:ascii="Times New Roman" w:hAnsi="Times New Roman"/>
          <w:b w:val="0"/>
          <w:bCs w:val="0"/>
          <w:color w:val="auto"/>
          <w:sz w:val="24"/>
          <w:szCs w:val="24"/>
          <w:highlight w:val="none"/>
          <w:lang w:val="en-US"/>
        </w:rPr>
      </w:pPr>
      <w:r>
        <w:rPr>
          <w:rFonts w:ascii="Times New Roman" w:hAnsi="Times New Roman"/>
          <w:b w:val="0"/>
          <w:bCs w:val="0"/>
          <w:color w:val="auto"/>
          <w:sz w:val="24"/>
          <w:szCs w:val="24"/>
          <w:highlight w:val="none"/>
          <w:lang w:val="en-US"/>
        </w:rPr>
        <w:br w:type="page"/>
      </w:r>
    </w:p>
    <w:p w14:paraId="47E6ADC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b/>
          <w:bCs/>
          <w:color w:val="auto"/>
          <w:sz w:val="24"/>
          <w:szCs w:val="24"/>
          <w:highlight w:val="none"/>
          <w:lang w:val="en-US" w:eastAsia="zh-CN"/>
        </w:rPr>
      </w:pPr>
      <w:bookmarkStart w:id="6" w:name="第四包需求"/>
      <w:r>
        <w:rPr>
          <w:rFonts w:hint="eastAsia" w:ascii="Times New Roman" w:hAnsi="Times New Roman"/>
          <w:b/>
          <w:bCs/>
          <w:color w:val="auto"/>
          <w:sz w:val="24"/>
          <w:szCs w:val="24"/>
          <w:highlight w:val="none"/>
          <w:lang w:val="en-US"/>
        </w:rPr>
        <w:t>第四包</w:t>
      </w:r>
      <w:r>
        <w:rPr>
          <w:rFonts w:hint="eastAsia"/>
          <w:b/>
          <w:bCs/>
          <w:color w:val="auto"/>
          <w:sz w:val="24"/>
          <w:szCs w:val="24"/>
          <w:highlight w:val="none"/>
          <w:lang w:val="en-US" w:eastAsia="zh-CN"/>
        </w:rPr>
        <w:t>：</w:t>
      </w:r>
    </w:p>
    <w:bookmarkEnd w:id="6"/>
    <w:p w14:paraId="58C767B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（一）运维软件介绍</w:t>
      </w:r>
    </w:p>
    <w:p w14:paraId="4D50EED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天津市医保信息平台宏观决策子系统与基金运行与审计监管系统项目，服务内容主要包括以下内容：</w:t>
      </w:r>
    </w:p>
    <w:p w14:paraId="415E75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通过汇聚天津市医疗保障信息平台各个业务系统的多源数据，借助大数据和机器学习相关技术，建立数据分析模型，帮助市医疗保障局医保管理者动态化掌握全市医疗保障制度运行情况，挖掘内在规律、理解内外部环境变化趋势及政策变动的影响，为医保管理者持续优化医保资源配置，为完善医疗保障体系提供决策支持。通过建设宏观决策大数据应用、基金运行及审计监管，协助市医保局构建“决策规划-政策执行-运行监测-分析反馈”的管理闭环。</w:t>
      </w:r>
    </w:p>
    <w:p w14:paraId="0D7E03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建设宏观决策大数据应用系统，为市医疗保障局主管领导和相关业务科室人员提供不同应用层面的决策支持，如对数据处理应用，数据可视化展示、数据模型服务、数据舆情分析等。</w:t>
      </w:r>
    </w:p>
    <w:p w14:paraId="251A34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建设基金运行及审计监管应用系统，实现对医保基金及相关方面的立体监管。通过实时信息化监测技术，对医保基金全方位进行分析，并对基金的违规和问题进行预警。增强基金的监督手段，提高基金工作效率。</w:t>
      </w:r>
    </w:p>
    <w:p w14:paraId="6EF679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具体功能内容：</w:t>
      </w:r>
    </w:p>
    <w:p w14:paraId="45184D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1、宏观决策大数据管理应用子系统</w:t>
      </w:r>
    </w:p>
    <w:p w14:paraId="7F6EC22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通过宏观决策大数据应用子系统建设，对医疗机构和部门从业务、系统、数据方面进行全面梳理，便于领导及时直观的了解医疗卫生业务发展趋势，通过对业务专题多维度的数据分析，对医保舆情的检测预警，对机器学习下的模型训练，以及对个人/企业的标签化抽象，初步形成支撑市医疗保障局宏观决策分析大数据能力体系，包括评价、风控、测算、精算、预测、预警、模拟等方面，全方面多维度的为领导及办公人员提供高层次的、综合性的信息服务与支持，逐步建立起用数据说话、用数据决策、用数据管理、用数据创新的管理机制。</w:t>
      </w:r>
    </w:p>
    <w:p w14:paraId="20D927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1.1大数据智能审核分析</w:t>
      </w:r>
    </w:p>
    <w:p w14:paraId="546E296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为提升医疗保险管理水平，提高医保智能审核工作效率，通过标准化数据采集，以大数据模型为基础，通过设定的相应关注维度进行异常行为的定位，违规行为及不合理费用进行精准定位，逐步实现医保的基金支付合理化、精细化管理，建立大数据智能审核分析指标，针对定点医疗机构、医保医师和参保人角度，通过从历年及当前的实时诊疗业务数据着手，对就医记录、就医明细以及其中三目录数据，从不同维度的统计指标对数据进行综合分析，以此作为智能审核的补充和依据。</w:t>
      </w:r>
    </w:p>
    <w:p w14:paraId="4DBA70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1.1.1医疗机构总体指标分析</w:t>
      </w:r>
    </w:p>
    <w:p w14:paraId="46C5E3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以条形图展示大数据模型分析出的医疗机构异常指标个数排名，异常指标应该包括但不限于医疗费用、检验检查费用占比、三目占比、病种占比、跨院费用占比排名、科室占比排名等指标。方便导入智能审核系统供审核人员重点关注指标个数比较多的医疗机构，进行重点审核；以列表展示大数据模型分析出的异常指标对应医疗机构，方便审核人员重点关注异常指标对应医疗机构家数较多的数据，进行重点分析。</w:t>
      </w:r>
    </w:p>
    <w:p w14:paraId="3DF20B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1.1.2.医师总体指标分析</w:t>
      </w:r>
    </w:p>
    <w:p w14:paraId="230B4E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以柱形图展示大数据模型分析出的异常指标对应医师的个数，并提供年月切换功能；方便审核工作人员重点关注异常指标对应医师个数较多的数据，进行重点审核。</w:t>
      </w:r>
    </w:p>
    <w:p w14:paraId="3B7F38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1.1.3参保人总体指标分析</w:t>
      </w:r>
    </w:p>
    <w:p w14:paraId="3A8B08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以柱形图展示大数据模型分析出的异常指标对应参保人的个数，并提供年月切换功能；方便监督检查人员重点关注异常指标对应参保人个数较多的数据，进行重点审核。</w:t>
      </w:r>
    </w:p>
    <w:p w14:paraId="5B70D28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1.1.4其他审核指标分析</w:t>
      </w:r>
    </w:p>
    <w:p w14:paraId="7F8B6A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1.1.4.1疾病治疗费用评估</w:t>
      </w:r>
    </w:p>
    <w:p w14:paraId="6E1B0A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疾病分组的费用评估指标，按疾病诊断相关分组付费核心工作是分组，目的是确定付费的标准。治疗每一个患者都要消耗一定的资源，而每一个患者因其年龄、性别、主要和次要诊断以及入院情况等因素不同而消耗不同的医疗资源。按疾病诊断相关分组付费就是基于这样的出发点用定量的临床数据，采用量化的办法进行分组，核算每种条件下医疗资源消耗的正常值，发现偏离值过高或者过低的医疗机构或者病组。</w:t>
      </w:r>
    </w:p>
    <w:p w14:paraId="79227C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1.1.4.2就医聚集骗保行为</w:t>
      </w:r>
    </w:p>
    <w:p w14:paraId="54E4BF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医保就医聚集行为通常表现为在医院就医时，多张医保卡过于频繁地同时同地消费。这种就医聚集现象可能是由于某些特殊人群如某些慢性病人需要频繁就医造成的自然聚集现象，也有可能存在违规的倾向：某人持多张医保卡同时消费。找出这些具有就医聚集行为的人群一方面能够对特殊疾病人群提供针对性的管理和服务，另一方面能有效提高对违规人群的审核力度。可以将就医聚集行为的表现形式简化为某种一致性：在就医时多张医保卡在同一时间段内（细化为一天）在同一家医院就医。这些医保卡若一致性消费过于频繁则可以认为是一种异常现象，将被列为重点审核对象。</w:t>
      </w:r>
    </w:p>
    <w:p w14:paraId="6101D9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1.1.4.3诊疗项目、药品等与疾病置信度</w:t>
      </w:r>
    </w:p>
    <w:p w14:paraId="1859C5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利用区域内所有的诊疗记录挖掘诊疗项目、药品等与疾病的置信度，即在相同病情下使用的诊疗项目、药品等项目的可信程度。对每种疾病，计算所有相关诊疗项目、药品置信度，并按照置信度的大小进行排名，对排名靠前异常进行重点审核。</w:t>
      </w:r>
    </w:p>
    <w:p w14:paraId="6140530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1.1.4.4医保结算费用预测模型</w:t>
      </w:r>
    </w:p>
    <w:p w14:paraId="05DDE8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用时间序列预测方法—ARIMA（AutoRegression Integrated Moving Average，自动回归整合移动平均）模型，建立医保结算费用预测模型，实现对医保结算总费用预测。在预测过程中实施平稳性检测、差分处理、白噪声检测、拟合预测模型、序列预测几个关键技术，实现对未来12个月的时间序列预测，对医保结算总费用的有效预测，为医保基金可持续发展提供正确的指导方向。</w:t>
      </w:r>
    </w:p>
    <w:p w14:paraId="27D1EB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1.1.4.5医疗资源可用性可及性与医保基金使用合理性分析</w:t>
      </w:r>
    </w:p>
    <w:p w14:paraId="2515F0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医疗资源与医保基金使用的宏观监测与分析，并以此为基础，分析医疗资源的分配对医保基金使用的影响及各地区的合理性，掌握医疗保障参保人员的实际需求，按需组织部署医疗资源，有效引导合理医疗和基金分配。</w:t>
      </w:r>
    </w:p>
    <w:p w14:paraId="5E7E6B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1.1.4.6医药联网结算数据分析</w:t>
      </w:r>
    </w:p>
    <w:p w14:paraId="3372E3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医药联网结算数据进行数据清洗、数据加工后，形成各种数据主题，对不同数据主题进行数据组合和关联，对医药联网结算的历史数据、实时数据进行对比分析、分布分析、趋势分析、预测分析等分析模块；并运用数据挖掘技术，发现业务中存在的关键影响因素和风险。</w:t>
      </w:r>
    </w:p>
    <w:p w14:paraId="78D8C1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1.1.4.7智能审核效果评价</w:t>
      </w:r>
    </w:p>
    <w:p w14:paraId="3283DC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对智能监管效果进行多维度多指标的效果评价及效果展示。</w:t>
      </w:r>
    </w:p>
    <w:p w14:paraId="0AC4DD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1.2数据可视化服务</w:t>
      </w:r>
    </w:p>
    <w:p w14:paraId="435EA8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将对原始数据进行标准化、结构化的处理转化为信息可视化呈现出来，支持图形、图表、仪表盘等多种形式的展现方式，以医疗保障管理层获得更深的洞察力、更好的决策力。提供领导驾驶舱总览、基于数据可视化分析工具的专题数据分析（医疗机构运行情况、疾病诊疗分析、征缴情况分析、基金使用情况、政策待遇分析、药品招采分析、行为信用监管等）的可视化展现服务以及利用统一数据报表工具的数据查询统计服务。</w:t>
      </w:r>
    </w:p>
    <w:p w14:paraId="25BE9F5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1.2.1领导驾驶舱</w:t>
      </w:r>
    </w:p>
    <w:p w14:paraId="795536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炼核心指标，将中心数据精简于形，通过直观、多维、实时、动态、交互、联动等形式直观展示全市医保周期内的运营、管理、目标达成情况，并利用机器学习、深度学习、分析预测等计算服务能力对异常的关键指标进行及时预警和挖掘分析，帮助医保局更好的识别风险，实现提早控制和辅助决策。</w:t>
      </w:r>
    </w:p>
    <w:p w14:paraId="29123F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1.2.2专题数据分析挖掘</w:t>
      </w:r>
    </w:p>
    <w:p w14:paraId="1585B39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在整合处理而成的有序数据资源和数据仓库的基础上,对各种信息资源进行统计、综合分析,建立不同时间段,不同地域,不同类型,不同分析指标项组成的多维度综合分析数据专题,充分、有效的利用信息资源,发挥数据资源的最大价值。</w:t>
      </w:r>
    </w:p>
    <w:p w14:paraId="6F63C4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从宏观层面上，可以按照医院级别，借助多年数据的对比定期对就医总人次、总费用、基金支付状况、次均费用等核心指标进行趋向性分析，同时对住院的就医流向、基金的支付流向等进行统计，对医保住院政策以及管理手段提供评估与决策支持数据。从中观层面上来看，按照医院的级别，可以对各个经办分中心的次均支付状况进行管理，同时提供公示与排名，借助这样的方式监督不同定点医疗机构的管理效果，对门诊特殊疾病可以以认定、结算定点医院、病种以及费用聚集状况等分析，对部分费用占比较多的疾病提供病种费用的分析以及排名，从而为经办机构强化监督与落实付费方式改革等提供支持数据。从微观层面上，可以更好查询到离散数据，并对同级、同类型医院的核心指标等提供排名数据，从而为经办机构提供管理与稽核的支持数据。</w:t>
      </w:r>
    </w:p>
    <w:p w14:paraId="330E35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1.2.2.1统计方法专题</w:t>
      </w:r>
    </w:p>
    <w:p w14:paraId="147CA0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制定统一查询标准，保证不同系统之间统计查询口径一致。</w:t>
      </w:r>
    </w:p>
    <w:p w14:paraId="4591A3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1.2.2.2机构运行专题</w:t>
      </w:r>
    </w:p>
    <w:p w14:paraId="58C746A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从两定机构（定点医院、定点药店）角度出发，分析监测医疗资源饱和度、医疗机构人流量、药品进销存等情况，辅助医疗资源调配及医疗药品定价等。</w:t>
      </w:r>
    </w:p>
    <w:p w14:paraId="76E43A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1.2.2.3疾病诊疗专题</w:t>
      </w:r>
    </w:p>
    <w:p w14:paraId="19517F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通过对患者疾病情况、用药情况的大数据分析来辅助医保目录的动态调整，对季节性流行病进行预告防治，同时还可辅助完善DRGS疾病诊断分类的支付标准。</w:t>
      </w:r>
    </w:p>
    <w:p w14:paraId="0F3D72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1.2.2.4基金征缴专题</w:t>
      </w:r>
    </w:p>
    <w:p w14:paraId="3C9673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从险种类别、地域、医疗行为及待遇影响等角度分析基金筹资水平差异度，辅助科学决策。</w:t>
      </w:r>
    </w:p>
    <w:p w14:paraId="3E9E965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1.2.2.5基金使用专题</w:t>
      </w:r>
    </w:p>
    <w:p w14:paraId="7715E7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依据基金使用情况进行精算分析，预估基金结余走势，辅助保险制度的完善改进，促进医疗资源的合理使用，完善监管角度辅助合理控费。</w:t>
      </w:r>
    </w:p>
    <w:p w14:paraId="01601D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1.2.2.6政策待遇专题</w:t>
      </w:r>
    </w:p>
    <w:p w14:paraId="5D5E906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通过大数据精算分析，进行政策仿真模拟，辅助优化医保待遇政策清单，体现医疗扶贫、跨省异地就医等政策影响度。</w:t>
      </w:r>
    </w:p>
    <w:p w14:paraId="428E53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1.2.2.7药品招采专题</w:t>
      </w:r>
    </w:p>
    <w:p w14:paraId="2BAA8F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通过对药品招采的大数据分析，实现从药品需求到药品定价到挂网销售再到综合分析的招采全环节的智能化分析服务。</w:t>
      </w:r>
    </w:p>
    <w:p w14:paraId="6DC780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1.2.2.8信用监管专题</w:t>
      </w:r>
    </w:p>
    <w:p w14:paraId="313B23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通过对参保人、医师执业人员、两定机构、药品耗材生产流通企业的行为数据分析，完善信用监管体系，辅助科学决策。</w:t>
      </w:r>
    </w:p>
    <w:p w14:paraId="37BE79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1.2.3可视化分析工具</w:t>
      </w:r>
    </w:p>
    <w:p w14:paraId="1DC06C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在基于“业务主导的自服务模式”的核心准则下，提供自助探索式实时数据可视化智能分析服务，通过分析模型以及分析报告模板的构建，实现对综合业务情况、应用主题分析的智能化报表输出，支撑业务人员灵活多变的业务需求。</w:t>
      </w:r>
    </w:p>
    <w:p w14:paraId="0F56FD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1.2.4统一数据报表</w:t>
      </w:r>
    </w:p>
    <w:p w14:paraId="18A8B9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满足各个业务部门的数据查询统计需求，基于知识图谱构建数据搜索引擎，建立以报表集成管理和报表生命周期管理为基础，实现全方位、自动化、流程化和规范化的新型报表管理模式的统一报表平台。</w:t>
      </w:r>
    </w:p>
    <w:p w14:paraId="2DDE0FB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1.2.5实时监控平台</w:t>
      </w:r>
    </w:p>
    <w:p w14:paraId="67C2C6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基于全市医疗机构的实时业务运行情况，利用大数据实时计算框架，从医疗卫生资源占用情况、医疗机构患者流量情况、对象行为监控、费用趋势分析、事后统计分析等维度对全市医疗机构进行实时监控。</w:t>
      </w:r>
    </w:p>
    <w:p w14:paraId="352962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1.3统计分析服务</w:t>
      </w:r>
    </w:p>
    <w:p w14:paraId="773CFD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统计分析指标主要用于反映医疗保险运行的状况、过程和结果，依据医疗保险政策和法规，按照医疗保险经办规程和业务流程，以基金收支为主线，揭示医疗保险发展规律。医疗保险政策将不断发展完善，医疗保险统计分析指标也要随之不断调整、充实，以满足医疗保险分析、管理和决策需要。</w:t>
      </w:r>
    </w:p>
    <w:p w14:paraId="117A8D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1.3.1数据指标体系</w:t>
      </w:r>
    </w:p>
    <w:p w14:paraId="28DA1A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依据医疗保险运行实际，满足内部管理需要，分析不同险种的共性特点和个性差异，分险种梳理统计指标，建立统计指标体系，全面反映医疗保险经办运行数量方面的发展情况和趋势特点。</w:t>
      </w:r>
    </w:p>
    <w:p w14:paraId="722B7DD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1.3.2统计分析模型</w:t>
      </w:r>
    </w:p>
    <w:p w14:paraId="27A14F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描述统计分析方法是用数学及统计学所特有方法对医疗保险活动的数量特征进行描述和分析，包括医疗保险的规模、水平、速度、结构、比例以及内部各因素对总体变化的影响方向和影响程度等。常见的有：对比分析法、结构分析法、分组分析法、平均分析法、因素分析法等。推断统计分析方法是以概率论和数理统计为依据，通过建立回归模型对未来情况进行预测。其坚持辨证、发展的观点，从医疗保险活动的发展变化和发展趋势中观察问题，从事物的相互依存、相互制约中来分析问题，对医疗保险统计分析具有十分重要的意义。</w:t>
      </w:r>
    </w:p>
    <w:p w14:paraId="110113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1.3.3统计分析报告</w:t>
      </w:r>
    </w:p>
    <w:p w14:paraId="189F967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统计分析报告是指根据统计学的原理和方法，运用大量统计数据来反映、研究和分析医疗保险经济活动的现状、成因、本质和规律，并做出结论，提出解决问题办法的一种统计应用文体。统计分析报告将统计数据、统计（分析）方法、统计信息融为一体，既在具体的社会经济现象中演绎统计分析方法的逻辑，也在统计分析方法的逻辑中展示具体的经济现象的轮廓或某一方面，前者提供为决策者所能接受的可靠性证明，后者提供为决策者所能理解和使用的信息。具体如医保统计分析报告、医保基金运行分析报告、医院医保运行分析报告、异地就医统计分析报告等等。</w:t>
      </w:r>
    </w:p>
    <w:p w14:paraId="44784D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1.4数据模型服务</w:t>
      </w:r>
    </w:p>
    <w:p w14:paraId="71EE43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利用统计学、模式识别、机器学习、数据抽象等数据分析方法，根据不同的数据应用场景，通过模型建立和数据训练，并将达到预期效果的数据模型发布到正式环境，达到数据挖掘-预测分析-辅助决策的效果。</w:t>
      </w:r>
    </w:p>
    <w:p w14:paraId="093811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1.4.1总额分配模型</w:t>
      </w:r>
    </w:p>
    <w:p w14:paraId="3CC3AF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定点医疗机构年度医疗费定额可结合医疗机构原定额标准、实际服务人头数及日常服务等情况，确定医疗机构新年度定额增长率。</w:t>
      </w:r>
    </w:p>
    <w:p w14:paraId="3AA911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1.4.2中期调整模型</w:t>
      </w:r>
    </w:p>
    <w:p w14:paraId="7306A4D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因医疗机构规模、科室设置调整、服务人群等严重影响医疗服务的要素发生重大变化，并造成实际医疗费用与付费定额有很大差异的，可调整当年度医疗费定额。</w:t>
      </w:r>
    </w:p>
    <w:p w14:paraId="62A9FF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1.4.3年终清算模型</w:t>
      </w:r>
    </w:p>
    <w:p w14:paraId="5CA636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年度结束以后，对按照总量控制的医院，进行全年的数据重新计算，得出纳入统算范围内费用，计算年度清算金额</w:t>
      </w:r>
    </w:p>
    <w:p w14:paraId="1FB9186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1.4.4生育险与职工基本医疗保险基金合并模拟分析</w:t>
      </w:r>
    </w:p>
    <w:p w14:paraId="5217CA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对生育保险与职工基本医保基金合并后的基金运行情况进行预测，考虑生育保险政策变动、人口结构变化及筹资待遇政策调整等多个交叉维度下，基金合并后的短期及中长期运行预测分析。</w:t>
      </w:r>
    </w:p>
    <w:p w14:paraId="54878F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1.4.5药品招采价格调整影响模拟</w:t>
      </w:r>
    </w:p>
    <w:p w14:paraId="4E9D2E2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利用模型模拟药品招采价格调整后的影响，通过模拟不同药品招采价格调整方案对招采业务的影响、对药品和医用耗材市场的影响等，为决策者提供调整药品招采价格的有效方案。</w:t>
      </w:r>
    </w:p>
    <w:p w14:paraId="0927B8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1.4.6药品目录范围调整影响模拟</w:t>
      </w:r>
    </w:p>
    <w:p w14:paraId="3B0631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利用模型模拟药品目录范围调整后的影响，通过模拟不同药品目录范围调整方案对医保支出的影响、对医疗机构服务质量的影响、对参保人就医感受的影响，通过横断面及时间序列分析等经典的大数据分析方法，为决策者提供调整药品目录范围的有效方案。</w:t>
      </w:r>
    </w:p>
    <w:p w14:paraId="33F19F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1.4.7政策调整影响因素模拟</w:t>
      </w:r>
    </w:p>
    <w:p w14:paraId="31BD9CA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利用模型模拟政策调整后的影响，评估其带来的影响作出预测和判断，为决策者提供评估政策的有效方法。</w:t>
      </w:r>
    </w:p>
    <w:p w14:paraId="3A9DDA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1.4.8大数据智能建模</w:t>
      </w:r>
    </w:p>
    <w:p w14:paraId="269309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根据应用场景，采用智能建模方式，构建分析模型。</w:t>
      </w:r>
    </w:p>
    <w:p w14:paraId="17D9F5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1.4.9模型管理</w:t>
      </w:r>
    </w:p>
    <w:p w14:paraId="4EA867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对数据模型服务模块下的各类模型的界面化管理。</w:t>
      </w:r>
    </w:p>
    <w:p w14:paraId="12434AA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1.5数据舆情分析</w:t>
      </w:r>
    </w:p>
    <w:p w14:paraId="4286E5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医疗保障局作为政府民生事业贯彻执行的重要职能机构，与人民群众联系密切，特别是一些反映医保资金使用、机构服务水平、医疗纠纷事件、药品价格等问题的信息也逐渐成为网上热议的焦点，如果不加以科学有效的疏导，极有可能造成工作被动，影响党和政府的形象。</w:t>
      </w:r>
    </w:p>
    <w:p w14:paraId="3B4327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1.5.1舆情信息采集</w:t>
      </w:r>
    </w:p>
    <w:p w14:paraId="4F9BF3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系统对整个网络舆情进行监控，及时甄别和医保、医疗、医药相关的最新舆情事件，包括民生民意、社会热点事件、领导动态、政策实施效果等事件，并将相关事件信息采集到系统中进行分类、分析等处理。</w:t>
      </w:r>
    </w:p>
    <w:p w14:paraId="280593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1.5.2舆情脉络分析</w:t>
      </w:r>
    </w:p>
    <w:p w14:paraId="04923B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通过系统舆情分析引擎对民生民意、社会热点事件、领导动态、政策实施效果的舆情事件信息等进行动态监测，提供日报、周报、月报、季报、年报、专题报告等各种类型的舆情报告，及时监管舆情脉络走向。</w:t>
      </w:r>
    </w:p>
    <w:p w14:paraId="462A4AE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1.5.3舆情预警管理</w:t>
      </w:r>
    </w:p>
    <w:p w14:paraId="301601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建立了高效、及时的预警机制，设置各种舆情事件的预警值，根据系统分析结果及时发现预警信息，通过邮件、手机短信、桌面弹窗多种方式通知相关负责人。</w:t>
      </w:r>
    </w:p>
    <w:p w14:paraId="383ECB8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1.5.4舆情处理</w:t>
      </w:r>
    </w:p>
    <w:p w14:paraId="6F5567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系统可以预置针对不同舆情事件的处理方式，在相关舆情事件发生时提醒相关负责人如何进行处理，可以对舆情事件处理方式进行增加、修改、删除、查询查看等操作，系统支持记录预警舆情事件的处理方式、处理结果等信息，可在后期出现类似舆情事件时提醒负责人该次处理情况。</w:t>
      </w:r>
    </w:p>
    <w:p w14:paraId="48379B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1.5.5舆情预警</w:t>
      </w:r>
    </w:p>
    <w:p w14:paraId="21D881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系统可以根据同一时间内或者短时间内爆发的热点词汇进行预警，在相关舆情事件发生过程中监控同病种数量，进行对比分析，给出及时的预警反馈。</w:t>
      </w:r>
    </w:p>
    <w:p w14:paraId="29F5FE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1.6大数据抽象能力</w:t>
      </w:r>
    </w:p>
    <w:p w14:paraId="427E48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为本部门服务的同时，可对外部系统外部用户包括上级单位、与有信息数据往来的平行单位、下级单位，提供数据利用、展现功能，使用信息共享服务。</w:t>
      </w:r>
    </w:p>
    <w:p w14:paraId="3FA8260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1.6.1标签库</w:t>
      </w:r>
    </w:p>
    <w:p w14:paraId="41260D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基于大数据平台的多源数据，对参保人、参保单位及医药机构的行为数据与基本信息进行分析、归纳，提炼出对象的行为特征或属性特征，构建标签体系，并根据数据域的分类方式和业务需求，对对象标签分类，使对象便于管理。基于大数据平台建立的标签库，实现数据的统计、查询和列表展示。</w:t>
      </w:r>
    </w:p>
    <w:p w14:paraId="5E4EAC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1.6.2大数据画像</w:t>
      </w:r>
    </w:p>
    <w:p w14:paraId="181B025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个人/企业画像通过多源数据，构建丰富标签体系，借助标签筛选功能，实现目标对象的细分，并结合内外部平台数据需求及安全要求，强化个人/企业画像对外服务的能力。个人画像：包括参保人基本信息、医保账户信息、跨医疗机构诊疗信息、药店购药信息等标签分类。还可结合行为轨迹、社交网络等做成大数据模型针对性进行实时监控。企业画像：包括社会评价、运行效率、发展实力、基金监管等标签分类。疾病画像：通过多源数据针对疾病类型进行有效划分，并针对地区监控突发性疾病、慢性病等多类型监管。</w:t>
      </w:r>
    </w:p>
    <w:p w14:paraId="47EA4E5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1.6.3精准识别能力</w:t>
      </w:r>
    </w:p>
    <w:p w14:paraId="7C9AA6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依托综合画像体系，实现对目标人群的精准识别，进一步提高识别的准确性和方便性，提供线下线上精准分类手段。</w:t>
      </w:r>
    </w:p>
    <w:p w14:paraId="324C77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精准识别的具体应用场景包括医保智能审核重点人群监管、APP个性化推荐以及精准健康扶贫等场景。</w:t>
      </w:r>
    </w:p>
    <w:p w14:paraId="146A0B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针对突发性疾病数据可提前预警，为相关部门做出判断提供相关依据。</w:t>
      </w:r>
    </w:p>
    <w:p w14:paraId="2E399D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针对慢性病和其他疾病，给相关部门新政策制订提供相关依据。</w:t>
      </w:r>
    </w:p>
    <w:p w14:paraId="528366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1.7数据基础服务</w:t>
      </w:r>
    </w:p>
    <w:p w14:paraId="09FBE5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基于DaaS数据基础服务能力，对数据源、资源分布、数据应用、数据质量、数据清洗、数据安全进行统一化、集约化管理，利用数据清洗、比对、加工、整合以及数据追溯与影响分析等手段，形成面向医保业务应用的信息资源库群，实现对医疗保障相关资源的有效统一管理。同时建立对各类数据的审核管理和维护机制，维护数据的完整性、准确性以及一致性，实现数据生命周期管理、数据标准等各项功能。从而更加有效的发掘和利用信息资产的价值，实现精准高效的分析和决策，为实现科学决策创造条件。</w:t>
      </w:r>
    </w:p>
    <w:p w14:paraId="37E398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1.7.1数据采集</w:t>
      </w:r>
    </w:p>
    <w:p w14:paraId="1148DA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接医疗保障信息平台的各个业务系统如智能监管子系统、跨省异地就医子系统等，及其他部委信息系统如公安局、民政局等，采集自身系统在业务运行过程中产生的数据以及其他部委信息系统共享交换的数据，经过数据预处理后，实现数据的分布式存储。</w:t>
      </w:r>
    </w:p>
    <w:p w14:paraId="512797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1.7.2数据存储计算</w:t>
      </w:r>
    </w:p>
    <w:p w14:paraId="2285E1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依据业务主题对各类医疗保障信息平台的多源数据进行汇聚整合，包括但不限于数据建模等服务。支持结构化数据、半结构化及非结构化数据的分布式存储,根据业务场景不同灵活支持不同服务。 </w:t>
      </w:r>
    </w:p>
    <w:p w14:paraId="706A1C5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1.7.3数据治理</w:t>
      </w:r>
    </w:p>
    <w:p w14:paraId="68BAD3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1.7.3.1元数据管理</w:t>
      </w:r>
    </w:p>
    <w:p w14:paraId="139BA5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为业务实体内的全量数据建立一套数据资料库，存储治理范围内的数据定义、来源、转换关系、目标、质量等级、依赖关系、安全权限等。支持从Hive,MPP,Oracle, PGSQL,ETL工具等数据源中利用元数据采集器对数据源中的元数据进行采集，并将元数据以web图形化界面方式展现出来。</w:t>
      </w:r>
    </w:p>
    <w:p w14:paraId="447FEF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1.7.3.2数据溯源</w:t>
      </w:r>
    </w:p>
    <w:p w14:paraId="2B2589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从某一实体作为起点，往回追溯其数据处理过程，直到整个系统的数据源接口。可实现对系统的指标、接口、报表、数据库表、数据库视图、CUBE实体、数据处理过程和数据源接口等元数据对象进行数据溯源。</w:t>
      </w:r>
    </w:p>
    <w:p w14:paraId="60AB0E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1.7.3.3数据质量管理</w:t>
      </w:r>
    </w:p>
    <w:p w14:paraId="3D2B2A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对业务集中数据库进行内置数据质量评估和审核。</w:t>
      </w:r>
    </w:p>
    <w:p w14:paraId="000B8C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1.7.4数据安全和数据监控</w:t>
      </w:r>
    </w:p>
    <w:p w14:paraId="757A80D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建立完善的体系化安全策略措施， 全方位进行安全管控， 通过多种手段保障大数据平台数据治理中的数据安全，完成数据“存、管、用”的数据治理安全， 做到事前可管、事中可控、事后可查。</w:t>
      </w:r>
    </w:p>
    <w:p w14:paraId="1EAF124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1.7.5数据交换共享</w:t>
      </w:r>
    </w:p>
    <w:p w14:paraId="6C9792D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依托统一数据交换的双向通道，上报已有信息资源，通过API或脱敏数据集形式支撑各部门提出的数据共享交换需求。</w:t>
      </w:r>
    </w:p>
    <w:p w14:paraId="2B0155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2、基金运行及审计监管</w:t>
      </w:r>
    </w:p>
    <w:p w14:paraId="3C0A73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基金运行及审计监管子系统是为了实现对医保基金及相关方面的立体监管。通过实时信息化监测技术，对医保基金全方位进行分析，并对基金的违规和问题进行预警。增强基金的监督手段，提高基金工作效率。</w:t>
      </w:r>
    </w:p>
    <w:p w14:paraId="57A20CB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保证及时发现基金管理的薄弱环节和疑点问题，为相关部门开展工作提供依据，及时了解掌握基金运转情况和支撑能力，实现制度平稳运行。最终保证基金管理的数据统一和账务统一。</w:t>
      </w:r>
    </w:p>
    <w:p w14:paraId="44C176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2.1基金运行监管</w:t>
      </w:r>
    </w:p>
    <w:p w14:paraId="3C289F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2.1.1基金总体运行分析</w:t>
      </w:r>
    </w:p>
    <w:p w14:paraId="2A9E238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采用大数据管理方式，利用数据仓库对象管理、大数据智能建模、数据分析挖掘、数据可视化分析及展示等技术，实现基金数据监控、运行分析功能。</w:t>
      </w:r>
    </w:p>
    <w:p w14:paraId="35CF28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基金总体运行分析，能让各级医保管理层及时了解医保基金的运行状态，对基金运行加强管控，防范和化解基金运行风险。依托大数据仓库基金运行监控主题，实现医保基金整体运行情况的统计与分析。支持按各种视角对基金当期收入情况、支出情况、结余情况以及历史结余情况、基金备付月数的分析统计；同时支持按医保协议机构类型（医院、药店等）、医保协议机构级别（如医院等级）、医保待遇类别、人员类别、病种科室等多维度对住院总费用、均次费用、个人负担比例、在院床日、统筹报销等指标进行分析统计，并能根据其同比、环比变化进行分析，为医保合理控费提供指引方向。</w:t>
      </w:r>
    </w:p>
    <w:p w14:paraId="278E7C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2.1.2基金状况详细分析</w:t>
      </w:r>
    </w:p>
    <w:p w14:paraId="56C56D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基金状况详细分析是对基金收入在职应缴人数、平均缴费基数、灵活人员参保率、职工医保退休/在职比、居民参保率、未成年人/学生参保率、财政补贴比、职工医保退休/在职人员个人账户划账与总基金征缴等指标分析影响医保基金收入情况及未来基金收入增长预测；根据参保人员类别、医疗结算类别、医药机构等级等指标分析统计基金报销比例、个人负担比例、医保合规费用比例等以探究医保基金整体保障水平；根据基金当期基金结余状况、历史结余状况、基金备付月等指标分析基金运行状况、可持续能力。</w:t>
      </w:r>
    </w:p>
    <w:p w14:paraId="50A455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2.1.3基金运行风险预警</w:t>
      </w:r>
    </w:p>
    <w:p w14:paraId="0A09EB4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基金运行风险预警是通过建立基金运行风险分析指标体系，依托大数据平台基金监控主题数据，以及大数据平台的数据分析加工能力，实现基金运行状况分析和预警，以提早识别基金运行风险，确保医疗保障基金安全运行。基金运行风险预警包括指标体系定义与管理、平衡运行模型管理、风险预警模型管理、警情处理跟踪等模块。</w:t>
      </w:r>
    </w:p>
    <w:p w14:paraId="4D2B71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2.1.4基金专户设立管理情况</w:t>
      </w:r>
    </w:p>
    <w:p w14:paraId="7CD972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对基金设立的基金专户的开设、清理、归并情况进行监督管理，跟踪基金专户的设立、收入、支出和结余情况，具体包括收入户、支出户、财政专户等。</w:t>
      </w:r>
    </w:p>
    <w:p w14:paraId="0E75C9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2.1.5基金运行预测分析</w:t>
      </w:r>
    </w:p>
    <w:p w14:paraId="6E1DA3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基金趋势预测分析功能是对基金运行情况的预测，支持按不同的视角预测基金整体收入情况、支出情况、结余情况，并且提供当前基金使用情况与历史同期的对比。利用大数据平台提供的统计分析模型和方法，建立预测分析模型，对各区基金收入、支出、结余和隐形债务等预测结果进行汇总分析，对可能发生的基金支付风险跟踪分析，为基金预算编制、基金政策的制定提供数据依据，防范和化解基金运行风险，保障医疗保险制度平稳运行，促进医疗保障事业健康可持续发展。包括基金预测指标体系定义与管理、基金预测模型管理、基金预测报告管理。</w:t>
      </w:r>
    </w:p>
    <w:p w14:paraId="4C9FE13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2.1.6基金退款核销转移情况</w:t>
      </w:r>
    </w:p>
    <w:p w14:paraId="17656C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由于政策调整、历史沿革等原因，医疗保险存在一些特殊的退款、核销、转移等业务，这类业务存在较高基金风险，容易导致医保基金的非法套取现象产生。基金运行及审计监督平台提供医保基金退款、核销转移情况分析功能，分析各类特殊业务的发生原因、发生频次、人群特点等，加强跟踪管理，为辅助政策制定提供依据。</w:t>
      </w:r>
    </w:p>
    <w:p w14:paraId="116E70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2.1.7基金预算辅助支持</w:t>
      </w:r>
    </w:p>
    <w:p w14:paraId="793826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2.1.7.1医保基金预算</w:t>
      </w:r>
    </w:p>
    <w:p w14:paraId="7ABA38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医保基金预算是组织基金财务活动，考核基金运营业绩的依据。通过基金预算的编制，可以反映一定时期基本基金计划的规模，是基本基金财务活动的基础，是保障基金安全、控制基金收支和考核基金运营业绩的依据。</w:t>
      </w:r>
    </w:p>
    <w:p w14:paraId="41EDAB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2.1.7.2医保基金收入预算</w:t>
      </w:r>
    </w:p>
    <w:p w14:paraId="1E1217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医保基金预算包括基金收入预算和基金支出预算。基金收入主要包括基本医疗保险费收入、利息收入、财政补贴收入、转移收入、上级补助收入、下级上交收入、其他收入等；基金支出主要包括基本医疗保险待遇支出、转移支出、补助下级支出、上解上级支出、其他支出等。</w:t>
      </w:r>
    </w:p>
    <w:p w14:paraId="114DE0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2.1.7.3医保保险基金支出预算</w:t>
      </w:r>
    </w:p>
    <w:p w14:paraId="62576F9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医保保险基金支出预算应按照规定的支出范围、项目和标准进行测算，考虑近年基金支出变化趋势，综合分析人员、政策等影响支出变动因素。</w:t>
      </w:r>
    </w:p>
    <w:p w14:paraId="43DD37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利用信息分析技术，结合医保支付付费方式、参保人信息、参保人就医信息等对基金预算编者提供辅助支持，提高基金预算编制科学性、精确性及预算执行的跟踪。</w:t>
      </w:r>
    </w:p>
    <w:p w14:paraId="43DDC1B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2.1.8基金运营管理情况</w:t>
      </w:r>
    </w:p>
    <w:p w14:paraId="19699ED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根据基金托管机构医保基金状况，监督医保基金结存、运营管理、增值保值等情况，量化医保基金运营收益率，力求医疗保险基金投资收益率跑赢通货膨胀指数，减少基金出现的隐性损失。</w:t>
      </w:r>
    </w:p>
    <w:p w14:paraId="10EF56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2.2基金审计监管</w:t>
      </w:r>
    </w:p>
    <w:p w14:paraId="0695BF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2.2.1基金筹集审计</w:t>
      </w:r>
    </w:p>
    <w:p w14:paraId="500E59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按照基金筹集审计对象和内容不同，分为对参保单位审计和对基金征缴和管理部门审计，依托大数据平台定义审计规则，并基于大数据相关表模型执行审计操作。</w:t>
      </w:r>
    </w:p>
    <w:p w14:paraId="2653FB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2.2.2基金支出审计</w:t>
      </w:r>
    </w:p>
    <w:p w14:paraId="597E3F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按照基金支出审计对象和内容不同，分为对参保人审计、对基金管理部门支付审计、基金管理审计，依托大数据平台定义审计规则，并基于大数据相关表模型执行审计操作。</w:t>
      </w:r>
    </w:p>
    <w:p w14:paraId="2CE56F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2.2.3基金财务监管</w:t>
      </w:r>
    </w:p>
    <w:p w14:paraId="32DAFE5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构建完善的财务实时动态监控机制，运用财务指标等技术实现基金财务监管。</w:t>
      </w:r>
    </w:p>
    <w:p w14:paraId="1E20DF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2.2.4基金预算执行跟踪</w:t>
      </w:r>
    </w:p>
    <w:p w14:paraId="0C0EA5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为防止基金预算执行风险，降低预算编制难度，提供基金预算以及预算执行分析功能。通过统计分析，用报表方式进行展现，比对反映相关部门下发预算任务和预算完成情况。</w:t>
      </w:r>
    </w:p>
    <w:p w14:paraId="46B372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支持管理单个基金，将部分基金额度预分配给的医疗机构的功能。支持选取并管理单个基金统筹区域，可以展现下属医保对应医疗机构。提供查询往年医疗机构的实际支出医保基金额度以及往年预分配额度。提供单项和批量对医疗机构进行本年度基金预分配的功能，按规则可配置多级审批。</w:t>
      </w:r>
    </w:p>
    <w:p w14:paraId="4A2A7B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2.3分析引擎</w:t>
      </w:r>
    </w:p>
    <w:p w14:paraId="2B3AE4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2.3.1审计规则引擎</w:t>
      </w:r>
    </w:p>
    <w:p w14:paraId="76D4FB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按照基金运行及审计监管工作的相关要求，对审计规则进行维护操作，主要包括新增规则、修改规则、停用规则等。</w:t>
      </w:r>
    </w:p>
    <w:p w14:paraId="622B02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2.3.2模型管理</w:t>
      </w:r>
    </w:p>
    <w:p w14:paraId="2ECCA5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按照基金运行及审计监管的相关要求，针对新出台政策对分析模型进行增加；根据政策变化情况，对已有分析模型进行管理。</w:t>
      </w:r>
    </w:p>
    <w:p w14:paraId="495783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color w:val="auto"/>
          <w:sz w:val="24"/>
          <w:szCs w:val="24"/>
          <w:highlight w:val="none"/>
          <w:lang w:val="en-US"/>
        </w:rPr>
      </w:pPr>
      <w:r>
        <w:rPr>
          <w:rFonts w:hint="eastAsia" w:ascii="Times New Roman" w:hAnsi="Times New Roman" w:eastAsia="宋体" w:cs="Times New Roman"/>
          <w:b w:val="0"/>
          <w:bCs w:val="0"/>
          <w:color w:val="auto"/>
          <w:sz w:val="24"/>
          <w:szCs w:val="24"/>
          <w:highlight w:val="none"/>
          <w:lang w:val="en-US" w:eastAsia="zh-CN"/>
        </w:rPr>
        <w:t>（二）</w:t>
      </w:r>
      <w:r>
        <w:rPr>
          <w:rFonts w:hint="eastAsia" w:ascii="Times New Roman" w:hAnsi="Times New Roman" w:eastAsia="宋体" w:cs="Times New Roman"/>
          <w:b w:val="0"/>
          <w:bCs w:val="0"/>
          <w:color w:val="auto"/>
          <w:sz w:val="24"/>
          <w:szCs w:val="24"/>
          <w:highlight w:val="none"/>
          <w:lang w:val="en-US"/>
        </w:rPr>
        <w:t>运维人员要求</w:t>
      </w:r>
    </w:p>
    <w:p w14:paraId="5AA3BE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color w:val="auto"/>
          <w:sz w:val="24"/>
          <w:szCs w:val="24"/>
          <w:highlight w:val="none"/>
          <w:lang w:val="en-US"/>
        </w:rPr>
      </w:pPr>
      <w:r>
        <w:rPr>
          <w:rFonts w:hint="eastAsia" w:ascii="Times New Roman" w:hAnsi="Times New Roman" w:eastAsia="宋体" w:cs="Times New Roman"/>
          <w:b w:val="0"/>
          <w:bCs w:val="0"/>
          <w:color w:val="auto"/>
          <w:sz w:val="24"/>
          <w:szCs w:val="24"/>
          <w:highlight w:val="none"/>
          <w:lang w:val="en-US"/>
        </w:rPr>
        <w:t>1.提供项目经理，业务驻场运维人员，前端技术工程师，后端技术工程师，分析技术工程师，系统网络工程师，数据中心管理员，大数据技术工程师，互联网数据采集工程师，互联网数据采集运维人员。项目人员（项目经理除外）可兼任，运维技术团队总人数不少于3人，服从天津市医疗保障局的统一调度和管理。团队所有成员均需为中标单位正式员工或者与中标单位签订1年以上劳动合同且实际工作满1年。</w:t>
      </w:r>
    </w:p>
    <w:tbl>
      <w:tblPr>
        <w:tblStyle w:val="17"/>
        <w:tblW w:w="553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0"/>
        <w:gridCol w:w="780"/>
        <w:gridCol w:w="750"/>
        <w:gridCol w:w="2885"/>
        <w:gridCol w:w="3317"/>
        <w:gridCol w:w="954"/>
      </w:tblGrid>
      <w:tr w14:paraId="59058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2" w:type="pct"/>
            <w:noWrap w:val="0"/>
            <w:vAlign w:val="center"/>
          </w:tcPr>
          <w:p w14:paraId="762A026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413" w:type="pct"/>
            <w:noWrap w:val="0"/>
            <w:vAlign w:val="center"/>
          </w:tcPr>
          <w:p w14:paraId="0356B2B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岗位名称</w:t>
            </w:r>
          </w:p>
        </w:tc>
        <w:tc>
          <w:tcPr>
            <w:tcW w:w="397" w:type="pct"/>
            <w:noWrap w:val="0"/>
            <w:vAlign w:val="center"/>
          </w:tcPr>
          <w:p w14:paraId="613CCF4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人数</w:t>
            </w:r>
          </w:p>
        </w:tc>
        <w:tc>
          <w:tcPr>
            <w:tcW w:w="1530" w:type="pct"/>
            <w:noWrap w:val="0"/>
            <w:vAlign w:val="center"/>
          </w:tcPr>
          <w:p w14:paraId="436C144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要求</w:t>
            </w:r>
          </w:p>
        </w:tc>
        <w:tc>
          <w:tcPr>
            <w:tcW w:w="1759" w:type="pct"/>
            <w:noWrap w:val="0"/>
            <w:vAlign w:val="center"/>
          </w:tcPr>
          <w:p w14:paraId="6216CB6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工作职责</w:t>
            </w:r>
          </w:p>
        </w:tc>
        <w:tc>
          <w:tcPr>
            <w:tcW w:w="506" w:type="pct"/>
            <w:noWrap w:val="0"/>
            <w:vAlign w:val="top"/>
          </w:tcPr>
          <w:p w14:paraId="79561BB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是否驻场服务</w:t>
            </w:r>
          </w:p>
        </w:tc>
      </w:tr>
      <w:tr w14:paraId="3C14F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2" w:type="pct"/>
            <w:noWrap w:val="0"/>
            <w:vAlign w:val="center"/>
          </w:tcPr>
          <w:p w14:paraId="53CC8CB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413" w:type="pct"/>
            <w:noWrap w:val="0"/>
            <w:vAlign w:val="center"/>
          </w:tcPr>
          <w:p w14:paraId="5281667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项目经理</w:t>
            </w:r>
          </w:p>
        </w:tc>
        <w:tc>
          <w:tcPr>
            <w:tcW w:w="397" w:type="pct"/>
            <w:noWrap w:val="0"/>
            <w:vAlign w:val="center"/>
          </w:tcPr>
          <w:p w14:paraId="622340D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530" w:type="pct"/>
            <w:noWrap w:val="0"/>
            <w:vAlign w:val="center"/>
          </w:tcPr>
          <w:p w14:paraId="252FF5DD">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bidi="ar"/>
              </w:rPr>
            </w:pPr>
            <w:r>
              <w:rPr>
                <w:rFonts w:hint="eastAsia" w:ascii="宋体" w:hAnsi="宋体" w:eastAsia="宋体" w:cs="宋体"/>
                <w:b w:val="0"/>
                <w:bCs w:val="0"/>
                <w:color w:val="auto"/>
                <w:kern w:val="0"/>
                <w:sz w:val="24"/>
                <w:szCs w:val="24"/>
                <w:highlight w:val="none"/>
                <w:lang w:bidi="ar"/>
              </w:rPr>
              <w:t>驻场负责人具有</w:t>
            </w:r>
            <w:r>
              <w:rPr>
                <w:rFonts w:hint="eastAsia" w:ascii="宋体" w:hAnsi="宋体" w:eastAsia="宋体" w:cs="宋体"/>
                <w:b w:val="0"/>
                <w:bCs w:val="0"/>
                <w:color w:val="auto"/>
                <w:kern w:val="0"/>
                <w:sz w:val="24"/>
                <w:szCs w:val="24"/>
                <w:highlight w:val="none"/>
                <w:lang w:val="en-US" w:eastAsia="zh-CN" w:bidi="ar"/>
              </w:rPr>
              <w:t>3</w:t>
            </w:r>
            <w:r>
              <w:rPr>
                <w:rFonts w:hint="eastAsia" w:ascii="宋体" w:hAnsi="宋体" w:eastAsia="宋体" w:cs="宋体"/>
                <w:b w:val="0"/>
                <w:bCs w:val="0"/>
                <w:color w:val="auto"/>
                <w:kern w:val="0"/>
                <w:sz w:val="24"/>
                <w:szCs w:val="24"/>
                <w:highlight w:val="none"/>
                <w:lang w:bidi="ar"/>
              </w:rPr>
              <w:t>年以上的</w:t>
            </w:r>
            <w:r>
              <w:rPr>
                <w:rFonts w:hint="eastAsia" w:ascii="宋体" w:hAnsi="宋体" w:eastAsia="宋体" w:cs="宋体"/>
                <w:b w:val="0"/>
                <w:bCs w:val="0"/>
                <w:color w:val="auto"/>
                <w:kern w:val="0"/>
                <w:sz w:val="24"/>
                <w:szCs w:val="24"/>
                <w:highlight w:val="none"/>
                <w:lang w:val="en-US" w:eastAsia="zh-CN" w:bidi="ar"/>
              </w:rPr>
              <w:t>政府机关或事业单位</w:t>
            </w:r>
            <w:r>
              <w:rPr>
                <w:rFonts w:hint="eastAsia" w:ascii="宋体" w:hAnsi="宋体" w:eastAsia="宋体" w:cs="宋体"/>
                <w:b w:val="0"/>
                <w:bCs w:val="0"/>
                <w:color w:val="auto"/>
                <w:kern w:val="0"/>
                <w:sz w:val="24"/>
                <w:szCs w:val="24"/>
                <w:highlight w:val="none"/>
                <w:lang w:bidi="ar"/>
              </w:rPr>
              <w:t>信息化研发经验，对</w:t>
            </w:r>
            <w:r>
              <w:rPr>
                <w:rFonts w:hint="eastAsia" w:ascii="宋体" w:hAnsi="宋体" w:eastAsia="宋体" w:cs="宋体"/>
                <w:b w:val="0"/>
                <w:bCs w:val="0"/>
                <w:color w:val="auto"/>
                <w:kern w:val="0"/>
                <w:sz w:val="24"/>
                <w:szCs w:val="24"/>
                <w:highlight w:val="none"/>
                <w:lang w:val="en-US" w:eastAsia="zh-CN" w:bidi="ar"/>
              </w:rPr>
              <w:t>信</w:t>
            </w:r>
            <w:r>
              <w:rPr>
                <w:rFonts w:hint="eastAsia" w:ascii="宋体" w:hAnsi="宋体" w:eastAsia="宋体" w:cs="宋体"/>
                <w:b w:val="0"/>
                <w:bCs w:val="0"/>
                <w:color w:val="auto"/>
                <w:kern w:val="0"/>
                <w:sz w:val="24"/>
                <w:szCs w:val="24"/>
                <w:highlight w:val="none"/>
                <w:lang w:bidi="ar"/>
              </w:rPr>
              <w:t>息化有深入理解，有良好的沟通能力、耐性和综合素质。</w:t>
            </w:r>
          </w:p>
          <w:p w14:paraId="54FB4FE4">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eastAsia="zh-CN" w:bidi="ar"/>
              </w:rPr>
            </w:pPr>
            <w:r>
              <w:rPr>
                <w:rFonts w:hint="eastAsia" w:ascii="宋体" w:hAnsi="宋体" w:eastAsia="宋体" w:cs="宋体"/>
                <w:b w:val="0"/>
                <w:bCs w:val="0"/>
                <w:color w:val="auto"/>
                <w:kern w:val="0"/>
                <w:sz w:val="24"/>
                <w:szCs w:val="24"/>
                <w:highlight w:val="none"/>
                <w:lang w:bidi="ar"/>
              </w:rPr>
              <w:t>项目经理</w:t>
            </w:r>
            <w:r>
              <w:rPr>
                <w:rFonts w:hint="eastAsia" w:ascii="宋体" w:hAnsi="宋体" w:eastAsia="宋体" w:cs="宋体"/>
                <w:b w:val="0"/>
                <w:bCs w:val="0"/>
                <w:color w:val="auto"/>
                <w:kern w:val="0"/>
                <w:sz w:val="24"/>
                <w:szCs w:val="24"/>
                <w:highlight w:val="none"/>
                <w:lang w:val="en-US" w:eastAsia="zh-CN" w:bidi="ar"/>
              </w:rPr>
              <w:t>应</w:t>
            </w:r>
            <w:r>
              <w:rPr>
                <w:rFonts w:hint="eastAsia" w:ascii="宋体" w:hAnsi="宋体" w:eastAsia="宋体" w:cs="宋体"/>
                <w:b w:val="0"/>
                <w:bCs w:val="0"/>
                <w:color w:val="auto"/>
                <w:kern w:val="0"/>
                <w:sz w:val="24"/>
                <w:szCs w:val="24"/>
                <w:highlight w:val="none"/>
                <w:lang w:bidi="ar"/>
              </w:rPr>
              <w:t>具备</w:t>
            </w:r>
            <w:r>
              <w:rPr>
                <w:rFonts w:hint="eastAsia" w:ascii="宋体" w:hAnsi="宋体" w:eastAsia="宋体" w:cs="宋体"/>
                <w:b w:val="0"/>
                <w:bCs w:val="0"/>
                <w:color w:val="auto"/>
                <w:kern w:val="0"/>
                <w:sz w:val="24"/>
                <w:szCs w:val="24"/>
                <w:highlight w:val="none"/>
                <w:lang w:val="en-US" w:eastAsia="zh-CN" w:bidi="ar"/>
              </w:rPr>
              <w:t>下列证书，并</w:t>
            </w:r>
            <w:r>
              <w:rPr>
                <w:rFonts w:hint="eastAsia" w:ascii="宋体" w:hAnsi="宋体" w:eastAsia="宋体" w:cs="宋体"/>
                <w:b w:val="0"/>
                <w:bCs w:val="0"/>
                <w:color w:val="auto"/>
                <w:kern w:val="0"/>
                <w:sz w:val="24"/>
                <w:szCs w:val="24"/>
                <w:highlight w:val="none"/>
                <w:lang w:bidi="ar"/>
              </w:rPr>
              <w:t>提供证书扫描件</w:t>
            </w:r>
            <w:r>
              <w:rPr>
                <w:rFonts w:hint="eastAsia" w:ascii="宋体" w:hAnsi="宋体" w:eastAsia="宋体" w:cs="宋体"/>
                <w:b w:val="0"/>
                <w:bCs w:val="0"/>
                <w:color w:val="auto"/>
                <w:kern w:val="0"/>
                <w:sz w:val="24"/>
                <w:szCs w:val="24"/>
                <w:highlight w:val="none"/>
                <w:lang w:eastAsia="zh-CN" w:bidi="ar"/>
              </w:rPr>
              <w:t>：</w:t>
            </w:r>
          </w:p>
          <w:p w14:paraId="0EA6AD4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eastAsia="zh-CN" w:bidi="ar"/>
              </w:rPr>
            </w:pPr>
            <w:r>
              <w:rPr>
                <w:rFonts w:hint="eastAsia" w:ascii="宋体" w:hAnsi="宋体" w:eastAsia="宋体" w:cs="宋体"/>
                <w:b w:val="0"/>
                <w:bCs w:val="0"/>
                <w:color w:val="auto"/>
                <w:kern w:val="0"/>
                <w:sz w:val="24"/>
                <w:szCs w:val="24"/>
                <w:highlight w:val="none"/>
                <w:lang w:bidi="ar"/>
              </w:rPr>
              <w:t>（1）</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ascii="宋体" w:hAnsi="宋体" w:eastAsia="宋体" w:cs="宋体"/>
                <w:b w:val="0"/>
                <w:bCs w:val="0"/>
                <w:color w:val="auto"/>
                <w:kern w:val="0"/>
                <w:sz w:val="24"/>
                <w:szCs w:val="24"/>
                <w:highlight w:val="none"/>
                <w:lang w:eastAsia="zh-CN" w:bidi="ar"/>
              </w:rPr>
              <w:t>；</w:t>
            </w:r>
          </w:p>
          <w:p w14:paraId="71E9602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eastAsia="zh-CN" w:bidi="ar"/>
              </w:rPr>
            </w:pPr>
            <w:r>
              <w:rPr>
                <w:rFonts w:hint="eastAsia" w:ascii="宋体" w:hAnsi="宋体" w:eastAsia="宋体" w:cs="宋体"/>
                <w:b w:val="0"/>
                <w:bCs w:val="0"/>
                <w:color w:val="auto"/>
                <w:kern w:val="0"/>
                <w:sz w:val="24"/>
                <w:szCs w:val="24"/>
                <w:highlight w:val="none"/>
                <w:lang w:bidi="ar"/>
              </w:rPr>
              <w:t>（2）</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b w:val="0"/>
                <w:bCs w:val="0"/>
                <w:color w:val="auto"/>
                <w:kern w:val="0"/>
                <w:sz w:val="24"/>
                <w:szCs w:val="24"/>
                <w:highlight w:val="none"/>
                <w:lang w:bidi="ar"/>
              </w:rPr>
              <w:t>系统分析师</w:t>
            </w:r>
            <w:r>
              <w:rPr>
                <w:rFonts w:hint="eastAsia" w:eastAsiaTheme="minorEastAsia"/>
                <w:color w:val="auto"/>
                <w:kern w:val="0"/>
                <w:sz w:val="24"/>
                <w:szCs w:val="24"/>
                <w:highlight w:val="none"/>
              </w:rPr>
              <w:t>）</w:t>
            </w:r>
            <w:r>
              <w:rPr>
                <w:rFonts w:hint="eastAsia" w:ascii="宋体" w:hAnsi="宋体" w:eastAsia="宋体" w:cs="宋体"/>
                <w:b w:val="0"/>
                <w:bCs w:val="0"/>
                <w:color w:val="auto"/>
                <w:kern w:val="0"/>
                <w:sz w:val="24"/>
                <w:szCs w:val="24"/>
                <w:highlight w:val="none"/>
                <w:lang w:eastAsia="zh-CN" w:bidi="ar"/>
              </w:rPr>
              <w:t>；</w:t>
            </w:r>
          </w:p>
          <w:p w14:paraId="1EC26D18">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color w:val="auto"/>
                <w:kern w:val="0"/>
                <w:sz w:val="24"/>
                <w:szCs w:val="24"/>
                <w:highlight w:val="none"/>
                <w:lang w:eastAsia="zh-CN" w:bidi="ar"/>
              </w:rPr>
            </w:pPr>
            <w:r>
              <w:rPr>
                <w:rFonts w:hint="eastAsia" w:ascii="宋体" w:hAnsi="宋体" w:eastAsia="宋体" w:cs="宋体"/>
                <w:b w:val="0"/>
                <w:bCs w:val="0"/>
                <w:color w:val="auto"/>
                <w:kern w:val="0"/>
                <w:sz w:val="24"/>
                <w:szCs w:val="24"/>
                <w:highlight w:val="none"/>
                <w:lang w:bidi="ar"/>
              </w:rPr>
              <w:t>（3）</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b w:val="0"/>
                <w:bCs w:val="0"/>
                <w:color w:val="auto"/>
                <w:kern w:val="0"/>
                <w:sz w:val="24"/>
                <w:szCs w:val="24"/>
                <w:highlight w:val="none"/>
                <w:lang w:val="en-US" w:eastAsia="zh-CN" w:bidi="ar"/>
              </w:rPr>
              <w:t>系统规划与管理师）</w:t>
            </w:r>
            <w:r>
              <w:rPr>
                <w:rFonts w:hint="eastAsia" w:ascii="宋体" w:hAnsi="宋体" w:eastAsia="宋体" w:cs="宋体"/>
                <w:b w:val="0"/>
                <w:bCs w:val="0"/>
                <w:color w:val="auto"/>
                <w:kern w:val="0"/>
                <w:sz w:val="24"/>
                <w:szCs w:val="24"/>
                <w:highlight w:val="none"/>
                <w:lang w:eastAsia="zh-CN" w:bidi="ar"/>
              </w:rPr>
              <w:t>；</w:t>
            </w:r>
          </w:p>
          <w:p w14:paraId="3FC868F2">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color w:val="auto"/>
                <w:sz w:val="24"/>
                <w:szCs w:val="24"/>
                <w:highlight w:val="none"/>
              </w:rPr>
            </w:pPr>
            <w:r>
              <w:rPr>
                <w:rFonts w:hint="eastAsia" w:ascii="宋体" w:hAnsi="宋体" w:eastAsia="宋体" w:cs="宋体"/>
                <w:b w:val="0"/>
                <w:bCs w:val="0"/>
                <w:color w:val="auto"/>
                <w:kern w:val="0"/>
                <w:sz w:val="24"/>
                <w:szCs w:val="24"/>
                <w:highlight w:val="none"/>
                <w:lang w:bidi="ar"/>
              </w:rPr>
              <w:t>（4）CCRC信息安全保障人员认证（CISAW）证书（安全软件）</w:t>
            </w:r>
            <w:r>
              <w:rPr>
                <w:rFonts w:hint="eastAsia" w:ascii="宋体" w:hAnsi="宋体" w:eastAsia="宋体" w:cs="宋体"/>
                <w:b w:val="0"/>
                <w:bCs w:val="0"/>
                <w:color w:val="auto"/>
                <w:kern w:val="0"/>
                <w:sz w:val="24"/>
                <w:szCs w:val="24"/>
                <w:highlight w:val="none"/>
                <w:lang w:eastAsia="zh-CN" w:bidi="ar"/>
              </w:rPr>
              <w:t>。</w:t>
            </w:r>
          </w:p>
        </w:tc>
        <w:tc>
          <w:tcPr>
            <w:tcW w:w="1759" w:type="pct"/>
            <w:noWrap w:val="0"/>
            <w:vAlign w:val="center"/>
          </w:tcPr>
          <w:p w14:paraId="63C18CF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1.负责制订可行的项目管理计划，组织运维项目的实施，对项目的人员、资金、设备、进度和质量等进行管理，并据实际情况及时做出调整；</w:t>
            </w:r>
          </w:p>
          <w:p w14:paraId="2E4D93A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2.分析和评估项目管理计划和成果，能在项目进展的早期发现问题，并有预防问题的措施；</w:t>
            </w:r>
          </w:p>
          <w:p w14:paraId="3766A1B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3.负责系统各岗位职责、工作范围、工作规范的建立，并进行定期修订；</w:t>
            </w:r>
          </w:p>
          <w:p w14:paraId="3E8F876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4.负责系统服务跟踪与回访的组织管理工作；</w:t>
            </w:r>
          </w:p>
          <w:p w14:paraId="1D1590D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5.负责系统服务人员的运维相关工作绩效考核；</w:t>
            </w:r>
          </w:p>
          <w:p w14:paraId="0EB1031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6.完成系统日常运行状况监测，对系统主要功能模块进行可用性测试；</w:t>
            </w:r>
          </w:p>
          <w:p w14:paraId="7287B5F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7.作为运维团队的负责人协调各项工作内容。</w:t>
            </w:r>
          </w:p>
        </w:tc>
        <w:tc>
          <w:tcPr>
            <w:tcW w:w="506" w:type="pct"/>
            <w:noWrap w:val="0"/>
            <w:vAlign w:val="center"/>
          </w:tcPr>
          <w:p w14:paraId="685F14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不</w:t>
            </w:r>
            <w:r>
              <w:rPr>
                <w:rFonts w:hint="eastAsia" w:ascii="宋体" w:hAnsi="宋体" w:eastAsia="宋体" w:cs="宋体"/>
                <w:b w:val="0"/>
                <w:bCs w:val="0"/>
                <w:color w:val="auto"/>
                <w:sz w:val="24"/>
                <w:szCs w:val="24"/>
                <w:highlight w:val="none"/>
              </w:rPr>
              <w:t>驻场</w:t>
            </w:r>
          </w:p>
          <w:p w14:paraId="6695DB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sz w:val="24"/>
                <w:szCs w:val="24"/>
                <w:highlight w:val="none"/>
              </w:rPr>
            </w:pPr>
          </w:p>
        </w:tc>
      </w:tr>
      <w:tr w14:paraId="2084A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2" w:type="pct"/>
            <w:noWrap w:val="0"/>
            <w:vAlign w:val="center"/>
          </w:tcPr>
          <w:p w14:paraId="0F629A2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413" w:type="pct"/>
            <w:noWrap w:val="0"/>
            <w:vAlign w:val="center"/>
          </w:tcPr>
          <w:p w14:paraId="7A6DB0E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运维人员</w:t>
            </w:r>
          </w:p>
        </w:tc>
        <w:tc>
          <w:tcPr>
            <w:tcW w:w="397" w:type="pct"/>
            <w:noWrap w:val="0"/>
            <w:vAlign w:val="center"/>
          </w:tcPr>
          <w:p w14:paraId="44322F9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p>
        </w:tc>
        <w:tc>
          <w:tcPr>
            <w:tcW w:w="1530" w:type="pct"/>
            <w:noWrap w:val="0"/>
            <w:vAlign w:val="center"/>
          </w:tcPr>
          <w:p w14:paraId="3DED2259">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color w:val="auto"/>
                <w:sz w:val="24"/>
                <w:szCs w:val="24"/>
                <w:highlight w:val="none"/>
              </w:rPr>
            </w:pPr>
            <w:r>
              <w:rPr>
                <w:rFonts w:hint="eastAsia" w:ascii="宋体" w:hAnsi="宋体" w:eastAsia="宋体" w:cs="宋体"/>
                <w:b w:val="0"/>
                <w:bCs w:val="0"/>
                <w:color w:val="auto"/>
                <w:kern w:val="0"/>
                <w:sz w:val="24"/>
                <w:szCs w:val="24"/>
                <w:highlight w:val="none"/>
                <w:lang w:bidi="ar"/>
              </w:rPr>
              <w:t>技术人员均从业经历2年以上，均获得</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r>
              <w:rPr>
                <w:rFonts w:hint="eastAsia" w:ascii="宋体" w:hAnsi="宋体" w:eastAsia="宋体" w:cs="宋体"/>
                <w:b w:val="0"/>
                <w:bCs w:val="0"/>
                <w:color w:val="auto"/>
                <w:kern w:val="0"/>
                <w:sz w:val="24"/>
                <w:szCs w:val="24"/>
                <w:highlight w:val="none"/>
                <w:lang w:val="en-US" w:eastAsia="zh-CN" w:bidi="ar"/>
              </w:rPr>
              <w:t>大学本科</w:t>
            </w:r>
            <w:r>
              <w:rPr>
                <w:rFonts w:hint="eastAsia" w:ascii="宋体" w:hAnsi="宋体" w:eastAsia="宋体" w:cs="宋体"/>
                <w:b w:val="0"/>
                <w:bCs w:val="0"/>
                <w:color w:val="auto"/>
                <w:kern w:val="0"/>
                <w:sz w:val="24"/>
                <w:szCs w:val="24"/>
                <w:highlight w:val="none"/>
                <w:lang w:bidi="ar"/>
              </w:rPr>
              <w:t>或以上学历，相关软件运行维护工作经验。</w:t>
            </w:r>
          </w:p>
        </w:tc>
        <w:tc>
          <w:tcPr>
            <w:tcW w:w="1759" w:type="pct"/>
            <w:noWrap w:val="0"/>
            <w:vAlign w:val="center"/>
          </w:tcPr>
          <w:p w14:paraId="3E11AF7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1.负责系统业务受理工作，与用户沟通，了解用户需求的详细情况；</w:t>
            </w:r>
          </w:p>
          <w:p w14:paraId="4B12BF5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2.负责系统服务需求的对接测试受理；</w:t>
            </w:r>
          </w:p>
          <w:p w14:paraId="558B082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3.负责系统补丁升级；</w:t>
            </w:r>
          </w:p>
          <w:p w14:paraId="4CE1FF6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4.作为服务需求的受理者，负责监控，跟踪服务需求的处理过程，确保在规定的时间内解决，并符合运维工作规范的管理要求；</w:t>
            </w:r>
          </w:p>
          <w:p w14:paraId="48947AA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5.负责系统维护工具的日常管理；</w:t>
            </w:r>
          </w:p>
          <w:p w14:paraId="22DC4AB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6.运维组负责人交办的其他工作；</w:t>
            </w:r>
          </w:p>
          <w:p w14:paraId="20A0C1B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7.完成系统机构端和监管端前台页面的巡检，确保页面结构、内容、数据展示正常；</w:t>
            </w:r>
          </w:p>
          <w:p w14:paraId="4FF6E1B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8.负责完成各项开发工作的前端页面开发工作，涉及机构端和监管端的首页、合同报送、月报报送、新增报表、监管评级等功能模块调整任务的页面设计、按钮功能交互和开发工作；</w:t>
            </w:r>
          </w:p>
          <w:p w14:paraId="0B061E5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9.负责同监管处室和促进中心对接，理解需求内容，拆解细化需求内容并同监管处室和促进中心沟通，形成需求功能设计，确保开发人员可以直接推进技术开发工作；</w:t>
            </w:r>
          </w:p>
          <w:p w14:paraId="39874AE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10.负责按照监管处室和促进中心需求对系统页面展示效果进行调整优化；</w:t>
            </w:r>
          </w:p>
          <w:p w14:paraId="05965FC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11.完成政务云资源使用和运行情况的监测，对CPU、内存、存储等运行情况进行定期巡检；</w:t>
            </w:r>
          </w:p>
          <w:p w14:paraId="0E77FA4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12.完成系统机构端和监管端后台应用服务、数据库、中间件、负载均衡等后台软件运行状况的检测，确保系统服务和数据服务正常运转；</w:t>
            </w:r>
          </w:p>
          <w:p w14:paraId="2167557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13.负责完成各项开发工作的后端开发工作，涉及机构端和监管端的首页、合同报送、月报报送、新增报表、监管评级等功能模块调整任务的数据库开发工作；</w:t>
            </w:r>
          </w:p>
          <w:p w14:paraId="4CC43B9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14.负责配合监管处室和促进中心做好临时性数据导出统计工作。</w:t>
            </w:r>
          </w:p>
        </w:tc>
        <w:tc>
          <w:tcPr>
            <w:tcW w:w="506" w:type="pct"/>
            <w:noWrap w:val="0"/>
            <w:vAlign w:val="center"/>
          </w:tcPr>
          <w:p w14:paraId="307E6D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驻场</w:t>
            </w:r>
          </w:p>
          <w:p w14:paraId="31B6B2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sz w:val="24"/>
                <w:szCs w:val="24"/>
                <w:highlight w:val="none"/>
              </w:rPr>
            </w:pPr>
          </w:p>
        </w:tc>
      </w:tr>
      <w:tr w14:paraId="029DD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2" w:type="pct"/>
            <w:noWrap w:val="0"/>
            <w:vAlign w:val="center"/>
          </w:tcPr>
          <w:p w14:paraId="52A728D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413" w:type="pct"/>
            <w:noWrap w:val="0"/>
            <w:vAlign w:val="center"/>
          </w:tcPr>
          <w:p w14:paraId="484BC2A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前端技术工程师</w:t>
            </w:r>
          </w:p>
        </w:tc>
        <w:tc>
          <w:tcPr>
            <w:tcW w:w="397" w:type="pct"/>
            <w:noWrap w:val="0"/>
            <w:vAlign w:val="center"/>
          </w:tcPr>
          <w:p w14:paraId="4C922C2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530" w:type="pct"/>
            <w:noWrap w:val="0"/>
            <w:vAlign w:val="center"/>
          </w:tcPr>
          <w:p w14:paraId="3D8EB091">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color w:val="auto"/>
                <w:sz w:val="24"/>
                <w:szCs w:val="24"/>
                <w:highlight w:val="none"/>
              </w:rPr>
            </w:pPr>
            <w:r>
              <w:rPr>
                <w:rFonts w:hint="eastAsia" w:ascii="宋体" w:hAnsi="宋体" w:eastAsia="宋体" w:cs="宋体"/>
                <w:b w:val="0"/>
                <w:bCs w:val="0"/>
                <w:color w:val="auto"/>
                <w:kern w:val="0"/>
                <w:sz w:val="24"/>
                <w:szCs w:val="24"/>
                <w:highlight w:val="none"/>
                <w:lang w:bidi="ar"/>
              </w:rPr>
              <w:t>技术人员均从业经历2年以上，均获得</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r>
              <w:rPr>
                <w:rFonts w:hint="eastAsia" w:ascii="宋体" w:hAnsi="宋体" w:eastAsia="宋体" w:cs="宋体"/>
                <w:b w:val="0"/>
                <w:bCs w:val="0"/>
                <w:color w:val="auto"/>
                <w:kern w:val="0"/>
                <w:sz w:val="24"/>
                <w:szCs w:val="24"/>
                <w:highlight w:val="none"/>
                <w:lang w:val="en-US" w:eastAsia="zh-CN" w:bidi="ar"/>
              </w:rPr>
              <w:t>大学本科</w:t>
            </w:r>
            <w:r>
              <w:rPr>
                <w:rFonts w:hint="eastAsia" w:ascii="宋体" w:hAnsi="宋体" w:eastAsia="宋体" w:cs="宋体"/>
                <w:color w:val="auto"/>
                <w:sz w:val="24"/>
                <w:szCs w:val="24"/>
                <w:highlight w:val="none"/>
              </w:rPr>
              <w:t>或以上学历，相关软件前端开发或运行维护工作经验。</w:t>
            </w:r>
          </w:p>
        </w:tc>
        <w:tc>
          <w:tcPr>
            <w:tcW w:w="1759" w:type="pct"/>
            <w:noWrap w:val="0"/>
            <w:vAlign w:val="center"/>
          </w:tcPr>
          <w:p w14:paraId="06AB672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1.完成</w:t>
            </w:r>
            <w:r>
              <w:rPr>
                <w:rFonts w:hint="eastAsia" w:ascii="宋体" w:hAnsi="宋体" w:eastAsia="宋体" w:cs="宋体"/>
                <w:b w:val="0"/>
                <w:bCs w:val="0"/>
                <w:color w:val="auto"/>
                <w:sz w:val="24"/>
                <w:szCs w:val="24"/>
                <w:highlight w:val="none"/>
                <w:lang w:val="en-US" w:eastAsia="zh-CN"/>
              </w:rPr>
              <w:t>宏观决策</w:t>
            </w:r>
            <w:r>
              <w:rPr>
                <w:rFonts w:hint="eastAsia" w:ascii="宋体" w:hAnsi="宋体" w:eastAsia="宋体" w:cs="宋体"/>
                <w:b w:val="0"/>
                <w:bCs w:val="0"/>
                <w:color w:val="auto"/>
                <w:sz w:val="24"/>
                <w:szCs w:val="24"/>
                <w:highlight w:val="none"/>
              </w:rPr>
              <w:t>系统各子平台前台页面的巡检，确保页面结构、内容、数据展示正常；</w:t>
            </w:r>
          </w:p>
          <w:p w14:paraId="093B8CA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2.负责完成各项开发工作的前端页面开发工作，涉及功能调整、逻辑调整、页面调整等任务的功能交互和优化工作；</w:t>
            </w:r>
          </w:p>
          <w:p w14:paraId="666B152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3.负责按照监管处室需求对系统页面展示效果进行调整优化；</w:t>
            </w:r>
          </w:p>
          <w:p w14:paraId="7B3C0E9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4.完成政务云资源使用和运行情况的监测，对CPU、内存、存储等运行情况进行定期巡检</w:t>
            </w:r>
            <w:r>
              <w:rPr>
                <w:rFonts w:hint="eastAsia" w:ascii="宋体" w:hAnsi="宋体" w:eastAsia="宋体" w:cs="宋体"/>
                <w:b w:val="0"/>
                <w:bCs w:val="0"/>
                <w:color w:val="auto"/>
                <w:sz w:val="24"/>
                <w:szCs w:val="24"/>
                <w:highlight w:val="none"/>
                <w:lang w:eastAsia="zh-CN"/>
              </w:rPr>
              <w:t>。</w:t>
            </w:r>
          </w:p>
        </w:tc>
        <w:tc>
          <w:tcPr>
            <w:tcW w:w="506" w:type="pct"/>
            <w:noWrap w:val="0"/>
            <w:vAlign w:val="center"/>
          </w:tcPr>
          <w:p w14:paraId="09024C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不</w:t>
            </w:r>
            <w:r>
              <w:rPr>
                <w:rFonts w:hint="eastAsia" w:ascii="宋体" w:hAnsi="宋体" w:eastAsia="宋体" w:cs="宋体"/>
                <w:b w:val="0"/>
                <w:bCs w:val="0"/>
                <w:color w:val="auto"/>
                <w:sz w:val="24"/>
                <w:szCs w:val="24"/>
                <w:highlight w:val="none"/>
              </w:rPr>
              <w:t>驻场</w:t>
            </w:r>
          </w:p>
        </w:tc>
      </w:tr>
      <w:tr w14:paraId="1D89D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2" w:type="pct"/>
            <w:noWrap w:val="0"/>
            <w:vAlign w:val="center"/>
          </w:tcPr>
          <w:p w14:paraId="739EF0B7">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413" w:type="pct"/>
            <w:noWrap w:val="0"/>
            <w:vAlign w:val="center"/>
          </w:tcPr>
          <w:p w14:paraId="331B5257">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b w:val="0"/>
                <w:bCs w:val="0"/>
                <w:color w:val="auto"/>
                <w:sz w:val="24"/>
                <w:szCs w:val="24"/>
                <w:highlight w:val="none"/>
              </w:rPr>
              <w:t>后端技术工程师</w:t>
            </w:r>
          </w:p>
        </w:tc>
        <w:tc>
          <w:tcPr>
            <w:tcW w:w="397" w:type="pct"/>
            <w:noWrap w:val="0"/>
            <w:vAlign w:val="center"/>
          </w:tcPr>
          <w:p w14:paraId="055ADD7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530" w:type="pct"/>
            <w:noWrap w:val="0"/>
            <w:vAlign w:val="center"/>
          </w:tcPr>
          <w:p w14:paraId="27BF6562">
            <w:pPr>
              <w:keepNext w:val="0"/>
              <w:keepLines w:val="0"/>
              <w:pageBreakBefore w:val="0"/>
              <w:widowControl w:val="0"/>
              <w:kinsoku/>
              <w:wordWrap/>
              <w:overflowPunct/>
              <w:topLinePunct w:val="0"/>
              <w:autoSpaceDE/>
              <w:autoSpaceDN/>
              <w:bidi w:val="0"/>
              <w:adjustRightInd/>
              <w:snapToGrid/>
              <w:spacing w:line="360" w:lineRule="auto"/>
              <w:jc w:val="left"/>
              <w:rPr>
                <w:rFonts w:hint="eastAsia" w:ascii="宋体" w:hAnsi="宋体" w:eastAsia="宋体" w:cs="宋体"/>
                <w:color w:val="auto"/>
                <w:sz w:val="24"/>
                <w:szCs w:val="24"/>
                <w:highlight w:val="none"/>
              </w:rPr>
            </w:pPr>
            <w:r>
              <w:rPr>
                <w:rFonts w:hint="eastAsia" w:ascii="宋体" w:hAnsi="宋体" w:eastAsia="宋体" w:cs="宋体"/>
                <w:b w:val="0"/>
                <w:bCs w:val="0"/>
                <w:color w:val="auto"/>
                <w:kern w:val="0"/>
                <w:sz w:val="24"/>
                <w:szCs w:val="24"/>
                <w:highlight w:val="none"/>
                <w:lang w:bidi="ar"/>
              </w:rPr>
              <w:t>技术人员均从业经历2年以上，均获得CCRC信息安全保障人员认证（CISAW）证书（安全软件）。</w:t>
            </w:r>
            <w:r>
              <w:rPr>
                <w:rFonts w:hint="eastAsia" w:ascii="宋体" w:hAnsi="宋体" w:eastAsia="宋体" w:cs="宋体"/>
                <w:b w:val="0"/>
                <w:bCs w:val="0"/>
                <w:color w:val="auto"/>
                <w:kern w:val="0"/>
                <w:sz w:val="24"/>
                <w:szCs w:val="24"/>
                <w:highlight w:val="none"/>
                <w:lang w:val="en-US" w:eastAsia="zh-CN" w:bidi="ar"/>
              </w:rPr>
              <w:t>大学本科</w:t>
            </w:r>
            <w:r>
              <w:rPr>
                <w:rFonts w:hint="eastAsia" w:ascii="宋体" w:hAnsi="宋体" w:eastAsia="宋体" w:cs="宋体"/>
                <w:b w:val="0"/>
                <w:bCs w:val="0"/>
                <w:color w:val="auto"/>
                <w:sz w:val="24"/>
                <w:szCs w:val="24"/>
                <w:highlight w:val="none"/>
              </w:rPr>
              <w:t>或以上学历，相关软件前端开发或运行维护工作经验。</w:t>
            </w:r>
          </w:p>
        </w:tc>
        <w:tc>
          <w:tcPr>
            <w:tcW w:w="1759" w:type="pct"/>
            <w:noWrap w:val="0"/>
            <w:vAlign w:val="center"/>
          </w:tcPr>
          <w:p w14:paraId="32B849C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1.完成</w:t>
            </w:r>
            <w:r>
              <w:rPr>
                <w:rFonts w:hint="eastAsia" w:ascii="宋体" w:hAnsi="宋体" w:eastAsia="宋体" w:cs="宋体"/>
                <w:b w:val="0"/>
                <w:bCs w:val="0"/>
                <w:color w:val="auto"/>
                <w:sz w:val="24"/>
                <w:szCs w:val="24"/>
                <w:highlight w:val="none"/>
                <w:lang w:val="en-US" w:eastAsia="zh-CN"/>
              </w:rPr>
              <w:t>宏观决策</w:t>
            </w:r>
            <w:r>
              <w:rPr>
                <w:rFonts w:hint="eastAsia" w:ascii="宋体" w:hAnsi="宋体" w:eastAsia="宋体" w:cs="宋体"/>
                <w:b w:val="0"/>
                <w:bCs w:val="0"/>
                <w:color w:val="auto"/>
                <w:sz w:val="24"/>
                <w:szCs w:val="24"/>
                <w:highlight w:val="none"/>
              </w:rPr>
              <w:t>系统系统后台应用服务、数据库、中间件、负载均衡等后台软件运行状况的检测，确保系统服务和数据服务正常运转；</w:t>
            </w:r>
          </w:p>
          <w:p w14:paraId="332C4A4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2.负责完成各项系统优化工作的后端任务，涉及大数据扩充、对外数据服务、协同处置等功能模块调整任务的数据库开发工作；</w:t>
            </w:r>
          </w:p>
          <w:p w14:paraId="6AA1127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3.负责配合接入数据接口的各业态机构进行测试、对账、机构侧接口代码问题的解答，协助机构做好数据统计和数据报送问题的排查工作；</w:t>
            </w:r>
          </w:p>
          <w:p w14:paraId="1E69993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4.负责配合做好临时性数据导出统计工作</w:t>
            </w:r>
            <w:r>
              <w:rPr>
                <w:rFonts w:hint="eastAsia" w:ascii="宋体" w:hAnsi="宋体" w:eastAsia="宋体" w:cs="宋体"/>
                <w:b w:val="0"/>
                <w:bCs w:val="0"/>
                <w:color w:val="auto"/>
                <w:sz w:val="24"/>
                <w:szCs w:val="24"/>
                <w:highlight w:val="none"/>
                <w:lang w:eastAsia="zh-CN"/>
              </w:rPr>
              <w:t>。</w:t>
            </w:r>
          </w:p>
        </w:tc>
        <w:tc>
          <w:tcPr>
            <w:tcW w:w="506" w:type="pct"/>
            <w:noWrap w:val="0"/>
            <w:vAlign w:val="center"/>
          </w:tcPr>
          <w:p w14:paraId="4FD93E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不驻场</w:t>
            </w:r>
          </w:p>
        </w:tc>
      </w:tr>
      <w:tr w14:paraId="13631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2" w:type="pct"/>
            <w:noWrap w:val="0"/>
            <w:vAlign w:val="center"/>
          </w:tcPr>
          <w:p w14:paraId="61E144AF">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413" w:type="pct"/>
            <w:noWrap w:val="0"/>
            <w:vAlign w:val="center"/>
          </w:tcPr>
          <w:p w14:paraId="08B165C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分析技术工程师</w:t>
            </w:r>
          </w:p>
        </w:tc>
        <w:tc>
          <w:tcPr>
            <w:tcW w:w="397" w:type="pct"/>
            <w:noWrap w:val="0"/>
            <w:vAlign w:val="center"/>
          </w:tcPr>
          <w:p w14:paraId="7A06AE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1</w:t>
            </w:r>
          </w:p>
        </w:tc>
        <w:tc>
          <w:tcPr>
            <w:tcW w:w="1530" w:type="pct"/>
            <w:noWrap w:val="0"/>
            <w:vAlign w:val="center"/>
          </w:tcPr>
          <w:p w14:paraId="3C09801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0"/>
                <w:sz w:val="24"/>
                <w:szCs w:val="24"/>
                <w:highlight w:val="none"/>
                <w:lang w:bidi="ar"/>
              </w:rPr>
              <w:t>技术人员均从业经历2年以上，均获得</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r>
              <w:rPr>
                <w:rFonts w:hint="eastAsia" w:ascii="宋体" w:hAnsi="宋体" w:eastAsia="宋体" w:cs="宋体"/>
                <w:b w:val="0"/>
                <w:bCs w:val="0"/>
                <w:color w:val="auto"/>
                <w:kern w:val="0"/>
                <w:sz w:val="24"/>
                <w:szCs w:val="24"/>
                <w:highlight w:val="none"/>
                <w:lang w:val="en-US" w:eastAsia="zh-CN" w:bidi="ar"/>
              </w:rPr>
              <w:t>大学本科</w:t>
            </w:r>
            <w:r>
              <w:rPr>
                <w:rFonts w:hint="eastAsia" w:ascii="宋体" w:hAnsi="宋体" w:eastAsia="宋体" w:cs="宋体"/>
                <w:b w:val="0"/>
                <w:bCs w:val="0"/>
                <w:color w:val="auto"/>
                <w:sz w:val="24"/>
                <w:szCs w:val="24"/>
                <w:highlight w:val="none"/>
              </w:rPr>
              <w:t>或以上学历，相关数据分析工作经验。</w:t>
            </w:r>
          </w:p>
        </w:tc>
        <w:tc>
          <w:tcPr>
            <w:tcW w:w="1759" w:type="pct"/>
            <w:noWrap w:val="0"/>
            <w:vAlign w:val="center"/>
          </w:tcPr>
          <w:p w14:paraId="405A88E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1</w:t>
            </w:r>
            <w:r>
              <w:rPr>
                <w:rFonts w:hint="eastAsia" w:ascii="宋体" w:hAnsi="宋体" w:eastAsia="宋体" w:cs="宋体"/>
                <w:b w:val="0"/>
                <w:bCs w:val="0"/>
                <w:color w:val="auto"/>
                <w:sz w:val="24"/>
                <w:szCs w:val="24"/>
                <w:highlight w:val="none"/>
              </w:rPr>
              <w:t>.根据业务应用发现的问题收集分析，调整模型、画像、预警规则；</w:t>
            </w:r>
          </w:p>
          <w:p w14:paraId="12576EF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sz w:val="24"/>
                <w:szCs w:val="24"/>
                <w:highlight w:val="none"/>
              </w:rPr>
              <w:t>.根据不同业态情况，收集各业态风险点，构建多业态风险预警分析模型。</w:t>
            </w:r>
          </w:p>
        </w:tc>
        <w:tc>
          <w:tcPr>
            <w:tcW w:w="506" w:type="pct"/>
            <w:noWrap w:val="0"/>
            <w:vAlign w:val="center"/>
          </w:tcPr>
          <w:p w14:paraId="15C0CC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rPr>
              <w:t>不驻场</w:t>
            </w:r>
          </w:p>
        </w:tc>
      </w:tr>
      <w:tr w14:paraId="294C9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2" w:type="pct"/>
            <w:noWrap w:val="0"/>
            <w:vAlign w:val="center"/>
          </w:tcPr>
          <w:p w14:paraId="139B5C1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p>
        </w:tc>
        <w:tc>
          <w:tcPr>
            <w:tcW w:w="413" w:type="pct"/>
            <w:noWrap w:val="0"/>
            <w:vAlign w:val="center"/>
          </w:tcPr>
          <w:p w14:paraId="63A5089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系统网络工程师</w:t>
            </w:r>
          </w:p>
        </w:tc>
        <w:tc>
          <w:tcPr>
            <w:tcW w:w="397" w:type="pct"/>
            <w:noWrap w:val="0"/>
            <w:vAlign w:val="center"/>
          </w:tcPr>
          <w:p w14:paraId="5DEBF9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1</w:t>
            </w:r>
          </w:p>
        </w:tc>
        <w:tc>
          <w:tcPr>
            <w:tcW w:w="1530" w:type="pct"/>
            <w:noWrap w:val="0"/>
            <w:vAlign w:val="center"/>
          </w:tcPr>
          <w:p w14:paraId="35D3A981">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0"/>
                <w:sz w:val="24"/>
                <w:szCs w:val="24"/>
                <w:highlight w:val="none"/>
                <w:lang w:bidi="ar"/>
              </w:rPr>
              <w:t>技术人员均从业经历2年以上，均获得</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r>
              <w:rPr>
                <w:rFonts w:hint="eastAsia" w:ascii="宋体" w:hAnsi="宋体" w:eastAsia="宋体" w:cs="宋体"/>
                <w:b w:val="0"/>
                <w:bCs w:val="0"/>
                <w:color w:val="auto"/>
                <w:kern w:val="0"/>
                <w:sz w:val="24"/>
                <w:szCs w:val="24"/>
                <w:highlight w:val="none"/>
                <w:lang w:val="en-US" w:eastAsia="zh-CN" w:bidi="ar"/>
              </w:rPr>
              <w:t>大学本科</w:t>
            </w:r>
            <w:r>
              <w:rPr>
                <w:rFonts w:hint="eastAsia" w:ascii="宋体" w:hAnsi="宋体" w:eastAsia="宋体" w:cs="宋体"/>
                <w:b w:val="0"/>
                <w:bCs w:val="0"/>
                <w:color w:val="auto"/>
                <w:sz w:val="24"/>
                <w:szCs w:val="24"/>
                <w:highlight w:val="none"/>
              </w:rPr>
              <w:t>或以上学历，相关网络运维工作经验。</w:t>
            </w:r>
          </w:p>
        </w:tc>
        <w:tc>
          <w:tcPr>
            <w:tcW w:w="1759" w:type="pct"/>
            <w:noWrap w:val="0"/>
            <w:vAlign w:val="center"/>
          </w:tcPr>
          <w:p w14:paraId="1319AF2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1.负责</w:t>
            </w:r>
            <w:r>
              <w:rPr>
                <w:rFonts w:hint="eastAsia" w:ascii="宋体" w:hAnsi="宋体" w:eastAsia="宋体" w:cs="宋体"/>
                <w:b w:val="0"/>
                <w:bCs w:val="0"/>
                <w:color w:val="auto"/>
                <w:sz w:val="24"/>
                <w:szCs w:val="24"/>
                <w:highlight w:val="none"/>
                <w:lang w:val="en-US" w:eastAsia="zh-CN"/>
              </w:rPr>
              <w:t>宏观决策</w:t>
            </w:r>
            <w:r>
              <w:rPr>
                <w:rFonts w:hint="eastAsia" w:ascii="宋体" w:hAnsi="宋体" w:eastAsia="宋体" w:cs="宋体"/>
                <w:b w:val="0"/>
                <w:bCs w:val="0"/>
                <w:color w:val="auto"/>
                <w:sz w:val="24"/>
                <w:szCs w:val="24"/>
                <w:highlight w:val="none"/>
              </w:rPr>
              <w:t>系统系统整体网络安全和网络情况监测；</w:t>
            </w:r>
          </w:p>
          <w:p w14:paraId="7733E9C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rPr>
              <w:t>2.处理系统中出现的各种网络问题。</w:t>
            </w:r>
          </w:p>
        </w:tc>
        <w:tc>
          <w:tcPr>
            <w:tcW w:w="506" w:type="pct"/>
            <w:noWrap w:val="0"/>
            <w:vAlign w:val="center"/>
          </w:tcPr>
          <w:p w14:paraId="00000E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rPr>
              <w:t>不驻场</w:t>
            </w:r>
          </w:p>
        </w:tc>
      </w:tr>
      <w:tr w14:paraId="68606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2" w:type="pct"/>
            <w:noWrap w:val="0"/>
            <w:vAlign w:val="center"/>
          </w:tcPr>
          <w:p w14:paraId="5C3211BA">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413" w:type="pct"/>
            <w:noWrap w:val="0"/>
            <w:vAlign w:val="center"/>
          </w:tcPr>
          <w:p w14:paraId="7892D4B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数据中心管理员</w:t>
            </w:r>
          </w:p>
        </w:tc>
        <w:tc>
          <w:tcPr>
            <w:tcW w:w="397" w:type="pct"/>
            <w:noWrap w:val="0"/>
            <w:vAlign w:val="center"/>
          </w:tcPr>
          <w:p w14:paraId="0E3EC3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1</w:t>
            </w:r>
          </w:p>
        </w:tc>
        <w:tc>
          <w:tcPr>
            <w:tcW w:w="1530" w:type="pct"/>
            <w:noWrap w:val="0"/>
            <w:vAlign w:val="center"/>
          </w:tcPr>
          <w:p w14:paraId="4FD55B5C">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0"/>
                <w:sz w:val="24"/>
                <w:szCs w:val="24"/>
                <w:highlight w:val="none"/>
                <w:lang w:bidi="ar"/>
              </w:rPr>
              <w:t>技术人员均从业经历2年以上，均获得</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r>
              <w:rPr>
                <w:rFonts w:hint="eastAsia" w:ascii="宋体" w:hAnsi="宋体" w:eastAsia="宋体" w:cs="宋体"/>
                <w:b w:val="0"/>
                <w:bCs w:val="0"/>
                <w:color w:val="auto"/>
                <w:sz w:val="24"/>
                <w:szCs w:val="24"/>
                <w:highlight w:val="none"/>
                <w:lang w:val="en-US" w:eastAsia="zh-CN"/>
              </w:rPr>
              <w:t>大学本科</w:t>
            </w:r>
            <w:r>
              <w:rPr>
                <w:rFonts w:hint="eastAsia" w:ascii="宋体" w:hAnsi="宋体" w:eastAsia="宋体" w:cs="宋体"/>
                <w:b w:val="0"/>
                <w:bCs w:val="0"/>
                <w:color w:val="auto"/>
                <w:sz w:val="24"/>
                <w:szCs w:val="24"/>
                <w:highlight w:val="none"/>
              </w:rPr>
              <w:t>或以上学历，相关数据管理工作经验。</w:t>
            </w:r>
          </w:p>
        </w:tc>
        <w:tc>
          <w:tcPr>
            <w:tcW w:w="1759" w:type="pct"/>
            <w:noWrap w:val="0"/>
            <w:vAlign w:val="center"/>
          </w:tcPr>
          <w:p w14:paraId="14FB99E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1.平台各类数据库管理和监控；</w:t>
            </w:r>
          </w:p>
          <w:p w14:paraId="3492028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2.数据库参数优化；</w:t>
            </w:r>
          </w:p>
          <w:p w14:paraId="0A66FCC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3.数据库定期备份；</w:t>
            </w:r>
          </w:p>
          <w:p w14:paraId="659E15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rPr>
              <w:t>4.数据库巡检，包括日志核查、访问核查等。</w:t>
            </w:r>
          </w:p>
        </w:tc>
        <w:tc>
          <w:tcPr>
            <w:tcW w:w="506" w:type="pct"/>
            <w:noWrap w:val="0"/>
            <w:vAlign w:val="center"/>
          </w:tcPr>
          <w:p w14:paraId="21F364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rPr>
              <w:t>不驻场</w:t>
            </w:r>
          </w:p>
        </w:tc>
      </w:tr>
      <w:tr w14:paraId="73007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2" w:type="pct"/>
            <w:noWrap w:val="0"/>
            <w:vAlign w:val="center"/>
          </w:tcPr>
          <w:p w14:paraId="2EBC5BE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p>
        </w:tc>
        <w:tc>
          <w:tcPr>
            <w:tcW w:w="413" w:type="pct"/>
            <w:noWrap w:val="0"/>
            <w:vAlign w:val="center"/>
          </w:tcPr>
          <w:p w14:paraId="4C5F018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大数据技术工程师</w:t>
            </w:r>
          </w:p>
        </w:tc>
        <w:tc>
          <w:tcPr>
            <w:tcW w:w="397" w:type="pct"/>
            <w:noWrap w:val="0"/>
            <w:vAlign w:val="center"/>
          </w:tcPr>
          <w:p w14:paraId="3DF774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sz w:val="24"/>
                <w:szCs w:val="24"/>
                <w:highlight w:val="none"/>
              </w:rPr>
              <w:t>1</w:t>
            </w:r>
          </w:p>
        </w:tc>
        <w:tc>
          <w:tcPr>
            <w:tcW w:w="1530" w:type="pct"/>
            <w:noWrap w:val="0"/>
            <w:vAlign w:val="center"/>
          </w:tcPr>
          <w:p w14:paraId="1A0799BB">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0"/>
                <w:sz w:val="24"/>
                <w:szCs w:val="24"/>
                <w:highlight w:val="none"/>
                <w:lang w:bidi="ar"/>
              </w:rPr>
              <w:t>技术人员均从业经历2年以上，均获得</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ascii="宋体" w:hAnsi="宋体" w:eastAsia="宋体" w:cs="宋体"/>
                <w:b w:val="0"/>
                <w:bCs w:val="0"/>
                <w:color w:val="auto"/>
                <w:kern w:val="0"/>
                <w:sz w:val="24"/>
                <w:szCs w:val="24"/>
                <w:highlight w:val="none"/>
                <w:lang w:bidi="ar"/>
              </w:rPr>
              <w:t>（安全软件）。</w:t>
            </w:r>
            <w:r>
              <w:rPr>
                <w:rFonts w:hint="eastAsia" w:ascii="宋体" w:hAnsi="宋体" w:eastAsia="宋体" w:cs="宋体"/>
                <w:b w:val="0"/>
                <w:bCs w:val="0"/>
                <w:color w:val="auto"/>
                <w:sz w:val="24"/>
                <w:szCs w:val="24"/>
                <w:highlight w:val="none"/>
              </w:rPr>
              <w:t>大本（或以上）学历，相关数据对接工作经验。</w:t>
            </w:r>
          </w:p>
        </w:tc>
        <w:tc>
          <w:tcPr>
            <w:tcW w:w="1759" w:type="pct"/>
            <w:noWrap w:val="0"/>
            <w:vAlign w:val="center"/>
          </w:tcPr>
          <w:p w14:paraId="4D845FB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rPr>
              <w:t>负责机构的数据对接，包括接口文档、开发、联调、测试、上线等，同时做好大数据中心现有接口正常运行的维护工作和政务数据维护更新等工作。</w:t>
            </w:r>
          </w:p>
        </w:tc>
        <w:tc>
          <w:tcPr>
            <w:tcW w:w="506" w:type="pct"/>
            <w:noWrap w:val="0"/>
            <w:vAlign w:val="center"/>
          </w:tcPr>
          <w:p w14:paraId="14D628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rPr>
              <w:t>不驻场</w:t>
            </w:r>
          </w:p>
        </w:tc>
      </w:tr>
    </w:tbl>
    <w:p w14:paraId="3B2E2F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2.投标方承诺驻场服务人员每日按照招标方要求，定时汇报核心业务运行情况。</w:t>
      </w:r>
    </w:p>
    <w:p w14:paraId="253C82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人员稳定性要求。服务期内核心岗位（项目经理、技术负责人、安全工程师）人员变动率不得超过20%，普通岗位变动率不得超过30%；人员变动需提15个工作日提交申请，说明变动原因及替补人员资质，替补人员需经甲方面试合格并完成岗位交接（交接期不少于15个工作日）后方可上岗，确保服务连续性。</w:t>
      </w:r>
    </w:p>
    <w:p w14:paraId="017476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（三）运维服务要求</w:t>
      </w:r>
    </w:p>
    <w:p w14:paraId="6F4CB6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投标方应服从天津市医疗保障信息平台整体技术规范和管理规范，配合医保平台整体工作部署并能按照相关要求开展运维工作。</w:t>
      </w:r>
    </w:p>
    <w:p w14:paraId="3EF9E4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1.日常巡检服务</w:t>
      </w:r>
    </w:p>
    <w:p w14:paraId="4D3263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包含软件组件、网络环境、数据存储、安全防护等维度。采用自动化监测+人工核查结合方式，每日开展巡检，重点核查服务器资源占用、系统进程状态、数据同步情况、安全策略有效性，形成完整巡检记录，及时预警并处置潜在隐患。此项服务要求由驻场人员执行。</w:t>
      </w:r>
    </w:p>
    <w:p w14:paraId="30EF0B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1.1系统运行监控服务</w:t>
      </w:r>
    </w:p>
    <w:p w14:paraId="6B5A93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1.1.1对接统一运维监控平台，构建全维度监控体系，覆盖云平台资源、软件服务（进程、连接数、响应时间）、业务指标（办理量、成功率）、安全态势（异常登录、攻击行为）及网络状态（带宽、延迟、连通性）。</w:t>
      </w:r>
    </w:p>
    <w:p w14:paraId="533E77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1.1.2设置多级告警阈值，通过短信、邮件等方式实时推送告警信息，确保告警响应及时，监控数据为系统优化提供支撑。</w:t>
      </w:r>
    </w:p>
    <w:p w14:paraId="7A4A93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1.2巡检及日常运维管理</w:t>
      </w:r>
    </w:p>
    <w:p w14:paraId="7DE1B0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1.2.1规范记录每日巡检情况，详细载明巡检时间、范围、结果、问题及处理措施，做到实时归档。</w:t>
      </w:r>
    </w:p>
    <w:p w14:paraId="648258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1.2.2制定标准化运维清单，涵盖服务器启停、服务重启、数据备份、权限调整等操作流程，明确责任人及注意事项，确保运维操作合规可控。</w:t>
      </w:r>
    </w:p>
    <w:p w14:paraId="7E2E65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1.2.3对系统存在的Bug和软件自身缺陷进行修正。</w:t>
      </w:r>
    </w:p>
    <w:p w14:paraId="1DDA43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1.2.4 对所使用的开发维护工具进行补丁升级。</w:t>
      </w:r>
    </w:p>
    <w:p w14:paraId="34ABEB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1.2.5采用电子+纸质双重归档方式，保障记录可追溯、可审计。每月提交运维报告。</w:t>
      </w:r>
    </w:p>
    <w:p w14:paraId="5ED9B4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1.3月报提交服务</w:t>
      </w:r>
    </w:p>
    <w:p w14:paraId="61996D9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1.3.1每月5日前提交运维月报，内容包括巡检概况、故障处理统计、升级变更情况、需求（包括数据与应用系统需求）处理进度、安全防护情况、资源运行态势、下月工作计划及优化建议。</w:t>
      </w:r>
    </w:p>
    <w:p w14:paraId="5A0378B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1.3.2月报需数据真实、分析全面，及时报送业务主管部门及上级单位。</w:t>
      </w:r>
    </w:p>
    <w:p w14:paraId="202917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2.系统故障与应急响应处理服务</w:t>
      </w:r>
    </w:p>
    <w:p w14:paraId="65B76A3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2.1建立分级故障响应机制，针对系统崩溃、服务中断、功能异常、数据错误、网络故障等问题，按影响范围（单模块、多模块、全系统）分级响应。</w:t>
      </w:r>
    </w:p>
    <w:p w14:paraId="734D6F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2.2一般故障15分钟内响应、2小时内解决；重大故障15分钟内响应，30分钟内控制事态，确保不影响医保经办、参保待遇享受等核心业务。</w:t>
      </w:r>
    </w:p>
    <w:p w14:paraId="047318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提供不少于4次应急响应处理服务，提供7*24小时事件响应、应急响应、处理及恢复服务；重大应急事件保证15分钟内做出响应并提供应急处理方案，保证30分钟内到达现场。应急服务完成后，负责工作记录、处理报告等相关文档的编制工作。如遇紧急事件临时需要提供应急响应处理服务，承诺无条件服从采购人安排。</w:t>
      </w:r>
    </w:p>
    <w:p w14:paraId="013607A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2.4提供驻场运维、电话咨询、现场响应等服务，故障处理后形成复盘报告，优化防控措施。</w:t>
      </w:r>
    </w:p>
    <w:p w14:paraId="416DF85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3.系统升级与优化变更服务</w:t>
      </w:r>
    </w:p>
    <w:p w14:paraId="119853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★3.1针对国家医保局下发的系统软件进行部署、联调及运维工作。</w:t>
      </w:r>
    </w:p>
    <w:p w14:paraId="789A1EA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针对已部署国家版本及新发版本，提供全流程升级服务，包括但不限于升级方案编制、兼容性测试、业务影响评估、错峰实施（避开业务高峰期）及回滚预案制定。</w:t>
      </w:r>
    </w:p>
    <w:p w14:paraId="794030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3.2主动开展程序执行效率优化，提高运行效率与资源利用效率。</w:t>
      </w:r>
    </w:p>
    <w:p w14:paraId="6AE899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3.3及时完成系统版本更新，确保升级优化过程数据迁移完整、功能衔接顺畅，变更后开展回归测试及用户告知。</w:t>
      </w:r>
    </w:p>
    <w:p w14:paraId="0F3645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3.4系统变更需同步更新运维文档，记录变更内容、实施过程及效果。</w:t>
      </w:r>
    </w:p>
    <w:p w14:paraId="24D6A6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3.4配合做好与其他系统承建单位的系统对接与联调测试工作。</w:t>
      </w:r>
    </w:p>
    <w:p w14:paraId="7B3CD9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3.5提供驻场运维服务</w:t>
      </w:r>
    </w:p>
    <w:p w14:paraId="378DC0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b w:val="0"/>
          <w:bCs w:val="0"/>
          <w:color w:val="auto"/>
          <w:sz w:val="24"/>
          <w:szCs w:val="24"/>
          <w:highlight w:val="none"/>
          <w:lang w:val="en-US" w:eastAsia="zh-CN"/>
        </w:rPr>
        <w:t>4</w:t>
      </w:r>
      <w:r>
        <w:rPr>
          <w:rFonts w:hint="eastAsia" w:ascii="Times New Roman" w:hAnsi="Times New Roman"/>
          <w:b w:val="0"/>
          <w:bCs w:val="0"/>
          <w:color w:val="auto"/>
          <w:sz w:val="24"/>
          <w:szCs w:val="24"/>
          <w:highlight w:val="none"/>
          <w:lang w:val="en-US"/>
        </w:rPr>
        <w:t>.需求接收及变更服务</w:t>
      </w:r>
    </w:p>
    <w:p w14:paraId="48E689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中标方须严格遵守包括但不限于《全国医疗保障系统核心业务区骨干网络建设指南》（医保网信办〔2019〕40 号）、《医疗保障信息系统安全开发规范》、《医保信息平台电子凭证技术规范》、《医保信息平台用户界面规范》、《医疗保障标准化工作指导意见》（医保发〔2019〕39号）、《医疗保障信息平台建设指南》（医保网信办〔2019〕4 号）《XJ-A01-2019 医疗保障信息平台云计算平台规范》、《XJ-B01-2019 医疗保障信息平台应用系统技术架构规范》、《XJ-D03-2022 医疗保障信息平台电子处方中心技术规范》、《医疗保障信息平台数据归集交换库设计说明书》、《医疗保障信息平台数据库设计规范》、《医疗保障信息平台内部统一门户集成规范》、《医疗保障信息平台用户交互设计规范》、《医疗保障信息平台生物识别数据规范》、《医疗保障信息平台医保区划编码规范》等一系列规章制度、技术标准、数据安全、网络安全的管理要求，并承担制度中明确的相关责任。</w:t>
      </w:r>
    </w:p>
    <w:p w14:paraId="7586D6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4.1服务期内，由于业务变化，在原有业务流程、功能要素、数据结构等不变情况下对现有功能模块进行的调整均纳入维保项目。</w:t>
      </w:r>
    </w:p>
    <w:p w14:paraId="14F01D4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4.2数据提取、数据修改、系统调优等原因引发的数据接口开发、小规模校验规则修改、经办流程微调、参数调整等纳入运维工作范围，由中标单位负责业务需求的开发等相关工作。</w:t>
      </w:r>
    </w:p>
    <w:p w14:paraId="1BBE69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4.3遇重大需求变更，中标方应对需求进行合规性、可行性审核，开展影响分析及方案评审，对需求涉及的项目建设范围进行评估，并将评估结果及时反馈有关集成单位和监理单位。</w:t>
      </w:r>
    </w:p>
    <w:p w14:paraId="4EAF4E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4.4中标单位需同步调整运维保障策略，更新运维保障范围，确保变更落地不影响系统稳定性。同步更新用户使用手册、系统操作手册、系统部署方案、安装部署手册等材料。</w:t>
      </w:r>
    </w:p>
    <w:p w14:paraId="3413F25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4.5提供5*8小时驻场运维服务，遇突发工作要求，需提供7*24小时响应，必要是应配合投标方组员技术人员提供现场技术支持。中标单位应配合业务人员需求，驻场人员可现场进行需求对接，实现驻场开发。</w:t>
      </w:r>
    </w:p>
    <w:p w14:paraId="5F93BB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5.人员和权限调整服务</w:t>
      </w:r>
    </w:p>
    <w:p w14:paraId="482AFD6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5.1遵循招标方要求，对应用软件的人员、角色权限、功能菜单进行必要调整、增减和变更，确保各类人员分配合适权限。</w:t>
      </w:r>
    </w:p>
    <w:p w14:paraId="393AE2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5.2支持人员角色、功能菜单、操作权限的灵活调整，确保权限分配与岗位职责匹配，调整过程需经审批并留存操作日志。</w:t>
      </w:r>
    </w:p>
    <w:p w14:paraId="24BCBC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5.3定期开展权限审计，清理冗余权限、排查权限冲突，保障系统操作可追溯。</w:t>
      </w:r>
    </w:p>
    <w:p w14:paraId="664DB3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b w:val="0"/>
          <w:bCs w:val="0"/>
          <w:color w:val="auto"/>
          <w:sz w:val="24"/>
          <w:szCs w:val="24"/>
          <w:highlight w:val="none"/>
          <w:lang w:val="en-US" w:eastAsia="zh-CN"/>
        </w:rPr>
        <w:t>6</w:t>
      </w:r>
      <w:r>
        <w:rPr>
          <w:rFonts w:hint="eastAsia" w:ascii="Times New Roman" w:hAnsi="Times New Roman"/>
          <w:b w:val="0"/>
          <w:bCs w:val="0"/>
          <w:color w:val="auto"/>
          <w:sz w:val="24"/>
          <w:szCs w:val="24"/>
          <w:highlight w:val="none"/>
          <w:lang w:val="en-US"/>
        </w:rPr>
        <w:t>.安全服务要求</w:t>
      </w:r>
    </w:p>
    <w:p w14:paraId="0C30363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严格按照国家和天津市相关安全体系文件的要求提供安全保障，本着“谁运维、谁负责”的原则建立和落实运维安全管理制度。投标方需在投标文件中明确，本项目中数据（包含原始数据和衍生数据）全部为招标方所有，全部列入保密范围，投标方不得未经用户许可的情况下导出、分析以及移作他用。投标方需依据与采购方签订的保密协议或提供保密承诺，承诺投标方及其员工不透露或者以其它方式提供给第三方。承担核心数据库运维的服务商员工需与采购方单独签署保密协议或提供保密承诺，主动配合招标方开展个人背景调查工作。（特殊情况以合同为准）</w:t>
      </w:r>
    </w:p>
    <w:p w14:paraId="7A69AF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7.应用指导与技术支持</w:t>
      </w:r>
    </w:p>
    <w:p w14:paraId="249C4F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7.1为不同的系统对接用户建立多渠道服务体系（驻场咨询、技术支持邮箱、服务热线、在线客服），响应用户操作疑问、功能咨询、问题反馈。确保用户反馈响应率100%、解决率不低于98%，形成问题处理闭环。</w:t>
      </w:r>
    </w:p>
    <w:p w14:paraId="70A02B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7.2为内部业务经办人员提供系统操作、故障处理、政策适配等专项培训，采用线上线下授课、实操演练等形式。提供多元化指导服务，编制用户操作手册、常见问题清单，录制培训视频，协助提升经办服务效能。提供5×8小时现场业务咨询及软件操作指导，7*24小时远程电话咨询服务。确保用户熟练使用系统功能。</w:t>
      </w:r>
    </w:p>
    <w:p w14:paraId="0AF0F4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7.3配合有关部门开展系统推广、数据核查、攻防演练、业务演练等工作。提供技术支撑。 </w:t>
      </w:r>
    </w:p>
    <w:p w14:paraId="53F8EA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8.密评改造服务</w:t>
      </w:r>
    </w:p>
    <w:p w14:paraId="571D81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8.1依据国家密码应用安全性评估标准，完成系统敏感数据加密改造（含数据库、网厅、管理后台），确保数据传输、存储、使用全流程加密合规。</w:t>
      </w:r>
    </w:p>
    <w:p w14:paraId="266CF5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8.2优化系统，满足密评要求，配合密评机构开展评估测试，及时整改发现问题，完成密评备案并建立长效机制。</w:t>
      </w:r>
    </w:p>
    <w:p w14:paraId="7A34258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8.3配合年度等级保护测评、密评相关巡检，并按要求完成整改工作，确保系统合规运行。</w:t>
      </w:r>
    </w:p>
    <w:p w14:paraId="57BA38F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9.漏洞扫描配合服务</w:t>
      </w:r>
    </w:p>
    <w:p w14:paraId="18100C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9.1配合上级单位及安全服务机构代码审计工作，按照漏洞扫描工作要求，提供系统拓扑、资产清单等技术支持，并按要求完成整改工作。</w:t>
      </w:r>
    </w:p>
    <w:p w14:paraId="0C770D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9.2对扫描发现的高危、中危漏洞进行优先级排序，制定整改方案并实施修复，整改完成后配合复扫，确保漏洞闭环修复率100%。</w:t>
      </w:r>
    </w:p>
    <w:p w14:paraId="7A48BA1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9.3建立漏洞库，总结防控规律，提升系统安全防护能力。</w:t>
      </w:r>
    </w:p>
    <w:p w14:paraId="60781B6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10.数据需求与支持服务</w:t>
      </w:r>
    </w:p>
    <w:p w14:paraId="25ED23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医疗保障信息平台数据库设计规范》、《医疗保障信息平台用户交互设计规范》、《医疗保障信息平台生物识别数据规范》、《医疗保障信息平台医保区划编码规范》、《医疗保障信息平台数据归集技术规范》《医疗保障信息平台数据归集交换库设计说明书》等一系列国家及本市有关政策、技术规范、数据安全、网络安全管理要求，负责数据中台相关运维服务、医保数据归集运维服务、医保数据治理运维服务、医保数据提取分析运维服务、数据治理业务培训服务等并承担制度中明确的相关责任，并承担制度中明确的相关责任。</w:t>
      </w:r>
    </w:p>
    <w:p w14:paraId="14A760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10.1提供数据提取、核对、备份、恢复、清理、更新、优化等全生命周期服务，保障数据完整性、准确性、安全性。</w:t>
      </w:r>
    </w:p>
    <w:p w14:paraId="6F4128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10.2负责数据治理工作。按照国家医保局数据标准规范和市医保局业务部门数据治理要求，对运维范围内天津市医保平台应用系统产生的脏数据、数据中台统一汇聚后的脏数据、国家医保局反馈的脏数据以及其他相关场景产生的脏数据进行全面分析、监控和治理，制定和完善数据归集上报流程和质量校验规则，开发相应的校验脚本，形成医保数据质控规则库，并定期产出数据质量分析报告。数据治理工作包括:一是开展数据关联性验证、主外键约束处理、数据矛盾处理、数据逻辑错误处理等技术侧治理;二是开展非标业务编码使用处理、非标数据字典使用处理、重复参保数据处理、重复缴费数据处理、数据缺失处理等业务侧治理(业务侧数据治理会涉及向医保经办机构、参保人员、医疗机构或企业等调查核实数据);三是开展数据质控，并根据市医保局工作安排，开启数据上传接口校验，从源头避免脏数据产生。</w:t>
      </w:r>
    </w:p>
    <w:p w14:paraId="18D95E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10.3高效完成数据归集工作。投标方需按照国家医保局数据归集同步机制，负责保障医保平台数据正常同步至国家医保平台，全天候监控数据归集同步进程及问题，定期检查资源使用情况，第一时间解决归集出现的中断、报错等故障，确保符合国家医保局对于数据归集的及时性、一致性、准确性、完整性要求。</w:t>
      </w:r>
    </w:p>
    <w:p w14:paraId="4BA1BE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10.4支持合规的数据共享交换需求，保障与其他政务平台数据对接顺畅，提供数据脱敏、索引优化、查询优化等服务。</w:t>
      </w:r>
    </w:p>
    <w:p w14:paraId="7C96DA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10.5配合各有关单位工作，提供运维服务范围内合理合规的数据服务。</w:t>
      </w:r>
    </w:p>
    <w:p w14:paraId="3B3E09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负责完成对应服务期内应用系统年度和月度参数初始化工作：负责配合信息化部门完成个性化数据查询、统计、提取和分析测算工作；按时完成与审计局数据共享工作：负责做好与财务数据的对帐工作；做好程序问题产生的错误数据恢复工作。</w:t>
      </w:r>
    </w:p>
    <w:p w14:paraId="758388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10.6负责做好运维范围内应用系统异地灾备等安全演练工作。</w:t>
      </w:r>
    </w:p>
    <w:p w14:paraId="1BF302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10.7按照国家医保局要求及时、准确、完整实现数据归集工作。</w:t>
      </w:r>
    </w:p>
    <w:p w14:paraId="2A11DC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10.8支持合规的数据共享交换需求，保障与其他政务平台数据对接顺畅，提供数据脱敏、索引优化、查询优化等服务。</w:t>
      </w:r>
    </w:p>
    <w:p w14:paraId="751A0C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11.重保服务</w:t>
      </w:r>
    </w:p>
    <w:p w14:paraId="0D84B9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供每年不少于6次重大活动期间安全保障服务，启动专项重保机制，制定保障方案，明确责任分工及应急流程。重保前开展全系统排查加固，升级安全策略。重保期间派驻专业工程师提供7*24小时现场技术支持，增强信息安全防护的技术力量，实时监控系统状态，与应急部门建立联动，及时处置应急安全事件。确保零重大故障、零安全事件。</w:t>
      </w:r>
    </w:p>
    <w:p w14:paraId="3AAD7E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重大活动包括重要节假日、重大活动或其他招标人明确要求的活动。</w:t>
      </w:r>
    </w:p>
    <w:p w14:paraId="7F01BF7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12.质量管理要求</w:t>
      </w:r>
    </w:p>
    <w:p w14:paraId="75AA6F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在项目实施全过程中，招标方有对运维质量进行监督控制的职责和权利，运维承建商应按照项目管理要求进行严格的质量控制，并制定详细合理的沟通计划，至少包括周报、月报和运维例会，应确保双方能及时了解所需的信息。</w:t>
      </w:r>
    </w:p>
    <w:p w14:paraId="40EC631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13.技术文档要求</w:t>
      </w:r>
    </w:p>
    <w:p w14:paraId="541967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中标方提供的书面技术资料必须能够满足确保系统正常运行所需的管理、运营、验收及维护的全套文件。中标方提供的技术文件必须包括但不限于：</w:t>
      </w:r>
    </w:p>
    <w:p w14:paraId="4327282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（1）系统说明文件</w:t>
      </w:r>
    </w:p>
    <w:p w14:paraId="65AE05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（2）技术手册（安装、操作、维护、故障排除、培训文档等）</w:t>
      </w:r>
    </w:p>
    <w:p w14:paraId="097ED1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（3）详细的工程日志</w:t>
      </w:r>
    </w:p>
    <w:p w14:paraId="601DA7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（4）系统完整文档</w:t>
      </w:r>
    </w:p>
    <w:p w14:paraId="3F4907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其中，（1）（2）项必须在安装调测前提供;（3）必须在工程实施过程中随时提供，并在工程实施后1个月内汇总移交。所有的文档必须包括书面和电子两种形式。（4）在工程完成初验后，中标方提供完整的技术文档。</w:t>
      </w:r>
    </w:p>
    <w:p w14:paraId="4ACAF6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请投标方在项目方案中列出提供的书面技术资料详细清单。</w:t>
      </w:r>
    </w:p>
    <w:p w14:paraId="5E2D267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15.承诺运维结束提供完整系统源码及运维所需相关技术文档，保障后续运维可以顺利开展的相关材料。</w:t>
      </w:r>
    </w:p>
    <w:p w14:paraId="7A3451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15.1移交内容</w:t>
      </w:r>
    </w:p>
    <w:p w14:paraId="1C4DDC4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在运维服务合同期满或合作终止后，投标方将向甲方提供完整、可用的系统技术资产包，具体包括但不限于：</w:t>
      </w:r>
    </w:p>
    <w:p w14:paraId="110B25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(1)完整的系统源代码</w:t>
      </w:r>
    </w:p>
    <w:p w14:paraId="5DAF0E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范围：包括系统前端、后端、数据库脚本、依赖库配置文件等全部源代码。</w:t>
      </w:r>
    </w:p>
    <w:p w14:paraId="35CE106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要求：代码应为最终部署在生产环境的、可编译的最终版本，并附有清晰的目录结构说明。</w:t>
      </w:r>
    </w:p>
    <w:p w14:paraId="79CA64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知识产权：投标方承诺所提供的全部源代码及相关技术资料，其知识产权或使用权已清晰无争议，确保甲方在后续运维中使用不会侵犯任何第三方权益。</w:t>
      </w:r>
    </w:p>
    <w:p w14:paraId="7D26F5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(2)全面的技术文档</w:t>
      </w:r>
    </w:p>
    <w:p w14:paraId="57B7DA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系统架构文档：包括系统总体架构、技术栈说明、部署架构图等。</w:t>
      </w:r>
    </w:p>
    <w:p w14:paraId="67E922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系统安装与部署手册：详细描述从零开始的环境搭建、依赖安装、编译构建、部署上线的完整流程。</w:t>
      </w:r>
    </w:p>
    <w:p w14:paraId="67F694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数据库设计文档：包含详细的数据库表结构、字段说明、ER图、索引及视图定义。</w:t>
      </w:r>
    </w:p>
    <w:p w14:paraId="01F8DD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API接口文档：对所有内外接口的功能、参数、调用方式、返回格式及示例进行完整说明。</w:t>
      </w:r>
    </w:p>
    <w:p w14:paraId="295F9C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系统运维手册：包括日常巡检清单、常见故障排查指南、日志分析说明、数据备份与恢复方案等。</w:t>
      </w:r>
    </w:p>
    <w:p w14:paraId="549B0D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用户操作手册：面向最终用户的系统功能使用指南。</w:t>
      </w:r>
    </w:p>
    <w:p w14:paraId="10E329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(3)关键配置与工具</w:t>
      </w:r>
    </w:p>
    <w:p w14:paraId="271709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提供构建和部署所需的全部配置文件（如CI/CD流水线脚本、容器化配置等）。提供专用的测试工具、数据迁移脚本或其他支撑系统运行的关键辅助程序及其使用说明。</w:t>
      </w:r>
    </w:p>
    <w:p w14:paraId="17CE4CD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15.2移交标准与流程</w:t>
      </w:r>
    </w:p>
    <w:p w14:paraId="37F6B9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 (1)完整性：确保所有移交材料齐全，无关键信息缺失。</w:t>
      </w:r>
    </w:p>
    <w:p w14:paraId="5403F7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 (2)准确性：确保文档描述与系统实际版本和代码行为完全一致。</w:t>
      </w:r>
    </w:p>
    <w:p w14:paraId="034CA0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 (3)可读性：代码结构清晰，注释完整；技术文档语言通顺，逻辑清楚。</w:t>
      </w:r>
    </w:p>
    <w:p w14:paraId="0CA6573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 (4)可验证性：移交过程包含验证环节，我方将协助甲方技术团队在测试环境中，利用所提供的源码和文档，成功完成一次系统的编译、部署和核心功能验证，以证明材料的有效性。</w:t>
      </w:r>
    </w:p>
    <w:p w14:paraId="644E73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15.3移交形式与时间</w:t>
      </w:r>
    </w:p>
    <w:p w14:paraId="5A0557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(1)移交形式：所有电子文件（源码、文档）将通过加密移动硬盘或安全传输渠道交付，并附有详细的《移交清单》。</w:t>
      </w:r>
    </w:p>
    <w:p w14:paraId="3C8CBB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(2)移交时间：在运维合同到期日或双方协定的终止日之前 【建议填写具体天数，如：15个工作日】 内完成全部移交工作。</w:t>
      </w:r>
    </w:p>
    <w:p w14:paraId="4A15F1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(3)知识转移：投标方承诺安排资深技术工程师，提供免费技术咨询与交接培训，针对系统架构、关键技术和文档使用为甲方后续团队进行讲解。</w:t>
      </w:r>
    </w:p>
    <w:p w14:paraId="23F157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16.3责任与保证</w:t>
      </w:r>
    </w:p>
    <w:p w14:paraId="5171CA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保证所提供的全部资料是真实、有效且最新的。若因移交的源码或文档存在重大缺失或错误，导致甲方在约定期限（如移交后半年内）无法独立进行系统运维，我司将承担相应的技术支持和赔偿责任。</w:t>
      </w:r>
    </w:p>
    <w:p w14:paraId="495269C7">
      <w:pPr>
        <w:rPr>
          <w:rFonts w:ascii="Times New Roman" w:hAnsi="Times New Roman"/>
          <w:b w:val="0"/>
          <w:bCs w:val="0"/>
          <w:color w:val="auto"/>
          <w:sz w:val="24"/>
          <w:szCs w:val="24"/>
          <w:highlight w:val="none"/>
          <w:lang w:val="en-US"/>
        </w:rPr>
      </w:pPr>
      <w:r>
        <w:rPr>
          <w:rFonts w:ascii="Times New Roman" w:hAnsi="Times New Roman"/>
          <w:b w:val="0"/>
          <w:bCs w:val="0"/>
          <w:color w:val="auto"/>
          <w:sz w:val="24"/>
          <w:szCs w:val="24"/>
          <w:highlight w:val="none"/>
          <w:lang w:val="en-US"/>
        </w:rPr>
        <w:br w:type="page"/>
      </w:r>
    </w:p>
    <w:p w14:paraId="5E568B6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b/>
          <w:bCs/>
          <w:color w:val="auto"/>
          <w:sz w:val="24"/>
          <w:szCs w:val="24"/>
          <w:highlight w:val="none"/>
          <w:lang w:val="en-US"/>
        </w:rPr>
      </w:pPr>
      <w:bookmarkStart w:id="7" w:name="第五包需求"/>
      <w:r>
        <w:rPr>
          <w:rFonts w:hint="eastAsia" w:ascii="Times New Roman" w:hAnsi="Times New Roman"/>
          <w:b/>
          <w:bCs/>
          <w:color w:val="auto"/>
          <w:sz w:val="24"/>
          <w:szCs w:val="24"/>
          <w:highlight w:val="none"/>
          <w:lang w:val="en-US"/>
        </w:rPr>
        <w:t>第五包</w:t>
      </w:r>
    </w:p>
    <w:bookmarkEnd w:id="7"/>
    <w:p w14:paraId="01B531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（一）运维软件介绍</w:t>
      </w:r>
    </w:p>
    <w:p w14:paraId="1F838C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药品和医用耗材监管服务子系统为天津市医疗保障局提供省级药品和医用耗材招标采购应用支持，对全市医保部门的药品和医用耗材招标采购实施统一信息监测，支撑天津市医疗保障局规范指导全市医保部门的药品和医用耗材招标采购工作。</w:t>
      </w:r>
    </w:p>
    <w:p w14:paraId="7B545D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药品和医用耗材监管服务子系统运维服务范围包含统一服务管理、基础信息管理、招标管理、网上采购管理、药品与耗材采购结算对账管理、药品与耗材监督管理、药品与耗材事前智能提醒、药品与耗材过程消耗管理、药品与耗材综合统计分析、药品与耗材信用体系管理、药品与耗材接口管理、结算中心管理等模块。具体为：</w:t>
      </w:r>
    </w:p>
    <w:p w14:paraId="538ADE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1、统一服务管理</w:t>
      </w:r>
    </w:p>
    <w:p w14:paraId="424422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实现统一用户管理、协议管理、实时查询、备案采购管理、公共服务管理等功能。</w:t>
      </w:r>
    </w:p>
    <w:p w14:paraId="3C561B4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2、基础信息管理</w:t>
      </w:r>
    </w:p>
    <w:p w14:paraId="3C0896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实现生产企业基础信息管理、流通企业基础信息管理、医药机构基础信息管理、药品基础信息管理、耗材基础信息管理、价格基础信息管理等功能。</w:t>
      </w:r>
    </w:p>
    <w:p w14:paraId="46D142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3、招标管理</w:t>
      </w:r>
    </w:p>
    <w:p w14:paraId="12BF3C7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实现资质审核管理、药品招标管理、耗材招标管理等功能。</w:t>
      </w:r>
    </w:p>
    <w:p w14:paraId="2B8677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4、网上采购管理</w:t>
      </w:r>
    </w:p>
    <w:p w14:paraId="2DCB8A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实现药品交易管理、耗材交易管理、药品与耗材进销存管理等功能。</w:t>
      </w:r>
    </w:p>
    <w:p w14:paraId="2E2A49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5、药品与耗材采购结算对账管理</w:t>
      </w:r>
    </w:p>
    <w:p w14:paraId="5528CF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实现药品与耗材票据管理系统、药品与耗材对账管理系统、药品与耗材统一结算管理系统功能。</w:t>
      </w:r>
    </w:p>
    <w:p w14:paraId="65B324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6、药品与耗材监督管理</w:t>
      </w:r>
    </w:p>
    <w:p w14:paraId="1267A2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实现监测中心、业务监测、决策支持、违规处罚、综合查询、统计报表、药品使用监管、药品短缺监管、耗材使用监管、招采合规性监管、履约监管功能。</w:t>
      </w:r>
    </w:p>
    <w:p w14:paraId="286048A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7、药品与耗材事前智能提醒</w:t>
      </w:r>
    </w:p>
    <w:p w14:paraId="43980C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实现药品事前智能提醒、耗材事前智能提醒功能。</w:t>
      </w:r>
    </w:p>
    <w:p w14:paraId="128A61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8、药品与耗材过程消耗管理</w:t>
      </w:r>
    </w:p>
    <w:p w14:paraId="63F8D2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实现药品过程消耗管理、耗材过程消耗管理功能。</w:t>
      </w:r>
    </w:p>
    <w:p w14:paraId="111281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9.药品与耗材综合统计分析</w:t>
      </w:r>
    </w:p>
    <w:p w14:paraId="4CD7B32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实现药品综合统计分析、耗材综合统计分析功能。</w:t>
      </w:r>
    </w:p>
    <w:p w14:paraId="5847055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10、药品与耗材信用体系管理</w:t>
      </w:r>
    </w:p>
    <w:p w14:paraId="0FBABA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药品与耗材信用数据采集、药品与耗材信用画像、药企信用体系管理、配送企业信用体系管理、医药机构信用体系管理、招采过程信用体系管理、药品与耗材信用综合查询、药品与耗材黑名单管理、信用分析与展示功能。</w:t>
      </w:r>
    </w:p>
    <w:p w14:paraId="47A04D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11、药品与耗材接口管理</w:t>
      </w:r>
    </w:p>
    <w:p w14:paraId="56995EB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实现机构与编码同步管理、统一接口服务管理、数据共享、数据同步功能。</w:t>
      </w:r>
    </w:p>
    <w:p w14:paraId="3786A61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12、结算中心管理</w:t>
      </w:r>
    </w:p>
    <w:p w14:paraId="6F0CB9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实现药品目录管理、药品目录对接、医保药品信息维护、三目信息实时同步等功能。</w:t>
      </w:r>
    </w:p>
    <w:p w14:paraId="48DE9B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（二）运维人员要求</w:t>
      </w:r>
    </w:p>
    <w:tbl>
      <w:tblPr>
        <w:tblStyle w:val="16"/>
        <w:tblW w:w="9213" w:type="dxa"/>
        <w:jc w:val="center"/>
        <w:tblLayout w:type="fixed"/>
        <w:tblCellMar>
          <w:top w:w="0" w:type="dxa"/>
          <w:left w:w="108" w:type="dxa"/>
          <w:bottom w:w="0" w:type="dxa"/>
          <w:right w:w="108" w:type="dxa"/>
        </w:tblCellMar>
      </w:tblPr>
      <w:tblGrid>
        <w:gridCol w:w="1144"/>
        <w:gridCol w:w="795"/>
        <w:gridCol w:w="2370"/>
        <w:gridCol w:w="3780"/>
        <w:gridCol w:w="1124"/>
      </w:tblGrid>
      <w:tr w14:paraId="68259D96">
        <w:tblPrEx>
          <w:tblCellMar>
            <w:top w:w="0" w:type="dxa"/>
            <w:left w:w="108" w:type="dxa"/>
            <w:bottom w:w="0" w:type="dxa"/>
            <w:right w:w="108" w:type="dxa"/>
          </w:tblCellMar>
        </w:tblPrEx>
        <w:trPr>
          <w:trHeight w:val="0" w:hRule="atLeast"/>
          <w:tblHeader/>
          <w:jc w:val="center"/>
        </w:trPr>
        <w:tc>
          <w:tcPr>
            <w:tcW w:w="114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194B9F27">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岗位名称</w:t>
            </w:r>
          </w:p>
        </w:tc>
        <w:tc>
          <w:tcPr>
            <w:tcW w:w="795" w:type="dxa"/>
            <w:tcBorders>
              <w:top w:val="single" w:color="000000" w:sz="4" w:space="0"/>
              <w:left w:val="single" w:color="000000" w:sz="4" w:space="0"/>
              <w:bottom w:val="single" w:color="000000" w:sz="4" w:space="0"/>
              <w:right w:val="single" w:color="000000" w:sz="4" w:space="0"/>
            </w:tcBorders>
            <w:vAlign w:val="center"/>
          </w:tcPr>
          <w:p w14:paraId="20B5C9C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人数</w:t>
            </w:r>
          </w:p>
        </w:tc>
        <w:tc>
          <w:tcPr>
            <w:tcW w:w="237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3F735DF8">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要求</w:t>
            </w:r>
          </w:p>
        </w:tc>
        <w:tc>
          <w:tcPr>
            <w:tcW w:w="3780" w:type="dxa"/>
            <w:tcBorders>
              <w:top w:val="single" w:color="000000" w:sz="4" w:space="0"/>
              <w:left w:val="single" w:color="000000" w:sz="4" w:space="0"/>
              <w:bottom w:val="single" w:color="000000" w:sz="4" w:space="0"/>
              <w:right w:val="single" w:color="000000" w:sz="4" w:space="0"/>
            </w:tcBorders>
            <w:vAlign w:val="center"/>
          </w:tcPr>
          <w:p w14:paraId="43FB39E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工作职责</w:t>
            </w:r>
          </w:p>
        </w:tc>
        <w:tc>
          <w:tcPr>
            <w:tcW w:w="1124" w:type="dxa"/>
            <w:tcBorders>
              <w:top w:val="single" w:color="000000" w:sz="4" w:space="0"/>
              <w:left w:val="single" w:color="000000" w:sz="4" w:space="0"/>
              <w:bottom w:val="single" w:color="000000" w:sz="4" w:space="0"/>
              <w:right w:val="single" w:color="000000" w:sz="4" w:space="0"/>
            </w:tcBorders>
            <w:vAlign w:val="center"/>
          </w:tcPr>
          <w:p w14:paraId="15E3AF09">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是否驻场要求</w:t>
            </w:r>
          </w:p>
        </w:tc>
      </w:tr>
      <w:tr w14:paraId="0D3444C2">
        <w:tblPrEx>
          <w:tblCellMar>
            <w:top w:w="0" w:type="dxa"/>
            <w:left w:w="108" w:type="dxa"/>
            <w:bottom w:w="0" w:type="dxa"/>
            <w:right w:w="108" w:type="dxa"/>
          </w:tblCellMar>
        </w:tblPrEx>
        <w:trPr>
          <w:trHeight w:val="23" w:hRule="atLeast"/>
          <w:jc w:val="center"/>
        </w:trPr>
        <w:tc>
          <w:tcPr>
            <w:tcW w:w="114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71A5BA1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项目经理</w:t>
            </w:r>
          </w:p>
        </w:tc>
        <w:tc>
          <w:tcPr>
            <w:tcW w:w="795" w:type="dxa"/>
            <w:tcBorders>
              <w:top w:val="single" w:color="000000" w:sz="4" w:space="0"/>
              <w:left w:val="single" w:color="000000" w:sz="4" w:space="0"/>
              <w:bottom w:val="single" w:color="000000" w:sz="4" w:space="0"/>
              <w:right w:val="single" w:color="000000" w:sz="4" w:space="0"/>
            </w:tcBorders>
            <w:vAlign w:val="center"/>
          </w:tcPr>
          <w:p w14:paraId="15DBC50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1</w:t>
            </w:r>
          </w:p>
        </w:tc>
        <w:tc>
          <w:tcPr>
            <w:tcW w:w="237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7F8265CA">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eastAsia" w:ascii="Times New Roman" w:hAnsi="Times New Roman" w:cs="Times New Roman" w:eastAsiaTheme="minorEastAsia"/>
                <w:color w:val="auto"/>
                <w:sz w:val="24"/>
                <w:szCs w:val="24"/>
                <w:highlight w:val="none"/>
                <w:lang w:eastAsia="zh-CN"/>
              </w:rPr>
            </w:pPr>
            <w:r>
              <w:rPr>
                <w:rFonts w:hint="eastAsia" w:ascii="Times New Roman" w:hAnsi="Times New Roman" w:eastAsia="宋体" w:cs="Times New Roman"/>
                <w:color w:val="auto"/>
                <w:sz w:val="24"/>
                <w:szCs w:val="24"/>
                <w:highlight w:val="none"/>
                <w:lang w:val="en-US" w:eastAsia="zh-CN"/>
              </w:rPr>
              <w:t>大学</w:t>
            </w:r>
            <w:r>
              <w:rPr>
                <w:rFonts w:hint="default" w:ascii="Times New Roman" w:hAnsi="Times New Roman" w:eastAsia="宋体" w:cs="Times New Roman"/>
                <w:color w:val="auto"/>
                <w:sz w:val="24"/>
                <w:szCs w:val="24"/>
                <w:highlight w:val="none"/>
                <w:lang w:val="en-US" w:eastAsia="zh-CN"/>
              </w:rPr>
              <w:t>本科</w:t>
            </w:r>
            <w:r>
              <w:rPr>
                <w:rFonts w:hint="eastAsia" w:ascii="Times New Roman" w:hAnsi="Times New Roman"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以上学历，对</w:t>
            </w:r>
            <w:r>
              <w:rPr>
                <w:rFonts w:hint="default" w:ascii="Times New Roman" w:hAnsi="Times New Roman" w:eastAsia="宋体" w:cs="Times New Roman"/>
                <w:color w:val="auto"/>
                <w:sz w:val="24"/>
                <w:szCs w:val="24"/>
                <w:highlight w:val="none"/>
                <w:lang w:val="en-US" w:eastAsia="zh-CN"/>
              </w:rPr>
              <w:t>医疗保障信息平台</w:t>
            </w:r>
            <w:r>
              <w:rPr>
                <w:rFonts w:hint="default" w:ascii="Times New Roman" w:hAnsi="Times New Roman" w:eastAsia="宋体" w:cs="Times New Roman"/>
                <w:color w:val="auto"/>
                <w:sz w:val="24"/>
                <w:szCs w:val="24"/>
                <w:highlight w:val="none"/>
              </w:rPr>
              <w:t>一定熟悉程度，具有2年以上的</w:t>
            </w:r>
            <w:r>
              <w:rPr>
                <w:rFonts w:hint="eastAsia" w:ascii="Times New Roman" w:hAnsi="Times New Roman" w:eastAsia="宋体" w:cs="Times New Roman"/>
                <w:color w:val="auto"/>
                <w:sz w:val="24"/>
                <w:szCs w:val="24"/>
                <w:highlight w:val="none"/>
                <w:lang w:val="en-US" w:eastAsia="zh-CN"/>
              </w:rPr>
              <w:t>软件系统</w:t>
            </w:r>
            <w:r>
              <w:rPr>
                <w:rFonts w:hint="default" w:ascii="Times New Roman" w:hAnsi="Times New Roman" w:eastAsia="宋体" w:cs="Times New Roman"/>
                <w:color w:val="auto"/>
                <w:sz w:val="24"/>
                <w:szCs w:val="24"/>
                <w:highlight w:val="none"/>
              </w:rPr>
              <w:t>工作经验，</w:t>
            </w:r>
            <w:r>
              <w:rPr>
                <w:rFonts w:hint="default" w:ascii="Times New Roman" w:hAnsi="Times New Roman" w:eastAsia="宋体" w:cs="Times New Roman"/>
                <w:color w:val="auto"/>
                <w:sz w:val="24"/>
                <w:szCs w:val="24"/>
                <w:highlight w:val="none"/>
              </w:rPr>
              <w:t>具备初级项目管理专业人员(CSPM-2</w:t>
            </w:r>
            <w:r>
              <w:rPr>
                <w:rFonts w:hint="eastAsia" w:ascii="Times New Roman" w:hAnsi="Times New Roman" w:eastAsia="宋体" w:cs="Times New Roman"/>
                <w:color w:val="auto"/>
                <w:sz w:val="24"/>
                <w:szCs w:val="24"/>
                <w:highlight w:val="none"/>
                <w:lang w:val="en-US" w:eastAsia="zh-CN"/>
              </w:rPr>
              <w:t>或以上</w:t>
            </w:r>
            <w:r>
              <w:rPr>
                <w:rFonts w:hint="default" w:ascii="Times New Roman" w:hAnsi="Times New Roman" w:eastAsia="宋体" w:cs="Times New Roman"/>
                <w:color w:val="auto"/>
                <w:sz w:val="24"/>
                <w:szCs w:val="24"/>
                <w:highlight w:val="none"/>
              </w:rPr>
              <w:t>)或</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eastAsiaTheme="minorEastAsia"/>
                <w:color w:val="auto"/>
                <w:kern w:val="0"/>
                <w:sz w:val="24"/>
                <w:szCs w:val="24"/>
                <w:highlight w:val="none"/>
                <w:lang w:eastAsia="zh-CN"/>
              </w:rPr>
              <w:t>。</w:t>
            </w:r>
          </w:p>
        </w:tc>
        <w:tc>
          <w:tcPr>
            <w:tcW w:w="3780" w:type="dxa"/>
            <w:tcBorders>
              <w:top w:val="single" w:color="000000" w:sz="4" w:space="0"/>
              <w:left w:val="single" w:color="000000" w:sz="4" w:space="0"/>
              <w:bottom w:val="single" w:color="000000" w:sz="4" w:space="0"/>
              <w:right w:val="single" w:color="000000" w:sz="4" w:space="0"/>
            </w:tcBorders>
            <w:vAlign w:val="center"/>
          </w:tcPr>
          <w:p w14:paraId="5C5B80BA">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rPr>
              <w:t>负责管理和协调运维人员，灵活对维护期项目服务进行管理，统筹系统升级迭代、跨系统接口协同与政策适配，协调处置运维中的问题，推动需求落地与故障闭环，保障平台运维高效</w:t>
            </w:r>
            <w:r>
              <w:rPr>
                <w:rFonts w:hint="default" w:ascii="Times New Roman" w:hAnsi="Times New Roman" w:eastAsia="宋体" w:cs="Times New Roman"/>
                <w:b w:val="0"/>
                <w:bCs w:val="0"/>
                <w:color w:val="auto"/>
                <w:sz w:val="24"/>
                <w:szCs w:val="24"/>
                <w:highlight w:val="none"/>
                <w:lang w:eastAsia="zh-CN"/>
              </w:rPr>
              <w:t>。</w:t>
            </w:r>
          </w:p>
        </w:tc>
        <w:tc>
          <w:tcPr>
            <w:tcW w:w="1124" w:type="dxa"/>
            <w:tcBorders>
              <w:top w:val="single" w:color="000000" w:sz="4" w:space="0"/>
              <w:left w:val="single" w:color="000000" w:sz="4" w:space="0"/>
              <w:bottom w:val="single" w:color="000000" w:sz="4" w:space="0"/>
              <w:right w:val="single" w:color="000000" w:sz="4" w:space="0"/>
            </w:tcBorders>
            <w:vAlign w:val="center"/>
          </w:tcPr>
          <w:p w14:paraId="652E9C7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驻场</w:t>
            </w:r>
          </w:p>
        </w:tc>
      </w:tr>
      <w:tr w14:paraId="20FD1308">
        <w:tblPrEx>
          <w:tblCellMar>
            <w:top w:w="0" w:type="dxa"/>
            <w:left w:w="108" w:type="dxa"/>
            <w:bottom w:w="0" w:type="dxa"/>
            <w:right w:w="108" w:type="dxa"/>
          </w:tblCellMar>
        </w:tblPrEx>
        <w:trPr>
          <w:trHeight w:val="23" w:hRule="atLeast"/>
          <w:jc w:val="center"/>
        </w:trPr>
        <w:tc>
          <w:tcPr>
            <w:tcW w:w="114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4864E14C">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其他运维人员</w:t>
            </w:r>
          </w:p>
        </w:tc>
        <w:tc>
          <w:tcPr>
            <w:tcW w:w="795" w:type="dxa"/>
            <w:tcBorders>
              <w:top w:val="single" w:color="000000" w:sz="4" w:space="0"/>
              <w:left w:val="single" w:color="000000" w:sz="4" w:space="0"/>
              <w:bottom w:val="single" w:color="000000" w:sz="4" w:space="0"/>
              <w:right w:val="single" w:color="000000" w:sz="4" w:space="0"/>
            </w:tcBorders>
            <w:vAlign w:val="center"/>
          </w:tcPr>
          <w:p w14:paraId="7655BDDA">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2</w:t>
            </w:r>
          </w:p>
        </w:tc>
        <w:tc>
          <w:tcPr>
            <w:tcW w:w="237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11B6CFC5">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计算机与软件技术</w:t>
            </w:r>
            <w:r>
              <w:rPr>
                <w:rFonts w:hint="eastAsia"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大数据分析</w:t>
            </w:r>
            <w:r>
              <w:rPr>
                <w:rFonts w:hint="default" w:ascii="Times New Roman" w:hAnsi="Times New Roman"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医学、药学等相关专业</w:t>
            </w:r>
            <w:r>
              <w:rPr>
                <w:rFonts w:hint="eastAsia" w:ascii="Times New Roman" w:hAnsi="Times New Roman" w:eastAsia="宋体" w:cs="Times New Roman"/>
                <w:color w:val="auto"/>
                <w:sz w:val="24"/>
                <w:szCs w:val="24"/>
                <w:highlight w:val="none"/>
                <w:lang w:val="en-US" w:eastAsia="zh-CN"/>
              </w:rPr>
              <w:t>大学</w:t>
            </w:r>
            <w:r>
              <w:rPr>
                <w:rFonts w:hint="default" w:ascii="Times New Roman" w:hAnsi="Times New Roman" w:eastAsia="宋体" w:cs="Times New Roman"/>
                <w:color w:val="auto"/>
                <w:sz w:val="24"/>
                <w:szCs w:val="24"/>
                <w:highlight w:val="none"/>
                <w:lang w:val="en-US" w:eastAsia="zh-CN"/>
              </w:rPr>
              <w:t>本科</w:t>
            </w:r>
            <w:r>
              <w:rPr>
                <w:rFonts w:hint="eastAsia" w:ascii="Times New Roman" w:hAnsi="Times New Roman" w:eastAsia="宋体"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以上学历，对</w:t>
            </w:r>
            <w:r>
              <w:rPr>
                <w:rFonts w:hint="default" w:ascii="Times New Roman" w:hAnsi="Times New Roman" w:eastAsia="宋体" w:cs="Times New Roman"/>
                <w:color w:val="auto"/>
                <w:sz w:val="24"/>
                <w:szCs w:val="24"/>
                <w:highlight w:val="none"/>
                <w:lang w:val="en-US" w:eastAsia="zh-CN"/>
              </w:rPr>
              <w:t>医疗保障信息平台</w:t>
            </w:r>
            <w:r>
              <w:rPr>
                <w:rFonts w:hint="default" w:ascii="Times New Roman" w:hAnsi="Times New Roman" w:eastAsia="宋体" w:cs="Times New Roman"/>
                <w:color w:val="auto"/>
                <w:sz w:val="24"/>
                <w:szCs w:val="24"/>
                <w:highlight w:val="none"/>
              </w:rPr>
              <w:t>具有一定熟悉程度，具有2年以上的相关软件运维经验</w:t>
            </w:r>
            <w:r>
              <w:rPr>
                <w:rFonts w:hint="default" w:ascii="Times New Roman" w:hAnsi="Times New Roman" w:eastAsia="宋体" w:cs="Times New Roman"/>
                <w:color w:val="auto"/>
                <w:sz w:val="24"/>
                <w:szCs w:val="24"/>
                <w:highlight w:val="none"/>
                <w:lang w:eastAsia="zh-CN"/>
              </w:rPr>
              <w:t>。</w:t>
            </w:r>
          </w:p>
        </w:tc>
        <w:tc>
          <w:tcPr>
            <w:tcW w:w="3780" w:type="dxa"/>
            <w:tcBorders>
              <w:top w:val="single" w:color="000000" w:sz="4" w:space="0"/>
              <w:left w:val="single" w:color="000000" w:sz="4" w:space="0"/>
              <w:bottom w:val="single" w:color="000000" w:sz="4" w:space="0"/>
              <w:right w:val="single" w:color="000000" w:sz="4" w:space="0"/>
            </w:tcBorders>
            <w:vAlign w:val="center"/>
          </w:tcPr>
          <w:p w14:paraId="49FB5517">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rPr>
              <w:t>负责系统维护、巡检、故障处置等具体工作。</w:t>
            </w:r>
            <w:r>
              <w:rPr>
                <w:rFonts w:hint="default" w:ascii="Times New Roman" w:hAnsi="Times New Roman" w:eastAsia="宋体" w:cs="Times New Roman"/>
                <w:b w:val="0"/>
                <w:bCs w:val="0"/>
                <w:color w:val="auto"/>
                <w:sz w:val="24"/>
                <w:szCs w:val="24"/>
                <w:highlight w:val="none"/>
                <w:lang w:val="en-US" w:eastAsia="zh-CN"/>
              </w:rPr>
              <w:t>主要包括：</w:t>
            </w:r>
            <w:r>
              <w:rPr>
                <w:rFonts w:hint="default" w:ascii="Times New Roman" w:hAnsi="Times New Roman" w:eastAsia="宋体" w:cs="Times New Roman"/>
                <w:b w:val="0"/>
                <w:bCs w:val="0"/>
                <w:color w:val="auto"/>
                <w:sz w:val="24"/>
                <w:szCs w:val="24"/>
                <w:highlight w:val="none"/>
              </w:rPr>
              <w:t>管理部署更新应用，排查故障；系统各类安全防护的正常运行和日常更新；备份数据、检查系统漏洞并及时修复，响应告警与用户需求，记录操作，确保系统稳定合规运行。开展系统培训，解决用户提出的各种问题。</w:t>
            </w:r>
          </w:p>
        </w:tc>
        <w:tc>
          <w:tcPr>
            <w:tcW w:w="1124" w:type="dxa"/>
            <w:tcBorders>
              <w:top w:val="single" w:color="000000" w:sz="4" w:space="0"/>
              <w:left w:val="single" w:color="000000" w:sz="4" w:space="0"/>
              <w:bottom w:val="single" w:color="000000" w:sz="4" w:space="0"/>
              <w:right w:val="single" w:color="000000" w:sz="4" w:space="0"/>
            </w:tcBorders>
            <w:vAlign w:val="center"/>
          </w:tcPr>
          <w:p w14:paraId="0380F06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驻场</w:t>
            </w:r>
          </w:p>
        </w:tc>
      </w:tr>
    </w:tbl>
    <w:p w14:paraId="3D018C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1.投标方应提供不少于3人运维团队，具体人员配置要求如下：运维经理 1人、运维技术人员2人（具体要求见上表）。</w:t>
      </w:r>
    </w:p>
    <w:p w14:paraId="273D68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2.提供不少于2人5*8小时日常驻场服务，团队提供7*24小时远程支持服务。驻场工程师工作量不额外计费，驻场工程师具备本系统进行修改、调整能力。</w:t>
      </w:r>
    </w:p>
    <w:p w14:paraId="668DF2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3.投标方承诺驻场服务人员每日按照招标方要求，定时汇报业务运行情况。</w:t>
      </w:r>
    </w:p>
    <w:p w14:paraId="2F6A10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★4.人员稳定性要求。服务期内核心岗位人员变动需提15个工作日提交申请，说明变动原因及替补人员资质，替补人员需经甲方面试合格并完成岗位交接（交接期不少于15个工作日）后方可上岗，确保服务连续性。</w:t>
      </w:r>
    </w:p>
    <w:p w14:paraId="11F583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5.投标方应在招标方指定位置周边半径 3公里范围内设置运维团队工作场地。</w:t>
      </w:r>
    </w:p>
    <w:p w14:paraId="7F838F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（三）运维服务要求</w:t>
      </w:r>
    </w:p>
    <w:p w14:paraId="57FB0C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投标方应服从天津市医疗保障信息平台整体技术规范和管理规范，配合医保平台整体工作部署并能按照相关要求开展运维工作。</w:t>
      </w:r>
    </w:p>
    <w:p w14:paraId="18A24B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1.日常巡检服务</w:t>
      </w:r>
    </w:p>
    <w:p w14:paraId="7089CB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包含软件组件、网络环境、数据存储、安全防护等维度。采用自动化监测+人工核查结合方式，每日开展巡检，重点核查服务器资源占用、系统进程状态、数据同步情况、安全策略有效性，形成完整巡检记录，及时预警并处置潜在隐患。此项服务要求由驻场人员执行。</w:t>
      </w:r>
    </w:p>
    <w:p w14:paraId="5DF9C7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1.1巡检及日常运维管理</w:t>
      </w:r>
    </w:p>
    <w:p w14:paraId="322A96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1.1.1规范记录每日巡检情况，详细载明巡检时间、范围、结果、问题及处理措施，做到实时归档。</w:t>
      </w:r>
    </w:p>
    <w:p w14:paraId="30F924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1.1.2制定标准化运维清单，涵盖服务器启停、服务重启、数据备份、权限调整等操作流程，明确责任人及注意事项，确保运维操作合规可控。</w:t>
      </w:r>
    </w:p>
    <w:p w14:paraId="75B620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1.1.3对系统存在的Bug和软件自身缺陷进行修正。</w:t>
      </w:r>
    </w:p>
    <w:p w14:paraId="27502E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1.1.4对所使用的开发维护工具进行补丁升级。</w:t>
      </w:r>
    </w:p>
    <w:p w14:paraId="06D1AF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1.1.5采用电子+纸质双重归档方式，保障记录可追溯、可审计。每月提交运维报告。</w:t>
      </w:r>
    </w:p>
    <w:p w14:paraId="4AD593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1.2月报提交服务</w:t>
      </w:r>
    </w:p>
    <w:p w14:paraId="5A5370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1.2.1每月5日前提交运维月报，内容包括巡检概况、故障处理统计、升级变更情况、需求（包括数据与应用系统需求）处理进度、安全防护情况、资源运行态势、下月工作计划及优化建议。</w:t>
      </w:r>
    </w:p>
    <w:p w14:paraId="598DF7A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1.2.2月报需数据真实、分析全面，及时报送业务主管部门及上级单位。</w:t>
      </w:r>
    </w:p>
    <w:p w14:paraId="0C3DFC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2.系统故障与应急响应处理服务</w:t>
      </w:r>
    </w:p>
    <w:p w14:paraId="6F2545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2.1建立分级故障响应机制，针对系统崩溃、服务中断、功能异常、数据错误、网络故障等问题，按影响范围（单模块、多模块、全系统）分级响应。</w:t>
      </w:r>
    </w:p>
    <w:p w14:paraId="635B49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2.2一般故障15分钟内响应、2小时内解决；重大故障15分钟内响应，30分钟内控制事态，确保不影响医保经办、参保待遇享受等核心业务。</w:t>
      </w:r>
    </w:p>
    <w:p w14:paraId="1CAD5F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提供不少于4次应急响应处理服务，提供7*24小时事件响应、应急响应、处理及恢复服务；重大应急事件保证15分钟内做出响应并提供应急处理方案，保证30分钟内到达现场。应急服务完成后，负责工作记录、处理报告等相关文档的编制工作。如遇紧急事件临时需要提供应急响应处理服务，承诺无条件服从采购人安排。</w:t>
      </w:r>
    </w:p>
    <w:p w14:paraId="1C15B5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2.4提供驻场运维、电话咨询、现场响应等服务，故障处理后形成复盘报告，优化防控措施。</w:t>
      </w:r>
    </w:p>
    <w:p w14:paraId="6327A7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3.系统升级与优化变更服务</w:t>
      </w:r>
    </w:p>
    <w:p w14:paraId="2AC74E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★3.1针对国家医保局下发的系统软件进行部署、联调及运维工作。</w:t>
      </w:r>
    </w:p>
    <w:p w14:paraId="6A3375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针对已部署国家版本及新发版本，提供全流程升级服务，包括但不限于升级方案编制、兼容性测试、业务影响评估、错峰实施（避开业务高峰期）及回滚预案制定。</w:t>
      </w:r>
    </w:p>
    <w:p w14:paraId="1B373C5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3.2主动开展程序执行效率优化，提高运行效率与资源利用效率。</w:t>
      </w:r>
    </w:p>
    <w:p w14:paraId="5B95F1C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3.3及时完成系统版本更新，确保升级优化过程数据迁移完整、功能衔接顺畅，变更后开展回归测试及用户告知。</w:t>
      </w:r>
    </w:p>
    <w:p w14:paraId="5F55410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3.4系统变更需同步更新运维文档，记录变更内容、实施过程及效果。</w:t>
      </w:r>
    </w:p>
    <w:p w14:paraId="3D702A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3.5配合做好与其他系统承建单位的系统对接与联调测试工作。</w:t>
      </w:r>
    </w:p>
    <w:p w14:paraId="3CC32B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3.6提供驻场运维服务</w:t>
      </w:r>
    </w:p>
    <w:p w14:paraId="1EEBF5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4.需求接收及变更服务</w:t>
      </w:r>
    </w:p>
    <w:p w14:paraId="365A3A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中标方须严格遵守包括但不限于《全国医疗保障系统核心业务区骨干网络建设指南》（医保网信办〔2019〕40 号）、《医疗保障信息系统安全开发规范》、《医保信息平台电子凭证技术规范》、《医保信息平台用户界面规范》、《医疗保障标准化工作指导意见》（医保发〔2019〕39号）、《医疗保障信息平台建设指南》（医保网信办〔2019〕4 号）《XJ-A01-2019 医疗保障信息平台云计算平台规范》、《XJ-B01-2019 医疗保障信息平台应用系统技术架构规范》、《XJ-D03-2022 医疗保障信息平台电子处方中心技术规范》、《医疗保障信息平台数据归集交换库设计说明书》、《医疗保障信息平台数据库设计规范》、《医疗保障信息平台内部统一门户集成规范》、《医疗保障信息平台用户交互设计规范》、《医疗保障信息平台生物识别数据规范》、《医疗保障信息平台医保区划编码规范》等一系列规章制度、技术标准、数据安全、网络安全的管理要求，并承担制度中明确的相关责任。</w:t>
      </w:r>
    </w:p>
    <w:p w14:paraId="36C77F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4.1服务期内，由于业务变化，在原有业务流程、功能要素、数据结构等不变情况下对现有功能模块进行的调整均纳入维保项目。</w:t>
      </w:r>
    </w:p>
    <w:p w14:paraId="3B34CFD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4.2数据提取、数据修改、系统调优等原因引发的数据接口开发、小规模校验规则修改、经办流程微调、参数调整等纳入运维工作范围，由中标单位负责业务需求的开发等相关工作。</w:t>
      </w:r>
    </w:p>
    <w:p w14:paraId="16CF51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4.3遇重大需求变更，中标方应对需求进行合规性、可行性审核，开展影响分析及方案评审，对需求涉及的项目建设范围进行评估，并将评估结果及时反馈有关集成单位和监理单位。</w:t>
      </w:r>
    </w:p>
    <w:p w14:paraId="01347F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4.4中标单位需同步调整运维保障策略，更新运维保障范围，确保变更落地不影响系统稳定性。同步更新用户使用手册、系统操作手册、系统部署方案、安装部署手册等材料。</w:t>
      </w:r>
    </w:p>
    <w:p w14:paraId="27FAC4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4.5提供5*8小时驻场运维服务，遇突发工作要求，需提供7*24小时响应，必要是应配合投标方组员技术人员提供现场技术支持。中标单位应配合业务人员需求，驻场人员可现场进行需求对接，实现驻场开发。</w:t>
      </w:r>
    </w:p>
    <w:p w14:paraId="6D7261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4.6配合业务部门做好与津心办等其他政务服务部门的对接工作。</w:t>
      </w:r>
    </w:p>
    <w:p w14:paraId="3102B8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5.人员和权限调整服务</w:t>
      </w:r>
    </w:p>
    <w:p w14:paraId="0175E0A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5.1遵循招标方要求，对应用软件的人员、角色权限、功能菜单进行必要调整、增减和变更，确保各类人员分配合适权限。</w:t>
      </w:r>
    </w:p>
    <w:p w14:paraId="50B89A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5.2支持人员角色、功能菜单、操作权限的灵活调整，确保权限分配与岗位职责匹配，调整过程需经审批并留存操作日志。</w:t>
      </w:r>
    </w:p>
    <w:p w14:paraId="5DD6AE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5.3定期开展权限审计，清理冗余权限、排查权限冲突，保障系统操作可追溯。</w:t>
      </w:r>
    </w:p>
    <w:p w14:paraId="12DABE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6.安全服务要求</w:t>
      </w:r>
    </w:p>
    <w:p w14:paraId="4F7ED3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严格按照国家和天津市相关安全体系文件的要求提供安全保障，本着“谁运维、谁负责”的原则建立和落实运维安全管理制度。投标方需在投标文件中明确，本项目中数据（包含原始数据和衍生数据）全部为招标方所有，全部列入保密范围，投标方不得未经用户许可的情况下导出、分析以及移作他用。投标方需依据与采购方签订的保密协议或提供保密承诺，承诺投标方及其员工不透露或者以其它方式提供给第三方。承担核心数据库运维的服务商员工需与采购方单独签署保密协议或提供保密承诺，主动配合招标方开展个人背景调查工作。（特殊情况以合同为准）</w:t>
      </w:r>
    </w:p>
    <w:p w14:paraId="383CA9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7.应用指导与技术支持</w:t>
      </w:r>
    </w:p>
    <w:p w14:paraId="4F58ED5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7.1为不同的系统对接用户建立多渠道服务体系（驻场咨询、技术支持邮箱、服务热线、在线客服），响应用户操作疑问、功能咨询、问题反馈。确保用户反馈响应率100%、解决率不低于98%，形成问题处理闭环。</w:t>
      </w:r>
    </w:p>
    <w:p w14:paraId="25F32C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7.2为参保群众、参保单位、药品与耗材生产企业等外部系统应用用户提供多元化指导服务，编制操作手册、常见问题清单，录制培训视频，支撑自助办事需求。提供5×8小时线上以及电话热线服务，遇特殊情况需及时响应招标人要求提供阶段性24小时远程电话服务。</w:t>
      </w:r>
    </w:p>
    <w:p w14:paraId="4DAD35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7.3为内部业务经办人员提供系统操作、故障处理、政策适配等专项培训，采用线上线下授课、实操演练等形式。提供多元化指导服务，编制用户操作手册、常见问题清单，录制培训视频，协助提升经办服务效能。提供5×8小时现场业务咨询及软件操作指导，7*24小时远程电话咨询服务。确保用户熟练使用系统功能。</w:t>
      </w:r>
    </w:p>
    <w:p w14:paraId="357099D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7.4配合有关部门开展系统推广、数据核查、攻防演练、业务演练等工作。提供技术支撑。 </w:t>
      </w:r>
    </w:p>
    <w:p w14:paraId="0B6224A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8.密评改造服务</w:t>
      </w:r>
    </w:p>
    <w:p w14:paraId="0E6467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8.1依据国家密码应用安全性评估标准，完成系统敏感数据加密改造（含数据库、网厅、管理后台），确保数据传输、存储、使用全流程加密合规。</w:t>
      </w:r>
    </w:p>
    <w:p w14:paraId="6D6587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8.2优化系统，满足密评要求，配合密评机构开展评估测试，及时整改发现问题，完成密评备案并建立长效机制。</w:t>
      </w:r>
    </w:p>
    <w:p w14:paraId="64B749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8.3配合年度等级保护测评、密评相关巡检，并按要求完成整改工作，确保系统合规运行。</w:t>
      </w:r>
    </w:p>
    <w:p w14:paraId="0C981F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9.漏洞扫描配合服务</w:t>
      </w:r>
    </w:p>
    <w:p w14:paraId="2E8CBE9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9.1配合上级单位及安全服务机构代码审计工作，按照漏洞扫描工作要求，提供系统拓扑、资产清单等技术支持，并按要求完成整改工作。</w:t>
      </w:r>
    </w:p>
    <w:p w14:paraId="2F84A3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9.2对扫描发现的高危、中危漏洞进行优先级排序，制定整改方案并实施修复，整改完成后配合复扫，确保漏洞闭环修复率100%。</w:t>
      </w:r>
    </w:p>
    <w:p w14:paraId="14C1D6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9.3建立漏洞库，总结防控规律，提升系统安全防护能力。</w:t>
      </w:r>
    </w:p>
    <w:p w14:paraId="47D943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10.数据需求与支持服务</w:t>
      </w:r>
    </w:p>
    <w:p w14:paraId="728F20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医疗保障信息平台数据库设计规范》、《医疗保障信息平台用户交互设计规范》、《医疗保障信息平台生物识别数据规范》、《医疗保障信息平台医保区划编码规范》、《医疗保障信息平台数据归集技术规范》《医疗保障信息平台数据归集交换库设计说明书》等一系列国家及本市有关政策、技术规范、数据安全、网络安全管理要求，负责数据中台相关运维服务、医保数据归集运维服务、医保数据治理运维服务、医保数据提取分析运维服务、数据治理业务培训服务等并承担制度中明确的相关责任。</w:t>
      </w:r>
    </w:p>
    <w:p w14:paraId="15DABD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10.1提供数据提取、核对、备份、恢复、清理、更新、优化等全生命周期服务，保障数据完整性、准确性、安全性。</w:t>
      </w:r>
    </w:p>
    <w:p w14:paraId="5A54B3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10.2负责数据治理工作。按照国家医保局数据标准规范和市医保局业务部门数据治理要求，对运维范围内天津市医保平台应用系统产生的脏数据、数据中台统一汇聚后的脏数据、国家医保局反馈的脏数据以及其他相关场景产生的脏数据进行全面分析、监控和治理，制定和完善数据归集上报流程和质量校验规则，开发相应的校验脚本，形成医保数据质控规则库，并定期产出数据质量分析报告。数据治理工作包括:一是开展数据关联性验证、主外键约束处理、数据矛盾处理、数据逻辑错误处理等技术侧治理;二是开展非标业务编码使用处理、非标数据字典使用处理、数据缺失处理等业务侧治理(业务侧数据治理会涉及向医保经办机构、医疗机构或企业等调查核实数据);三是开展数据质控，并根据市医保局工作安排，开启数据上传接口校验，从源头避免脏数据产生。</w:t>
      </w:r>
    </w:p>
    <w:p w14:paraId="24E33A9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10.3高效完成数据归集工作。投标方需按照国家医保局数据归集同步机制，负责保障医保平台数据正常同步至国家医保平台，全天候监控数据归集同步进程及问题，定期检查资源使用情况，第一时间解决归集出现的中断、报错等故障，确保符合国家医保局对于数据归集的及时性、一致性、准确性、完整性要求。</w:t>
      </w:r>
    </w:p>
    <w:p w14:paraId="406A67B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10.4支持合规的数据共享交换需求，保障与其他政务平台数据对接顺畅，提供数据脱敏、索引优化、查询优化等服务。</w:t>
      </w:r>
    </w:p>
    <w:p w14:paraId="1008B8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10.5负责配合各有关单位工作，提供运维服务范围内合理合规的数据服务。</w:t>
      </w:r>
    </w:p>
    <w:p w14:paraId="2C488A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10.5配合各有关单位工作，提供运维服务范围内合理合规的数据服务。</w:t>
      </w:r>
    </w:p>
    <w:p w14:paraId="32F740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配合完成对应服务期内应用系统年度和月度参数初始化工作：配合信息化部门完成个性化数据提取工作；按时完成与审计局数据共享工作：做好程序问题产生的错误数据恢复工作。</w:t>
      </w:r>
    </w:p>
    <w:p w14:paraId="74A43F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10.6负责做好运维范围内应用系统异地灾备等安全演练工作。</w:t>
      </w:r>
    </w:p>
    <w:p w14:paraId="0925FC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10.7配合做好历史数据迁移与应用工作。</w:t>
      </w:r>
    </w:p>
    <w:p w14:paraId="07AA50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10.8服务方式为驻场服务。</w:t>
      </w:r>
    </w:p>
    <w:p w14:paraId="22E633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11.重保服务</w:t>
      </w:r>
    </w:p>
    <w:p w14:paraId="53E883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供重大活动期间安全保障服务，启动专项重保机制，制定保障方案，明确责任分工及应急流程。重保前开展全系统排查加固，升级安全策略。重保期间派驻专业工程师提供7*24小时现场技术支持，增强信息安全防护的技术力量，实时监控系统状态，与应急部门建立联动，及时处置应急安全事件。确保零重大故障、零安全事件。</w:t>
      </w:r>
    </w:p>
    <w:p w14:paraId="1556CD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重大活动包括重要节假日、重大活动或其他招标人明确要求的活动。</w:t>
      </w:r>
    </w:p>
    <w:p w14:paraId="1F27BE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12.质量管理要求</w:t>
      </w:r>
    </w:p>
    <w:p w14:paraId="575BF81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在项目实施全过程中，招标方有对运维质量进行监督控制的职责和权利，运维承建商应按照项目管理要求进行严格的质量控制，并制定详细合理的沟通计划，至少包括周报、月报和运维例会，应确保双方能及时了解所需的信息。</w:t>
      </w:r>
    </w:p>
    <w:p w14:paraId="5F9C7F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13.运维文档编制与管理</w:t>
      </w:r>
    </w:p>
    <w:p w14:paraId="3849A5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构建完整运维文档体系，包含系统基础资料（拓扑图、资产清单、配置参数等）、操作手册（巡检、故障处理、升级变更）、安全保障文档（密评方案、漏洞报告、应急预案）、服务记录文档及管理类文档（巡检记录、月报、总结等）。</w:t>
      </w:r>
    </w:p>
    <w:p w14:paraId="438218D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13.2建立文档版本管理机制，及时更新以匹配系统变更，采用权限管控方式存储，确保文档准确、完整、可访问。</w:t>
      </w:r>
    </w:p>
    <w:p w14:paraId="66D96E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14.项目招标全周期技术支持</w:t>
      </w:r>
    </w:p>
    <w:p w14:paraId="727914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14.1药品与耗材展开新的招标批次项目，按照业务工作要求完善系统的界面和功能。在招标工作开展期间，提供7×24小时的技术支持，保证系统的稳定性和数据的高频度备份，随时进行特殊业务情况的数据核查、统计、数据等工作。</w:t>
      </w:r>
    </w:p>
    <w:p w14:paraId="6AF171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14.2对省级联盟的招标批次，准确的评估用户数、并发数，随时根据业务的进行弹性调整服务器各项云资源，以保证访问量高并发、大数据量时系统能正常提供服务。</w:t>
      </w:r>
    </w:p>
    <w:p w14:paraId="039C30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15.集采执行周期技术支持</w:t>
      </w:r>
    </w:p>
    <w:p w14:paraId="22B980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15.1为保证天津市药品和耗材对国家集采和省级联盟采各批次的平稳落地，需要定期核实合同采购的执行情况，保证采购数据的准确、完善，在采购周期到期时，对数据进行核验、统计、导出、备份。</w:t>
      </w:r>
    </w:p>
    <w:p w14:paraId="6BD651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15.2根据耗材集采的采购要求，对耗材组套等不同方式开展集采的品种，在实施网上采购时对采购功能模块进行完善，适配新的采购模式。同时根据业务部门需求将国家集采和省级联盟拟纳入采购的中选产品清单按照数据标准要求导入招采子系统。</w:t>
      </w:r>
    </w:p>
    <w:p w14:paraId="08A3800A">
      <w:pPr>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br w:type="page"/>
      </w:r>
    </w:p>
    <w:p w14:paraId="2863CD7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b/>
          <w:bCs/>
          <w:color w:val="auto"/>
          <w:sz w:val="24"/>
          <w:szCs w:val="24"/>
          <w:highlight w:val="none"/>
          <w:lang w:val="en-US" w:eastAsia="zh-CN"/>
        </w:rPr>
      </w:pPr>
      <w:bookmarkStart w:id="8" w:name="第六包需求"/>
      <w:r>
        <w:rPr>
          <w:rFonts w:hint="eastAsia" w:ascii="Times New Roman" w:hAnsi="Times New Roman"/>
          <w:b/>
          <w:bCs/>
          <w:color w:val="auto"/>
          <w:sz w:val="24"/>
          <w:szCs w:val="24"/>
          <w:highlight w:val="none"/>
          <w:lang w:val="en-US"/>
        </w:rPr>
        <w:t>第六包</w:t>
      </w:r>
      <w:r>
        <w:rPr>
          <w:rFonts w:hint="eastAsia"/>
          <w:b/>
          <w:bCs/>
          <w:color w:val="auto"/>
          <w:sz w:val="24"/>
          <w:szCs w:val="24"/>
          <w:highlight w:val="none"/>
          <w:lang w:val="en-US" w:eastAsia="zh-CN"/>
        </w:rPr>
        <w:t>：</w:t>
      </w:r>
    </w:p>
    <w:bookmarkEnd w:id="8"/>
    <w:p w14:paraId="3C834A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（一）运维软件介绍</w:t>
      </w:r>
    </w:p>
    <w:p w14:paraId="592C71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本包服务内容主要包括以下内容：天津医疗保障信息平台是天津市医保局按照国家医保局统一的技术标准和规范建设的政务信息系统。此标段是针对2025年政务信息化运维项目(医疗保障信息平台人工智能引擎项目运维)，目前平台的系统建设已完成建设并进入运维阶段，为保障平台高效、安全稳定地运行，提升平台运行效能，需持续开展天津医疗保障信息平台相关业务系统、数据的运维工作，为全市医疗保障事业高质量发展持续提供坚实的技术支撑，通过专业运维服务确保系统功能正常迭代、性能稳定优化、数据安全可控。依照医疗保障信息平台人工智能引擎项目的运维服务需求，对前期建设的人脸识别模块、视频结构化模块、指纹识别模块、声纹识别模块、视频处理模块、自然语言处理模块、深度学习数据分析模块、智能审核大数据分析模块、视频分析与结构化模块、人脸认证模块、多模态生物特征识别模块、引擎管理模块等12类核心软件模块提供运维服务，制定系统运维服务方案，组建运维服务团队，完成应用软件运维项目的运行维护工作。</w:t>
      </w:r>
    </w:p>
    <w:p w14:paraId="7B09E4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1.主要功能</w:t>
      </w:r>
    </w:p>
    <w:p w14:paraId="3025E6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为满足医保信息化系统各业务应用系统的AI计算需求，需要建设人工智能引擎，通过集中建设部署、智能调度，汇聚成熟AI技术输出PaaS能力，为智能化推断及分析提供统一技术支撑，提升性能的同时降低成本，满足医保信息系统三大用户主体高效、便捷的信息化需求，以智能化促进便捷化。人工智能引擎对医疗保障信息化平台所采集、存储的，以及从移动终端、服务大厅、 WEB服务平台等传输过来的海量、复杂、异构的实时媒体大数据，基于图像认知、视频分析、声纹识别、语音识别、神经网络等机器学习技术，实现准确、及时的感知其中的特定目标，并对内容进行精准认知，同时结合医保业务需求，对识别的目标进行垂直化应用。</w:t>
      </w:r>
    </w:p>
    <w:p w14:paraId="78A7FE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2.使用领域</w:t>
      </w:r>
    </w:p>
    <w:p w14:paraId="53400D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视频结构化分析：提供医保智能监管应用子系统所需的视频结构化实时分析，对两定医药机构监控视频进行实时分析，用于结算稽核时的线索记录、检索、查证、追踪，更好收集和锁定违法违规证据，提升监管效能。</w:t>
      </w:r>
    </w:p>
    <w:p w14:paraId="67EFFAC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多模态生物特征识别：提供人脸识别、声纹识别、指纹识别等能力，用于经办医保业务或医保支付时的身份验证、支付验证，在提升公众就医购药便捷化体验、保障医保账号及支付安全的同时，实现监管关口前移。</w:t>
      </w:r>
    </w:p>
    <w:p w14:paraId="2D5FBD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智能审核大数据分析：提供完备的数据分析模型训练、运行、迭代环境，支持多种医保数据分析模型的并行处理和综合运用，用于实现数据合理性的分析和预警，提高医保基金结算审核的自动化、智能化，也可用于智能推荐。</w:t>
      </w:r>
    </w:p>
    <w:p w14:paraId="0ED107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w:t>
      </w:r>
      <w:r>
        <w:rPr>
          <w:rFonts w:hint="eastAsia"/>
          <w:b w:val="0"/>
          <w:bCs w:val="0"/>
          <w:color w:val="auto"/>
          <w:sz w:val="24"/>
          <w:szCs w:val="24"/>
          <w:highlight w:val="none"/>
          <w:lang w:val="en-US" w:eastAsia="zh-CN"/>
        </w:rPr>
        <w:t>二</w:t>
      </w:r>
      <w:r>
        <w:rPr>
          <w:rFonts w:hint="eastAsia" w:ascii="Times New Roman" w:hAnsi="Times New Roman"/>
          <w:b w:val="0"/>
          <w:bCs w:val="0"/>
          <w:color w:val="auto"/>
          <w:sz w:val="24"/>
          <w:szCs w:val="24"/>
          <w:highlight w:val="none"/>
          <w:lang w:val="en-US"/>
        </w:rPr>
        <w:t>）运维人员要求</w:t>
      </w:r>
    </w:p>
    <w:tbl>
      <w:tblPr>
        <w:tblStyle w:val="16"/>
        <w:tblW w:w="9314" w:type="dxa"/>
        <w:jc w:val="center"/>
        <w:tblLayout w:type="fixed"/>
        <w:tblCellMar>
          <w:top w:w="0" w:type="dxa"/>
          <w:left w:w="108" w:type="dxa"/>
          <w:bottom w:w="0" w:type="dxa"/>
          <w:right w:w="108" w:type="dxa"/>
        </w:tblCellMar>
      </w:tblPr>
      <w:tblGrid>
        <w:gridCol w:w="1160"/>
        <w:gridCol w:w="834"/>
        <w:gridCol w:w="2850"/>
        <w:gridCol w:w="3405"/>
        <w:gridCol w:w="1065"/>
      </w:tblGrid>
      <w:tr w14:paraId="4576BBEA">
        <w:tblPrEx>
          <w:tblCellMar>
            <w:top w:w="0" w:type="dxa"/>
            <w:left w:w="108" w:type="dxa"/>
            <w:bottom w:w="0" w:type="dxa"/>
            <w:right w:w="108" w:type="dxa"/>
          </w:tblCellMar>
        </w:tblPrEx>
        <w:trPr>
          <w:trHeight w:val="0" w:hRule="atLeast"/>
          <w:tblHeader/>
          <w:jc w:val="center"/>
        </w:trPr>
        <w:tc>
          <w:tcPr>
            <w:tcW w:w="116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5F9EEBFC">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岗位名称</w:t>
            </w:r>
          </w:p>
        </w:tc>
        <w:tc>
          <w:tcPr>
            <w:tcW w:w="834" w:type="dxa"/>
            <w:tcBorders>
              <w:top w:val="single" w:color="000000" w:sz="4" w:space="0"/>
              <w:left w:val="single" w:color="000000" w:sz="4" w:space="0"/>
              <w:bottom w:val="single" w:color="000000" w:sz="4" w:space="0"/>
              <w:right w:val="single" w:color="000000" w:sz="4" w:space="0"/>
            </w:tcBorders>
            <w:vAlign w:val="center"/>
          </w:tcPr>
          <w:p w14:paraId="4CF57C1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人数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7B86C59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要求</w:t>
            </w:r>
          </w:p>
        </w:tc>
        <w:tc>
          <w:tcPr>
            <w:tcW w:w="3405" w:type="dxa"/>
            <w:tcBorders>
              <w:top w:val="single" w:color="000000" w:sz="4" w:space="0"/>
              <w:left w:val="single" w:color="000000" w:sz="4" w:space="0"/>
              <w:bottom w:val="single" w:color="000000" w:sz="4" w:space="0"/>
              <w:right w:val="single" w:color="000000" w:sz="4" w:space="0"/>
            </w:tcBorders>
            <w:vAlign w:val="center"/>
          </w:tcPr>
          <w:p w14:paraId="65A25566">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工作职责</w:t>
            </w:r>
          </w:p>
        </w:tc>
        <w:tc>
          <w:tcPr>
            <w:tcW w:w="1065" w:type="dxa"/>
            <w:tcBorders>
              <w:top w:val="single" w:color="000000" w:sz="4" w:space="0"/>
              <w:left w:val="single" w:color="000000" w:sz="4" w:space="0"/>
              <w:bottom w:val="single" w:color="000000" w:sz="4" w:space="0"/>
              <w:right w:val="single" w:color="000000" w:sz="4" w:space="0"/>
            </w:tcBorders>
            <w:vAlign w:val="center"/>
          </w:tcPr>
          <w:p w14:paraId="3CB1F14C">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是否驻场要求</w:t>
            </w:r>
          </w:p>
        </w:tc>
      </w:tr>
      <w:tr w14:paraId="0EFAD435">
        <w:tblPrEx>
          <w:tblCellMar>
            <w:top w:w="0" w:type="dxa"/>
            <w:left w:w="108" w:type="dxa"/>
            <w:bottom w:w="0" w:type="dxa"/>
            <w:right w:w="108" w:type="dxa"/>
          </w:tblCellMar>
        </w:tblPrEx>
        <w:trPr>
          <w:trHeight w:val="0" w:hRule="atLeast"/>
          <w:jc w:val="center"/>
        </w:trPr>
        <w:tc>
          <w:tcPr>
            <w:tcW w:w="116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75B95AA6">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rPr>
              <w:t>项目经理</w:t>
            </w:r>
          </w:p>
        </w:tc>
        <w:tc>
          <w:tcPr>
            <w:tcW w:w="834" w:type="dxa"/>
            <w:tcBorders>
              <w:top w:val="single" w:color="000000" w:sz="4" w:space="0"/>
              <w:left w:val="single" w:color="000000" w:sz="4" w:space="0"/>
              <w:bottom w:val="single" w:color="000000" w:sz="4" w:space="0"/>
              <w:right w:val="single" w:color="000000" w:sz="4" w:space="0"/>
            </w:tcBorders>
            <w:vAlign w:val="center"/>
          </w:tcPr>
          <w:p w14:paraId="766D80E9">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rPr>
              <w:t>1</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621A53E4">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rPr>
            </w:pPr>
            <w:r>
              <w:rPr>
                <w:rFonts w:hint="eastAsia" w:ascii="Times New Roman" w:hAnsi="Times New Roman" w:eastAsia="宋体" w:cs="Times New Roman"/>
                <w:b w:val="0"/>
                <w:bCs w:val="0"/>
                <w:color w:val="auto"/>
                <w:sz w:val="24"/>
                <w:szCs w:val="24"/>
                <w:highlight w:val="none"/>
                <w:lang w:val="en-US" w:eastAsia="zh-CN"/>
              </w:rPr>
              <w:t>大学本科</w:t>
            </w:r>
            <w:r>
              <w:rPr>
                <w:rFonts w:hint="default" w:ascii="Times New Roman" w:hAnsi="Times New Roman" w:eastAsia="宋体" w:cs="Times New Roman"/>
                <w:b w:val="0"/>
                <w:bCs w:val="0"/>
                <w:color w:val="auto"/>
                <w:sz w:val="24"/>
                <w:szCs w:val="24"/>
                <w:highlight w:val="none"/>
              </w:rPr>
              <w:t>或以上学历，5年或以上相关软件项目运行维护工作经验。具备计算机技术与软件专业技术资格证书（信息系统项目管理师）、计算机技术与软件专业技术资格证书（系统规划与管理师）、</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default" w:ascii="Times New Roman" w:hAnsi="Times New Roman" w:eastAsia="宋体" w:cs="Times New Roman"/>
                <w:b w:val="0"/>
                <w:bCs w:val="0"/>
                <w:color w:val="auto"/>
                <w:sz w:val="24"/>
                <w:szCs w:val="24"/>
                <w:highlight w:val="none"/>
              </w:rPr>
              <w:t>（应急服务）证书</w:t>
            </w:r>
          </w:p>
        </w:tc>
        <w:tc>
          <w:tcPr>
            <w:tcW w:w="3405" w:type="dxa"/>
            <w:tcBorders>
              <w:top w:val="single" w:color="000000" w:sz="4" w:space="0"/>
              <w:left w:val="single" w:color="000000" w:sz="4" w:space="0"/>
              <w:bottom w:val="single" w:color="000000" w:sz="4" w:space="0"/>
              <w:right w:val="single" w:color="000000" w:sz="4" w:space="0"/>
            </w:tcBorders>
            <w:vAlign w:val="center"/>
          </w:tcPr>
          <w:p w14:paraId="5E4E2957">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rPr>
              <w:t>组织制订可行的项目管理计划；组织项目实施，对项目的人员、资金、设备、进度和质量等进行管理，并据实际情况及时做出调整，系统地监督项目实施过程的绩效，协调信息系统项目所涉及的相关人员</w:t>
            </w:r>
          </w:p>
        </w:tc>
        <w:tc>
          <w:tcPr>
            <w:tcW w:w="1065" w:type="dxa"/>
            <w:tcBorders>
              <w:top w:val="single" w:color="000000" w:sz="4" w:space="0"/>
              <w:left w:val="single" w:color="000000" w:sz="4" w:space="0"/>
              <w:bottom w:val="single" w:color="000000" w:sz="4" w:space="0"/>
              <w:right w:val="single" w:color="000000" w:sz="4" w:space="0"/>
            </w:tcBorders>
            <w:vAlign w:val="center"/>
          </w:tcPr>
          <w:p w14:paraId="4F401B83">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工作时间驻场</w:t>
            </w:r>
          </w:p>
          <w:p w14:paraId="68E3C876">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8</w:t>
            </w:r>
            <w:r>
              <w:rPr>
                <w:rFonts w:hint="default" w:ascii="Times New Roman" w:hAnsi="Times New Roman" w:eastAsia="宋体" w:cs="Times New Roman"/>
                <w:b w:val="0"/>
                <w:bCs w:val="0"/>
                <w:color w:val="auto"/>
                <w:sz w:val="24"/>
                <w:szCs w:val="24"/>
                <w:highlight w:val="none"/>
              </w:rPr>
              <w:t>小时驻场</w:t>
            </w:r>
          </w:p>
        </w:tc>
      </w:tr>
      <w:tr w14:paraId="1D1A391A">
        <w:tblPrEx>
          <w:tblCellMar>
            <w:top w:w="0" w:type="dxa"/>
            <w:left w:w="108" w:type="dxa"/>
            <w:bottom w:w="0" w:type="dxa"/>
            <w:right w:w="108" w:type="dxa"/>
          </w:tblCellMar>
        </w:tblPrEx>
        <w:trPr>
          <w:trHeight w:val="0" w:hRule="atLeast"/>
          <w:jc w:val="center"/>
        </w:trPr>
        <w:tc>
          <w:tcPr>
            <w:tcW w:w="116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2EC9C49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rPr>
              <w:t>运维人员</w:t>
            </w:r>
          </w:p>
        </w:tc>
        <w:tc>
          <w:tcPr>
            <w:tcW w:w="834" w:type="dxa"/>
            <w:tcBorders>
              <w:top w:val="single" w:color="000000" w:sz="4" w:space="0"/>
              <w:left w:val="single" w:color="000000" w:sz="4" w:space="0"/>
              <w:bottom w:val="single" w:color="000000" w:sz="4" w:space="0"/>
              <w:right w:val="single" w:color="000000" w:sz="4" w:space="0"/>
            </w:tcBorders>
            <w:vAlign w:val="center"/>
          </w:tcPr>
          <w:p w14:paraId="4B6E0D9B">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2</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0F967F10">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eastAsia" w:ascii="Times New Roman" w:hAnsi="Times New Roman" w:eastAsia="宋体" w:cs="Times New Roman"/>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rPr>
              <w:t>大</w:t>
            </w:r>
            <w:r>
              <w:rPr>
                <w:rFonts w:hint="eastAsia" w:ascii="Times New Roman" w:hAnsi="Times New Roman" w:eastAsia="宋体" w:cs="Times New Roman"/>
                <w:b w:val="0"/>
                <w:bCs w:val="0"/>
                <w:color w:val="auto"/>
                <w:sz w:val="24"/>
                <w:szCs w:val="24"/>
                <w:highlight w:val="none"/>
                <w:lang w:val="en-US" w:eastAsia="zh-CN"/>
              </w:rPr>
              <w:t>学</w:t>
            </w:r>
            <w:r>
              <w:rPr>
                <w:rFonts w:hint="default" w:ascii="Times New Roman" w:hAnsi="Times New Roman" w:eastAsia="宋体" w:cs="Times New Roman"/>
                <w:b w:val="0"/>
                <w:bCs w:val="0"/>
                <w:color w:val="auto"/>
                <w:sz w:val="24"/>
                <w:szCs w:val="24"/>
                <w:highlight w:val="none"/>
              </w:rPr>
              <w:t>本</w:t>
            </w:r>
            <w:r>
              <w:rPr>
                <w:rFonts w:hint="eastAsia" w:ascii="Times New Roman" w:hAnsi="Times New Roman" w:eastAsia="宋体" w:cs="Times New Roman"/>
                <w:b w:val="0"/>
                <w:bCs w:val="0"/>
                <w:color w:val="auto"/>
                <w:sz w:val="24"/>
                <w:szCs w:val="24"/>
                <w:highlight w:val="none"/>
                <w:lang w:val="en-US" w:eastAsia="zh-CN"/>
              </w:rPr>
              <w:t>科</w:t>
            </w:r>
            <w:r>
              <w:rPr>
                <w:rFonts w:hint="default" w:ascii="Times New Roman" w:hAnsi="Times New Roman" w:eastAsia="宋体" w:cs="Times New Roman"/>
                <w:b w:val="0"/>
                <w:bCs w:val="0"/>
                <w:color w:val="auto"/>
                <w:sz w:val="24"/>
                <w:szCs w:val="24"/>
                <w:highlight w:val="none"/>
              </w:rPr>
              <w:t>或以上学历，其中一人具备ITSS IT服务工程师</w:t>
            </w:r>
            <w:r>
              <w:rPr>
                <w:rFonts w:hint="eastAsia" w:cs="Times New Roman"/>
                <w:b w:val="0"/>
                <w:bCs w:val="0"/>
                <w:color w:val="auto"/>
                <w:sz w:val="24"/>
                <w:szCs w:val="24"/>
                <w:highlight w:val="none"/>
                <w:lang w:eastAsia="zh-CN"/>
              </w:rPr>
              <w:t>。</w:t>
            </w:r>
          </w:p>
        </w:tc>
        <w:tc>
          <w:tcPr>
            <w:tcW w:w="3405" w:type="dxa"/>
            <w:tcBorders>
              <w:top w:val="single" w:color="000000" w:sz="4" w:space="0"/>
              <w:left w:val="single" w:color="000000" w:sz="4" w:space="0"/>
              <w:bottom w:val="single" w:color="000000" w:sz="4" w:space="0"/>
              <w:right w:val="single" w:color="000000" w:sz="4" w:space="0"/>
            </w:tcBorders>
            <w:vAlign w:val="center"/>
          </w:tcPr>
          <w:p w14:paraId="2A9B9698">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eastAsia" w:ascii="Times New Roman" w:hAnsi="Times New Roman" w:eastAsia="宋体" w:cs="Times New Roman"/>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rPr>
              <w:t>侧重基础设施与环境，负责软硬件监控、数据备份、安全防护、性能优化及配置管理，保障系统整体稳定与业务持续可用</w:t>
            </w:r>
            <w:r>
              <w:rPr>
                <w:rFonts w:hint="eastAsia" w:cs="Times New Roman"/>
                <w:b w:val="0"/>
                <w:bCs w:val="0"/>
                <w:color w:val="auto"/>
                <w:sz w:val="24"/>
                <w:szCs w:val="24"/>
                <w:highlight w:val="none"/>
                <w:lang w:eastAsia="zh-CN"/>
              </w:rPr>
              <w:t>。</w:t>
            </w:r>
          </w:p>
        </w:tc>
        <w:tc>
          <w:tcPr>
            <w:tcW w:w="1065" w:type="dxa"/>
            <w:tcBorders>
              <w:top w:val="single" w:color="000000" w:sz="4" w:space="0"/>
              <w:left w:val="single" w:color="000000" w:sz="4" w:space="0"/>
              <w:bottom w:val="single" w:color="000000" w:sz="4" w:space="0"/>
              <w:right w:val="single" w:color="000000" w:sz="4" w:space="0"/>
            </w:tcBorders>
            <w:vAlign w:val="center"/>
          </w:tcPr>
          <w:p w14:paraId="3F7BA2DF">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工作时间驻场</w:t>
            </w:r>
          </w:p>
          <w:p w14:paraId="199B80B4">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8</w:t>
            </w:r>
            <w:r>
              <w:rPr>
                <w:rFonts w:hint="default" w:ascii="Times New Roman" w:hAnsi="Times New Roman" w:eastAsia="宋体" w:cs="Times New Roman"/>
                <w:b w:val="0"/>
                <w:bCs w:val="0"/>
                <w:color w:val="auto"/>
                <w:sz w:val="24"/>
                <w:szCs w:val="24"/>
                <w:highlight w:val="none"/>
              </w:rPr>
              <w:t>小时驻场</w:t>
            </w:r>
          </w:p>
        </w:tc>
      </w:tr>
      <w:tr w14:paraId="375E604C">
        <w:tblPrEx>
          <w:tblCellMar>
            <w:top w:w="0" w:type="dxa"/>
            <w:left w:w="108" w:type="dxa"/>
            <w:bottom w:w="0" w:type="dxa"/>
            <w:right w:w="108" w:type="dxa"/>
          </w:tblCellMar>
        </w:tblPrEx>
        <w:trPr>
          <w:trHeight w:val="0" w:hRule="atLeast"/>
          <w:jc w:val="center"/>
        </w:trPr>
        <w:tc>
          <w:tcPr>
            <w:tcW w:w="116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09FBC1B2">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技术经理</w:t>
            </w:r>
          </w:p>
        </w:tc>
        <w:tc>
          <w:tcPr>
            <w:tcW w:w="834" w:type="dxa"/>
            <w:tcBorders>
              <w:top w:val="single" w:color="000000" w:sz="4" w:space="0"/>
              <w:left w:val="single" w:color="000000" w:sz="4" w:space="0"/>
              <w:bottom w:val="single" w:color="000000" w:sz="4" w:space="0"/>
              <w:right w:val="single" w:color="000000" w:sz="4" w:space="0"/>
            </w:tcBorders>
            <w:vAlign w:val="center"/>
          </w:tcPr>
          <w:p w14:paraId="5D89A487">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3</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1EA86D4D">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rPr>
            </w:pPr>
            <w:r>
              <w:rPr>
                <w:rFonts w:hint="eastAsia" w:ascii="Times New Roman" w:hAnsi="Times New Roman" w:eastAsia="宋体" w:cs="Times New Roman"/>
                <w:b w:val="0"/>
                <w:bCs w:val="0"/>
                <w:color w:val="auto"/>
                <w:sz w:val="24"/>
                <w:szCs w:val="24"/>
                <w:highlight w:val="none"/>
                <w:lang w:val="en-US" w:eastAsia="zh-CN"/>
              </w:rPr>
              <w:t>大学本科或</w:t>
            </w:r>
            <w:r>
              <w:rPr>
                <w:rFonts w:hint="default" w:ascii="Times New Roman" w:hAnsi="Times New Roman" w:eastAsia="宋体" w:cs="Times New Roman"/>
                <w:b w:val="0"/>
                <w:bCs w:val="0"/>
                <w:color w:val="auto"/>
                <w:sz w:val="24"/>
                <w:szCs w:val="24"/>
                <w:highlight w:val="none"/>
                <w:lang w:val="en-US" w:eastAsia="zh-CN"/>
              </w:rPr>
              <w:t>以上学历，3年或以上软件系统运行维护工作经验。</w:t>
            </w:r>
          </w:p>
        </w:tc>
        <w:tc>
          <w:tcPr>
            <w:tcW w:w="3405" w:type="dxa"/>
            <w:tcBorders>
              <w:top w:val="single" w:color="000000" w:sz="4" w:space="0"/>
              <w:left w:val="single" w:color="000000" w:sz="4" w:space="0"/>
              <w:bottom w:val="single" w:color="000000" w:sz="4" w:space="0"/>
              <w:right w:val="single" w:color="000000" w:sz="4" w:space="0"/>
            </w:tcBorders>
            <w:vAlign w:val="center"/>
          </w:tcPr>
          <w:p w14:paraId="4AB6ED26">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统筹团队技术方向与项目落地，制定技术方案、把控研发质量与进度，协调资源解决技术难题，同时搭建高效研发体系，支撑业务目标实现。</w:t>
            </w:r>
          </w:p>
        </w:tc>
        <w:tc>
          <w:tcPr>
            <w:tcW w:w="1065" w:type="dxa"/>
            <w:tcBorders>
              <w:top w:val="single" w:color="000000" w:sz="4" w:space="0"/>
              <w:left w:val="single" w:color="000000" w:sz="4" w:space="0"/>
              <w:bottom w:val="single" w:color="000000" w:sz="4" w:space="0"/>
              <w:right w:val="single" w:color="000000" w:sz="4" w:space="0"/>
            </w:tcBorders>
            <w:vAlign w:val="center"/>
          </w:tcPr>
          <w:p w14:paraId="76A87151">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不驻场</w:t>
            </w:r>
          </w:p>
        </w:tc>
      </w:tr>
      <w:tr w14:paraId="5FBEF4FB">
        <w:tblPrEx>
          <w:tblCellMar>
            <w:top w:w="0" w:type="dxa"/>
            <w:left w:w="108" w:type="dxa"/>
            <w:bottom w:w="0" w:type="dxa"/>
            <w:right w:w="108" w:type="dxa"/>
          </w:tblCellMar>
        </w:tblPrEx>
        <w:trPr>
          <w:trHeight w:val="0" w:hRule="atLeast"/>
          <w:jc w:val="center"/>
        </w:trPr>
        <w:tc>
          <w:tcPr>
            <w:tcW w:w="116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1FB635C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技术人员</w:t>
            </w:r>
          </w:p>
        </w:tc>
        <w:tc>
          <w:tcPr>
            <w:tcW w:w="834" w:type="dxa"/>
            <w:tcBorders>
              <w:top w:val="single" w:color="000000" w:sz="4" w:space="0"/>
              <w:left w:val="single" w:color="000000" w:sz="4" w:space="0"/>
              <w:bottom w:val="single" w:color="000000" w:sz="4" w:space="0"/>
              <w:right w:val="single" w:color="000000" w:sz="4" w:space="0"/>
            </w:tcBorders>
            <w:vAlign w:val="center"/>
          </w:tcPr>
          <w:p w14:paraId="5CBA4F59">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4</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556501E6">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eastAsia" w:ascii="Times New Roman" w:hAnsi="Times New Roman" w:eastAsia="宋体" w:cs="Times New Roman"/>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lang w:val="en-US" w:eastAsia="zh-CN"/>
              </w:rPr>
              <w:t>具备</w:t>
            </w:r>
            <w:r>
              <w:rPr>
                <w:rFonts w:hint="default" w:ascii="Times New Roman" w:hAnsi="Times New Roman" w:eastAsia="宋体" w:cs="Times New Roman"/>
                <w:b w:val="0"/>
                <w:bCs w:val="0"/>
                <w:color w:val="auto"/>
                <w:sz w:val="24"/>
                <w:szCs w:val="24"/>
                <w:highlight w:val="none"/>
              </w:rPr>
              <w:t>计算机技术与软件专业技术资格证书（</w:t>
            </w:r>
            <w:r>
              <w:rPr>
                <w:rFonts w:hint="default" w:ascii="Times New Roman" w:hAnsi="Times New Roman" w:eastAsia="宋体" w:cs="Times New Roman"/>
                <w:b w:val="0"/>
                <w:bCs w:val="0"/>
                <w:color w:val="auto"/>
                <w:sz w:val="24"/>
                <w:szCs w:val="24"/>
                <w:highlight w:val="none"/>
                <w:lang w:val="en-US" w:eastAsia="zh-CN"/>
              </w:rPr>
              <w:t>数据库系统工程师</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w:t>
            </w:r>
            <w:r>
              <w:rPr>
                <w:rFonts w:hint="eastAsia" w:ascii="Times New Roman" w:hAnsi="Times New Roman" w:cs="Times New Roman"/>
                <w:color w:val="auto"/>
                <w:sz w:val="24"/>
                <w:szCs w:val="21"/>
                <w:highlight w:val="none"/>
                <w:lang w:eastAsia="zh-CN"/>
              </w:rPr>
              <w:t>。</w:t>
            </w:r>
          </w:p>
        </w:tc>
        <w:tc>
          <w:tcPr>
            <w:tcW w:w="3405" w:type="dxa"/>
            <w:tcBorders>
              <w:top w:val="single" w:color="000000" w:sz="4" w:space="0"/>
              <w:left w:val="single" w:color="000000" w:sz="4" w:space="0"/>
              <w:bottom w:val="single" w:color="000000" w:sz="4" w:space="0"/>
              <w:right w:val="single" w:color="000000" w:sz="4" w:space="0"/>
            </w:tcBorders>
            <w:vAlign w:val="center"/>
          </w:tcPr>
          <w:p w14:paraId="63BF0FDE">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聚焦软件层面，负责系统故障排查修复、版本更新迭代、功能问题处理及技术支持，保障软件稳定运行与业务需求适配。</w:t>
            </w:r>
          </w:p>
          <w:p w14:paraId="7C6CD296">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524FE49E">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不驻场</w:t>
            </w:r>
          </w:p>
        </w:tc>
      </w:tr>
    </w:tbl>
    <w:p w14:paraId="0877D51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1.投标方应提供不少于3人长期专职驻场运维团队，提供至少1部服务热线及不少于1人驻场咨询服务人员。</w:t>
      </w:r>
    </w:p>
    <w:p w14:paraId="63ED2C1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2.驻场工程师工作量不额外计费，驻场工程师具备本系统进行修改、调整能力。</w:t>
      </w:r>
    </w:p>
    <w:p w14:paraId="719B240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3.投标方承诺驻场服务人员每日按照招标方要求，定时汇报核心业务运行情况。</w:t>
      </w:r>
    </w:p>
    <w:p w14:paraId="313C37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人员稳定性要求。服务期内核心岗位（项目经理、技术负责人、安全工程师）人员变动率不得超过20%，普通岗位变动率不得超过30%；人员变动需提15个工作日提交申请，说明变动原因及替补人员资质，替补人员需经甲方面试合格并完成岗位交接（交接期不少于15个工作日）后方可上岗，确保服务连续性。</w:t>
      </w:r>
    </w:p>
    <w:p w14:paraId="6884B5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（三）运维服务要求</w:t>
      </w:r>
    </w:p>
    <w:p w14:paraId="46A054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投标方应服从天津市医疗保障信息平台整体技术规范和管理规范，配合医保平台整体工作部署并能按照相关要求开展运维工作。</w:t>
      </w:r>
    </w:p>
    <w:p w14:paraId="3B4052E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1.日常巡检服务</w:t>
      </w:r>
    </w:p>
    <w:p w14:paraId="7152021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包含软件组件、网络环境、数据存储、安全防护等维度。采用自动化监测+人工核查结合方式，每日开展巡检，重点核查服务器资源占用、系统进程状态、数据同步情况、安全策略有效性，形成完整巡检记录，及时预警并处置潜在隐患。此项服务要求由驻场人员执行。</w:t>
      </w:r>
    </w:p>
    <w:p w14:paraId="1206DA1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1.1系统运行监控服务</w:t>
      </w:r>
    </w:p>
    <w:p w14:paraId="183C13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1.1.1对接统一运维监控平台，构建全维度监控体系，覆盖云平台资源、软件服务（进程、连接数、响应时间）、业务指标（办理量、成功率）、安全态势（异常登录、攻击行为）及网络状态（带宽、延迟、连通性）。</w:t>
      </w:r>
    </w:p>
    <w:p w14:paraId="650BC8A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1.1.2设置多级告警阈值，通过短信、邮件等方式实时推送告警信息，确保告警响应及时，监控数据为系统优化提供支撑。</w:t>
      </w:r>
    </w:p>
    <w:p w14:paraId="1FC741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1.2巡检记录及日常运维清单管理</w:t>
      </w:r>
    </w:p>
    <w:p w14:paraId="3B1B13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1.2.1规范记录每日巡检情况，详细载明巡检时间、范围、结果、问题及处理措施，做到实时归档。</w:t>
      </w:r>
    </w:p>
    <w:p w14:paraId="3A81C48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1.2.2制定标准化运维清单，涵盖服务器启停、服务重启、数据备份、权限调整等操作流程，明确责任人及注意事项，确保运维操作合规可控。</w:t>
      </w:r>
    </w:p>
    <w:p w14:paraId="3E20A71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1.2.3对系统存在的Bug和软件自身缺陷进行修正。</w:t>
      </w:r>
    </w:p>
    <w:p w14:paraId="3CDDE6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1.2.4 对所使用的开发维护工具进行补丁升级。</w:t>
      </w:r>
    </w:p>
    <w:p w14:paraId="115ACA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1.2.5采用电子+纸质双重归档方式，保障记录可追溯、可审计。每月提交运维报告。</w:t>
      </w:r>
    </w:p>
    <w:p w14:paraId="2DCD60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1.3月报提交服务</w:t>
      </w:r>
    </w:p>
    <w:p w14:paraId="11FEAC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1.3.1每月5日前提交运维月报，内容包括巡检概况、故障处理统计、升级变更情况、需求（包括数据与应用系统需求）处理进度、安全防护情况、资源运行态势、下月工作计划及优化建议。</w:t>
      </w:r>
    </w:p>
    <w:p w14:paraId="714369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1.3.2月报需数据真实、分析全面，及时报送业务主管部门及上级单位。</w:t>
      </w:r>
    </w:p>
    <w:p w14:paraId="59E1D9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2.系统故障与应急响应处理服务</w:t>
      </w:r>
    </w:p>
    <w:p w14:paraId="2D1E13E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2.1建立分级故障响应机制，针对系统崩溃、服务中断、功能异常、数据错误、网络故障等问题，按影响范围（单模块、多模块、全系统）分级响应。</w:t>
      </w:r>
    </w:p>
    <w:p w14:paraId="786E93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2.2一般故障15分钟内响应、2小时内解决；重大故障15分钟内响应，30分钟内控制事态，确保不影响医保经办、参保待遇享受等核心业务。</w:t>
      </w:r>
    </w:p>
    <w:p w14:paraId="4C86B0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提供不少于4次应急响应处理服务，提供7*24小时事件响应、应急响应、处理及恢复服务；重大应急事件保证15分钟内做出响应并提供应急处理方案，保证30分钟内到达现场。应急服务完成后，负责工作记录、处理报告等相关文档的编制工作。如遇紧急事件临时需要提供应急响应处理服务，承诺无条件服从采购人安排。</w:t>
      </w:r>
    </w:p>
    <w:p w14:paraId="3DB0E1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2.4提供驻场运维、电话咨询、现场响应等服务，故障处理后形成复盘报告，优化防控措施。</w:t>
      </w:r>
    </w:p>
    <w:p w14:paraId="59E609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3.系统升级与优化变更服务</w:t>
      </w:r>
    </w:p>
    <w:p w14:paraId="6AAEBC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★3.1针对国家医保局下发的系统软件进行部署、联调及运维工作。</w:t>
      </w:r>
    </w:p>
    <w:p w14:paraId="51D3FE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针对已部署国家版本及新发版本，提供全流程升级服务，包括但不限于升级方案编制、兼容性测试、业务影响评估、错峰实施（避开业务高峰期）及回滚预案制定。</w:t>
      </w:r>
    </w:p>
    <w:p w14:paraId="632380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3.2主动开展程序执行效率优化，提高运行效率与资源利用效率。</w:t>
      </w:r>
    </w:p>
    <w:p w14:paraId="513F84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3.3及时完成系统版本更新，确保升级优化过程数据迁移完整、功能衔接顺畅，变更后开展回归测试及用户告知。</w:t>
      </w:r>
    </w:p>
    <w:p w14:paraId="17C5A9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3.4系统变更需同步更新运维文档，记录变更内容、实施过程及效果。</w:t>
      </w:r>
    </w:p>
    <w:p w14:paraId="24A4AD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3.4配合做好与其他系统承建单位的系统对接与联调测试工作。</w:t>
      </w:r>
    </w:p>
    <w:p w14:paraId="139AD0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3.5配合做好与其他系统承建单位的系统对接与联调测试工作。</w:t>
      </w:r>
    </w:p>
    <w:p w14:paraId="013F91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3.6提供驻场运维服务</w:t>
      </w:r>
    </w:p>
    <w:p w14:paraId="76B0957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4.服务范围</w:t>
      </w:r>
    </w:p>
    <w:p w14:paraId="2C0491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4.1人工智能引擎核心软件模块运维</w:t>
      </w:r>
    </w:p>
    <w:p w14:paraId="4C67B6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针对一期建设的 12 类核心软件模块开展全生命周期运维，具体包括：</w:t>
      </w:r>
    </w:p>
    <w:p w14:paraId="408088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(1)人脸识别模块：涵盖人脸 1:1 比对、1:N 比对、动态布控、静态检索、一人一档、数据研判等功能的运行维护、性能优化及故障处理；</w:t>
      </w:r>
    </w:p>
    <w:p w14:paraId="5DD8F2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(2)视频结构化模块：包括视频预处理、人脸结构化、行人结构化等功能的运维支持，确保视频流分析、特征提取、属性识别等功能正常生效；</w:t>
      </w:r>
    </w:p>
    <w:p w14:paraId="48A9F3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(3)指纹识别模块：涉及图像增强、纹路识别、1:1 及 1:N 比对验证等功能的运维服务，保障指纹识别准确性和稳定性；</w:t>
      </w:r>
    </w:p>
    <w:p w14:paraId="246E78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(4)声纹识别模块：涵盖声纹注册、验证、变更、注销等功能，以及语音质量判断、抗噪音处理等相关功能的运行维护；</w:t>
      </w:r>
    </w:p>
    <w:p w14:paraId="6854B7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(5)视频处理模块：包括视频编码转换、流媒体拉流推流、国标 28181 协议接入、视频转发、录像查询回放等功能的运维支持；</w:t>
      </w:r>
    </w:p>
    <w:p w14:paraId="11656A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(6)自然语言处理模块：涉及分词、词性标注、命名实体识别、关键词提取、摘要提取、文本分类等功能，以及医保术语处理、语义解析等相关运维服务；</w:t>
      </w:r>
    </w:p>
    <w:p w14:paraId="5A8243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(7)深度学习数据分析模块：涵盖数据聚类、分类、关联分析、OCR 识别、知识库构建与管理、智能对话、智能推荐等功能的运维；</w:t>
      </w:r>
    </w:p>
    <w:p w14:paraId="1DED77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(8)智能审核大数据分析模块：包括用量审核、重复用药审核、配伍禁忌审核等各类智能审核模型，以及虚假就医、分解住院、挂床住院等违规分析模型的运行维护与优化；</w:t>
      </w:r>
    </w:p>
    <w:p w14:paraId="064068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(9)视频分析与结构化模块：涉及 600 路重点监控视频实时分析、人脸及行人特征属性提取、模糊条件搜索、多视频人员检索等功能的运维服务；</w:t>
      </w:r>
    </w:p>
    <w:p w14:paraId="0C0255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(10)人脸认证模块：涵盖长护险人脸识别、链医通人脸识别、就医及住院人脸识别、活体识别等场景的功能运维，确保身份核验准确性；</w:t>
      </w:r>
    </w:p>
    <w:p w14:paraId="4EAE26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(11)多模态生物特征识别模块：包括人脸识别、声纹识别、指纹识别等多模态认证功能的协同运维，保障身份验证服务稳定可靠；</w:t>
      </w:r>
    </w:p>
    <w:p w14:paraId="3F61B17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(12)引擎管理模块：涉及用户管理、任务调度、系统配置、运行监控及预警、日志管理、升级维护等功能，以及数据库接入、系统交互等基础能力的运维支持。</w:t>
      </w:r>
    </w:p>
    <w:p w14:paraId="76A238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4.2系统集成及数据相关运维</w:t>
      </w:r>
    </w:p>
    <w:p w14:paraId="194376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(1)系统集成运维：包括一期建设的人工智能引擎与医保应用子系统、智能监管应用子系统等的对接运维，确保系统间数据交互、功能协同正常；</w:t>
      </w:r>
    </w:p>
    <w:p w14:paraId="0FF3E8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(2)数据来源相关运维：覆盖视频监控、智能手机等移动终端、智能一体机、自助机、智能可穿戴设备等数据采集终端的接入运维，保障数据采集的连续性和完整性；</w:t>
      </w:r>
    </w:p>
    <w:p w14:paraId="616DBE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(3)数据处理运维：包括医保结算数据、参保人员信息、就医记录等各类数据的归集、同步、治理、存储、备份、加密保护等运维服务，确保数据质量和数据安全；</w:t>
      </w:r>
    </w:p>
    <w:p w14:paraId="342884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(4)接口运维：涵盖系统对外提供的人脸认证 API、声纹认证 API、视频实时分析 API 等各类接口的运行监控、故障排查、性能优化等运维服务。</w:t>
      </w:r>
    </w:p>
    <w:p w14:paraId="729B4F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4.3配套支撑体系运维</w:t>
      </w:r>
    </w:p>
    <w:p w14:paraId="0168C2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运行监控体系运维：针对一期建设软件系统（操作系统、数据库、中间件、人工智能引擎模块）、网络环境（网络带宽、网络策略、接口通信）的监控体系开展运维，包括监控指标校准、告警阈值调整、监控日志分析、异常告警响应等，确保 7×24 小时实时掌握系统运行状态；</w:t>
      </w:r>
    </w:p>
    <w:p w14:paraId="095F5F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安全防护体系运维：覆盖一期建设的信息安全管理体系相关内容，包括应用安全（漏洞扫描、恶意流量拦截、代码审计）、数据安全（数据加密、脱敏、访问权限管控）、网络安全（网络防火墙策略优化、入侵检测）、终端安全（运维终端准入控制、病毒防护）等，同时配合开展等保自查与测评支撑工作；</w:t>
      </w:r>
    </w:p>
    <w:p w14:paraId="31E78E0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备份与恢复体系运维：针对一期系统的数据库数据、应用配置文件、源代码、业务日志等备份资源，开展备份策略优化、定期备份有效性验证、备份数据存储管理、故障场景下的数据恢复演练等运维服务，保障数据可快速恢复；</w:t>
      </w:r>
    </w:p>
    <w:p w14:paraId="526BD7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版本与配置管理运维：管理一期系统的软件版本（含人工智能引擎模块版本、依赖组件版本）、硬件配置参数、系统环境配置（测试环境、生产环境）等，包括版本台账更新、配置变更记录、版本回滚预案制定等，确保系统配置可追溯、版本更新可控。</w:t>
      </w:r>
    </w:p>
    <w:p w14:paraId="5B218E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4.4模型及数据分析运维</w:t>
      </w:r>
    </w:p>
    <w:p w14:paraId="5DD96A2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按照新业务需求对原有模型进行优化，对分析结果进行调优。</w:t>
      </w:r>
    </w:p>
    <w:p w14:paraId="15A22F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5.需求接收及变更服务</w:t>
      </w:r>
    </w:p>
    <w:p w14:paraId="146760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中标方须严格遵守包括但不限于《全国医疗保障系统核心业务区骨干网络建设指南》（医保网信办〔2019〕40 号）、《医疗保障信息系统安全开发规范》、《医保信息平台电子凭证技术规范》、《医保信息平台用户界面规范》、《医疗保障标准化工作指导意见》（医保发〔2019〕39号）、《医疗保障信息平台建设指南》（医保网信办〔2019〕4 号）《XJ-A01-2019 医疗保障信息平台云计算平台规范》、《XJ-B01-2019 医疗保障信息平台应用系统技术架构规范》、《XJ-D03-2022 医疗保障信息平台电子处方中心技术规范》、《医疗保障信息平台数据归集交换库设计说明书》、《医疗保障信息平台数据库设计规范》、《医疗保障信息平台内部统一门户集成规范》、《医疗保障信息平台用户交互设计规范》、《医疗保障信息平台生物识别数据规范》、《医疗保障信息平台医保区划编码规范》等一系列规章制度、技术标准、数据安全、网络安全的管理要求，并承担制度中明确的相关责任。</w:t>
      </w:r>
    </w:p>
    <w:p w14:paraId="414183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5.1服务期内，由于业务变化，在原有业务流程、功能要素、数据结构等不变情况下对现有功能模块进行的调整均纳入维保项目。</w:t>
      </w:r>
    </w:p>
    <w:p w14:paraId="179185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5.2数据提取、数据修改、系统调优等原因引发的数据接口开发、小规模校验规则修改、经办流程微调、参数调整等纳入运维工作范围，由中标单位负责业务需求的开发等相关工作。</w:t>
      </w:r>
    </w:p>
    <w:p w14:paraId="4AF671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5.3遇重大需求变更，中标方应对需求进行合规性、可行性审核，开展影响分析及方案评审，对需求涉及的项目建设范围进行评估，并将评估结果及时反馈有关集成单位和监理单位。</w:t>
      </w:r>
    </w:p>
    <w:p w14:paraId="4630AE9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5.4中标单位需同步调整运维保障策略，更新运维保障范围，确保变更落地不影响系统稳定性。同步更新用户使用手册、系统操作手册、系统部署方案、安装部署手册等材料。</w:t>
      </w:r>
    </w:p>
    <w:p w14:paraId="0B277D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5.5提供5*8小时驻场运维服务，遇突发工作要求，需提供7*24小时响应，必要是应配合投标方组员技术人员提供现场技术支持。中标单位应配合业务人员需求，驻场人员可现场进行需求对接，实现驻场开发。</w:t>
      </w:r>
    </w:p>
    <w:p w14:paraId="7CCC1D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6.人员和权限调整服务</w:t>
      </w:r>
    </w:p>
    <w:p w14:paraId="3D639D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6.1遵循招标方要求，对应用软件的人员、角色权限、功能菜单进行必要调整、增减和变更，确保各类人员分配合适权限。</w:t>
      </w:r>
    </w:p>
    <w:p w14:paraId="44F1A7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6.2支持人员角色、功能菜单、操作权限的灵活调整，确保权限分配与岗位职责匹配，调整过程需经审批并留存操作日志。</w:t>
      </w:r>
    </w:p>
    <w:p w14:paraId="00D4DF6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6.3定期开展权限审计，清理冗余权限、排查权限冲突，保障系统操作可追溯。</w:t>
      </w:r>
    </w:p>
    <w:p w14:paraId="7DD9CD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7.安全服务要求</w:t>
      </w:r>
    </w:p>
    <w:p w14:paraId="7FAA27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严格按照国家和天津市相关安全体系文件的要求提供安全保障，本着“谁运维、谁负责”的原则建立和落实运维安全管理制度。投标方需在投标文件中明确，本项目中数据（包含原始数据和衍生数据）全部为招标方所有，全部列入保密范围，投标方不得未经用户许可的情况下导出、分析以及移作他用。投标方需依据与采购方签订的保密协议或提供保密承诺，承诺投标方及其员工不透露或者以其它方式提供给第三方。承担核心数据库运维的服务商员工需与采购方单独签署保密协议或提供保密承诺，主动配合招标方开展个人背景调查工作。（特殊情况以合同为准）</w:t>
      </w:r>
    </w:p>
    <w:p w14:paraId="204EB4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8.应用指导与技术支持</w:t>
      </w:r>
    </w:p>
    <w:p w14:paraId="761090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8.1为不同的系统对接用户建立多渠道服务体系（驻场咨询、技术支持邮箱、服务热线、在线客服），响应用户操作疑问、功能咨询、问题反馈。确保用户反馈响应率100%、解决率不低于98%，形成问题处理闭环。</w:t>
      </w:r>
    </w:p>
    <w:p w14:paraId="30FDD5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8.2为参保群众、参保单位、药品与耗材生产企业等外部系统应用用户提供多元化指导服务，编制操作手册、常见问题清单，录制培训视频，支撑自助办事需求。提供5×8小时线上以及电话热线服务，遇特殊情况需及时响应招标人要求提供阶段性24小时远程电话服务。</w:t>
      </w:r>
    </w:p>
    <w:p w14:paraId="741A83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8.3为内部业务经办人员提供系统操作、故障处理、政策适配等专项培训，采用线上线下授课、实操演练等形式。提供多元化指导服务，编制用户操作手册、常见问题清单，录制培训视频，协助提升经办服务效能。提供5×8小时现场业务咨询及软件操作指导，7*24小时远程电话咨询服务。确保用户熟练使用系统功能。</w:t>
      </w:r>
    </w:p>
    <w:p w14:paraId="5B5C8A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8.4配合有关部门开展系统推广、数据核查、攻防演练、业务演练等工作。提供技术支撑。 </w:t>
      </w:r>
    </w:p>
    <w:p w14:paraId="258FB2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9.密评改造服务</w:t>
      </w:r>
    </w:p>
    <w:p w14:paraId="469C25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9.1依据国家密码应用安全性评估标准，完成系统敏感数据加密改造（含数据库、网厅、管理后台），确保数据传输、存储、使用全流程加密合规。</w:t>
      </w:r>
    </w:p>
    <w:p w14:paraId="21D60A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9.2优化系统，满足密评要求，配合密评机构开展评估测试，及时整改发现问题，完成密评备案并建立长效机制。</w:t>
      </w:r>
    </w:p>
    <w:p w14:paraId="09B0D5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9.3配合年度等级保护测评、密评相关巡检，并按要求完成整改工作，确保系统合规运行。</w:t>
      </w:r>
    </w:p>
    <w:p w14:paraId="58A068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10.漏洞扫描配合服务</w:t>
      </w:r>
    </w:p>
    <w:p w14:paraId="185FD8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10.1配合上级单位及安全服务机构代码审计工作，按照漏洞扫描工作要求，提供系统拓扑、资产清单等技术支持，并按要求完成整改工作。</w:t>
      </w:r>
    </w:p>
    <w:p w14:paraId="5B123C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10.2对扫描发现的高危、中危漏洞进行优先级排序，制定整改方案并实施修复，整改完成后配合复扫，确保漏洞闭环修复率100%。</w:t>
      </w:r>
    </w:p>
    <w:p w14:paraId="35859A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10.3建立漏洞库，总结防控规律，提升系统安全防护能力。</w:t>
      </w:r>
    </w:p>
    <w:p w14:paraId="1FE94D1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11.数据需求与支持服务</w:t>
      </w:r>
    </w:p>
    <w:p w14:paraId="69A99D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医疗保障信息平台数据库设计规范》、《医疗保障信息平台用户交互设计规范》、《医疗保障信息平台生物识别数据规范》、《医疗保障信息平台医保区划编码规范》、《医疗保障信息平台数据归集技术规范》《医疗保障信息平台数据归集交换库设计说明书》等一系列国家及本市有关政策、技术规范、数据安全、网络安全管理要求，并承担制度中明确的相关责任。</w:t>
      </w:r>
    </w:p>
    <w:p w14:paraId="3B33D2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11.1提供数据提取、核对、备份、恢复、清理、更新、优化等全生命周期服务，保障数据完整性、准确性、安全性。</w:t>
      </w:r>
    </w:p>
    <w:p w14:paraId="211B8E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11.2负责数据治理工作。按照国家医保局数据标准规范和市医保局业务部门数据治理要求，对运维范围内天津市医保平台应用系统产生的脏数据、数据中台统一汇聚后的脏数据、国家医保局反馈的脏数据以及其他相关场景产生的脏数据进行全面分析、监控和治理，制定和完善数据归集上报流程和质量校验规则，开发相应的校验脚本，形成医保数据质控规则库，并定期产出数据质量分析报告。数据治理工作包括:一是开展数据关联性验证、主外键约束处理、数据矛盾处理、数据逻辑错误处理等技术侧治理;二是开展非标业务编码使用处理、非标数据字典使用处理、数据缺失处理等业务侧治理(业务侧数据治理会涉及向医保经办机构、医疗机构或企业等调查核实数据);三是开展数据质控，并根据市医保局工作安排，开启数据上传接口校验，从源头避免脏数据产生。</w:t>
      </w:r>
    </w:p>
    <w:p w14:paraId="0CFF66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11.3高效完成数据归集工作。投标方需按照国家医保局数据归集同步机制，负责保障医保平台数据正常同步至国家医保平台，全天候监控数据归集同步进程及问题，定期检查资源使用情况，第一时间解决归集出现的中断、报错等故障，确保符合国家医保局对于数据归集的及时性、一致性、准确性、完整性要求。</w:t>
      </w:r>
    </w:p>
    <w:p w14:paraId="7E0D04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11.4支持合规的数据共享交换需求，保障与其他政务平台数据对接顺畅，提供数据脱敏、索引优化、查询优化等服务。</w:t>
      </w:r>
    </w:p>
    <w:p w14:paraId="4A42B0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11.5配合各有关单位工作，提供运维服务范围内合理合规的数据服务。</w:t>
      </w:r>
    </w:p>
    <w:p w14:paraId="69EB99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配合完成医保部门提供数据查询、统计、提取和分析测算服务，以及实现市级医保部门无法通过“医保数据专区”完成的数据提取需求</w:t>
      </w:r>
    </w:p>
    <w:p w14:paraId="3D3C80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11.6负责做好运维范围内应用系统异地灾备等安全演练工作。</w:t>
      </w:r>
    </w:p>
    <w:p w14:paraId="24F2AB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11.7配合做好历史数据迁移与应用工作。</w:t>
      </w:r>
    </w:p>
    <w:p w14:paraId="042558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11.8服务方式为驻场服务</w:t>
      </w:r>
    </w:p>
    <w:p w14:paraId="19E7644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12.重保服务</w:t>
      </w:r>
    </w:p>
    <w:p w14:paraId="54E38E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供每年不少于6次重大活动期间安全保障服务，启动专项重保机制，制定保障方案，明确责任分工及应急流程。重保前开展全系统排查加固，升级安全策略。重保期间派驻专业工程师提供7*24小时现场技术支持，增强信息安全防护的技术力量，实时监控系统状态，与应急部门建立联动，及时处置应急安全事件。确保零重大故障、零安全事件。</w:t>
      </w:r>
    </w:p>
    <w:p w14:paraId="19CFB0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重大活动包括重要节假日、重大活动或其他招标人明确要求的活动。</w:t>
      </w:r>
    </w:p>
    <w:p w14:paraId="309DB3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13.质量管理要求</w:t>
      </w:r>
    </w:p>
    <w:p w14:paraId="7441DB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在项目实施全过程中，招标方有对运维质量进行监督控制的职责和权利，运维承建商应按照项目管理要求进行严格的质量控制，并制定详细合理的沟通计划，至少包括周报、月报和运维例会，应确保双方能及时了解所需的信息。</w:t>
      </w:r>
    </w:p>
    <w:p w14:paraId="30E37C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14.运维文档编制与管理</w:t>
      </w:r>
    </w:p>
    <w:p w14:paraId="262125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14.1构建完整运维文档体系，包含系统基础资料（拓扑图、资产清单、配置参数等）、操作手册（巡检、故障处理、升级变更）、安全保障文档（密评方案、漏洞报告、应急预案）、服务记录文档及管理类文档（巡检记录、月报、总结等）。</w:t>
      </w:r>
    </w:p>
    <w:p w14:paraId="0A2051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14.2建立文档版本管理机制，及时更新以匹配系统变更，采用权限管控方式存储，确保文档准确、完整、可访问。</w:t>
      </w:r>
    </w:p>
    <w:p w14:paraId="0AB2F1C0">
      <w:pPr>
        <w:rPr>
          <w:rFonts w:ascii="Times New Roman" w:hAnsi="Times New Roman"/>
          <w:b w:val="0"/>
          <w:bCs w:val="0"/>
          <w:color w:val="auto"/>
          <w:sz w:val="24"/>
          <w:szCs w:val="24"/>
          <w:highlight w:val="none"/>
          <w:lang w:val="en-US"/>
        </w:rPr>
      </w:pPr>
      <w:r>
        <w:rPr>
          <w:rFonts w:ascii="Times New Roman" w:hAnsi="Times New Roman"/>
          <w:b w:val="0"/>
          <w:bCs w:val="0"/>
          <w:color w:val="auto"/>
          <w:sz w:val="24"/>
          <w:szCs w:val="24"/>
          <w:highlight w:val="none"/>
          <w:lang w:val="en-US"/>
        </w:rPr>
        <w:br w:type="page"/>
      </w:r>
    </w:p>
    <w:p w14:paraId="69A5C43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b/>
          <w:bCs/>
          <w:color w:val="auto"/>
          <w:sz w:val="24"/>
          <w:szCs w:val="24"/>
          <w:highlight w:val="none"/>
          <w:lang w:val="en-US" w:eastAsia="zh-CN"/>
        </w:rPr>
      </w:pPr>
      <w:bookmarkStart w:id="9" w:name="第七包需求"/>
      <w:r>
        <w:rPr>
          <w:rFonts w:hint="eastAsia" w:ascii="Times New Roman" w:hAnsi="Times New Roman"/>
          <w:b/>
          <w:bCs/>
          <w:color w:val="auto"/>
          <w:sz w:val="24"/>
          <w:szCs w:val="24"/>
          <w:highlight w:val="none"/>
          <w:lang w:val="en-US"/>
        </w:rPr>
        <w:t>第七包</w:t>
      </w:r>
      <w:r>
        <w:rPr>
          <w:rFonts w:hint="eastAsia"/>
          <w:b/>
          <w:bCs/>
          <w:color w:val="auto"/>
          <w:sz w:val="24"/>
          <w:szCs w:val="24"/>
          <w:highlight w:val="none"/>
          <w:lang w:val="en-US" w:eastAsia="zh-CN"/>
        </w:rPr>
        <w:t>：</w:t>
      </w:r>
    </w:p>
    <w:bookmarkEnd w:id="9"/>
    <w:p w14:paraId="3EFB69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（一）运维软件介绍</w:t>
      </w:r>
    </w:p>
    <w:p w14:paraId="3D6033E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本包服务内容主要包括以下内容：天津市医疗保障信息平台医保业务基础（支付）、支付方式管理、综合柜员、异地医疗、医疗服务价格管理、基础信息管理、DRG/DIP支付管理、标准管理、调度等系统，链医通（包括app、公众号、智能一体机），津医保（包括app、小程序、公众号、智能一体机）以及报表中心、工作流、消息中心等全部核心业务支撑平台。</w:t>
      </w:r>
    </w:p>
    <w:p w14:paraId="225120B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b w:val="0"/>
          <w:bCs w:val="0"/>
          <w:color w:val="auto"/>
          <w:sz w:val="24"/>
          <w:szCs w:val="24"/>
          <w:highlight w:val="none"/>
          <w:lang w:val="en-US" w:eastAsia="zh-CN"/>
        </w:rPr>
        <w:t>1</w:t>
      </w:r>
      <w:r>
        <w:rPr>
          <w:rFonts w:hint="eastAsia" w:ascii="Times New Roman" w:hAnsi="Times New Roman"/>
          <w:b w:val="0"/>
          <w:bCs w:val="0"/>
          <w:color w:val="auto"/>
          <w:sz w:val="24"/>
          <w:szCs w:val="24"/>
          <w:highlight w:val="none"/>
          <w:lang w:val="en-US"/>
        </w:rPr>
        <w:t>.系统总体框架</w:t>
      </w:r>
    </w:p>
    <w:p w14:paraId="1C767E9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根据国家医疗保障局医疗保障信息平台规划建设要求，天津市医疗保障局医疗保障信息平台采用国家医疗保障局医疗保障信息平台统一的总体架构，天津市医疗保障局医疗保障信息平台总体架构如下图所示：</w:t>
      </w:r>
    </w:p>
    <w:tbl>
      <w:tblPr>
        <w:tblStyle w:val="17"/>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522"/>
      </w:tblGrid>
      <w:tr w14:paraId="0ACD8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8" w:hRule="atLeast"/>
        </w:trPr>
        <w:tc>
          <w:tcPr>
            <w:tcW w:w="8522" w:type="dxa"/>
            <w:vAlign w:val="top"/>
          </w:tcPr>
          <w:p w14:paraId="44DB49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b w:val="0"/>
                <w:bCs w:val="0"/>
                <w:color w:val="auto"/>
                <w:sz w:val="24"/>
                <w:szCs w:val="24"/>
                <w:highlight w:val="none"/>
                <w:vertAlign w:val="baseline"/>
                <w:lang w:val="en-US" w:eastAsia="zh-CN"/>
              </w:rPr>
            </w:pPr>
            <w:r>
              <w:rPr>
                <w:rFonts w:hint="eastAsia" w:ascii="Times New Roman" w:hAnsi="Times New Roman" w:eastAsia="宋体"/>
                <w:b w:val="0"/>
                <w:bCs w:val="0"/>
                <w:color w:val="auto"/>
                <w:sz w:val="24"/>
                <w:szCs w:val="24"/>
                <w:highlight w:val="none"/>
                <w:vertAlign w:val="baseline"/>
                <w:lang w:val="en-US" w:eastAsia="zh-CN"/>
              </w:rPr>
              <w:drawing>
                <wp:inline distT="0" distB="0" distL="114300" distR="114300">
                  <wp:extent cx="5274310" cy="4181475"/>
                  <wp:effectExtent l="0" t="0" r="2540" b="0"/>
                  <wp:docPr id="9" name="图片 9"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图片2"/>
                          <pic:cNvPicPr>
                            <a:picLocks noChangeAspect="1"/>
                          </pic:cNvPicPr>
                        </pic:nvPicPr>
                        <pic:blipFill>
                          <a:blip r:embed="rId17"/>
                          <a:stretch>
                            <a:fillRect/>
                          </a:stretch>
                        </pic:blipFill>
                        <pic:spPr>
                          <a:xfrm>
                            <a:off x="0" y="0"/>
                            <a:ext cx="5274310" cy="4181475"/>
                          </a:xfrm>
                          <a:prstGeom prst="rect">
                            <a:avLst/>
                          </a:prstGeom>
                        </pic:spPr>
                      </pic:pic>
                    </a:graphicData>
                  </a:graphic>
                </wp:inline>
              </w:drawing>
            </w:r>
          </w:p>
        </w:tc>
      </w:tr>
    </w:tbl>
    <w:p w14:paraId="78E2BF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2.医保业务基础（支付）</w:t>
      </w:r>
    </w:p>
    <w:p w14:paraId="1FFED5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此子系统的设计及建设应保证实际医保业务的全覆盖，因此运维服务内容不仅包含本需求书中要求的内容，还应保障在平台建设过程中新发布的政策经办在新医保信息化平台的落地。</w:t>
      </w:r>
    </w:p>
    <w:p w14:paraId="1ADC40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2.1医保业务基础子系统与其他业务系统之间的关联关系</w:t>
      </w:r>
    </w:p>
    <w:p w14:paraId="22D4E5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基础信息管理子系统、核心业务支撑平台、公共服务子系统、医保智能监管子系统、运行监测子系统、宏观决策大数据子系统、异地医疗子系统</w:t>
      </w:r>
    </w:p>
    <w:p w14:paraId="49008F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2.2待遇管理子模块</w:t>
      </w:r>
    </w:p>
    <w:p w14:paraId="719F23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医疗待遇登记、垫付医疗待遇管理、医疗待遇支付、生育待遇登记、生育待遇管理、生育待遇支付。</w:t>
      </w:r>
    </w:p>
    <w:p w14:paraId="4F4AEE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2.3机构管理子模块</w:t>
      </w:r>
    </w:p>
    <w:p w14:paraId="4F50047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协议医药机构信息维护、协议管理、医师药师管理、协议医药机构接口管理、商业保险管理子模块、互联网医院管理。</w:t>
      </w:r>
    </w:p>
    <w:p w14:paraId="163D8D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2.4核心业务系统接口</w:t>
      </w:r>
    </w:p>
    <w:p w14:paraId="146ABF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协议医药机构接口、协议银行接口、与人社系统对接。</w:t>
      </w:r>
    </w:p>
    <w:p w14:paraId="167263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2.5结算管理子模块</w:t>
      </w:r>
    </w:p>
    <w:p w14:paraId="0FD0F0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医保目录下载与同步、预付金管理、总额预算管理、年终清算管理。</w:t>
      </w:r>
    </w:p>
    <w:p w14:paraId="2EDCC9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2.7电子病历及处方管理子模块</w:t>
      </w:r>
    </w:p>
    <w:p w14:paraId="363A96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电子病历管理、处方管理、医院外购处方上传管理、处方智能管理、重大公共卫生应急事件应对功能、综合查询（包括但不限于经办人员、对外公共服务系统提供包含模糊查询、关键字查询、全文查询等多种查询功能。）</w:t>
      </w:r>
    </w:p>
    <w:p w14:paraId="697ABF7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2.7疑似死亡人员信息核实管理</w:t>
      </w:r>
    </w:p>
    <w:p w14:paraId="11AEAFA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2.8一线医务人员补助</w:t>
      </w:r>
    </w:p>
    <w:p w14:paraId="3E611C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2.9重疾救助人员数据管理</w:t>
      </w:r>
    </w:p>
    <w:p w14:paraId="1304ECE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2.10人大政协不驻会人员管理</w:t>
      </w:r>
    </w:p>
    <w:p w14:paraId="0A50F5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2.11二次结算单位支付有关功能管理</w:t>
      </w:r>
    </w:p>
    <w:p w14:paraId="7FCADF3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eastAsia" w:cs="Times New Roman"/>
          <w:b w:val="0"/>
          <w:bCs w:val="0"/>
          <w:color w:val="auto"/>
          <w:sz w:val="24"/>
          <w:szCs w:val="24"/>
          <w:highlight w:val="none"/>
          <w:lang w:val="en-US" w:eastAsia="zh-CN"/>
        </w:rPr>
        <w:t>3</w:t>
      </w:r>
      <w:r>
        <w:rPr>
          <w:rFonts w:hint="default" w:ascii="Times New Roman" w:hAnsi="Times New Roman" w:eastAsia="宋体" w:cs="Times New Roman"/>
          <w:b w:val="0"/>
          <w:bCs w:val="0"/>
          <w:color w:val="auto"/>
          <w:sz w:val="24"/>
          <w:szCs w:val="24"/>
          <w:highlight w:val="none"/>
          <w:lang w:val="en-US"/>
        </w:rPr>
        <w:t>.支付方式管理系统</w:t>
      </w:r>
    </w:p>
    <w:p w14:paraId="342C29B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支付方式类型管理、支付参数管理、支付政策管理、支付结算标准管理、支付模型管理</w:t>
      </w:r>
    </w:p>
    <w:p w14:paraId="42E9AF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eastAsia" w:cs="Times New Roman"/>
          <w:b w:val="0"/>
          <w:bCs w:val="0"/>
          <w:color w:val="auto"/>
          <w:sz w:val="24"/>
          <w:szCs w:val="24"/>
          <w:highlight w:val="none"/>
          <w:lang w:val="en-US" w:eastAsia="zh-CN"/>
        </w:rPr>
        <w:t>4</w:t>
      </w:r>
      <w:r>
        <w:rPr>
          <w:rFonts w:hint="default" w:ascii="Times New Roman" w:hAnsi="Times New Roman" w:eastAsia="宋体" w:cs="Times New Roman"/>
          <w:b w:val="0"/>
          <w:bCs w:val="0"/>
          <w:color w:val="auto"/>
          <w:sz w:val="24"/>
          <w:szCs w:val="24"/>
          <w:highlight w:val="none"/>
          <w:lang w:val="en-US"/>
        </w:rPr>
        <w:t>.综合柜员系统</w:t>
      </w:r>
    </w:p>
    <w:p w14:paraId="3EBC7D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系统授权管理、经办轨迹记载、业务多级复核管理机制、智能业务流程驱动模型、一岗接单、业务档案前端采集、服务管理、全市通办业务模块</w:t>
      </w:r>
    </w:p>
    <w:p w14:paraId="63975F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eastAsia"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lang w:val="en-US"/>
        </w:rPr>
        <w:t>.异地医疗系统</w:t>
      </w:r>
    </w:p>
    <w:p w14:paraId="5A3C9D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为对接对象提供统一接口平台服务。</w:t>
      </w:r>
    </w:p>
    <w:p w14:paraId="49BE5F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5.1异地就医备案管理</w:t>
      </w:r>
    </w:p>
    <w:p w14:paraId="241879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异地备案管理、异地就医管理</w:t>
      </w:r>
    </w:p>
    <w:p w14:paraId="613E88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5.2异地就医结算管理</w:t>
      </w:r>
    </w:p>
    <w:p w14:paraId="19C0BD4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异地就医住院结算管理、异地就医门诊结算管理、预付金拨付、清算资金、预付金收付款、清算资金收付款、支付查询。</w:t>
      </w:r>
    </w:p>
    <w:p w14:paraId="5F2AEA0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5.3异地就医清算管理</w:t>
      </w:r>
    </w:p>
    <w:p w14:paraId="7327CA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异地就医清算确认、异地就医清算支付</w:t>
      </w:r>
    </w:p>
    <w:p w14:paraId="0A4F4F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5.4异地就医查询管理</w:t>
      </w:r>
    </w:p>
    <w:p w14:paraId="7ECCD74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5.5异地就医监测</w:t>
      </w:r>
    </w:p>
    <w:p w14:paraId="3234A2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5.7案卷归档</w:t>
      </w:r>
    </w:p>
    <w:p w14:paraId="16DEDA6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5.7跨省异地就医门诊实时结算管理</w:t>
      </w:r>
    </w:p>
    <w:p w14:paraId="6ADE61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异地就医备案（备案信息上传、备案信息下载）、异地就医管理、实时交易服务、异地门诊、异地门诊结算、异地购药、异地购药结算、查询管理。</w:t>
      </w:r>
    </w:p>
    <w:p w14:paraId="726FB5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5.8 异地就医资金支付与审核</w:t>
      </w:r>
    </w:p>
    <w:p w14:paraId="334E62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eastAsia"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lang w:val="en-US"/>
        </w:rPr>
        <w:t>.医保服务价格管理系统</w:t>
      </w:r>
    </w:p>
    <w:p w14:paraId="1F58C0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医疗服务项目目录管理、医疗服务项目信息同步、医疗服务价格动态管理、医疗服务价格成本监审、任务管理流程、医疗服务价格内部监测监管</w:t>
      </w:r>
    </w:p>
    <w:p w14:paraId="2AF307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eastAsia" w:cs="Times New Roman"/>
          <w:b w:val="0"/>
          <w:bCs w:val="0"/>
          <w:color w:val="auto"/>
          <w:sz w:val="24"/>
          <w:szCs w:val="24"/>
          <w:highlight w:val="none"/>
          <w:lang w:val="en-US" w:eastAsia="zh-CN"/>
        </w:rPr>
        <w:t>7</w:t>
      </w:r>
      <w:r>
        <w:rPr>
          <w:rFonts w:hint="default" w:ascii="Times New Roman" w:hAnsi="Times New Roman" w:eastAsia="宋体" w:cs="Times New Roman"/>
          <w:b w:val="0"/>
          <w:bCs w:val="0"/>
          <w:color w:val="auto"/>
          <w:sz w:val="24"/>
          <w:szCs w:val="24"/>
          <w:highlight w:val="none"/>
          <w:lang w:val="en-US"/>
        </w:rPr>
        <w:t>.基础信息管理系统（支付）</w:t>
      </w:r>
    </w:p>
    <w:p w14:paraId="04396B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本系统包括但不限于药品目录管理、非处方药品申报信息管理、医保印章和标牌管理、待遇发放方式维护、疾病诊断和手术操作编码标准管理、药品编码标准管理、医疗服务项目编码标准管理、医用耗材编码标准管理、门特病种目录管理、病种结算目录管理、日间手术、日间诊疗病种目录管理、医保结算清单数据标准管理、定点医疗机构编码标准管理、医保医师编码标准管理、医保护士编码标准管理、医保药师编码标准管理、医保定点零售药店编码标准管理、医保经办机构、人员编码标准管理、动态维护业务编码基准表、人员证照信息管理、人员岗位职责信息管理、医保医技人员信息管理、专家库管理、组织机构管理、医保区划管理、数据字典管理、数据指标管理等国家医保局下发系统中有关基础信息管理工作。</w:t>
      </w:r>
    </w:p>
    <w:p w14:paraId="4B0A4C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eastAsia" w:cs="Times New Roman"/>
          <w:b w:val="0"/>
          <w:bCs w:val="0"/>
          <w:color w:val="auto"/>
          <w:sz w:val="24"/>
          <w:szCs w:val="24"/>
          <w:highlight w:val="none"/>
          <w:lang w:val="en-US" w:eastAsia="zh-CN"/>
        </w:rPr>
        <w:t>8</w:t>
      </w:r>
      <w:r>
        <w:rPr>
          <w:rFonts w:hint="default" w:ascii="Times New Roman" w:hAnsi="Times New Roman" w:eastAsia="宋体" w:cs="Times New Roman"/>
          <w:b w:val="0"/>
          <w:bCs w:val="0"/>
          <w:color w:val="auto"/>
          <w:sz w:val="24"/>
          <w:szCs w:val="24"/>
          <w:highlight w:val="none"/>
          <w:lang w:val="en-US"/>
        </w:rPr>
        <w:t>.DRG&amp;DIP支付管理</w:t>
      </w:r>
    </w:p>
    <w:p w14:paraId="2399F56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建立大数据病种付费体系和DRGs付费体系，实行按病种付费为主的多元复合支付方式。</w:t>
      </w:r>
    </w:p>
    <w:p w14:paraId="21D40A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8.1基础服务与支撑管理</w:t>
      </w:r>
    </w:p>
    <w:p w14:paraId="0F35C0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配置管理、数据对接管理、费用对账管理、质控分析管理。</w:t>
      </w:r>
    </w:p>
    <w:p w14:paraId="4BAD7E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8.2大数据病种分值</w:t>
      </w:r>
    </w:p>
    <w:p w14:paraId="25B3F3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病种分值计算、病种库、病种分值表及医疗机构全职系统维护与更新、综合分析与展示。</w:t>
      </w:r>
    </w:p>
    <w:p w14:paraId="35B89A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8.3 DRGs</w:t>
      </w:r>
    </w:p>
    <w:p w14:paraId="1CF06A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基础信息管理系统、 DRGs支付管理、分组数据采集与传输系统、病案数据质控系统、DRG分组管理系统、医保信息标准业务编码管理系统、DRG定价测算系统、DRG支付结算系统、DRG运行监测系统、编码转换系统、基础支撑系统、技术服务需求</w:t>
      </w:r>
    </w:p>
    <w:p w14:paraId="12DC39A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eastAsia" w:cs="Times New Roman"/>
          <w:b w:val="0"/>
          <w:bCs w:val="0"/>
          <w:color w:val="auto"/>
          <w:sz w:val="24"/>
          <w:szCs w:val="24"/>
          <w:highlight w:val="none"/>
          <w:lang w:val="en-US" w:eastAsia="zh-CN"/>
        </w:rPr>
        <w:t>9</w:t>
      </w:r>
      <w:r>
        <w:rPr>
          <w:rFonts w:hint="default" w:ascii="Times New Roman" w:hAnsi="Times New Roman" w:eastAsia="宋体" w:cs="Times New Roman"/>
          <w:b w:val="0"/>
          <w:bCs w:val="0"/>
          <w:color w:val="auto"/>
          <w:sz w:val="24"/>
          <w:szCs w:val="24"/>
          <w:highlight w:val="none"/>
          <w:lang w:val="en-US"/>
        </w:rPr>
        <w:t>.标准管理</w:t>
      </w:r>
    </w:p>
    <w:p w14:paraId="60C94E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9.1业务标准管理</w:t>
      </w:r>
    </w:p>
    <w:p w14:paraId="3E00AA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医保业务知识库、流程标准管理、流程运行管理、标准执行监测、标准公开。</w:t>
      </w:r>
    </w:p>
    <w:p w14:paraId="4B83FEE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9.2信息标准管理</w:t>
      </w:r>
    </w:p>
    <w:p w14:paraId="74362D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数据库设计标准、软件架构标准、系统集成标准、数据标准</w:t>
      </w:r>
    </w:p>
    <w:p w14:paraId="320D24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w:t>
      </w:r>
      <w:r>
        <w:rPr>
          <w:rFonts w:hint="eastAsia" w:cs="Times New Roman"/>
          <w:b w:val="0"/>
          <w:bCs w:val="0"/>
          <w:color w:val="auto"/>
          <w:sz w:val="24"/>
          <w:szCs w:val="24"/>
          <w:highlight w:val="none"/>
          <w:lang w:val="en-US" w:eastAsia="zh-CN"/>
        </w:rPr>
        <w:t>0</w:t>
      </w:r>
      <w:r>
        <w:rPr>
          <w:rFonts w:hint="default" w:ascii="Times New Roman" w:hAnsi="Times New Roman" w:eastAsia="宋体" w:cs="Times New Roman"/>
          <w:b w:val="0"/>
          <w:bCs w:val="0"/>
          <w:color w:val="auto"/>
          <w:sz w:val="24"/>
          <w:szCs w:val="24"/>
          <w:highlight w:val="none"/>
          <w:lang w:val="en-US"/>
        </w:rPr>
        <w:t>.财务系统对接</w:t>
      </w:r>
    </w:p>
    <w:p w14:paraId="651F73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根据医保业务基础管理子系统和财务软件建设设计进行交互方式设计，数据对接等。包括但不限于基础信息维护、手工支付录入、基金拨付及审批、基金账务转出、退票确认、退票重付转财、回收款项确认、信息整合与数据迁移</w:t>
      </w:r>
    </w:p>
    <w:p w14:paraId="78CDA56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w:t>
      </w:r>
      <w:r>
        <w:rPr>
          <w:rFonts w:hint="eastAsia" w:cs="Times New Roman"/>
          <w:b w:val="0"/>
          <w:bCs w:val="0"/>
          <w:color w:val="auto"/>
          <w:sz w:val="24"/>
          <w:szCs w:val="24"/>
          <w:highlight w:val="none"/>
          <w:lang w:val="en-US" w:eastAsia="zh-CN"/>
        </w:rPr>
        <w:t>1</w:t>
      </w:r>
      <w:r>
        <w:rPr>
          <w:rFonts w:hint="default" w:ascii="Times New Roman" w:hAnsi="Times New Roman" w:eastAsia="宋体" w:cs="Times New Roman"/>
          <w:b w:val="0"/>
          <w:bCs w:val="0"/>
          <w:color w:val="auto"/>
          <w:sz w:val="24"/>
          <w:szCs w:val="24"/>
          <w:highlight w:val="none"/>
          <w:lang w:val="en-US"/>
        </w:rPr>
        <w:t>.调度</w:t>
      </w:r>
    </w:p>
    <w:p w14:paraId="670436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任务管理、日志管理、执行器管理</w:t>
      </w:r>
    </w:p>
    <w:p w14:paraId="0F3DE29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w:t>
      </w:r>
      <w:r>
        <w:rPr>
          <w:rFonts w:hint="eastAsia"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lang w:val="en-US"/>
        </w:rPr>
        <w:t>.链医通</w:t>
      </w:r>
    </w:p>
    <w:p w14:paraId="2A008E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12.1 APP</w:t>
      </w:r>
    </w:p>
    <w:p w14:paraId="13CCA2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12.1.1.医药企业</w:t>
      </w:r>
    </w:p>
    <w:p w14:paraId="26A706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身份认证、综合查询、公开招标项目管理、直接挂网议价管理、订单管理、配送管理、退货管理、发票管理、两票制管理、结算管理、申投诉管理、信息中心、消息中心、评价管理</w:t>
      </w:r>
    </w:p>
    <w:p w14:paraId="30DF9F5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12.1.2医药机构</w:t>
      </w:r>
    </w:p>
    <w:p w14:paraId="4DFDC1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身份认证、综合查询、采购计划管理、公开招标项目管理、直接挂网议价管理、订单管理、配送管理、退货管理、票制验票管理、结算管理、申投诉管理、药品电子监管码绑定、入库管理、出库管理、经营报表管理、处方外购管理、信息中心消息中心</w:t>
      </w:r>
    </w:p>
    <w:p w14:paraId="6A8D8F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12.1.3执业人员</w:t>
      </w:r>
    </w:p>
    <w:p w14:paraId="3E8CE6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身份认证、既往史查看、患者管理、消息中心</w:t>
      </w:r>
    </w:p>
    <w:p w14:paraId="7F68DC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12.1.4商保公司</w:t>
      </w:r>
    </w:p>
    <w:p w14:paraId="5D7076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身份认证、商保核保管理、在线理赔管理</w:t>
      </w:r>
    </w:p>
    <w:p w14:paraId="06426F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12.2公众号</w:t>
      </w:r>
    </w:p>
    <w:p w14:paraId="026BC3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12.1医药企业</w:t>
      </w:r>
    </w:p>
    <w:p w14:paraId="190656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实名认证、政策信息查询、招采订单查询、消息中心</w:t>
      </w:r>
    </w:p>
    <w:p w14:paraId="3371B0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12.2.2医药机构</w:t>
      </w:r>
    </w:p>
    <w:p w14:paraId="253971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实名认证、政策信息查询、招采订单查询、经营报表查询、消息中心</w:t>
      </w:r>
    </w:p>
    <w:p w14:paraId="1ADFA5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12.2.3执业人员</w:t>
      </w:r>
    </w:p>
    <w:p w14:paraId="416091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实名认证、既往史查看、患者管理</w:t>
      </w:r>
    </w:p>
    <w:p w14:paraId="38CA7A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12.3医保智能一体机</w:t>
      </w:r>
    </w:p>
    <w:p w14:paraId="332DC1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业务申办、业务查询、结果打印</w:t>
      </w:r>
    </w:p>
    <w:p w14:paraId="0B5D29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w:t>
      </w:r>
      <w:r>
        <w:rPr>
          <w:rFonts w:hint="eastAsia" w:cs="Times New Roman"/>
          <w:b w:val="0"/>
          <w:bCs w:val="0"/>
          <w:color w:val="auto"/>
          <w:sz w:val="24"/>
          <w:szCs w:val="24"/>
          <w:highlight w:val="none"/>
          <w:lang w:val="en-US" w:eastAsia="zh-CN"/>
        </w:rPr>
        <w:t>3</w:t>
      </w:r>
      <w:r>
        <w:rPr>
          <w:rFonts w:hint="default" w:ascii="Times New Roman" w:hAnsi="Times New Roman" w:eastAsia="宋体" w:cs="Times New Roman"/>
          <w:b w:val="0"/>
          <w:bCs w:val="0"/>
          <w:color w:val="auto"/>
          <w:sz w:val="24"/>
          <w:szCs w:val="24"/>
          <w:highlight w:val="none"/>
          <w:lang w:val="en-US"/>
        </w:rPr>
        <w:t>.核心业务支撑平台</w:t>
      </w:r>
    </w:p>
    <w:p w14:paraId="19E4E6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投标方需负责国家局软件系统整体的实施，包括系统分析、安装部署、测试联调工作。服务范围：基本信息中心、统一认证中心、用户中心、政策中心、参保中心、征缴中心、结算中心、电子凭证中心、电子档案中心、消息中心、工作流中心、报表中心、风控中心、招采中心、任务调度、移动支付中心</w:t>
      </w:r>
    </w:p>
    <w:p w14:paraId="73FEDA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w:t>
      </w:r>
      <w:r>
        <w:rPr>
          <w:rFonts w:hint="eastAsia" w:cs="Times New Roman"/>
          <w:b w:val="0"/>
          <w:bCs w:val="0"/>
          <w:color w:val="auto"/>
          <w:sz w:val="24"/>
          <w:szCs w:val="24"/>
          <w:highlight w:val="none"/>
          <w:lang w:val="en-US" w:eastAsia="zh-CN"/>
        </w:rPr>
        <w:t>4</w:t>
      </w:r>
      <w:r>
        <w:rPr>
          <w:rFonts w:hint="default" w:ascii="Times New Roman" w:hAnsi="Times New Roman" w:eastAsia="宋体" w:cs="Times New Roman"/>
          <w:b w:val="0"/>
          <w:bCs w:val="0"/>
          <w:color w:val="auto"/>
          <w:sz w:val="24"/>
          <w:szCs w:val="24"/>
          <w:highlight w:val="none"/>
          <w:lang w:val="en-US"/>
        </w:rPr>
        <w:t>.津医保</w:t>
      </w:r>
    </w:p>
    <w:p w14:paraId="3595B55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手机APP、公众号或小程序、智能一体机面向社会公众提供医疗就诊、医药购药、医保经办、异地就医等功能。可对接异地就医、经办服务平台协同服务，实现跨区域业务协同，信息共享。</w:t>
      </w:r>
    </w:p>
    <w:p w14:paraId="423EB51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14.1 App</w:t>
      </w:r>
    </w:p>
    <w:p w14:paraId="6A743F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App针对患者个体实现个性化服务，涉及异地联网确认、联网医院查询、异地登记查询、我的家庭医生、服务包简介、医保账户、门诊台账、住院台账、门特台账、社发账户、门特用药期限、医保“三目”等业务环节。大体功能如下：</w:t>
      </w:r>
    </w:p>
    <w:p w14:paraId="0140924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医疗服务：挂号服务、电子凭条、预约报到、我的排号、报告查询、缴费服务、智能分诊、电子病历、住院服务等。</w:t>
      </w:r>
    </w:p>
    <w:p w14:paraId="56278D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医保服务：医保账户查询、门特医院变更、用药辅助查询、异地就医办理、医保三目查询、优抚救助查询、住院资格确认、门特登记查询、社发账户查询、门诊台账查询、门特台账查询、住院台账查询、垫付报销查询、城乡就医登记、联网医院等。</w:t>
      </w:r>
    </w:p>
    <w:p w14:paraId="64C1D2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14.2公众号</w:t>
      </w:r>
    </w:p>
    <w:p w14:paraId="589C61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实名认证、联网医院、药店查询、医保三目查询、个人中心</w:t>
      </w:r>
    </w:p>
    <w:p w14:paraId="41E1BF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14.3小程序</w:t>
      </w:r>
    </w:p>
    <w:p w14:paraId="35085D5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地就医备案、线上小工具</w:t>
      </w:r>
    </w:p>
    <w:p w14:paraId="070794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14.4医保智能一体机</w:t>
      </w:r>
    </w:p>
    <w:p w14:paraId="489F12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身份认证、医保服务（包括门特登记查询、门诊台账查询、门特台账查询、住院台账查询、医保三目查询、异地自助备案、垫付报销查询等功能）。</w:t>
      </w:r>
    </w:p>
    <w:p w14:paraId="62FE43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w:t>
      </w:r>
      <w:r>
        <w:rPr>
          <w:rFonts w:hint="eastAsia"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lang w:val="en-US"/>
        </w:rPr>
        <w:t>.云HIS</w:t>
      </w:r>
    </w:p>
    <w:p w14:paraId="41B6A4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搭建基于云计算技术的B/S架构的HIS系统，为基层医疗机构提供标准化的、信息化的、可共享的医疗信息管理系统，实现医患事务管理和临床诊疗管理，提升医保在卫生信息系统互联互通能力，同时符合国际医疗医保交互FHIR Connectathon等标准医疗管理信息系统的功能。</w:t>
      </w:r>
    </w:p>
    <w:p w14:paraId="734D18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15.1系统基础管理</w:t>
      </w:r>
      <w:r>
        <w:rPr>
          <w:rFonts w:hint="default" w:ascii="Times New Roman" w:hAnsi="Times New Roman" w:eastAsia="宋体" w:cs="Times New Roman"/>
          <w:b w:val="0"/>
          <w:bCs w:val="0"/>
          <w:color w:val="auto"/>
          <w:sz w:val="24"/>
          <w:szCs w:val="24"/>
          <w:highlight w:val="none"/>
          <w:lang w:val="en-US"/>
        </w:rPr>
        <w:tab/>
      </w:r>
    </w:p>
    <w:p w14:paraId="1F1A2A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基础数据管理、基础物价管理</w:t>
      </w:r>
    </w:p>
    <w:p w14:paraId="43535C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15.2门诊诊疗服务</w:t>
      </w:r>
      <w:r>
        <w:rPr>
          <w:rFonts w:hint="default" w:ascii="Times New Roman" w:hAnsi="Times New Roman" w:eastAsia="宋体" w:cs="Times New Roman"/>
          <w:b w:val="0"/>
          <w:bCs w:val="0"/>
          <w:color w:val="auto"/>
          <w:sz w:val="24"/>
          <w:szCs w:val="24"/>
          <w:highlight w:val="none"/>
          <w:lang w:val="en-US"/>
        </w:rPr>
        <w:tab/>
      </w:r>
    </w:p>
    <w:p w14:paraId="39E659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门诊预约挂号系统、门诊分急诊系统、门诊挂号系统、门诊收费系统、门诊医生工作站、门诊护士工作站</w:t>
      </w:r>
    </w:p>
    <w:p w14:paraId="712A34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15.3住院诊疗服务</w:t>
      </w:r>
      <w:r>
        <w:rPr>
          <w:rFonts w:hint="default" w:ascii="Times New Roman" w:hAnsi="Times New Roman" w:eastAsia="宋体" w:cs="Times New Roman"/>
          <w:b w:val="0"/>
          <w:bCs w:val="0"/>
          <w:color w:val="auto"/>
          <w:sz w:val="24"/>
          <w:szCs w:val="24"/>
          <w:highlight w:val="none"/>
          <w:lang w:val="en-US"/>
        </w:rPr>
        <w:tab/>
      </w:r>
    </w:p>
    <w:p w14:paraId="5BAB6C5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住院出入转系统、住院收费系统、住院医生工作站、住院护士工作站</w:t>
      </w:r>
    </w:p>
    <w:p w14:paraId="29FD30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15.4电子病历</w:t>
      </w:r>
      <w:r>
        <w:rPr>
          <w:rFonts w:hint="default" w:ascii="Times New Roman" w:hAnsi="Times New Roman" w:eastAsia="宋体" w:cs="Times New Roman"/>
          <w:b w:val="0"/>
          <w:bCs w:val="0"/>
          <w:color w:val="auto"/>
          <w:sz w:val="24"/>
          <w:szCs w:val="24"/>
          <w:highlight w:val="none"/>
          <w:lang w:val="en-US"/>
        </w:rPr>
        <w:tab/>
      </w:r>
    </w:p>
    <w:p w14:paraId="1628AA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15.5临床检验信息系统</w:t>
      </w:r>
    </w:p>
    <w:p w14:paraId="083AF0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15.</w:t>
      </w:r>
      <w:r>
        <w:rPr>
          <w:rFonts w:hint="eastAsia"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lang w:val="en-US"/>
        </w:rPr>
        <w:t>医院运营管理系统</w:t>
      </w:r>
      <w:r>
        <w:rPr>
          <w:rFonts w:hint="default" w:ascii="Times New Roman" w:hAnsi="Times New Roman" w:eastAsia="宋体" w:cs="Times New Roman"/>
          <w:b w:val="0"/>
          <w:bCs w:val="0"/>
          <w:color w:val="auto"/>
          <w:sz w:val="24"/>
          <w:szCs w:val="24"/>
          <w:highlight w:val="none"/>
          <w:lang w:val="en-US"/>
        </w:rPr>
        <w:tab/>
      </w:r>
    </w:p>
    <w:p w14:paraId="3E39D6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物资管理系统、药库管理系统、设备资产管理、人力资源管理系统、人事管理、培训管理</w:t>
      </w:r>
    </w:p>
    <w:p w14:paraId="20A367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w:t>
      </w:r>
      <w:r>
        <w:rPr>
          <w:rFonts w:hint="eastAsia"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lang w:val="en-US"/>
        </w:rPr>
        <w:t>.长护险</w:t>
      </w:r>
    </w:p>
    <w:p w14:paraId="6C44060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w:t>
      </w:r>
      <w:r>
        <w:rPr>
          <w:rFonts w:hint="eastAsia"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lang w:val="en-US"/>
        </w:rPr>
        <w:t>.1业务经办</w:t>
      </w:r>
      <w:r>
        <w:rPr>
          <w:rFonts w:hint="default" w:ascii="Times New Roman" w:hAnsi="Times New Roman" w:eastAsia="宋体" w:cs="Times New Roman"/>
          <w:b w:val="0"/>
          <w:bCs w:val="0"/>
          <w:color w:val="auto"/>
          <w:sz w:val="24"/>
          <w:szCs w:val="24"/>
          <w:highlight w:val="none"/>
          <w:lang w:val="en-US"/>
        </w:rPr>
        <w:tab/>
      </w:r>
    </w:p>
    <w:p w14:paraId="2FBB28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机构管理、失能评估、护理服务、稽核巡查、费用结算、档案管理</w:t>
      </w:r>
      <w:r>
        <w:rPr>
          <w:rFonts w:hint="default" w:ascii="Times New Roman" w:hAnsi="Times New Roman" w:eastAsia="宋体" w:cs="Times New Roman"/>
          <w:b w:val="0"/>
          <w:bCs w:val="0"/>
          <w:color w:val="auto"/>
          <w:sz w:val="24"/>
          <w:szCs w:val="24"/>
          <w:highlight w:val="none"/>
          <w:lang w:val="en-US"/>
        </w:rPr>
        <w:tab/>
      </w:r>
      <w:r>
        <w:rPr>
          <w:rFonts w:hint="default" w:ascii="Times New Roman" w:hAnsi="Times New Roman" w:eastAsia="宋体" w:cs="Times New Roman"/>
          <w:b w:val="0"/>
          <w:bCs w:val="0"/>
          <w:color w:val="auto"/>
          <w:sz w:val="24"/>
          <w:szCs w:val="24"/>
          <w:highlight w:val="none"/>
          <w:lang w:val="en-US"/>
        </w:rPr>
        <w:t>、账户管理、系统管理</w:t>
      </w:r>
    </w:p>
    <w:p w14:paraId="1003706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w:t>
      </w:r>
      <w:r>
        <w:rPr>
          <w:rFonts w:hint="eastAsia"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lang w:val="en-US"/>
        </w:rPr>
        <w:t>.2服务管理</w:t>
      </w:r>
      <w:r>
        <w:rPr>
          <w:rFonts w:hint="default" w:ascii="Times New Roman" w:hAnsi="Times New Roman" w:eastAsia="宋体" w:cs="Times New Roman"/>
          <w:b w:val="0"/>
          <w:bCs w:val="0"/>
          <w:color w:val="auto"/>
          <w:sz w:val="24"/>
          <w:szCs w:val="24"/>
          <w:highlight w:val="none"/>
          <w:lang w:val="en-US"/>
        </w:rPr>
        <w:tab/>
      </w:r>
    </w:p>
    <w:p w14:paraId="66C3FD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评估服务管理、机构护理服务管理、居家护理机构管理</w:t>
      </w:r>
    </w:p>
    <w:p w14:paraId="6669DE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w:t>
      </w:r>
      <w:r>
        <w:rPr>
          <w:rFonts w:hint="eastAsia"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lang w:val="en-US"/>
        </w:rPr>
        <w:t>.3移动和PC应用端</w:t>
      </w:r>
      <w:r>
        <w:rPr>
          <w:rFonts w:hint="default" w:ascii="Times New Roman" w:hAnsi="Times New Roman" w:eastAsia="宋体" w:cs="Times New Roman"/>
          <w:b w:val="0"/>
          <w:bCs w:val="0"/>
          <w:color w:val="auto"/>
          <w:sz w:val="24"/>
          <w:szCs w:val="24"/>
          <w:highlight w:val="none"/>
          <w:lang w:val="en-US"/>
        </w:rPr>
        <w:tab/>
      </w:r>
    </w:p>
    <w:p w14:paraId="689B50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参保人员端移动应用、评估人员端移动应、护理人员端移动应用、稽核人员移动应用、PC端应用</w:t>
      </w:r>
      <w:r>
        <w:rPr>
          <w:rFonts w:hint="default" w:ascii="Times New Roman" w:hAnsi="Times New Roman" w:eastAsia="宋体" w:cs="Times New Roman"/>
          <w:b w:val="0"/>
          <w:bCs w:val="0"/>
          <w:color w:val="auto"/>
          <w:sz w:val="24"/>
          <w:szCs w:val="24"/>
          <w:highlight w:val="none"/>
          <w:lang w:val="en-US"/>
        </w:rPr>
        <w:tab/>
      </w:r>
    </w:p>
    <w:p w14:paraId="5B1BE2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1</w:t>
      </w:r>
      <w:r>
        <w:rPr>
          <w:rFonts w:hint="eastAsia"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lang w:val="en-US"/>
        </w:rPr>
        <w:t>.4智能监管</w:t>
      </w:r>
      <w:r>
        <w:rPr>
          <w:rFonts w:hint="default" w:ascii="Times New Roman" w:hAnsi="Times New Roman" w:eastAsia="宋体" w:cs="Times New Roman"/>
          <w:b w:val="0"/>
          <w:bCs w:val="0"/>
          <w:color w:val="auto"/>
          <w:sz w:val="24"/>
          <w:szCs w:val="24"/>
          <w:highlight w:val="none"/>
          <w:lang w:val="en-US"/>
        </w:rPr>
        <w:tab/>
      </w:r>
    </w:p>
    <w:p w14:paraId="3F5206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val="0"/>
          <w:color w:val="auto"/>
          <w:sz w:val="24"/>
          <w:szCs w:val="24"/>
          <w:highlight w:val="none"/>
          <w:lang w:val="en-US"/>
        </w:rPr>
      </w:pPr>
      <w:r>
        <w:rPr>
          <w:rFonts w:hint="default" w:ascii="Times New Roman" w:hAnsi="Times New Roman" w:eastAsia="宋体" w:cs="Times New Roman"/>
          <w:b w:val="0"/>
          <w:bCs w:val="0"/>
          <w:color w:val="auto"/>
          <w:sz w:val="24"/>
          <w:szCs w:val="24"/>
          <w:highlight w:val="none"/>
          <w:lang w:val="en-US"/>
        </w:rPr>
        <w:t>智能监控、分析决策</w:t>
      </w:r>
      <w:r>
        <w:rPr>
          <w:rFonts w:hint="default" w:ascii="Times New Roman" w:hAnsi="Times New Roman" w:eastAsia="宋体" w:cs="Times New Roman"/>
          <w:b w:val="0"/>
          <w:bCs w:val="0"/>
          <w:color w:val="auto"/>
          <w:sz w:val="24"/>
          <w:szCs w:val="24"/>
          <w:highlight w:val="none"/>
          <w:lang w:val="en-US"/>
        </w:rPr>
        <w:tab/>
      </w:r>
    </w:p>
    <w:p w14:paraId="6750B0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（二）运维人员要求</w:t>
      </w:r>
    </w:p>
    <w:p w14:paraId="586825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1.投标方应提供不少于20人专职驻场服务人员，具体人员配置要求如下：</w:t>
      </w:r>
    </w:p>
    <w:tbl>
      <w:tblPr>
        <w:tblStyle w:val="16"/>
        <w:tblW w:w="9272" w:type="dxa"/>
        <w:jc w:val="center"/>
        <w:tblLayout w:type="fixed"/>
        <w:tblCellMar>
          <w:top w:w="0" w:type="dxa"/>
          <w:left w:w="108" w:type="dxa"/>
          <w:bottom w:w="0" w:type="dxa"/>
          <w:right w:w="108" w:type="dxa"/>
        </w:tblCellMar>
      </w:tblPr>
      <w:tblGrid>
        <w:gridCol w:w="734"/>
        <w:gridCol w:w="533"/>
        <w:gridCol w:w="2490"/>
        <w:gridCol w:w="4465"/>
        <w:gridCol w:w="1050"/>
      </w:tblGrid>
      <w:tr w14:paraId="2992F406">
        <w:tblPrEx>
          <w:tblCellMar>
            <w:top w:w="0" w:type="dxa"/>
            <w:left w:w="108" w:type="dxa"/>
            <w:bottom w:w="0" w:type="dxa"/>
            <w:right w:w="108" w:type="dxa"/>
          </w:tblCellMar>
        </w:tblPrEx>
        <w:trPr>
          <w:trHeight w:val="0" w:hRule="atLeast"/>
          <w:tblHeader/>
          <w:jc w:val="center"/>
        </w:trPr>
        <w:tc>
          <w:tcPr>
            <w:tcW w:w="73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48B0DC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岗位名称</w:t>
            </w:r>
          </w:p>
        </w:tc>
        <w:tc>
          <w:tcPr>
            <w:tcW w:w="533" w:type="dxa"/>
            <w:tcBorders>
              <w:top w:val="single" w:color="000000" w:sz="4" w:space="0"/>
              <w:left w:val="single" w:color="000000" w:sz="4" w:space="0"/>
              <w:bottom w:val="single" w:color="000000" w:sz="4" w:space="0"/>
              <w:right w:val="single" w:color="000000" w:sz="4" w:space="0"/>
            </w:tcBorders>
            <w:vAlign w:val="center"/>
          </w:tcPr>
          <w:p w14:paraId="06FCF8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人数</w:t>
            </w:r>
          </w:p>
        </w:tc>
        <w:tc>
          <w:tcPr>
            <w:tcW w:w="249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0FC9AE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要求</w:t>
            </w:r>
          </w:p>
        </w:tc>
        <w:tc>
          <w:tcPr>
            <w:tcW w:w="4465" w:type="dxa"/>
            <w:tcBorders>
              <w:top w:val="single" w:color="000000" w:sz="4" w:space="0"/>
              <w:left w:val="single" w:color="000000" w:sz="4" w:space="0"/>
              <w:bottom w:val="single" w:color="000000" w:sz="4" w:space="0"/>
              <w:right w:val="single" w:color="000000" w:sz="4" w:space="0"/>
            </w:tcBorders>
            <w:vAlign w:val="center"/>
          </w:tcPr>
          <w:p w14:paraId="282B07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工作职责</w:t>
            </w:r>
          </w:p>
        </w:tc>
        <w:tc>
          <w:tcPr>
            <w:tcW w:w="1050" w:type="dxa"/>
            <w:tcBorders>
              <w:top w:val="single" w:color="000000" w:sz="4" w:space="0"/>
              <w:left w:val="single" w:color="000000" w:sz="4" w:space="0"/>
              <w:bottom w:val="single" w:color="000000" w:sz="4" w:space="0"/>
              <w:right w:val="single" w:color="000000" w:sz="4" w:space="0"/>
            </w:tcBorders>
            <w:vAlign w:val="center"/>
          </w:tcPr>
          <w:p w14:paraId="00D81E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是否驻场要求</w:t>
            </w:r>
          </w:p>
        </w:tc>
      </w:tr>
      <w:tr w14:paraId="46256CEA">
        <w:tblPrEx>
          <w:tblCellMar>
            <w:top w:w="0" w:type="dxa"/>
            <w:left w:w="108" w:type="dxa"/>
            <w:bottom w:w="0" w:type="dxa"/>
            <w:right w:w="108" w:type="dxa"/>
          </w:tblCellMar>
        </w:tblPrEx>
        <w:trPr>
          <w:trHeight w:val="0" w:hRule="atLeast"/>
          <w:jc w:val="center"/>
        </w:trPr>
        <w:tc>
          <w:tcPr>
            <w:tcW w:w="73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6654FD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项目经理</w:t>
            </w:r>
          </w:p>
        </w:tc>
        <w:tc>
          <w:tcPr>
            <w:tcW w:w="533" w:type="dxa"/>
            <w:tcBorders>
              <w:top w:val="single" w:color="000000" w:sz="4" w:space="0"/>
              <w:left w:val="single" w:color="000000" w:sz="4" w:space="0"/>
              <w:bottom w:val="single" w:color="000000" w:sz="4" w:space="0"/>
              <w:right w:val="single" w:color="000000" w:sz="4" w:space="0"/>
            </w:tcBorders>
            <w:vAlign w:val="center"/>
          </w:tcPr>
          <w:p w14:paraId="6F8AD0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249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6AFCB15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、CCRC信息安全保障人员认证（CISAW）证书（认证方向安全运维）、ITSS IT服务项目经理证书</w:t>
            </w:r>
          </w:p>
        </w:tc>
        <w:tc>
          <w:tcPr>
            <w:tcW w:w="4465" w:type="dxa"/>
            <w:tcBorders>
              <w:top w:val="single" w:color="000000" w:sz="4" w:space="0"/>
              <w:left w:val="single" w:color="000000" w:sz="4" w:space="0"/>
              <w:bottom w:val="single" w:color="000000" w:sz="4" w:space="0"/>
              <w:right w:val="single" w:color="000000" w:sz="4" w:space="0"/>
            </w:tcBorders>
            <w:vAlign w:val="center"/>
          </w:tcPr>
          <w:p w14:paraId="22073764">
            <w:pPr>
              <w:keepNext w:val="0"/>
              <w:keepLines w:val="0"/>
              <w:pageBreakBefore w:val="0"/>
              <w:widowControl w:val="0"/>
              <w:tabs>
                <w:tab w:val="left" w:pos="1350"/>
              </w:tabs>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i w:val="0"/>
                <w:iCs w:val="0"/>
                <w:color w:val="auto"/>
                <w:kern w:val="0"/>
                <w:sz w:val="24"/>
                <w:szCs w:val="24"/>
                <w:highlight w:val="none"/>
                <w:u w:val="none"/>
                <w:lang w:val="en-US" w:eastAsia="zh-CN" w:bidi="ar"/>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1050" w:type="dxa"/>
            <w:tcBorders>
              <w:top w:val="single" w:color="000000" w:sz="4" w:space="0"/>
              <w:left w:val="single" w:color="000000" w:sz="4" w:space="0"/>
              <w:bottom w:val="single" w:color="000000" w:sz="4" w:space="0"/>
              <w:right w:val="single" w:color="000000" w:sz="4" w:space="0"/>
            </w:tcBorders>
            <w:vAlign w:val="center"/>
          </w:tcPr>
          <w:p w14:paraId="2BD523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不驻场</w:t>
            </w:r>
          </w:p>
        </w:tc>
      </w:tr>
      <w:tr w14:paraId="2CA746A3">
        <w:tblPrEx>
          <w:tblCellMar>
            <w:top w:w="0" w:type="dxa"/>
            <w:left w:w="108" w:type="dxa"/>
            <w:bottom w:w="0" w:type="dxa"/>
            <w:right w:w="108" w:type="dxa"/>
          </w:tblCellMar>
        </w:tblPrEx>
        <w:trPr>
          <w:trHeight w:val="0" w:hRule="atLeast"/>
          <w:jc w:val="center"/>
        </w:trPr>
        <w:tc>
          <w:tcPr>
            <w:tcW w:w="73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26AB56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现场运维负责人</w:t>
            </w:r>
          </w:p>
        </w:tc>
        <w:tc>
          <w:tcPr>
            <w:tcW w:w="533" w:type="dxa"/>
            <w:tcBorders>
              <w:top w:val="single" w:color="000000" w:sz="4" w:space="0"/>
              <w:left w:val="single" w:color="000000" w:sz="4" w:space="0"/>
              <w:bottom w:val="single" w:color="000000" w:sz="4" w:space="0"/>
              <w:right w:val="single" w:color="000000" w:sz="4" w:space="0"/>
            </w:tcBorders>
            <w:vAlign w:val="center"/>
          </w:tcPr>
          <w:p w14:paraId="008ED7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249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71AF56F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具备5年相关工作从业经验</w:t>
            </w:r>
            <w:r>
              <w:rPr>
                <w:rFonts w:hint="eastAsia" w:ascii="宋体" w:hAnsi="宋体" w:eastAsia="宋体" w:cs="宋体"/>
                <w:i w:val="0"/>
                <w:iCs w:val="0"/>
                <w:color w:val="auto"/>
                <w:kern w:val="0"/>
                <w:sz w:val="24"/>
                <w:szCs w:val="24"/>
                <w:highlight w:val="none"/>
                <w:u w:val="none"/>
                <w:lang w:val="en-US" w:eastAsia="zh-CN" w:bidi="ar"/>
              </w:rPr>
              <w:t>并具备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i w:val="0"/>
                <w:iCs w:val="0"/>
                <w:color w:val="auto"/>
                <w:kern w:val="0"/>
                <w:sz w:val="24"/>
                <w:szCs w:val="24"/>
                <w:highlight w:val="none"/>
                <w:u w:val="none"/>
                <w:lang w:val="en-US" w:eastAsia="zh-CN" w:bidi="ar"/>
              </w:rPr>
              <w:t>系统规划与管理师</w:t>
            </w:r>
            <w:r>
              <w:rPr>
                <w:rFonts w:hint="eastAsia" w:eastAsiaTheme="minorEastAsia"/>
                <w:color w:val="auto"/>
                <w:kern w:val="0"/>
                <w:sz w:val="24"/>
                <w:szCs w:val="24"/>
                <w:highlight w:val="none"/>
              </w:rPr>
              <w:t>）</w:t>
            </w:r>
          </w:p>
        </w:tc>
        <w:tc>
          <w:tcPr>
            <w:tcW w:w="4465" w:type="dxa"/>
            <w:tcBorders>
              <w:top w:val="single" w:color="000000" w:sz="4" w:space="0"/>
              <w:left w:val="single" w:color="000000" w:sz="4" w:space="0"/>
              <w:bottom w:val="single" w:color="000000" w:sz="4" w:space="0"/>
              <w:right w:val="single" w:color="000000" w:sz="4" w:space="0"/>
            </w:tcBorders>
            <w:vAlign w:val="center"/>
          </w:tcPr>
          <w:p w14:paraId="4ECF987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具体负责现场运维工作，负责组织落实</w:t>
            </w:r>
            <w:r>
              <w:rPr>
                <w:rFonts w:hint="eastAsia" w:ascii="宋体" w:hAnsi="宋体" w:eastAsia="宋体" w:cs="宋体"/>
                <w:i w:val="0"/>
                <w:iCs w:val="0"/>
                <w:color w:val="auto"/>
                <w:kern w:val="0"/>
                <w:sz w:val="24"/>
                <w:szCs w:val="24"/>
                <w:highlight w:val="none"/>
                <w:u w:val="none"/>
                <w:lang w:val="en-US" w:eastAsia="zh-CN" w:bidi="ar"/>
              </w:rPr>
              <w:t>项目管理计划，对项目的人员、资金、设备、进度和质量等进行管理，并据实际情况及时做出调整；负责落实系统安全运维服务及相关工作的运维工作；负责协助人员配合招标方与业务部门对接，与其他服务承建商对接</w:t>
            </w:r>
          </w:p>
        </w:tc>
        <w:tc>
          <w:tcPr>
            <w:tcW w:w="1050" w:type="dxa"/>
            <w:tcBorders>
              <w:top w:val="single" w:color="000000" w:sz="4" w:space="0"/>
              <w:left w:val="single" w:color="000000" w:sz="4" w:space="0"/>
              <w:bottom w:val="single" w:color="000000" w:sz="4" w:space="0"/>
              <w:right w:val="single" w:color="000000" w:sz="4" w:space="0"/>
            </w:tcBorders>
            <w:vAlign w:val="center"/>
          </w:tcPr>
          <w:p w14:paraId="4E34B7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驻场</w:t>
            </w:r>
          </w:p>
        </w:tc>
      </w:tr>
      <w:tr w14:paraId="23F015C7">
        <w:tblPrEx>
          <w:tblCellMar>
            <w:top w:w="0" w:type="dxa"/>
            <w:left w:w="108" w:type="dxa"/>
            <w:bottom w:w="0" w:type="dxa"/>
            <w:right w:w="108" w:type="dxa"/>
          </w:tblCellMar>
        </w:tblPrEx>
        <w:trPr>
          <w:trHeight w:val="0" w:hRule="atLeast"/>
          <w:jc w:val="center"/>
        </w:trPr>
        <w:tc>
          <w:tcPr>
            <w:tcW w:w="73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64E98E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运维测评负责人</w:t>
            </w:r>
          </w:p>
        </w:tc>
        <w:tc>
          <w:tcPr>
            <w:tcW w:w="533" w:type="dxa"/>
            <w:tcBorders>
              <w:top w:val="single" w:color="000000" w:sz="4" w:space="0"/>
              <w:left w:val="single" w:color="000000" w:sz="4" w:space="0"/>
              <w:bottom w:val="single" w:color="000000" w:sz="4" w:space="0"/>
              <w:right w:val="single" w:color="000000" w:sz="4" w:space="0"/>
            </w:tcBorders>
            <w:vAlign w:val="center"/>
          </w:tcPr>
          <w:p w14:paraId="77E961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249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2C4A756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具备</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i w:val="0"/>
                <w:iCs w:val="0"/>
                <w:color w:val="auto"/>
                <w:kern w:val="0"/>
                <w:sz w:val="24"/>
                <w:szCs w:val="24"/>
                <w:highlight w:val="none"/>
                <w:u w:val="none"/>
                <w:lang w:val="en-US" w:eastAsia="zh-CN" w:bidi="ar"/>
              </w:rPr>
              <w:t>软件评测师</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、CCRC信息安全保障人员认证（CISAW）证书（认证方向安全运维）</w:t>
            </w:r>
          </w:p>
        </w:tc>
        <w:tc>
          <w:tcPr>
            <w:tcW w:w="4465" w:type="dxa"/>
            <w:tcBorders>
              <w:top w:val="single" w:color="000000" w:sz="4" w:space="0"/>
              <w:left w:val="single" w:color="000000" w:sz="4" w:space="0"/>
              <w:bottom w:val="single" w:color="000000" w:sz="4" w:space="0"/>
              <w:right w:val="single" w:color="000000" w:sz="4" w:space="0"/>
            </w:tcBorders>
            <w:vAlign w:val="center"/>
          </w:tcPr>
          <w:p w14:paraId="113E8A5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负责组织落实运维现场应用系统</w:t>
            </w:r>
            <w:r>
              <w:rPr>
                <w:rFonts w:hint="eastAsia" w:ascii="宋体" w:hAnsi="宋体" w:eastAsia="宋体" w:cs="宋体"/>
                <w:color w:val="auto"/>
                <w:sz w:val="24"/>
                <w:szCs w:val="24"/>
                <w:highlight w:val="none"/>
              </w:rPr>
              <w:t>软件测试工作</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负责与业务部门对接，协助业务部门完成业务测试工作；</w:t>
            </w:r>
            <w:r>
              <w:rPr>
                <w:rFonts w:hint="eastAsia" w:ascii="宋体" w:hAnsi="宋体" w:eastAsia="宋体" w:cs="宋体"/>
                <w:i w:val="0"/>
                <w:iCs w:val="0"/>
                <w:color w:val="auto"/>
                <w:kern w:val="0"/>
                <w:sz w:val="24"/>
                <w:szCs w:val="24"/>
                <w:highlight w:val="none"/>
                <w:u w:val="none"/>
                <w:lang w:val="en-US" w:eastAsia="zh-CN" w:bidi="ar"/>
              </w:rPr>
              <w:t>负责落实应用系统安全运维服务及相关工作的运维工作。</w:t>
            </w:r>
          </w:p>
        </w:tc>
        <w:tc>
          <w:tcPr>
            <w:tcW w:w="1050" w:type="dxa"/>
            <w:tcBorders>
              <w:top w:val="single" w:color="000000" w:sz="4" w:space="0"/>
              <w:left w:val="single" w:color="000000" w:sz="4" w:space="0"/>
              <w:bottom w:val="single" w:color="000000" w:sz="4" w:space="0"/>
              <w:right w:val="single" w:color="000000" w:sz="4" w:space="0"/>
            </w:tcBorders>
            <w:vAlign w:val="center"/>
          </w:tcPr>
          <w:p w14:paraId="23261A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驻场</w:t>
            </w:r>
          </w:p>
        </w:tc>
      </w:tr>
      <w:tr w14:paraId="5B595DA3">
        <w:tblPrEx>
          <w:tblCellMar>
            <w:top w:w="0" w:type="dxa"/>
            <w:left w:w="108" w:type="dxa"/>
            <w:bottom w:w="0" w:type="dxa"/>
            <w:right w:w="108" w:type="dxa"/>
          </w:tblCellMar>
        </w:tblPrEx>
        <w:trPr>
          <w:trHeight w:val="0" w:hRule="atLeast"/>
          <w:jc w:val="center"/>
        </w:trPr>
        <w:tc>
          <w:tcPr>
            <w:tcW w:w="73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7A51AE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运维安全负责人</w:t>
            </w:r>
          </w:p>
        </w:tc>
        <w:tc>
          <w:tcPr>
            <w:tcW w:w="533" w:type="dxa"/>
            <w:tcBorders>
              <w:top w:val="single" w:color="000000" w:sz="4" w:space="0"/>
              <w:left w:val="single" w:color="000000" w:sz="4" w:space="0"/>
              <w:bottom w:val="single" w:color="000000" w:sz="4" w:space="0"/>
              <w:right w:val="single" w:color="000000" w:sz="4" w:space="0"/>
            </w:tcBorders>
            <w:vAlign w:val="center"/>
          </w:tcPr>
          <w:p w14:paraId="0D589B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2490"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6447A1E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具备注册信息安全人员（CISP）证书（认证方向注册信息安全工程师（CISE）)、CCRC信息安全保障人员认证（CISAW）证书（认证方向安全运维）</w:t>
            </w:r>
          </w:p>
        </w:tc>
        <w:tc>
          <w:tcPr>
            <w:tcW w:w="4465" w:type="dxa"/>
            <w:tcBorders>
              <w:top w:val="single" w:color="000000" w:sz="4" w:space="0"/>
              <w:left w:val="single" w:color="000000" w:sz="4" w:space="0"/>
              <w:bottom w:val="single" w:color="000000" w:sz="4" w:space="0"/>
              <w:right w:val="single" w:color="000000" w:sz="4" w:space="0"/>
            </w:tcBorders>
            <w:vAlign w:val="center"/>
          </w:tcPr>
          <w:p w14:paraId="58A4611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负责组织落实</w:t>
            </w:r>
            <w:r>
              <w:rPr>
                <w:rFonts w:hint="eastAsia" w:ascii="宋体" w:hAnsi="宋体" w:eastAsia="宋体" w:cs="宋体"/>
                <w:color w:val="auto"/>
                <w:sz w:val="24"/>
                <w:szCs w:val="24"/>
                <w:highlight w:val="none"/>
              </w:rPr>
              <w:t>信息系统安全集成、安全技术测试、安全加固和安全运维工作</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负责配合招标方组织完成运维监控系统对接；负责组织现场运维人员完成等保、密评、代码审计等提出的整改需求落实工作。</w:t>
            </w:r>
          </w:p>
        </w:tc>
        <w:tc>
          <w:tcPr>
            <w:tcW w:w="1050" w:type="dxa"/>
            <w:tcBorders>
              <w:top w:val="single" w:color="000000" w:sz="4" w:space="0"/>
              <w:left w:val="single" w:color="000000" w:sz="4" w:space="0"/>
              <w:bottom w:val="single" w:color="000000" w:sz="4" w:space="0"/>
              <w:right w:val="single" w:color="000000" w:sz="4" w:space="0"/>
            </w:tcBorders>
            <w:vAlign w:val="center"/>
          </w:tcPr>
          <w:p w14:paraId="69EBC5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驻场</w:t>
            </w:r>
          </w:p>
        </w:tc>
      </w:tr>
      <w:tr w14:paraId="4C343C21">
        <w:tblPrEx>
          <w:tblCellMar>
            <w:top w:w="0" w:type="dxa"/>
            <w:left w:w="108" w:type="dxa"/>
            <w:bottom w:w="0" w:type="dxa"/>
            <w:right w:w="108" w:type="dxa"/>
          </w:tblCellMar>
        </w:tblPrEx>
        <w:trPr>
          <w:trHeight w:val="0" w:hRule="atLeast"/>
          <w:jc w:val="center"/>
        </w:trPr>
        <w:tc>
          <w:tcPr>
            <w:tcW w:w="73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0405CA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现场运维人员</w:t>
            </w:r>
          </w:p>
        </w:tc>
        <w:tc>
          <w:tcPr>
            <w:tcW w:w="533" w:type="dxa"/>
            <w:tcBorders>
              <w:top w:val="single" w:color="000000" w:sz="4" w:space="0"/>
              <w:left w:val="single" w:color="000000" w:sz="4" w:space="0"/>
              <w:bottom w:val="single" w:color="000000" w:sz="4" w:space="0"/>
              <w:right w:val="single" w:color="000000" w:sz="4" w:space="0"/>
            </w:tcBorders>
            <w:vAlign w:val="center"/>
          </w:tcPr>
          <w:p w14:paraId="5D6297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17</w:t>
            </w:r>
          </w:p>
        </w:tc>
        <w:tc>
          <w:tcPr>
            <w:tcW w:w="2490" w:type="dxa"/>
            <w:vMerge w:val="restart"/>
            <w:tcBorders>
              <w:top w:val="single" w:color="000000" w:sz="4" w:space="0"/>
              <w:left w:val="single" w:color="000000" w:sz="4" w:space="0"/>
              <w:right w:val="single" w:color="000000" w:sz="4" w:space="0"/>
            </w:tcBorders>
            <w:tcMar>
              <w:top w:w="15" w:type="dxa"/>
              <w:left w:w="15" w:type="dxa"/>
              <w:bottom w:w="15" w:type="dxa"/>
              <w:right w:w="15" w:type="dxa"/>
            </w:tcMar>
            <w:vAlign w:val="center"/>
          </w:tcPr>
          <w:p w14:paraId="5B9B895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eastAsiaTheme="minorEastAsia"/>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具备信息化或计算机专业大专及以上学历，且具备软件开发或运维工作3年以上工作经历的；具备</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i w:val="0"/>
                <w:iCs w:val="0"/>
                <w:color w:val="auto"/>
                <w:kern w:val="0"/>
                <w:sz w:val="24"/>
                <w:szCs w:val="24"/>
                <w:highlight w:val="none"/>
                <w:u w:val="none"/>
                <w:lang w:val="en-US" w:eastAsia="zh-CN" w:bidi="ar"/>
              </w:rPr>
              <w:t>软件设计师</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i w:val="0"/>
                <w:iCs w:val="0"/>
                <w:color w:val="auto"/>
                <w:kern w:val="0"/>
                <w:sz w:val="24"/>
                <w:szCs w:val="24"/>
                <w:highlight w:val="none"/>
                <w:u w:val="none"/>
                <w:lang w:val="en-US" w:eastAsia="zh-CN" w:bidi="ar"/>
              </w:rPr>
              <w:t>信息安全工程师证书</w:t>
            </w:r>
            <w:r>
              <w:rPr>
                <w:rFonts w:hint="eastAsia" w:eastAsiaTheme="minorEastAsia"/>
                <w:color w:val="auto"/>
                <w:kern w:val="0"/>
                <w:sz w:val="24"/>
                <w:szCs w:val="24"/>
                <w:highlight w:val="none"/>
              </w:rPr>
              <w:t>）</w:t>
            </w:r>
            <w:r>
              <w:rPr>
                <w:rFonts w:hint="eastAsia" w:ascii="宋体" w:hAnsi="宋体" w:eastAsia="宋体" w:cs="宋体"/>
                <w:i w:val="0"/>
                <w:iCs w:val="0"/>
                <w:color w:val="auto"/>
                <w:kern w:val="0"/>
                <w:sz w:val="24"/>
                <w:szCs w:val="24"/>
                <w:highlight w:val="none"/>
                <w:u w:val="none"/>
                <w:lang w:val="en-US" w:eastAsia="zh-CN" w:bidi="ar"/>
              </w:rPr>
              <w:t>、</w:t>
            </w:r>
            <w:r>
              <w:rPr>
                <w:rFonts w:hint="eastAsia" w:eastAsiaTheme="minorEastAsia"/>
                <w:color w:val="auto"/>
                <w:kern w:val="0"/>
                <w:sz w:val="24"/>
                <w:szCs w:val="24"/>
                <w:highlight w:val="none"/>
              </w:rPr>
              <w:t>计算机技术与软件专业技术资格证书（</w:t>
            </w:r>
            <w:r>
              <w:rPr>
                <w:rFonts w:hint="eastAsia" w:ascii="宋体" w:hAnsi="宋体" w:eastAsia="宋体" w:cs="宋体"/>
                <w:i w:val="0"/>
                <w:iCs w:val="0"/>
                <w:color w:val="auto"/>
                <w:kern w:val="0"/>
                <w:sz w:val="24"/>
                <w:szCs w:val="24"/>
                <w:highlight w:val="none"/>
                <w:u w:val="none"/>
                <w:lang w:val="en-US" w:eastAsia="zh-CN" w:bidi="ar"/>
              </w:rPr>
              <w:t>网络工程师</w:t>
            </w:r>
            <w:r>
              <w:rPr>
                <w:rFonts w:hint="eastAsia" w:eastAsiaTheme="minorEastAsia"/>
                <w:color w:val="auto"/>
                <w:kern w:val="0"/>
                <w:sz w:val="24"/>
                <w:szCs w:val="24"/>
                <w:highlight w:val="none"/>
              </w:rPr>
              <w:t>）</w:t>
            </w:r>
            <w:r>
              <w:rPr>
                <w:rFonts w:hint="eastAsia" w:eastAsiaTheme="minorEastAsia"/>
                <w:color w:val="auto"/>
                <w:kern w:val="0"/>
                <w:sz w:val="24"/>
                <w:szCs w:val="24"/>
                <w:highlight w:val="none"/>
                <w:lang w:eastAsia="zh-CN"/>
              </w:rPr>
              <w:t>。</w:t>
            </w:r>
          </w:p>
        </w:tc>
        <w:tc>
          <w:tcPr>
            <w:tcW w:w="4465" w:type="dxa"/>
            <w:tcBorders>
              <w:top w:val="single" w:color="000000" w:sz="4" w:space="0"/>
              <w:left w:val="single" w:color="000000" w:sz="4" w:space="0"/>
              <w:bottom w:val="single" w:color="000000" w:sz="4" w:space="0"/>
              <w:right w:val="single" w:color="000000" w:sz="4" w:space="0"/>
            </w:tcBorders>
            <w:vAlign w:val="center"/>
          </w:tcPr>
          <w:p w14:paraId="188E7F8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具体负责日常巡检、值守、应急响应、重大活动运维保障、系统需求对接和数据需求服务等工作。</w:t>
            </w:r>
            <w:r>
              <w:rPr>
                <w:rFonts w:hint="eastAsia" w:ascii="宋体" w:hAnsi="宋体" w:eastAsia="宋体" w:cs="宋体"/>
                <w:b w:val="0"/>
                <w:bCs w:val="0"/>
                <w:color w:val="auto"/>
                <w:sz w:val="24"/>
                <w:szCs w:val="24"/>
                <w:highlight w:val="none"/>
              </w:rPr>
              <w:t>开展系统</w:t>
            </w:r>
            <w:r>
              <w:rPr>
                <w:rFonts w:hint="eastAsia" w:ascii="宋体" w:hAnsi="宋体" w:eastAsia="宋体" w:cs="宋体"/>
                <w:b w:val="0"/>
                <w:bCs w:val="0"/>
                <w:color w:val="auto"/>
                <w:sz w:val="24"/>
                <w:szCs w:val="24"/>
                <w:highlight w:val="none"/>
                <w:lang w:val="en-US" w:eastAsia="zh-CN"/>
              </w:rPr>
              <w:t>相关</w:t>
            </w:r>
            <w:r>
              <w:rPr>
                <w:rFonts w:hint="eastAsia" w:ascii="宋体" w:hAnsi="宋体" w:eastAsia="宋体" w:cs="宋体"/>
                <w:b w:val="0"/>
                <w:bCs w:val="0"/>
                <w:color w:val="auto"/>
                <w:sz w:val="24"/>
                <w:szCs w:val="24"/>
                <w:highlight w:val="none"/>
              </w:rPr>
              <w:t>的各类培训，解决用户提出的各种问题</w:t>
            </w:r>
            <w:r>
              <w:rPr>
                <w:rFonts w:hint="eastAsia" w:ascii="宋体" w:hAnsi="宋体" w:eastAsia="宋体" w:cs="宋体"/>
                <w:b w:val="0"/>
                <w:bCs w:val="0"/>
                <w:color w:val="auto"/>
                <w:sz w:val="24"/>
                <w:szCs w:val="24"/>
                <w:highlight w:val="none"/>
                <w:lang w:eastAsia="zh-CN"/>
              </w:rPr>
              <w:t>。</w:t>
            </w:r>
          </w:p>
        </w:tc>
        <w:tc>
          <w:tcPr>
            <w:tcW w:w="1050" w:type="dxa"/>
            <w:tcBorders>
              <w:top w:val="single" w:color="000000" w:sz="4" w:space="0"/>
              <w:left w:val="single" w:color="000000" w:sz="4" w:space="0"/>
              <w:bottom w:val="single" w:color="000000" w:sz="4" w:space="0"/>
              <w:right w:val="single" w:color="000000" w:sz="4" w:space="0"/>
            </w:tcBorders>
            <w:vAlign w:val="center"/>
          </w:tcPr>
          <w:p w14:paraId="3C71F1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驻场</w:t>
            </w:r>
          </w:p>
        </w:tc>
      </w:tr>
      <w:tr w14:paraId="09CC0429">
        <w:tblPrEx>
          <w:tblCellMar>
            <w:top w:w="0" w:type="dxa"/>
            <w:left w:w="108" w:type="dxa"/>
            <w:bottom w:w="0" w:type="dxa"/>
            <w:right w:w="108" w:type="dxa"/>
          </w:tblCellMar>
        </w:tblPrEx>
        <w:trPr>
          <w:trHeight w:val="0" w:hRule="atLeast"/>
          <w:jc w:val="center"/>
        </w:trPr>
        <w:tc>
          <w:tcPr>
            <w:tcW w:w="734" w:type="dxa"/>
            <w:tcBorders>
              <w:top w:val="single" w:color="000000" w:sz="4" w:space="0"/>
              <w:left w:val="single" w:color="000000" w:sz="4" w:space="0"/>
              <w:bottom w:val="single" w:color="000000" w:sz="4" w:space="0"/>
              <w:right w:val="single" w:color="000000" w:sz="4" w:space="0"/>
            </w:tcBorders>
            <w:tcMar>
              <w:top w:w="15" w:type="dxa"/>
              <w:left w:w="15" w:type="dxa"/>
              <w:bottom w:w="15" w:type="dxa"/>
              <w:right w:w="15" w:type="dxa"/>
            </w:tcMar>
            <w:vAlign w:val="center"/>
          </w:tcPr>
          <w:p w14:paraId="6C0715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远程运维人员</w:t>
            </w:r>
          </w:p>
        </w:tc>
        <w:tc>
          <w:tcPr>
            <w:tcW w:w="533" w:type="dxa"/>
            <w:tcBorders>
              <w:top w:val="single" w:color="000000" w:sz="4" w:space="0"/>
              <w:left w:val="single" w:color="000000" w:sz="4" w:space="0"/>
              <w:bottom w:val="single" w:color="000000" w:sz="4" w:space="0"/>
              <w:right w:val="single" w:color="000000" w:sz="4" w:space="0"/>
            </w:tcBorders>
            <w:vAlign w:val="center"/>
          </w:tcPr>
          <w:p w14:paraId="15825F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2490" w:type="dxa"/>
            <w:vMerge w:val="continue"/>
            <w:tcBorders>
              <w:left w:val="single" w:color="000000" w:sz="4" w:space="0"/>
              <w:bottom w:val="single" w:color="000000" w:sz="4" w:space="0"/>
              <w:right w:val="single" w:color="000000" w:sz="4" w:space="0"/>
            </w:tcBorders>
            <w:tcMar>
              <w:top w:w="15" w:type="dxa"/>
              <w:left w:w="15" w:type="dxa"/>
              <w:bottom w:w="15" w:type="dxa"/>
              <w:right w:w="15" w:type="dxa"/>
            </w:tcMar>
            <w:vAlign w:val="center"/>
          </w:tcPr>
          <w:p w14:paraId="102C3C0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p>
        </w:tc>
        <w:tc>
          <w:tcPr>
            <w:tcW w:w="4465" w:type="dxa"/>
            <w:tcBorders>
              <w:top w:val="single" w:color="000000" w:sz="4" w:space="0"/>
              <w:left w:val="single" w:color="000000" w:sz="4" w:space="0"/>
              <w:bottom w:val="single" w:color="000000" w:sz="4" w:space="0"/>
              <w:right w:val="single" w:color="000000" w:sz="4" w:space="0"/>
            </w:tcBorders>
            <w:vAlign w:val="center"/>
          </w:tcPr>
          <w:p w14:paraId="55BCBC3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b w:val="0"/>
                <w:bCs w:val="0"/>
                <w:color w:val="auto"/>
                <w:sz w:val="24"/>
                <w:szCs w:val="24"/>
                <w:highlight w:val="none"/>
                <w:lang w:val="en-US" w:eastAsia="zh-CN"/>
              </w:rPr>
              <w:t>负责为驻场人员</w:t>
            </w:r>
            <w:r>
              <w:rPr>
                <w:rFonts w:hint="eastAsia" w:ascii="宋体" w:hAnsi="宋体" w:eastAsia="宋体" w:cs="宋体"/>
                <w:b w:val="0"/>
                <w:bCs w:val="0"/>
                <w:color w:val="auto"/>
                <w:sz w:val="24"/>
                <w:szCs w:val="24"/>
                <w:highlight w:val="none"/>
              </w:rPr>
              <w:t>排查故障</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安全防护</w:t>
            </w:r>
            <w:r>
              <w:rPr>
                <w:rFonts w:hint="eastAsia" w:ascii="宋体" w:hAnsi="宋体" w:eastAsia="宋体" w:cs="宋体"/>
                <w:b w:val="0"/>
                <w:bCs w:val="0"/>
                <w:color w:val="auto"/>
                <w:sz w:val="24"/>
                <w:szCs w:val="24"/>
                <w:highlight w:val="none"/>
                <w:lang w:val="en-US" w:eastAsia="zh-CN"/>
              </w:rPr>
              <w:t>加固</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日常更新</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系统漏洞修复，告警</w:t>
            </w:r>
            <w:r>
              <w:rPr>
                <w:rFonts w:hint="eastAsia" w:ascii="宋体" w:hAnsi="宋体" w:eastAsia="宋体" w:cs="宋体"/>
                <w:b w:val="0"/>
                <w:bCs w:val="0"/>
                <w:color w:val="auto"/>
                <w:sz w:val="24"/>
                <w:szCs w:val="24"/>
                <w:highlight w:val="none"/>
                <w:lang w:val="en-US" w:eastAsia="zh-CN"/>
              </w:rPr>
              <w:t>处置等工作提供远程技术支持</w:t>
            </w:r>
            <w:r>
              <w:rPr>
                <w:rFonts w:hint="eastAsia" w:ascii="宋体" w:hAnsi="宋体" w:eastAsia="宋体" w:cs="宋体"/>
                <w:b w:val="0"/>
                <w:bCs w:val="0"/>
                <w:color w:val="auto"/>
                <w:sz w:val="24"/>
                <w:szCs w:val="24"/>
                <w:highlight w:val="none"/>
              </w:rPr>
              <w:t>。</w:t>
            </w:r>
          </w:p>
        </w:tc>
        <w:tc>
          <w:tcPr>
            <w:tcW w:w="1050" w:type="dxa"/>
            <w:tcBorders>
              <w:top w:val="single" w:color="000000" w:sz="4" w:space="0"/>
              <w:left w:val="single" w:color="000000" w:sz="4" w:space="0"/>
              <w:bottom w:val="single" w:color="000000" w:sz="4" w:space="0"/>
              <w:right w:val="single" w:color="000000" w:sz="4" w:space="0"/>
            </w:tcBorders>
            <w:vAlign w:val="center"/>
          </w:tcPr>
          <w:p w14:paraId="1A19B0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不驻场</w:t>
            </w:r>
          </w:p>
        </w:tc>
      </w:tr>
    </w:tbl>
    <w:p w14:paraId="5C8473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2.提供不少于20人专职驻场服务人员，不少于1人7*24驻场服务。提供至少1部服务热线及不少于3人驻场咨询服务人员。驻场工程师工作量不额外计费，驻场工程师具备本系统进行修改、调整能力。</w:t>
      </w:r>
    </w:p>
    <w:p w14:paraId="61C6E1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3.投标方承诺驻场服务人员每日按照招标方要求，定时汇报核心业务运行情况。</w:t>
      </w:r>
    </w:p>
    <w:p w14:paraId="1E80E65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ascii="Times New Roman" w:hAnsi="Times New Roman"/>
          <w:b w:val="0"/>
          <w:bCs w:val="0"/>
          <w:color w:val="auto"/>
          <w:sz w:val="24"/>
          <w:szCs w:val="24"/>
          <w:highlight w:val="none"/>
          <w:lang w:val="en-US"/>
        </w:rPr>
        <w:t>★4.人员稳定性要求。服务期内核心岗位（项目经理、技术负责人、安全工程师）人员变动率不得超过20%，普通岗位变动率不得超过30%；人员变动需提15个工作日提交申请，说明变动原因及替补人员资质，替补人员需经甲方面试合格并完成岗位交接（交接期不少于15个工作日）后方可上岗，确保服务连续性。</w:t>
      </w:r>
    </w:p>
    <w:p w14:paraId="6C7CF2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（三）运维服务要求</w:t>
      </w:r>
    </w:p>
    <w:p w14:paraId="17214C7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投标方应服从天津市医疗保障信息平台整体技术规范和管理规范，配合医保平台整体工作部署并能按照相关要求开展运维工作。</w:t>
      </w:r>
    </w:p>
    <w:p w14:paraId="44175EB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1.日常巡检服务</w:t>
      </w:r>
    </w:p>
    <w:p w14:paraId="6127A22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包含软件组件、网络环境、数据存储、安全防护等维度。采用自动化监测+人工核查结合方式，每日开展巡检，重点核查服务器资源占用、系统进程状态、数据同步情况、安全策略有效性，形成完整巡检记录，及时预警并处置潜在隐患。运维人员应熟悉天津市医疗障信息平台架构并能按照相关要求开展运维工作。此项服务要求由驻场人员执行。</w:t>
      </w:r>
    </w:p>
    <w:p w14:paraId="24B73B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1.1系统运行监控服务</w:t>
      </w:r>
    </w:p>
    <w:p w14:paraId="735362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1.1.1对接统一运维监控平台，构建全维度监控体系，覆盖云平台资源、软件服务（进程、连接数、响应时间）、业务指标（办理量、成功率）、安全态势（异常登录、攻击行为）及网络状态（带宽、延迟、连通性）。</w:t>
      </w:r>
    </w:p>
    <w:p w14:paraId="3FC00B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1.1.2设置多级告警阈值，通过短信、邮件等方式实时推送告警信息，确保告警响应及时，监控数据为系统优化提供支撑。 </w:t>
      </w:r>
    </w:p>
    <w:p w14:paraId="59A0B6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1.2巡检记录及日常运维清单管理</w:t>
      </w:r>
    </w:p>
    <w:p w14:paraId="1B44EB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1.2.1规范记录每日巡检情况，详细载明巡检时间、范围、结果、问题及处理措施，做到实时归档。</w:t>
      </w:r>
    </w:p>
    <w:p w14:paraId="6DBEC9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1.2.2制定标准化运维清单，涵盖服务器启停、服务重启、数据备份、权限调整等操作流程，明确责任人及注意事项，确保运维操作合规可控。</w:t>
      </w:r>
    </w:p>
    <w:p w14:paraId="7E74C2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1.2.3对系统存在的Bug和软件自身缺陷进行修正。</w:t>
      </w:r>
    </w:p>
    <w:p w14:paraId="46B6658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1.2.4 对所使用的开发维护工具进行补丁升级。</w:t>
      </w:r>
    </w:p>
    <w:p w14:paraId="7952B1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1.2.5采用电子+纸质双重归档方式，保障记录可追溯、可审计。每月提交运维报告。</w:t>
      </w:r>
    </w:p>
    <w:p w14:paraId="3D55247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1.3月报提交服务</w:t>
      </w:r>
    </w:p>
    <w:p w14:paraId="4630EA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1.3.1每月5日前提交运维月报，内容包括巡检概况、故障处理统计、升级变更情况、需求（包括数据与应用系统需求）处理进度、安全防护情况、资源运行态势、下月工作计划及优化建议。</w:t>
      </w:r>
    </w:p>
    <w:p w14:paraId="396058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1.3.2月报需数据真实、分析全面，及时报送业务主管部门及上级单位。</w:t>
      </w:r>
    </w:p>
    <w:p w14:paraId="00C670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2.系统故障与应急响应处理服务</w:t>
      </w:r>
    </w:p>
    <w:p w14:paraId="5EBB0A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2.1建立分级故障响应机制，针对系统崩溃、服务中断、功能异常、数据错误、网络故障等问题，按影响范围（单模块、多模块、全系统）分级响应。</w:t>
      </w:r>
    </w:p>
    <w:p w14:paraId="7A29EA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2.2一般故障15分钟内响应、2小时内解决；重大故障15分钟内响应，30分钟内控制事态，确保不影响医保经办、参保待遇享受等核心业务。</w:t>
      </w:r>
    </w:p>
    <w:p w14:paraId="54ED10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提供不少于4次应急响应处理服务，提供7*24小时事件响应、应急响应、处理及恢复服务；重大应急事件保证15分钟内做出响应并提供应急处理方案，保证30分钟内到达现场。应急服务完成后，负责工作记录、处理报告等相关文档的编制工作。如遇紧急事件临时需要提供应急响应处理服务，承诺无条件服从采购人安排。</w:t>
      </w:r>
    </w:p>
    <w:p w14:paraId="68461D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2.4提供驻场运维、电话咨询、现场响应等服务，故障处理后形成复盘报告，优化防控措施。</w:t>
      </w:r>
    </w:p>
    <w:p w14:paraId="7581CB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3.系统升级与优化变更服务</w:t>
      </w:r>
    </w:p>
    <w:p w14:paraId="4D1ED7A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★3.1针对国家医保局下发的系统软件进行部署、联调及运维工作。</w:t>
      </w:r>
    </w:p>
    <w:p w14:paraId="759FD49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针对已部署国家版本及新发版本，提供全流程升级服务，包括但不限于升级方案编制、兼容性测试、业务影响评估、错峰实施（避开业务高峰期）及回滚预案制定。</w:t>
      </w:r>
    </w:p>
    <w:p w14:paraId="2759A8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3.2主动开展程序执行效率优化，提高运行效率与资源利用效率。</w:t>
      </w:r>
    </w:p>
    <w:p w14:paraId="3E6AF8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3.3及时完成系统版本更新，确保升级优化过程数据迁移完整、功能衔接顺畅，变更后开展回归测试及用户告知。</w:t>
      </w:r>
    </w:p>
    <w:p w14:paraId="27E820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3.4系统变更需同步更新运维文档，记录变更内容、实施过程及效果。</w:t>
      </w:r>
    </w:p>
    <w:p w14:paraId="5C8546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3.4配合做好与其他系统承建单位的系统对接与联调测试工作。</w:t>
      </w:r>
    </w:p>
    <w:p w14:paraId="43240B9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3.5提供驻场运维服务</w:t>
      </w:r>
    </w:p>
    <w:p w14:paraId="40BD2B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b w:val="0"/>
          <w:bCs w:val="0"/>
          <w:color w:val="auto"/>
          <w:sz w:val="24"/>
          <w:szCs w:val="24"/>
          <w:highlight w:val="none"/>
          <w:lang w:val="en-US" w:eastAsia="zh-CN"/>
        </w:rPr>
        <w:t>4</w:t>
      </w:r>
      <w:r>
        <w:rPr>
          <w:rFonts w:hint="eastAsia" w:ascii="Times New Roman" w:hAnsi="Times New Roman"/>
          <w:b w:val="0"/>
          <w:bCs w:val="0"/>
          <w:color w:val="auto"/>
          <w:sz w:val="24"/>
          <w:szCs w:val="24"/>
          <w:highlight w:val="none"/>
          <w:lang w:val="en-US"/>
        </w:rPr>
        <w:t>.需求接收及变更服务</w:t>
      </w:r>
    </w:p>
    <w:p w14:paraId="1A5D7E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中标方须严格遵守包括但不限于《全国医疗保障系统核心业务区骨干网络建设指南》（医保网信办〔2019〕40 号）、《医疗保障信息系统安全开发规范》、《医保信息平台电子凭证技术规范》、《医保信息平台用户界面规范》、《医疗保障标准化工作指导意见》（医保发〔2019〕39号）、《医疗保障信息平台建设指南》（医保网信办〔2019〕4 号）《XJ-A01-2019 医疗保障信息平台云计算平台规范》、《XJ-B01-2019 医疗保障信息平台应用系统技术架构规范》、《XJ-D03-2022 医疗保障信息平台电子处方中心技术规范》、《医疗保障信息平台数据归集交换库设计说明书》、《医疗保障信息平台数据库设计规范》、《医疗保障信息平台内部统一门户集成规范》、《医疗保障信息平台用户交互设计规范》、《医疗保障信息平台生物识别数据规范》、《医疗保障信息平台医保区划编码规范》等一系列规章制度、技术标准、数据安全、网络安全的管理要求，并承担制度中明确的相关责任。</w:t>
      </w:r>
    </w:p>
    <w:p w14:paraId="13ADEB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4.1服务期内，由于业务变化，在原有业务流程、功能要素、数据结构等不变情况下对现有功能模块进行的调整均纳入维保项目。</w:t>
      </w:r>
    </w:p>
    <w:p w14:paraId="664F94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4.2数据提取、数据修改、系统调优等原因引发的数据接口开发、小规模校验规则修改、经办流程微调、参数调整等纳入运维工作范围，由中标单位负责业务需求的开发等相关工作。</w:t>
      </w:r>
    </w:p>
    <w:p w14:paraId="62A631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4.3遇重大需求变更，中标方应对需求进行合规性、可行性审核，开展影响分析及方案评审，对需求涉及的项目建设范围进行评估，并将评估结果及时反馈有关集成单位和监理单位。</w:t>
      </w:r>
    </w:p>
    <w:p w14:paraId="65F0EF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4.4中标单位需同步调整运维保障策略，更新运维保障范围，确保变更落地不影响系统稳定性。同步更新用户使用手册、系统操作手册、系统部署方案、安装部署手册等材料。</w:t>
      </w:r>
    </w:p>
    <w:p w14:paraId="484BB3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4.5协助云HIS定点应用机构及时完成与医院医保系统的接口维护工作。</w:t>
      </w:r>
    </w:p>
    <w:p w14:paraId="42D128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4.6配合定点护理机构及时完成接口改造工作。</w:t>
      </w:r>
    </w:p>
    <w:p w14:paraId="76C5EB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4.7配合业务部门做好与津心办等其他政务服务部门的对接工作。</w:t>
      </w:r>
    </w:p>
    <w:p w14:paraId="17A892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4.8提供5*8小时驻场运维服务，遇突发工作要求，需提供7*24小时响应，必要是应配合投标方组员技术人员提供现场技术支持。中标单位应配合业务人员需求，驻场人员可现场进行需求对接，实现驻场开发。</w:t>
      </w:r>
    </w:p>
    <w:p w14:paraId="228C7A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4.9云HIS、长护险机构端不另外提供定点医药机构、护理机构、评估机构驻场服务，需提供7*24小时远程电话支持，遇特殊情况应提供上门服务，服务内容如实记录，报信息化管理部门。</w:t>
      </w:r>
    </w:p>
    <w:p w14:paraId="3785CB9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5.人员和权限调整服务</w:t>
      </w:r>
    </w:p>
    <w:p w14:paraId="65CA1D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5.1遵循招标方要求，对应用软件的人员、角色权限、功能菜单进行必要调整、增减和变更，确保各类人员分配合适权限。</w:t>
      </w:r>
    </w:p>
    <w:p w14:paraId="4D5A6E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5.2支持人员角色、功能菜单、操作权限的灵活调整，确保权限分配与岗位职责匹配，调整过程需经审批并留存操作日志。</w:t>
      </w:r>
    </w:p>
    <w:p w14:paraId="3A1099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5.3定期开展权限审计，清理冗余权限、排查权限冲突，保障系统操作可追溯。</w:t>
      </w:r>
    </w:p>
    <w:p w14:paraId="16CB82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b w:val="0"/>
          <w:bCs w:val="0"/>
          <w:color w:val="auto"/>
          <w:sz w:val="24"/>
          <w:szCs w:val="24"/>
          <w:highlight w:val="none"/>
          <w:lang w:val="en-US" w:eastAsia="zh-CN"/>
        </w:rPr>
        <w:t>6</w:t>
      </w:r>
      <w:r>
        <w:rPr>
          <w:rFonts w:hint="eastAsia" w:ascii="Times New Roman" w:hAnsi="Times New Roman"/>
          <w:b w:val="0"/>
          <w:bCs w:val="0"/>
          <w:color w:val="auto"/>
          <w:sz w:val="24"/>
          <w:szCs w:val="24"/>
          <w:highlight w:val="none"/>
          <w:lang w:val="en-US"/>
        </w:rPr>
        <w:t>.安全服务要求</w:t>
      </w:r>
    </w:p>
    <w:p w14:paraId="799D07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严格按照国家和天津市相关安全体系文件的要求提供安全保障，本着“谁运维、谁负责”的原则建立和落实运维安全管理制度。投标方需在投标文件中明确，本项目中数据（包含原始数据和衍生数据）全部为招标方所有，全部列入保密范围，投标方不得未经用户许可的情况下导出、分析以及移作他用。投标方需依据与采购方签订的保密协议或提供保密承诺，承诺投标方及其员工不透露或者以其它方式提供给第三方。承担核心数据库运维的服务商员工需与采购方单独签署保密协议或提供保密承诺，主动配合招标方开展个人背景调查工作。（特殊情况以合同为准）</w:t>
      </w:r>
    </w:p>
    <w:p w14:paraId="2C171CC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7.应用指导与技术支持</w:t>
      </w:r>
    </w:p>
    <w:p w14:paraId="4E617DC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7.1为不同的系统对接用户建立多渠道服务体系（驻场咨询、技术支持邮箱、服务热线、在线客服），响应用户操作疑问、功能咨询、问题反馈。确保用户反馈响应率100%、解决率不低于98%，形成问题处理闭环。</w:t>
      </w:r>
    </w:p>
    <w:p w14:paraId="19D45EA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7.2为参保群众、参保单位、药品与耗材生产企业等外部系统应用用户提供多元化指导服务，编制操作手册、常见问题清单，录制培训视频，支撑自助办事需求。提供5×8小时线上以及电话热线服务，遇特殊情况需及时响应招标人要求提供阶段性24小时远程电话服务。</w:t>
      </w:r>
    </w:p>
    <w:p w14:paraId="269E88A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7.3为内部业务经办人员提供系统操作、故障处理、政策适配等专项培训，采用线上线下授课、实操演练等形式。提供多元化指导服务，编制用户操作手册、常见问题清单，录制培训视频，协助提升经办服务效能。提供5×8小时现场业务咨询及软件操作指导，7*24小时远程电话咨询服务。确保用户熟练使用系统功能。</w:t>
      </w:r>
    </w:p>
    <w:p w14:paraId="517BA0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7.4配合有关部门开展系统推广、数据核查、攻防演练、业务演练等工作。提供技术支撑。 </w:t>
      </w:r>
    </w:p>
    <w:p w14:paraId="120332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8.密评改造服务</w:t>
      </w:r>
    </w:p>
    <w:p w14:paraId="734607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8.1依据国家密码应用安全性评估标准，完成系统敏感数据加密改造（含数据库、网厅、管理后台），确保数据传输、存储、使用全流程加密合规。</w:t>
      </w:r>
    </w:p>
    <w:p w14:paraId="6BE6E6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8.2优化系统，满足密评要求，配合密评机构开展评估测试，及时整改发现问题，完成密评备案并建立长效机制。</w:t>
      </w:r>
    </w:p>
    <w:p w14:paraId="2CAC37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8.3配合年度等级保护测评、密评相关巡检，并按要求完成整改工作，确保系统合规运行。</w:t>
      </w:r>
    </w:p>
    <w:p w14:paraId="789F7B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9.漏洞扫描配合服务</w:t>
      </w:r>
    </w:p>
    <w:p w14:paraId="6EF961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9.1配合上级单位及安全服务机构代码审计工作，按照漏洞扫描工作要求，提供系统拓扑、资产清单等技术支持，并按要求完成整改工作。</w:t>
      </w:r>
    </w:p>
    <w:p w14:paraId="4490270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9.2对扫描发现的高危、中危漏洞进行优先级排序，制定整改方案并实施修复，整改完成后配合复扫，确保漏洞闭环修复率100%。</w:t>
      </w:r>
    </w:p>
    <w:p w14:paraId="26BFBF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9.3建立漏洞库，总结防控规律，提升系统安全防护能力。</w:t>
      </w:r>
    </w:p>
    <w:p w14:paraId="73585D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10.数据需求与支持服务</w:t>
      </w:r>
    </w:p>
    <w:p w14:paraId="73CF66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中标方须严格遵守包括但不限于《医疗保障信息平台数据库设计规范》、《医疗保障信息平台用户交互设计规范》、《医疗保障信息平台生物识别数据规范》、《医疗保障信息平台医保区划编码规范》、《医疗保障信息平台数据归集技术规范》《医疗保障信息平台数据归集交换库设计说明书》等一系列国家及本市有关政策、技术规范、数据安全、网络安全管理要求，负责数据中台相关运维服务、医保数据归集运维服务、医保数据治理运维服务、医保数据提取分析运维服务、数据治理业务培训服务等并承担制度中明确的相关责任。</w:t>
      </w:r>
    </w:p>
    <w:p w14:paraId="7CE201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10.1提供数据提取、核对、备份、恢复、清理、更新、优化等全生命周期服务，保障数据完整性、准确性、安全性。</w:t>
      </w:r>
    </w:p>
    <w:p w14:paraId="274ED95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10.2负责数据治理工作。按照国家医保局数据标准规范和市医保局业务部门数据治理要求，对天津市医保平台应用系统产生的脏数据、数据中台统一汇聚后的脏数据、国家医保局反馈的脏数据以及其他相关场景产生的脏数据进行全面分析、监控和治理，制定和完善数据归集上报流程和质量校验规则，开发相应的校验脚本，形成医保数据质控规则库，并定期产出数据质量分析报告。数据治理工作包括:一是开展数据关联性验证、主外键约束处理、数据矛盾处理、数据逻辑错误处理等技术侧治理;二是开展非标业务编码使用处理、非标数据字典使用处理、数据缺失处理等业务侧治理(业务侧数据治理会涉及向医保经办机构、参保人员、医疗机构或企业等调查核实数据);三是开展数据质控，并根据市医保局工作安排，开启数据上传接口校验，从源头避免脏数据产生。</w:t>
      </w:r>
    </w:p>
    <w:p w14:paraId="3D8C40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10.3高效完成数据归集工作。投标方需按照国家医保局数据归集同步机制，负责保障医保平台数据正常同步至国家医保平台，全天候监控数据归集同步进程及问题，定期检查资源使用情况，第一时间解决归集出现的中断、报错等故障，确保符合国家医保局对于数据归集的及时性、一致性、准确性、完整性要求。</w:t>
      </w:r>
    </w:p>
    <w:p w14:paraId="113C4A1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10.4支持合规的数据共享交换需求，保障与其他政务平台数据对接顺畅，提供数据脱敏、索引优化、查询优化等服务。</w:t>
      </w:r>
    </w:p>
    <w:p w14:paraId="1BFF2EC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10.5配合各有关单位工作，负责提供运维服务范围内合理合规的数据服务。</w:t>
      </w:r>
    </w:p>
    <w:p w14:paraId="18E3A5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负责完成对应服务期内应用系统年度和月度参数初始化工作：负责配合信息化部门完成个性化数据查询、统计、提取和分析测算工作；配合做好异地联网结算费用三方对账工作；按时完成与审计局数据共享工作：负责做好与财务数据的对帐工作；做好程序问题产生的错误数据恢复工作。</w:t>
      </w:r>
    </w:p>
    <w:p w14:paraId="28DC636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10.6负责做好运维范围内应用系统配合做好异地灾备等安全演练工作。</w:t>
      </w:r>
    </w:p>
    <w:p w14:paraId="5735DB5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10.7配合做好历史数据迁移与应用工作。</w:t>
      </w:r>
    </w:p>
    <w:p w14:paraId="57DDA9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10.8服务方式为驻场服务。</w:t>
      </w:r>
    </w:p>
    <w:p w14:paraId="4AA0AA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11.重保服务</w:t>
      </w:r>
    </w:p>
    <w:p w14:paraId="417239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供每年不少于6次重大活动期间安全保障服务，启动专项重保机制，制定保障方案，明确责任分工及应急流程。重保前开展全系统排查加固，升级安全策略。重保期间派驻专业工程师提供7*24小时现场技术支持，增强信息安全防护的技术力量，实时监控系统状态，与应急部门建立联动，及时处置应急安全事件。确保零重大故障、零安全事件。</w:t>
      </w:r>
    </w:p>
    <w:p w14:paraId="1BEB12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重大活动包括重要节假日、重大活动或其他招标人明确要求的活动。</w:t>
      </w:r>
    </w:p>
    <w:p w14:paraId="5EE181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12.质量管理要求</w:t>
      </w:r>
    </w:p>
    <w:p w14:paraId="1F333AA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在项目实施全过程中，招标方有对运维质量进行监督控制的职责和权利，运维承建商应按照项目管理要求进行严格的质量控制，并制定详细合理的沟通计划，至少包括周报、月报和运维例会，应确保双方能及时了解所需的信息。</w:t>
      </w:r>
    </w:p>
    <w:p w14:paraId="0940A5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13.运维文档编制与管理</w:t>
      </w:r>
    </w:p>
    <w:p w14:paraId="060486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构建完整运维文档体系，包含系统基础资料（拓扑图、资产清单、配置参数等）、操作手册（巡检、故障处理、升级变更）、安全保障文档（密评方案、漏洞报告、应急预案）、服务记录文档及管理类文档（巡检记录、月报、总结等）。</w:t>
      </w:r>
    </w:p>
    <w:p w14:paraId="7F1401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13.2建立文档版本管理机制，及时更新以匹配系统变更，采用权限管控方式存储，确保文档准确、完整、可访问。</w:t>
      </w:r>
    </w:p>
    <w:p w14:paraId="77E0E446">
      <w:pPr>
        <w:rPr>
          <w:rFonts w:ascii="Times New Roman" w:hAnsi="Times New Roman"/>
          <w:b w:val="0"/>
          <w:bCs w:val="0"/>
          <w:color w:val="auto"/>
          <w:sz w:val="24"/>
          <w:szCs w:val="24"/>
          <w:highlight w:val="none"/>
          <w:lang w:val="en-US"/>
        </w:rPr>
      </w:pPr>
      <w:r>
        <w:rPr>
          <w:rFonts w:ascii="Times New Roman" w:hAnsi="Times New Roman"/>
          <w:b w:val="0"/>
          <w:bCs w:val="0"/>
          <w:color w:val="auto"/>
          <w:sz w:val="24"/>
          <w:szCs w:val="24"/>
          <w:highlight w:val="none"/>
          <w:lang w:val="en-US"/>
        </w:rPr>
        <w:br w:type="page"/>
      </w:r>
    </w:p>
    <w:p w14:paraId="5DB446A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b/>
          <w:bCs/>
          <w:color w:val="auto"/>
          <w:sz w:val="24"/>
          <w:szCs w:val="24"/>
          <w:highlight w:val="none"/>
          <w:lang w:val="en-US"/>
        </w:rPr>
      </w:pPr>
      <w:bookmarkStart w:id="10" w:name="第八包需求"/>
      <w:r>
        <w:rPr>
          <w:rFonts w:hint="eastAsia" w:ascii="Times New Roman" w:hAnsi="Times New Roman"/>
          <w:b/>
          <w:bCs/>
          <w:color w:val="auto"/>
          <w:sz w:val="24"/>
          <w:szCs w:val="24"/>
          <w:highlight w:val="none"/>
          <w:lang w:val="en-US"/>
        </w:rPr>
        <w:t>第八包</w:t>
      </w:r>
    </w:p>
    <w:bookmarkEnd w:id="10"/>
    <w:p w14:paraId="5E40E77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（一）运维软件介绍</w:t>
      </w:r>
    </w:p>
    <w:p w14:paraId="38B401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1、公文管理功能</w:t>
      </w:r>
    </w:p>
    <w:p w14:paraId="71AB6DB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公文电子收发和文档管理的自动化，主要包括公文管理和公文办理等功能，并且公文的正文支持修改留痕、电子盖章等功能。公文管理包括文件资料柜管理、公文检索、公文统计功能、流式文件、国家标准的OFD版式文件、电子公文交互，公文办理包括收文办理、制发办理流程，同时实现笔迹键盘批示、可跟踪文件办理过程、办文跟踪与重发未收到的办件、可查看所有办件、分支流转。功能如下：</w:t>
      </w:r>
    </w:p>
    <w:p w14:paraId="1AD678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（1）发文管理：拟稿、审核、会签、签发、电子盖章等。</w:t>
      </w:r>
    </w:p>
    <w:p w14:paraId="1E78CA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（2）收文管理：收文登记、拟办、转文、阅批、阅处等。</w:t>
      </w:r>
    </w:p>
    <w:p w14:paraId="2639231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（3）呈报管理：起草公文、审核、阅批、阅示等。</w:t>
      </w:r>
    </w:p>
    <w:p w14:paraId="024618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（4）查询统计：检索、统计等。</w:t>
      </w:r>
    </w:p>
    <w:p w14:paraId="061AEE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系统具备内容管理功能、系统管理功能、档案管理功能、值班管理功能等。</w:t>
      </w:r>
    </w:p>
    <w:p w14:paraId="4A689F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2、内容管理功能</w:t>
      </w:r>
    </w:p>
    <w:p w14:paraId="695A6F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利用内容管理系统实现单位可定制化的资源门户。可权限维护不同的栏目、专题。此类模块可将重要通知、单位文化、规章制度、热点新闻等信息展示给用户。</w:t>
      </w:r>
    </w:p>
    <w:p w14:paraId="2C04E5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3、辅助功能</w:t>
      </w:r>
    </w:p>
    <w:p w14:paraId="02F1E8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办公系统辅助功能包含，待办短信提醒、急件短信提醒功能模块。</w:t>
      </w:r>
    </w:p>
    <w:p w14:paraId="7EAC77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（1）待办短信提醒，通过对接短信平台，接收待办提醒，当收到待办文件的同时会收到一条提醒短信，提醒用户收到待办理的公文，及时办理。</w:t>
      </w:r>
    </w:p>
    <w:p w14:paraId="027F06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（2）急件短信提醒，通过对接短信平台，用户可以在发送紧急公文时设置发送短信，提醒用户收到待办理的公文，及时办理。</w:t>
      </w:r>
    </w:p>
    <w:p w14:paraId="051280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4、系统管理功能</w:t>
      </w:r>
    </w:p>
    <w:p w14:paraId="6AF820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（1）组织机构管理将现实中的组织架构录入到系统中进行线上高效的管理，该模块可以将组织架构清晰的展现给用户，并提供管理员可在线对组织机构信息进行增、删、改、查等操作。</w:t>
      </w:r>
    </w:p>
    <w:p w14:paraId="15AE33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（2）系统配置分为常用参数管理、归档配置、密码策略管理；</w:t>
      </w:r>
    </w:p>
    <w:p w14:paraId="35A311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可实现办文单的定制化；实现公文草稿模板管理；实现发文文号管理。</w:t>
      </w:r>
    </w:p>
    <w:p w14:paraId="25CF1E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（3）具备应用目录服务和资源应用系统；</w:t>
      </w:r>
    </w:p>
    <w:p w14:paraId="6C991B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专网上各个节点单位都可在本单位网络向专网的每位用户提供有权限的或无权限访问的应用系统；系统向用户提供访问多个应用系统的单点登录功能；每位专网用户能享受到本单位和专网上各单位提供给他的各种资源，实现用户信息管理；实现用户权限管理。</w:t>
      </w:r>
    </w:p>
    <w:p w14:paraId="2227F63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5、档案管理功能</w:t>
      </w:r>
    </w:p>
    <w:p w14:paraId="7BCEF2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实现机关档案室档案管理功能，包括档案盒、档案年库的管理，借阅管理、统计、日志管理、检索等功能。可在线整理、在线借阅、在线鉴定纠错、在线移交到市档案馆。</w:t>
      </w:r>
    </w:p>
    <w:p w14:paraId="1823684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6、值班管理功能</w:t>
      </w:r>
    </w:p>
    <w:p w14:paraId="17515E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实现机关单位人员值班的网上管理和及时提醒值班人的业务需求，用户可在值班列表和系统首页值班管理栏目下，查看值班信息。</w:t>
      </w:r>
    </w:p>
    <w:p w14:paraId="6BA45A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color w:val="auto"/>
          <w:sz w:val="24"/>
          <w:szCs w:val="24"/>
          <w:highlight w:val="none"/>
          <w:lang w:val="en-US"/>
        </w:rPr>
      </w:pPr>
      <w:r>
        <w:rPr>
          <w:rFonts w:hint="eastAsia" w:ascii="Times New Roman" w:hAnsi="Times New Roman" w:eastAsia="宋体" w:cs="Times New Roman"/>
          <w:b w:val="0"/>
          <w:bCs w:val="0"/>
          <w:color w:val="auto"/>
          <w:sz w:val="24"/>
          <w:szCs w:val="24"/>
          <w:highlight w:val="none"/>
          <w:lang w:val="en-US"/>
        </w:rPr>
        <w:t>（二）运维人员要求</w:t>
      </w:r>
    </w:p>
    <w:tbl>
      <w:tblPr>
        <w:tblStyle w:val="17"/>
        <w:tblW w:w="95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
        <w:gridCol w:w="1260"/>
        <w:gridCol w:w="715"/>
        <w:gridCol w:w="2510"/>
        <w:gridCol w:w="3042"/>
        <w:gridCol w:w="1157"/>
      </w:tblGrid>
      <w:tr w14:paraId="7F5CF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655DACC4">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序号</w:t>
            </w:r>
          </w:p>
        </w:tc>
        <w:tc>
          <w:tcPr>
            <w:tcW w:w="1260" w:type="dxa"/>
            <w:vAlign w:val="center"/>
          </w:tcPr>
          <w:p w14:paraId="53AC3242">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岗位名称</w:t>
            </w:r>
          </w:p>
        </w:tc>
        <w:tc>
          <w:tcPr>
            <w:tcW w:w="715" w:type="dxa"/>
            <w:vAlign w:val="center"/>
          </w:tcPr>
          <w:p w14:paraId="4E303083">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人数</w:t>
            </w:r>
          </w:p>
        </w:tc>
        <w:tc>
          <w:tcPr>
            <w:tcW w:w="2510" w:type="dxa"/>
            <w:vAlign w:val="center"/>
          </w:tcPr>
          <w:p w14:paraId="2DC751C3">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要求</w:t>
            </w:r>
          </w:p>
        </w:tc>
        <w:tc>
          <w:tcPr>
            <w:tcW w:w="3042" w:type="dxa"/>
            <w:vAlign w:val="center"/>
          </w:tcPr>
          <w:p w14:paraId="74B1AFD4">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工作职责</w:t>
            </w:r>
          </w:p>
        </w:tc>
        <w:tc>
          <w:tcPr>
            <w:tcW w:w="1157" w:type="dxa"/>
            <w:vAlign w:val="top"/>
          </w:tcPr>
          <w:p w14:paraId="12C02B98">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是否驻场服务</w:t>
            </w:r>
          </w:p>
        </w:tc>
      </w:tr>
      <w:tr w14:paraId="2E4C5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3737F288">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1260" w:type="dxa"/>
            <w:vAlign w:val="center"/>
          </w:tcPr>
          <w:p w14:paraId="7C4A398E">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项目经理</w:t>
            </w:r>
          </w:p>
        </w:tc>
        <w:tc>
          <w:tcPr>
            <w:tcW w:w="715" w:type="dxa"/>
            <w:vAlign w:val="center"/>
          </w:tcPr>
          <w:p w14:paraId="1DD50B0C">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2510" w:type="dxa"/>
            <w:vAlign w:val="center"/>
          </w:tcPr>
          <w:p w14:paraId="083AE84B">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eastAsia"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具备5年</w:t>
            </w:r>
            <w:r>
              <w:rPr>
                <w:rFonts w:hint="eastAsia" w:cs="Times New Roman"/>
                <w:color w:val="auto"/>
                <w:sz w:val="24"/>
                <w:szCs w:val="24"/>
                <w:highlight w:val="none"/>
                <w:lang w:val="en-US" w:eastAsia="zh-CN"/>
              </w:rPr>
              <w:t>或以上软件</w:t>
            </w:r>
            <w:r>
              <w:rPr>
                <w:rFonts w:hint="default" w:ascii="Times New Roman" w:hAnsi="Times New Roman" w:eastAsia="宋体" w:cs="Times New Roman"/>
                <w:color w:val="auto"/>
                <w:sz w:val="24"/>
                <w:szCs w:val="24"/>
                <w:highlight w:val="none"/>
              </w:rPr>
              <w:t>系统运维工作经验</w:t>
            </w:r>
            <w:r>
              <w:rPr>
                <w:rFonts w:hint="eastAsia"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具备ITSS IT项目经理证书</w:t>
            </w:r>
            <w:r>
              <w:rPr>
                <w:rFonts w:hint="eastAsia" w:cs="Times New Roman"/>
                <w:color w:val="auto"/>
                <w:sz w:val="24"/>
                <w:szCs w:val="24"/>
                <w:highlight w:val="none"/>
                <w:lang w:eastAsia="zh-CN"/>
              </w:rPr>
              <w:t>。</w:t>
            </w:r>
          </w:p>
        </w:tc>
        <w:tc>
          <w:tcPr>
            <w:tcW w:w="3042" w:type="dxa"/>
            <w:vAlign w:val="center"/>
          </w:tcPr>
          <w:p w14:paraId="6CD960FB">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从事IT服务项目管理工作：IT服务项目的规划设计、部署实施、运营和监督管理、持续改进、服务团队建设和管理</w:t>
            </w:r>
          </w:p>
        </w:tc>
        <w:tc>
          <w:tcPr>
            <w:tcW w:w="1157" w:type="dxa"/>
            <w:vAlign w:val="center"/>
          </w:tcPr>
          <w:p w14:paraId="494A450B">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不驻场</w:t>
            </w:r>
          </w:p>
          <w:p w14:paraId="14B7D265">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Times New Roman" w:hAnsi="Times New Roman" w:eastAsia="宋体" w:cs="Times New Roman"/>
                <w:color w:val="auto"/>
                <w:sz w:val="24"/>
                <w:szCs w:val="24"/>
                <w:highlight w:val="none"/>
              </w:rPr>
            </w:pPr>
          </w:p>
        </w:tc>
      </w:tr>
      <w:tr w14:paraId="1C3F7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2D6E87D4">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2</w:t>
            </w:r>
          </w:p>
        </w:tc>
        <w:tc>
          <w:tcPr>
            <w:tcW w:w="1260" w:type="dxa"/>
            <w:vAlign w:val="center"/>
          </w:tcPr>
          <w:p w14:paraId="32F4500B">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开发工程师</w:t>
            </w:r>
          </w:p>
        </w:tc>
        <w:tc>
          <w:tcPr>
            <w:tcW w:w="715" w:type="dxa"/>
            <w:vAlign w:val="center"/>
          </w:tcPr>
          <w:p w14:paraId="79B35377">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1</w:t>
            </w:r>
          </w:p>
        </w:tc>
        <w:tc>
          <w:tcPr>
            <w:tcW w:w="2510" w:type="dxa"/>
            <w:vAlign w:val="center"/>
          </w:tcPr>
          <w:p w14:paraId="582A5E84">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具备</w:t>
            </w:r>
            <w:r>
              <w:rPr>
                <w:rFonts w:hint="eastAsia" w:cs="Times New Roman"/>
                <w:color w:val="auto"/>
                <w:sz w:val="24"/>
                <w:szCs w:val="24"/>
                <w:highlight w:val="none"/>
                <w:lang w:val="en-US" w:eastAsia="zh-CN"/>
              </w:rPr>
              <w:t>工程技术系列中级或以上职称证书（计算机相关专业）。</w:t>
            </w:r>
          </w:p>
        </w:tc>
        <w:tc>
          <w:tcPr>
            <w:tcW w:w="3042" w:type="dxa"/>
            <w:vAlign w:val="center"/>
          </w:tcPr>
          <w:p w14:paraId="21E00DCE">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系统开发和调试工作</w:t>
            </w:r>
          </w:p>
        </w:tc>
        <w:tc>
          <w:tcPr>
            <w:tcW w:w="1157" w:type="dxa"/>
            <w:vAlign w:val="center"/>
          </w:tcPr>
          <w:p w14:paraId="589CF1A2">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不驻场</w:t>
            </w:r>
          </w:p>
        </w:tc>
      </w:tr>
      <w:tr w14:paraId="60F98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5" w:type="dxa"/>
            <w:vAlign w:val="center"/>
          </w:tcPr>
          <w:p w14:paraId="6988DBF5">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3</w:t>
            </w:r>
          </w:p>
        </w:tc>
        <w:tc>
          <w:tcPr>
            <w:tcW w:w="1260" w:type="dxa"/>
            <w:vAlign w:val="center"/>
          </w:tcPr>
          <w:p w14:paraId="2A888A8E">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运维人员</w:t>
            </w:r>
          </w:p>
        </w:tc>
        <w:tc>
          <w:tcPr>
            <w:tcW w:w="715" w:type="dxa"/>
            <w:vAlign w:val="center"/>
          </w:tcPr>
          <w:p w14:paraId="3A0E9C76">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4</w:t>
            </w:r>
          </w:p>
        </w:tc>
        <w:tc>
          <w:tcPr>
            <w:tcW w:w="2510" w:type="dxa"/>
            <w:vAlign w:val="center"/>
          </w:tcPr>
          <w:p w14:paraId="31A79E7F">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eastAsia"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具备大学本科或以上学历</w:t>
            </w:r>
            <w:r>
              <w:rPr>
                <w:rFonts w:hint="eastAsia"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具备3年</w:t>
            </w:r>
            <w:r>
              <w:rPr>
                <w:rFonts w:hint="eastAsia" w:cs="Times New Roman"/>
                <w:color w:val="auto"/>
                <w:sz w:val="24"/>
                <w:szCs w:val="24"/>
                <w:highlight w:val="none"/>
                <w:lang w:val="en-US" w:eastAsia="zh-CN"/>
              </w:rPr>
              <w:t>或以上软件</w:t>
            </w:r>
            <w:r>
              <w:rPr>
                <w:rFonts w:hint="default" w:ascii="Times New Roman" w:hAnsi="Times New Roman" w:eastAsia="宋体" w:cs="Times New Roman"/>
                <w:color w:val="auto"/>
                <w:sz w:val="24"/>
                <w:szCs w:val="24"/>
                <w:highlight w:val="none"/>
              </w:rPr>
              <w:t>系统运维工作经验</w:t>
            </w:r>
            <w:r>
              <w:rPr>
                <w:rFonts w:hint="eastAsia" w:cs="Times New Roman"/>
                <w:color w:val="auto"/>
                <w:sz w:val="24"/>
                <w:szCs w:val="24"/>
                <w:highlight w:val="none"/>
                <w:lang w:eastAsia="zh-CN"/>
              </w:rPr>
              <w:t>。</w:t>
            </w:r>
          </w:p>
        </w:tc>
        <w:tc>
          <w:tcPr>
            <w:tcW w:w="3042" w:type="dxa"/>
            <w:vAlign w:val="center"/>
          </w:tcPr>
          <w:p w14:paraId="1D028652">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系统</w:t>
            </w:r>
            <w:r>
              <w:rPr>
                <w:rFonts w:hint="default" w:ascii="Times New Roman" w:hAnsi="Times New Roman" w:eastAsia="宋体" w:cs="Times New Roman"/>
                <w:color w:val="auto"/>
                <w:sz w:val="24"/>
                <w:szCs w:val="24"/>
                <w:highlight w:val="none"/>
              </w:rPr>
              <w:t>部署实施、运营持续改进</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运营等</w:t>
            </w:r>
          </w:p>
        </w:tc>
        <w:tc>
          <w:tcPr>
            <w:tcW w:w="1157" w:type="dxa"/>
            <w:vAlign w:val="center"/>
          </w:tcPr>
          <w:p w14:paraId="37D99961">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不驻场</w:t>
            </w:r>
          </w:p>
          <w:p w14:paraId="0C9ADBA5">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Times New Roman" w:hAnsi="Times New Roman" w:eastAsia="宋体" w:cs="Times New Roman"/>
                <w:color w:val="auto"/>
                <w:sz w:val="24"/>
                <w:szCs w:val="24"/>
                <w:highlight w:val="none"/>
              </w:rPr>
            </w:pPr>
          </w:p>
        </w:tc>
      </w:tr>
    </w:tbl>
    <w:p w14:paraId="5FD56E6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1.投标方承诺驻场服务人员每日按照招标方要求，定时汇报核心业务运行情况。</w:t>
      </w:r>
    </w:p>
    <w:p w14:paraId="78581F0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人员稳定性要求。服务期内核心岗位（项目经理、工程师等）人员变动率不得超过20%，普通岗位变动率不得超过30%；人员变动需提15个工作日提交申请，说明变动原因及替补人员资质，替补人员需经甲方面试合格并完成岗位交接（交接期不少于15个工作日）后方可上岗，确保服务连续性。</w:t>
      </w:r>
    </w:p>
    <w:p w14:paraId="7EA842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（三）运维期服务要求</w:t>
      </w:r>
    </w:p>
    <w:p w14:paraId="3F941E7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1.日常巡检服务</w:t>
      </w:r>
    </w:p>
    <w:p w14:paraId="724417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包含软件组件、网络环境、数据存储、安全防护等维度。采用自动化监测+人工核查结合方式，每日开展巡检，重点核查服务器资源占用、系统进程状态、数据同步情况、安全策略有效性，形成记录，及时预警并处置潜在隐患。</w:t>
      </w:r>
    </w:p>
    <w:p w14:paraId="3744DE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1.1系统运行监控服务</w:t>
      </w:r>
    </w:p>
    <w:p w14:paraId="0594FF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1.1.1按甲方要求配合对接统一运维监控平台，构建全维度监控体系，覆盖云平台资源、软件服务（进程、连接数、响应时间）、业务指标（办理量、成功率）、安全态势（异常登录、攻击行为）及网络状态（带宽、延迟、连通性）。</w:t>
      </w:r>
    </w:p>
    <w:p w14:paraId="401445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1.1.2设置多级告警阈值，通过短信、邮件等方式实时推送告警信息，确保告警响应及时，监控数据为系统优化提供支撑。</w:t>
      </w:r>
    </w:p>
    <w:p w14:paraId="34F732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1.2巡检及日常运维管理</w:t>
      </w:r>
    </w:p>
    <w:p w14:paraId="3D3E06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1.2.1规范记录每日巡检情况，详细载明巡检时间、范围、结果、问题及处理措施，做到实时归档。</w:t>
      </w:r>
    </w:p>
    <w:p w14:paraId="30076A0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1.2.2制定标准化运维清单，涵盖服务器启停、服务重启、数据备份、权限调整等操作流程，明确责任人及注意事项，确保运维操作合规可控。</w:t>
      </w:r>
    </w:p>
    <w:p w14:paraId="68A1CA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1.2.3对系统存在的Bug和软件自身缺陷进行修正。</w:t>
      </w:r>
    </w:p>
    <w:p w14:paraId="0F1DEB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1.2.4 对所使用的开发维护工具进行补丁升级。</w:t>
      </w:r>
    </w:p>
    <w:p w14:paraId="70389E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1.2.5采用电子+纸质双重归档方式，保障记录可追溯、可审计。每月提交运维报告。1.3月报提交服务</w:t>
      </w:r>
    </w:p>
    <w:p w14:paraId="517807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1.3.1每月5日前提交运维月报，内容包括巡检概况、故障处理统计、升级变更情况、需求（包括数据与应用系统需求）处理进度、安全防护情况、资源运行态势、下月工作计划及优化建议。</w:t>
      </w:r>
    </w:p>
    <w:p w14:paraId="3550D0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1.3.2月报需数据真实、分析全面，及时报送业务主管部门及上级单位。</w:t>
      </w:r>
    </w:p>
    <w:p w14:paraId="0E854E7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2.系统故障与应急响应处理服务</w:t>
      </w:r>
    </w:p>
    <w:p w14:paraId="194502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2.1建立分级故障响应机制，针对系统崩溃、服务中断、功能异常、数据错误、网络故障等问题，按影响范围（单模块、多模块、全系统）分级响应。</w:t>
      </w:r>
    </w:p>
    <w:p w14:paraId="45A50A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2.2一般故障15分钟内响应、2小时内解决；重大故障15分钟内响应，30分钟内控制事态，确保不影响医保经办、参保待遇享受等核心业务。</w:t>
      </w:r>
    </w:p>
    <w:p w14:paraId="4FE71B5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2.3提供不少于4次应急响应处理服务，提供7*24小时事件响应、应急响应、处理及恢复服务；重大应急事件保证15分钟内做出响应并提供应急处理方案，保证30分钟内到达现场。应急服务完成后，负责工作记录、处理报告等相关文档的编制工作。如遇紧急事件临时需要提供应急响应处理服务，承诺无条件服从采购人安排。</w:t>
      </w:r>
    </w:p>
    <w:p w14:paraId="5E78E0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2.4提供驻场运维、电话咨询、现场响应等服务，故障处理后形成复盘报告，优化防控措施。</w:t>
      </w:r>
    </w:p>
    <w:p w14:paraId="2C44AB9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3.系统升级与优化变更服务</w:t>
      </w:r>
    </w:p>
    <w:p w14:paraId="0EB362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★3.1针对国家医保局下发的系统软件进行部署、联调及运维工作。</w:t>
      </w:r>
    </w:p>
    <w:p w14:paraId="416881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针对已部署国家版本及新发版本，提供全流程升级服务，包括但不限于升级方案编制、兼容性测试、业务影响评估、错峰实施（避开业务高峰期）及回滚预案制定。</w:t>
      </w:r>
    </w:p>
    <w:p w14:paraId="20B7AF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3.2主动开展程序执行效率优化，提高运行效率与资源利用效率。</w:t>
      </w:r>
    </w:p>
    <w:p w14:paraId="666022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3.3及时完成系统版本更新，确保升级优化过程数据迁移完整、功能衔接顺畅，变更后开展回归测试及用户告知。</w:t>
      </w:r>
    </w:p>
    <w:p w14:paraId="395351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3.4系统变更需同步更新运维文档，记录变更内容、实施过程及效果。</w:t>
      </w:r>
    </w:p>
    <w:p w14:paraId="603625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3.4配合做好与其他系统承建单位的系统对接与联调测试工作。</w:t>
      </w:r>
    </w:p>
    <w:p w14:paraId="173547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3.5根据甲方工作需求提供驻场运维服务</w:t>
      </w:r>
    </w:p>
    <w:p w14:paraId="26981E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b w:val="0"/>
          <w:bCs w:val="0"/>
          <w:color w:val="auto"/>
          <w:sz w:val="24"/>
          <w:szCs w:val="24"/>
          <w:highlight w:val="none"/>
          <w:lang w:val="en-US" w:eastAsia="zh-CN"/>
        </w:rPr>
        <w:t>4</w:t>
      </w:r>
      <w:r>
        <w:rPr>
          <w:rFonts w:hint="eastAsia" w:ascii="Times New Roman" w:hAnsi="Times New Roman"/>
          <w:b w:val="0"/>
          <w:bCs w:val="0"/>
          <w:color w:val="auto"/>
          <w:sz w:val="24"/>
          <w:szCs w:val="24"/>
          <w:highlight w:val="none"/>
          <w:lang w:val="en-US"/>
        </w:rPr>
        <w:t>.需求接收及变更服务</w:t>
      </w:r>
    </w:p>
    <w:p w14:paraId="5A2639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中标方须严格遵守包括但不限于《全国医疗保障系统核心业务区骨干网络建设指南》（医保网信办〔2019〕40 号）、《医疗保障信息系统安全开发规范》、《医保信息平台电子凭证技术规范》、《医保信息平台用户界面规范》、《医疗保障标准化工作指导意见》（医保发〔2019〕39号）、《医疗保障信息平台建设指南》（医保网信办〔2019〕4 号）《XJ-A01-2019 医疗保障信息平台云计算平台规范》、《XJ-B01-2019 医疗保障信息平台应用系统技术架构规范》、《XJ-D03-2022 医疗保障信息平台电子处方中心技术规范》、《医疗保障信息平台数据归集交换库设计说明书》、《医疗保障信息平台数据库设计规范》、《医疗保障信息平台内部统一门户集成规范》、《医疗保障信息平台用户交互设计规范》、《医疗保障信息平台生物识别数据规范》、《医疗保障信息平台医保区划编码规范》等一系列规章制度、技术标准、数据安全、网络安全的管理要求，并承担制度中明确的相关责任。</w:t>
      </w:r>
    </w:p>
    <w:p w14:paraId="4052CC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4.1服务期内，由于业务变化，在原有业务流程、功能要素、数据结构等不变情况下对现有功能模块进行的调整均纳入维保项目。</w:t>
      </w:r>
    </w:p>
    <w:p w14:paraId="1A2ECF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4.2数据提取、数据修改、系统调优等原因引发的数据接口开发、小规模校验规则修改、经办流程微调、参数调整等纳入运维工作范围，由中标单位负责业务需求的开发等相关工作。</w:t>
      </w:r>
    </w:p>
    <w:p w14:paraId="174E572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4.3遇重大需求变更，中标方应对需求进行合规性、可行性审核，开展影响分析及方案评审，对需求涉及的项目建设范围进行评估，并将评估结果及时反馈有关集成单位和监理单位。</w:t>
      </w:r>
    </w:p>
    <w:p w14:paraId="3D1D24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4.4中标单位需同步调整运维保障策略，更新运维保障范围，确保变更落地不影响系统稳定性。同步更新用户使用手册、系统操作手册、系统部署方案、安装部署手册等材料。</w:t>
      </w:r>
    </w:p>
    <w:p w14:paraId="510DD7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4.5根据甲方需求提供驻场运维服务，遇突发工作要求，需提供7*24小时响应，必要是应配合投标方组员技术人员提供现场技术支持。中标单位应配合业务人员需求，驻场人员可现场进行需求对接，实现驻场开发。</w:t>
      </w:r>
    </w:p>
    <w:p w14:paraId="7DA835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5.人员和权限调整服务</w:t>
      </w:r>
    </w:p>
    <w:p w14:paraId="7691EA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5.1遵循招标方要求，对应用软件的人员、角色权限、功能菜单进行必要调整、增减和变更，确保各类人员分配合适权限。</w:t>
      </w:r>
    </w:p>
    <w:p w14:paraId="6A2322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5.2支持人员角色、功能菜单、操作权限的灵活调整，确保权限分配与岗位职责匹配，调整过程需经审批并留存操作日志。</w:t>
      </w:r>
    </w:p>
    <w:p w14:paraId="24849A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5.3定期开展权限审计，清理冗余权限、排查权限冲突，保障系统操作可追溯。</w:t>
      </w:r>
    </w:p>
    <w:p w14:paraId="5C2FA7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b w:val="0"/>
          <w:bCs w:val="0"/>
          <w:color w:val="auto"/>
          <w:sz w:val="24"/>
          <w:szCs w:val="24"/>
          <w:highlight w:val="none"/>
          <w:lang w:val="en-US" w:eastAsia="zh-CN"/>
        </w:rPr>
        <w:t>6</w:t>
      </w:r>
      <w:r>
        <w:rPr>
          <w:rFonts w:hint="eastAsia" w:ascii="Times New Roman" w:hAnsi="Times New Roman"/>
          <w:b w:val="0"/>
          <w:bCs w:val="0"/>
          <w:color w:val="auto"/>
          <w:sz w:val="24"/>
          <w:szCs w:val="24"/>
          <w:highlight w:val="none"/>
          <w:lang w:val="en-US"/>
        </w:rPr>
        <w:t>.安全服务要求</w:t>
      </w:r>
    </w:p>
    <w:p w14:paraId="09703B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投标方应严格按照国家和天津市相关安全体系文件的要求提供安全保障，本着“谁运维、谁负责”的原则建立和落实运维安全管理制度。投标方需在投标文件中明确，本项目中数据（包含原始数据和衍生数据）全部为招标方所有，全部列入保密范围，投标方不得未经用户许可的情况下导出、分析以及移作他用。投标方需依据与采购方签订的保密协议或提供保密承诺，承诺投标方及其员工不透露或者以其它方式提供给第三方。承担核心数据库运维的服务商员工需与采购方单独签署保密协议或提供保密承诺，主动配合招标方开展个人背景调查工作。（特殊情况以合同为准）</w:t>
      </w:r>
    </w:p>
    <w:p w14:paraId="4344BD6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7.应用指导与技术支持</w:t>
      </w:r>
    </w:p>
    <w:p w14:paraId="20B3116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7.1为不同的系统对接用户建立多渠道服务体系（驻场咨询、技术支持邮箱、服务热线、在线客服），响应用户操作疑问、功能咨询、问题反馈。确保用户反馈响应率100%、解决率不低于98%，形成问题处理闭环。</w:t>
      </w:r>
    </w:p>
    <w:p w14:paraId="5BD68F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7.2为系统应用用户提供多元化指导服务，编制操作手册、常见问题清单，录制培训视频，支撑自助办事需求。提供5×8小时线上以及电话热线服务，遇特殊情况需及时响应招标人要求提供阶段性24小时远程电话服务。</w:t>
      </w:r>
    </w:p>
    <w:p w14:paraId="6D8321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7.3为内部业务经办人员提供系统操作、故障处理、政策适配等专项培训，采用线上线下授课、实操演练等形式。提供多元化指导服务，编制用户操作手册、常见问题清单，录制培训视频，协助提升经办服务效能。提供5×8小时现场业务咨询及软件操作指导，7*24小时远程电话咨询服务。确保用户熟练使用系统功能。</w:t>
      </w:r>
    </w:p>
    <w:p w14:paraId="34D784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7.4配合有关部门开展系统推广、数据核查、攻防演练、业务演练等工作。提供技术支撑。 </w:t>
      </w:r>
    </w:p>
    <w:p w14:paraId="324B40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8.密评改造服务</w:t>
      </w:r>
    </w:p>
    <w:p w14:paraId="4B954B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8.1依据国家密码应用安全性评估标准，完成系统敏感数据加密改造（含数据库、网厅、管理后台），确保数据传输、存储、使用全流程加密合规。</w:t>
      </w:r>
    </w:p>
    <w:p w14:paraId="7CEE12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8.2优化系统，满足密评要求，配合密评机构开展评估测试，及时整改发现问题，完成密评备案并建立长效机制。</w:t>
      </w:r>
    </w:p>
    <w:p w14:paraId="2C9E6A3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8.3配合年度等级保护测评、密评相关巡检，并按要求完成整改工作，确保系统合规运行。</w:t>
      </w:r>
    </w:p>
    <w:p w14:paraId="68F6EE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9.漏洞扫描配合服务</w:t>
      </w:r>
    </w:p>
    <w:p w14:paraId="762B15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9.1配合上级单位及安全服务机构代码审计工作，按照漏洞扫描工作要求，提供系统拓扑、资产清单等技术支持，并按要求完成整改工作。</w:t>
      </w:r>
    </w:p>
    <w:p w14:paraId="41490E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9.2对扫描发现的高危、中危漏洞进行优先级排序，制定整改方案并实施修复，整改完成后配合复扫，确保漏洞闭环修复率100%。</w:t>
      </w:r>
    </w:p>
    <w:p w14:paraId="168780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9.3建立漏洞库，总结防控规律，提升系统安全防护能力。</w:t>
      </w:r>
    </w:p>
    <w:p w14:paraId="5A12F2A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w:t>
      </w:r>
      <w:r>
        <w:rPr>
          <w:rFonts w:hint="eastAsia"/>
          <w:b w:val="0"/>
          <w:bCs w:val="0"/>
          <w:color w:val="auto"/>
          <w:sz w:val="24"/>
          <w:szCs w:val="24"/>
          <w:highlight w:val="none"/>
          <w:lang w:val="en-US" w:eastAsia="zh-CN"/>
        </w:rPr>
        <w:t>0</w:t>
      </w:r>
      <w:r>
        <w:rPr>
          <w:rFonts w:hint="eastAsia" w:ascii="Times New Roman" w:hAnsi="Times New Roman"/>
          <w:b w:val="0"/>
          <w:bCs w:val="0"/>
          <w:color w:val="auto"/>
          <w:sz w:val="24"/>
          <w:szCs w:val="24"/>
          <w:highlight w:val="none"/>
          <w:lang w:val="en-US"/>
        </w:rPr>
        <w:t>.数据需求与支持服务</w:t>
      </w:r>
    </w:p>
    <w:p w14:paraId="0359C1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中标方须严格遵守包括但不限于《医疗保障信息平台数据库设计规范》、《医疗保障信息平台用户交互设计规范》、《医疗保障信息平台生物识别数据规范》、《医疗保障信息平台医保区划编码规范》、《医疗保障信息平台数据归集技术规范》《医疗保障信息平台数据归集交换库设计说明书》等一系列国家及本市有关政策、技术规范、数据安全、网络安全管理要求，并承担制度中明确的相关责任。</w:t>
      </w:r>
    </w:p>
    <w:p w14:paraId="3FC62B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10.1提供数据提取、核对、备份、恢复、清理、更新、优化等全生命周期服务，保障数据完整性、准确性、安全性。</w:t>
      </w:r>
    </w:p>
    <w:p w14:paraId="74E022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10.2配合做好异地灾备等安全演练工作。</w:t>
      </w:r>
    </w:p>
    <w:p w14:paraId="3FF86D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10.3配合做好历史数据迁移与应用工作。</w:t>
      </w:r>
    </w:p>
    <w:p w14:paraId="30AE18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11.重保服务</w:t>
      </w:r>
    </w:p>
    <w:p w14:paraId="61F3F2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提供重大活动期间安全保障服务，启动专项重保机制。重保前开展全系统排查加固，升级安全策略。重保期间远程技术支持，增强信息安全防护的技术力量，实时监控系统状态，与应急部门建立联动，及时处置应急安全事件。确保零重大故障、零安全事件。</w:t>
      </w:r>
    </w:p>
    <w:p w14:paraId="0CF5C9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重大活动包括重要节假日、重大活动或其他招标人明确要求的活动。</w:t>
      </w:r>
    </w:p>
    <w:p w14:paraId="6FC777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12.质量管理要求</w:t>
      </w:r>
    </w:p>
    <w:p w14:paraId="38E225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在项目实施全过程中，招标方有对运维质量进行监督控制的职责和权利，运维承建商应按照项目管理要求进行严格的质量控制，并制定详细合理的沟通计划，至少包括周报、月报和运维例会，应确保双方能及时了解所需的信息。</w:t>
      </w:r>
    </w:p>
    <w:p w14:paraId="0B3E80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13.运维文档编制与管理</w:t>
      </w:r>
    </w:p>
    <w:p w14:paraId="30F76AF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13.1构建完整运维文档体系，包含系统基础资料（拓扑图、资产清单、配置参数等）、操作手册（巡检、故障处理、升级变更）、安全保障文档（密评方案、漏洞报告、应急预案）、服务记录文档及管理类文档（巡检记录、月报、总结等）。</w:t>
      </w:r>
    </w:p>
    <w:p w14:paraId="1D91A5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13.2建立文档版本管理机制，及时更新以匹配系统变更，采用权限管控方式存储，确保文档准确、完整、可访问。</w:t>
      </w:r>
    </w:p>
    <w:p w14:paraId="48533E0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b/>
          <w:bCs/>
          <w:color w:val="auto"/>
          <w:sz w:val="24"/>
          <w:szCs w:val="24"/>
          <w:highlight w:val="none"/>
          <w:lang w:val="en-US"/>
        </w:rPr>
      </w:pPr>
      <w:r>
        <w:rPr>
          <w:rFonts w:hint="eastAsia"/>
          <w:b/>
          <w:bCs/>
          <w:color w:val="auto"/>
          <w:sz w:val="24"/>
          <w:szCs w:val="24"/>
          <w:highlight w:val="none"/>
          <w:lang w:val="en-US" w:eastAsia="zh-CN"/>
        </w:rPr>
        <w:t>三</w:t>
      </w:r>
      <w:r>
        <w:rPr>
          <w:rFonts w:hint="eastAsia" w:ascii="Times New Roman" w:hAnsi="Times New Roman"/>
          <w:b/>
          <w:bCs/>
          <w:color w:val="auto"/>
          <w:sz w:val="24"/>
          <w:szCs w:val="24"/>
          <w:highlight w:val="none"/>
          <w:lang w:val="en-US"/>
        </w:rPr>
        <w:t>、验收标准</w:t>
      </w:r>
    </w:p>
    <w:p w14:paraId="23C90C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（一）履约验收主体</w:t>
      </w:r>
    </w:p>
    <w:p w14:paraId="40C622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 xml:space="preserve">采购人：天津市医疗保障局 </w:t>
      </w:r>
    </w:p>
    <w:p w14:paraId="3FDBA3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（二）履约验收时间</w:t>
      </w:r>
    </w:p>
    <w:p w14:paraId="56D164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运维承建商合同期间未出现重大运维事故，可在合同结束日期前一周提交项目情况报告，并提出验收申请。如运维承建商在合同期间出现重大故障，则从故障修复之日起计算，直到系统连续 3 个月无重大故障后，方可申请验收。验收完成后，双方签署验收文件，对于延迟移交造成的损失由承建商负责。</w:t>
      </w:r>
    </w:p>
    <w:p w14:paraId="354AEE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（三）履约验收方式</w:t>
      </w:r>
    </w:p>
    <w:p w14:paraId="53204A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由采购人组织验收。</w:t>
      </w:r>
    </w:p>
    <w:p w14:paraId="6490DC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（四）履约验收程序</w:t>
      </w:r>
    </w:p>
    <w:p w14:paraId="6307555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运维服务期满后，由采购人组织验收。若验收合格，由验收双方签署验收报告；若验收不合格，供应商须按照意见进行整改，整改完成后再次组织验收。验收相关费用由投标人负责。</w:t>
      </w:r>
    </w:p>
    <w:p w14:paraId="7D9868C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（五）履约验收内容、材料</w:t>
      </w:r>
    </w:p>
    <w:p w14:paraId="2222A1D1">
      <w:pPr>
        <w:keepNext w:val="0"/>
        <w:keepLines w:val="0"/>
        <w:pageBreakBefore w:val="0"/>
        <w:widowControl w:val="0"/>
        <w:tabs>
          <w:tab w:val="left" w:pos="420"/>
        </w:tabs>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按照采购合同的约定和现行国家标准、行业标准或企业标准对每一服务环节、安全标准的履约情况进行考核与验收。中标方须负责整理并提供以下验收材料，包括但不限于：项目源码、运维基础材料（包括拓扑图、资产清单、配置参数等）、项目运维方案、项目情况报告、项目合同、项目招标相关文档、软件测试报告、安全测评报告等保障运维工作正常延续所需材料。</w:t>
      </w:r>
    </w:p>
    <w:p w14:paraId="71F9FA0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b/>
          <w:bCs/>
          <w:color w:val="auto"/>
          <w:sz w:val="24"/>
          <w:szCs w:val="24"/>
          <w:highlight w:val="none"/>
          <w:lang w:val="en-US"/>
        </w:rPr>
      </w:pPr>
      <w:r>
        <w:rPr>
          <w:rFonts w:hint="eastAsia" w:ascii="Times New Roman" w:hAnsi="Times New Roman"/>
          <w:b/>
          <w:bCs/>
          <w:color w:val="auto"/>
          <w:sz w:val="24"/>
          <w:szCs w:val="24"/>
          <w:highlight w:val="none"/>
          <w:lang w:val="en-US"/>
        </w:rPr>
        <w:t>四、其他要求</w:t>
      </w:r>
    </w:p>
    <w:p w14:paraId="4584C8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（一）各包成交供应商原则上须使用采购人所提供的第三方软件，如遇特殊情况，需使用其他第三方软件，在征得采购人同意后，由成交供应商自行解决。</w:t>
      </w:r>
    </w:p>
    <w:p w14:paraId="3BD097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二）供应商应确保其运维建议的可行性以及所提供服务和产品的完整性，若出现由于运维承建商所提供的服务不全面或自身能力不足导致系统运维要求无法实现或不能完全实现，由成交供应商及时无偿补足，并负全部责任。</w:t>
      </w:r>
    </w:p>
    <w:p w14:paraId="496CFF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★（三）</w:t>
      </w:r>
      <w:r>
        <w:rPr>
          <w:rFonts w:hint="eastAsia"/>
          <w:b w:val="0"/>
          <w:bCs w:val="0"/>
          <w:color w:val="auto"/>
          <w:sz w:val="24"/>
          <w:szCs w:val="24"/>
          <w:highlight w:val="none"/>
          <w:lang w:val="en-US" w:eastAsia="zh-CN"/>
        </w:rPr>
        <w:t>供应商</w:t>
      </w:r>
      <w:r>
        <w:rPr>
          <w:rFonts w:hint="eastAsia" w:ascii="Times New Roman" w:hAnsi="Times New Roman"/>
          <w:b w:val="0"/>
          <w:bCs w:val="0"/>
          <w:color w:val="auto"/>
          <w:sz w:val="24"/>
          <w:szCs w:val="24"/>
          <w:highlight w:val="none"/>
          <w:lang w:val="en-US"/>
        </w:rPr>
        <w:t>应答应真实、客观，如果发现应答与实际情况不符或运维期满后 3个月仍达不到验收要求，则</w:t>
      </w:r>
      <w:r>
        <w:rPr>
          <w:rFonts w:hint="eastAsia"/>
          <w:b w:val="0"/>
          <w:bCs w:val="0"/>
          <w:color w:val="auto"/>
          <w:sz w:val="24"/>
          <w:szCs w:val="24"/>
          <w:highlight w:val="none"/>
          <w:lang w:val="en-US" w:eastAsia="zh-CN"/>
        </w:rPr>
        <w:t>采购人</w:t>
      </w:r>
      <w:r>
        <w:rPr>
          <w:rFonts w:hint="eastAsia" w:ascii="Times New Roman" w:hAnsi="Times New Roman"/>
          <w:b w:val="0"/>
          <w:bCs w:val="0"/>
          <w:color w:val="auto"/>
          <w:sz w:val="24"/>
          <w:szCs w:val="24"/>
          <w:highlight w:val="none"/>
          <w:lang w:val="en-US"/>
        </w:rPr>
        <w:t>有权取消合同、无条件收回已付合同款、并向</w:t>
      </w:r>
      <w:r>
        <w:rPr>
          <w:rFonts w:hint="eastAsia"/>
          <w:b w:val="0"/>
          <w:bCs w:val="0"/>
          <w:color w:val="auto"/>
          <w:sz w:val="24"/>
          <w:szCs w:val="24"/>
          <w:highlight w:val="none"/>
          <w:lang w:val="en-US" w:eastAsia="zh-CN"/>
        </w:rPr>
        <w:t>成交供应商</w:t>
      </w:r>
      <w:r>
        <w:rPr>
          <w:rFonts w:hint="eastAsia" w:ascii="Times New Roman" w:hAnsi="Times New Roman"/>
          <w:b w:val="0"/>
          <w:bCs w:val="0"/>
          <w:color w:val="auto"/>
          <w:sz w:val="24"/>
          <w:szCs w:val="24"/>
          <w:highlight w:val="none"/>
          <w:lang w:val="en-US"/>
        </w:rPr>
        <w:t>追加全部合同款额度的 15%的罚款和全部合同款额度的银行同期商业贷款利息。</w:t>
      </w:r>
    </w:p>
    <w:p w14:paraId="18E996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★（四）</w:t>
      </w:r>
      <w:r>
        <w:rPr>
          <w:rFonts w:hint="eastAsia"/>
          <w:b w:val="0"/>
          <w:bCs w:val="0"/>
          <w:color w:val="auto"/>
          <w:sz w:val="24"/>
          <w:szCs w:val="24"/>
          <w:highlight w:val="none"/>
          <w:lang w:val="en-US" w:eastAsia="zh-CN"/>
        </w:rPr>
        <w:t>供应商须承诺报价应包含</w:t>
      </w:r>
      <w:r>
        <w:rPr>
          <w:rFonts w:hint="eastAsia" w:ascii="Times New Roman" w:hAnsi="Times New Roman"/>
          <w:b w:val="0"/>
          <w:bCs w:val="0"/>
          <w:color w:val="auto"/>
          <w:sz w:val="24"/>
          <w:szCs w:val="24"/>
          <w:highlight w:val="none"/>
          <w:lang w:val="en-US"/>
        </w:rPr>
        <w:t>驻场工程师就餐和相关差旅费用，并提供驻场工程师办公电脑、打印机等设备。</w:t>
      </w:r>
    </w:p>
    <w:p w14:paraId="184AA4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★（五）源代码和产权要求</w:t>
      </w:r>
    </w:p>
    <w:p w14:paraId="12C22C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b w:val="0"/>
          <w:bCs w:val="0"/>
          <w:color w:val="auto"/>
          <w:sz w:val="24"/>
          <w:szCs w:val="24"/>
          <w:highlight w:val="none"/>
          <w:lang w:val="en-US" w:eastAsia="zh-CN"/>
        </w:rPr>
        <w:t>供应商</w:t>
      </w:r>
      <w:r>
        <w:rPr>
          <w:rFonts w:hint="eastAsia" w:ascii="Times New Roman" w:hAnsi="Times New Roman"/>
          <w:b w:val="0"/>
          <w:bCs w:val="0"/>
          <w:color w:val="auto"/>
          <w:sz w:val="24"/>
          <w:szCs w:val="24"/>
          <w:highlight w:val="none"/>
          <w:lang w:val="en-US"/>
        </w:rPr>
        <w:t>需在投标文件中承诺：本项目中的全部源代码（不包含既有知识产权类和工具）和知识产权全部为</w:t>
      </w:r>
      <w:r>
        <w:rPr>
          <w:rFonts w:hint="eastAsia"/>
          <w:b w:val="0"/>
          <w:bCs w:val="0"/>
          <w:color w:val="auto"/>
          <w:sz w:val="24"/>
          <w:szCs w:val="24"/>
          <w:highlight w:val="none"/>
          <w:lang w:val="en-US" w:eastAsia="zh-CN"/>
        </w:rPr>
        <w:t>采购人</w:t>
      </w:r>
      <w:r>
        <w:rPr>
          <w:rFonts w:hint="eastAsia" w:ascii="Times New Roman" w:hAnsi="Times New Roman"/>
          <w:b w:val="0"/>
          <w:bCs w:val="0"/>
          <w:color w:val="auto"/>
          <w:sz w:val="24"/>
          <w:szCs w:val="24"/>
          <w:highlight w:val="none"/>
          <w:lang w:val="en-US"/>
        </w:rPr>
        <w:t>所有，</w:t>
      </w:r>
      <w:r>
        <w:rPr>
          <w:rFonts w:hint="eastAsia"/>
          <w:b w:val="0"/>
          <w:bCs w:val="0"/>
          <w:color w:val="auto"/>
          <w:sz w:val="24"/>
          <w:szCs w:val="24"/>
          <w:highlight w:val="none"/>
          <w:lang w:val="en-US" w:eastAsia="zh-CN"/>
        </w:rPr>
        <w:t>成交供应商</w:t>
      </w:r>
      <w:r>
        <w:rPr>
          <w:rFonts w:hint="eastAsia" w:ascii="Times New Roman" w:hAnsi="Times New Roman"/>
          <w:b w:val="0"/>
          <w:bCs w:val="0"/>
          <w:color w:val="auto"/>
          <w:sz w:val="24"/>
          <w:szCs w:val="24"/>
          <w:highlight w:val="none"/>
          <w:lang w:val="en-US"/>
        </w:rPr>
        <w:t>需在合作期间及合作终止后 5 年内，在</w:t>
      </w:r>
      <w:r>
        <w:rPr>
          <w:rFonts w:hint="eastAsia"/>
          <w:b w:val="0"/>
          <w:bCs w:val="0"/>
          <w:color w:val="auto"/>
          <w:sz w:val="24"/>
          <w:szCs w:val="24"/>
          <w:highlight w:val="none"/>
          <w:lang w:val="en-US" w:eastAsia="zh-CN"/>
        </w:rPr>
        <w:t>采购人</w:t>
      </w:r>
      <w:r>
        <w:rPr>
          <w:rFonts w:hint="eastAsia" w:ascii="Times New Roman" w:hAnsi="Times New Roman"/>
          <w:b w:val="0"/>
          <w:bCs w:val="0"/>
          <w:color w:val="auto"/>
          <w:sz w:val="24"/>
          <w:szCs w:val="24"/>
          <w:highlight w:val="none"/>
          <w:lang w:val="en-US"/>
        </w:rPr>
        <w:t>提出要求的 3 天内无条件提供本项目源代码。</w:t>
      </w:r>
    </w:p>
    <w:p w14:paraId="33DFF9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★（六）</w:t>
      </w:r>
      <w:r>
        <w:rPr>
          <w:rFonts w:hint="eastAsia"/>
          <w:b w:val="0"/>
          <w:bCs w:val="0"/>
          <w:color w:val="auto"/>
          <w:sz w:val="24"/>
          <w:szCs w:val="24"/>
          <w:highlight w:val="none"/>
          <w:lang w:val="en-US" w:eastAsia="zh-CN"/>
        </w:rPr>
        <w:t>成交供应商</w:t>
      </w:r>
      <w:r>
        <w:rPr>
          <w:rFonts w:hint="eastAsia" w:ascii="Times New Roman" w:hAnsi="Times New Roman"/>
          <w:b w:val="0"/>
          <w:bCs w:val="0"/>
          <w:color w:val="auto"/>
          <w:sz w:val="24"/>
          <w:szCs w:val="24"/>
          <w:highlight w:val="none"/>
          <w:lang w:val="en-US"/>
        </w:rPr>
        <w:t>承诺合同执行结束后，应确保服务工作平滑稳定地迁移到下一个服务团队，在合同结束至新的中标单位到位期间，继续提供原合同规定的服务内容和服务水平。中标单位应制定详细的交接工作计划，包括概况、目标、实施内容（包括不限于系统建设方面、信息资源保存方面等）、质量保证措施、进度安排、应急预案等内容，并报采购人进行备份，同时作为采购人检查的依据。</w:t>
      </w:r>
    </w:p>
    <w:p w14:paraId="6962C7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b w:val="0"/>
          <w:bCs w:val="0"/>
          <w:color w:val="auto"/>
          <w:sz w:val="24"/>
          <w:szCs w:val="24"/>
          <w:highlight w:val="none"/>
          <w:lang w:val="en-US"/>
        </w:rPr>
      </w:pPr>
      <w:r>
        <w:rPr>
          <w:rFonts w:hint="eastAsia" w:ascii="Times New Roman" w:hAnsi="Times New Roman"/>
          <w:b w:val="0"/>
          <w:bCs w:val="0"/>
          <w:color w:val="auto"/>
          <w:sz w:val="24"/>
          <w:szCs w:val="24"/>
          <w:highlight w:val="none"/>
          <w:lang w:val="en-US"/>
        </w:rPr>
        <w:t>★（七）</w:t>
      </w:r>
      <w:r>
        <w:rPr>
          <w:rFonts w:hint="eastAsia"/>
          <w:b w:val="0"/>
          <w:bCs w:val="0"/>
          <w:color w:val="auto"/>
          <w:sz w:val="24"/>
          <w:szCs w:val="24"/>
          <w:highlight w:val="none"/>
          <w:lang w:val="en-US" w:eastAsia="zh-CN"/>
        </w:rPr>
        <w:t>成交供应商</w:t>
      </w:r>
      <w:r>
        <w:rPr>
          <w:rFonts w:hint="eastAsia" w:ascii="Times New Roman" w:hAnsi="Times New Roman"/>
          <w:b w:val="0"/>
          <w:bCs w:val="0"/>
          <w:color w:val="auto"/>
          <w:sz w:val="24"/>
          <w:szCs w:val="24"/>
          <w:highlight w:val="none"/>
          <w:lang w:val="en-US"/>
        </w:rPr>
        <w:t>承诺本项目合作终止后 3 年内，无条件配合</w:t>
      </w:r>
      <w:r>
        <w:rPr>
          <w:rFonts w:hint="eastAsia"/>
          <w:b w:val="0"/>
          <w:bCs w:val="0"/>
          <w:color w:val="auto"/>
          <w:sz w:val="24"/>
          <w:szCs w:val="24"/>
          <w:highlight w:val="none"/>
          <w:lang w:val="en-US" w:eastAsia="zh-CN"/>
        </w:rPr>
        <w:t>采购人</w:t>
      </w:r>
      <w:r>
        <w:rPr>
          <w:rFonts w:hint="eastAsia" w:ascii="Times New Roman" w:hAnsi="Times New Roman"/>
          <w:b w:val="0"/>
          <w:bCs w:val="0"/>
          <w:color w:val="auto"/>
          <w:sz w:val="24"/>
          <w:szCs w:val="24"/>
          <w:highlight w:val="none"/>
          <w:lang w:val="en-US"/>
        </w:rPr>
        <w:t>进行数据迁移、数据字典提供、数据结构提供、对相关实现方式讲解。</w:t>
      </w:r>
    </w:p>
    <w:p w14:paraId="15FCF2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p>
    <w:p w14:paraId="5967DD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p>
    <w:p w14:paraId="54DC2B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pPr>
    </w:p>
    <w:p w14:paraId="2F222D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b w:val="0"/>
          <w:bCs w:val="0"/>
          <w:color w:val="auto"/>
          <w:sz w:val="24"/>
          <w:szCs w:val="24"/>
          <w:highlight w:val="none"/>
          <w:lang w:val="en-US"/>
        </w:rPr>
        <w:sectPr>
          <w:headerReference r:id="rId6" w:type="default"/>
          <w:pgSz w:w="11906" w:h="16838"/>
          <w:pgMar w:top="1440" w:right="1800" w:bottom="1440" w:left="1800" w:header="851" w:footer="992" w:gutter="0"/>
          <w:cols w:space="720" w:num="1"/>
          <w:docGrid w:type="lines" w:linePitch="312" w:charSpace="0"/>
        </w:sectPr>
      </w:pPr>
    </w:p>
    <w:p w14:paraId="46AF342D">
      <w:pPr>
        <w:pStyle w:val="11"/>
        <w:rPr>
          <w:rFonts w:ascii="Times New Roman" w:hAnsi="Times New Roman"/>
          <w:color w:val="auto"/>
          <w:highlight w:val="none"/>
        </w:rPr>
      </w:pPr>
      <w:r>
        <w:rPr>
          <w:rFonts w:ascii="Times New Roman" w:hAnsi="Times New Roman"/>
          <w:color w:val="auto"/>
          <w:highlight w:val="none"/>
        </w:rPr>
        <w:t>第三部分  供应商须知</w:t>
      </w:r>
    </w:p>
    <w:p w14:paraId="1C0A29B1">
      <w:pPr>
        <w:pStyle w:val="29"/>
        <w:spacing w:line="360" w:lineRule="auto"/>
        <w:jc w:val="center"/>
        <w:rPr>
          <w:rFonts w:ascii="Times New Roman" w:hAnsi="Times New Roman" w:eastAsia="宋体" w:cs="Times New Roman"/>
          <w:color w:val="auto"/>
          <w:highlight w:val="none"/>
        </w:rPr>
      </w:pPr>
    </w:p>
    <w:p w14:paraId="53F302D3">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  说明</w:t>
      </w:r>
    </w:p>
    <w:p w14:paraId="03A8354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概述</w:t>
      </w:r>
    </w:p>
    <w:p w14:paraId="2744A56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 根据《中华人民共和国政府采购法》、《中华人民共和国政府采购法实施条例》等有关法律、法规和规章的规定，本采购项目已具备竞争性磋商条件。</w:t>
      </w:r>
    </w:p>
    <w:p w14:paraId="33DA784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 本竞争性磋商文件仅适用于磋商邀请函中所叙述项目货物和服务的采购。</w:t>
      </w:r>
    </w:p>
    <w:p w14:paraId="5AA6440E">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 参与磋商活动的所有各方，对在参与磋商过程中获悉的国家、商业和技术秘密以及其它依法应当保密的内容，均负有保密义务，违者应对由此造成的后果承担全部法律责任。</w:t>
      </w:r>
    </w:p>
    <w:p w14:paraId="1AB237F9">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定义</w:t>
      </w:r>
    </w:p>
    <w:p w14:paraId="58A84ECB">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 “采购人”系指本次磋商活动的采购单位。“采购代理机构”系指组织本次磋商活动的机构，即“天津市政府采购中心”。</w:t>
      </w:r>
    </w:p>
    <w:p w14:paraId="33C11BD3">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“投标人”系指向采购代理机构提交响应文件的供应商。</w:t>
      </w:r>
    </w:p>
    <w:p w14:paraId="4B7D158B">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w:t>
      </w:r>
      <w:r>
        <w:rPr>
          <w:rFonts w:ascii="Times New Roman" w:hAnsi="Times New Roman" w:eastAsia="宋体" w:cs="Times New Roman"/>
          <w:color w:val="auto"/>
          <w:highlight w:val="none"/>
        </w:rPr>
        <w:t>3. “服务”系指按本竞争性磋商文件规定供应商须承担的相关服务和竞争性磋商文件中规定供应商应承担的相关义务。</w:t>
      </w:r>
    </w:p>
    <w:p w14:paraId="06336551">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解释权</w:t>
      </w:r>
    </w:p>
    <w:p w14:paraId="59AE1F1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 本次磋商的最终解释权归为采购人、采购代理机构。</w:t>
      </w:r>
    </w:p>
    <w:p w14:paraId="547EA24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1D323A4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合格的投标人</w:t>
      </w:r>
    </w:p>
    <w:p w14:paraId="4E80291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符合《中华人民共和国政府采购法》第二十二条供应商参加政府采购活动应当具备的条件及其他有关法律、法规关于供应商的有关规定，有能力提供磋商采购货物及服务的供应商。</w:t>
      </w:r>
    </w:p>
    <w:p w14:paraId="1AA90F6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4.2 符合《磋商邀请函》中关于供应商资格要求（实质性要求）的规定。</w:t>
      </w:r>
    </w:p>
    <w:p w14:paraId="39EA9C0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4.3 关于联合体参与磋商</w:t>
      </w:r>
    </w:p>
    <w:p w14:paraId="46970B2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《磋商邀请函》接受联合体参与磋商的：</w:t>
      </w:r>
    </w:p>
    <w:p w14:paraId="6F489BE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（1）两个以上的自然人、法人或者其他组织可以组成一个联合体，以一个供应商的身份共同参加政府采购。</w:t>
      </w:r>
    </w:p>
    <w:p w14:paraId="108550C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F78CEF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color w:val="auto"/>
          <w:highlight w:val="none"/>
        </w:rPr>
        <w:t>不得再以自己名义单独在</w:t>
      </w:r>
      <w:r>
        <w:rPr>
          <w:rFonts w:hint="eastAsia" w:ascii="Times New Roman" w:hAnsi="Times New Roman" w:eastAsia="宋体" w:cs="Times New Roman"/>
          <w:color w:val="auto"/>
          <w:highlight w:val="none"/>
        </w:rPr>
        <w:t>同一合同项下</w:t>
      </w:r>
      <w:r>
        <w:rPr>
          <w:rFonts w:ascii="Times New Roman" w:hAnsi="Times New Roman" w:eastAsia="宋体" w:cs="Times New Roman"/>
          <w:color w:val="auto"/>
          <w:highlight w:val="none"/>
        </w:rPr>
        <w:t>投标，也不得组成新的联合体参加同一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p>
    <w:p w14:paraId="2AA4541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hint="eastAsia" w:ascii="宋体" w:hAnsi="宋体" w:eastAsia="宋体" w:cs="Times New Roman"/>
          <w:color w:val="auto"/>
          <w:highlight w:val="none"/>
        </w:rPr>
        <w:t>下载竞争性磋商文件时，应以联合体协议中确定的主体方名义下载。</w:t>
      </w:r>
    </w:p>
    <w:p w14:paraId="1E26FA3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（5）联合体参与磋商的，应以主体方名义提交投标保证金（如有），对联合体各方均具有约束力。</w:t>
      </w:r>
    </w:p>
    <w:p w14:paraId="319E9BA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1EB4C5D">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cs="Times New Roman"/>
          <w:color w:val="auto"/>
          <w:highlight w:val="none"/>
        </w:rPr>
        <w:t>（7）联合体中任意一方为中小企业的，该方应提供《中小企业声明函》。</w:t>
      </w:r>
    </w:p>
    <w:p w14:paraId="183B7CE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（8）联合体各方应当共同与采购人签订采购合同，就采购合同约定的事项对采购人承担连带责任。</w:t>
      </w:r>
    </w:p>
    <w:p w14:paraId="4167DF9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4.4 关于关联企业</w:t>
      </w:r>
    </w:p>
    <w:p w14:paraId="52BAF5B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除联合体外，法定代表人或单位负责人为同一个人或者存在直接控股、管理关系的不同供应商，</w:t>
      </w:r>
      <w:r>
        <w:rPr>
          <w:rFonts w:ascii="Times New Roman" w:hAnsi="Times New Roman" w:eastAsia="宋体" w:cs="Times New Roman"/>
          <w:color w:val="auto"/>
          <w:highlight w:val="none"/>
        </w:rPr>
        <w:t>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r>
        <w:rPr>
          <w:rFonts w:hint="eastAsia" w:ascii="Times New Roman" w:hAnsi="Times New Roman" w:eastAsia="宋体" w:cs="Times New Roman"/>
          <w:color w:val="auto"/>
          <w:highlight w:val="none"/>
        </w:rPr>
        <w:t>。如同时参加，则评审时将同时被拒绝。</w:t>
      </w:r>
    </w:p>
    <w:p w14:paraId="7BD55BE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4.5 关于分公司参与磋商</w:t>
      </w:r>
    </w:p>
    <w:p w14:paraId="11FC5E0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BF26D7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4.6 关于提供前期服务的供应商</w:t>
      </w:r>
    </w:p>
    <w:p w14:paraId="31A8544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16323AD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4.7 关于中小微企业参与磋商</w:t>
      </w:r>
    </w:p>
    <w:p w14:paraId="69D8DB1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中小微企业是指符合《政府采购促进中小企业发展管理办法》（财库[2020]46号）规定的供应商。中小微企业参与磋商应提供《中小企业声明函》。</w:t>
      </w:r>
    </w:p>
    <w:p w14:paraId="7A742A9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D5300F2">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color w:val="auto"/>
          <w:szCs w:val="21"/>
          <w:highlight w:val="none"/>
        </w:rPr>
        <w:t>根据《财政部 民政部 中国残疾人联合会关于促进残疾人就业政府采购政策的通知》（财库〔2017〕141号）的规定，残疾人福利性单位视同为小型、微型企业。</w:t>
      </w:r>
    </w:p>
    <w:p w14:paraId="24BBBC0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合格的货物和相关服务</w:t>
      </w:r>
    </w:p>
    <w:p w14:paraId="4BBF5E9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43D978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5.2 除《磋商项目需求》有特殊规定外，投标人提供的货物应当是全新的、未使用过的，货物和相关服务应当符合竞争性磋商文件的要求，并且其质量完全符合国家标准、行业标准或地方标准。</w:t>
      </w:r>
    </w:p>
    <w:p w14:paraId="167FE5D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5.3 投标人应当说明投标货物的来源地，如投标的货物非投标人生产或制造的，则交货时有义务提供其从合法途径获得该货物的相关证明。</w:t>
      </w:r>
    </w:p>
    <w:p w14:paraId="1B389DA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5.4 系统软件、通用软件必须是具有在中国境内的合法使用权或版权的正版软件，涉及到第三方提出侵权或知识产权的起诉及支付版税等费用由投标人承担所有责任及费用。</w:t>
      </w:r>
    </w:p>
    <w:p w14:paraId="26091C1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 投标费用</w:t>
      </w:r>
    </w:p>
    <w:p w14:paraId="1CB2BCA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无论投标过程中的做法和结果如何，投标人自行承担所有与参加磋商有关的费用。</w:t>
      </w:r>
    </w:p>
    <w:p w14:paraId="2577836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 信息发布</w:t>
      </w:r>
    </w:p>
    <w:p w14:paraId="23F6041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highlight w:val="none"/>
        </w:rPr>
        <w:t>天津市政府采购网（http://tjgp.cz.tj.gov.cn）</w:t>
      </w:r>
      <w:r>
        <w:rPr>
          <w:rFonts w:hint="eastAsia" w:ascii="Times New Roman" w:hAnsi="Times New Roman" w:eastAsia="宋体" w:cs="Times New Roman"/>
          <w:color w:val="auto"/>
          <w:highlight w:val="none"/>
        </w:rPr>
        <w:t>”和“</w:t>
      </w:r>
      <w:r>
        <w:rPr>
          <w:rFonts w:ascii="Times New Roman" w:hAnsi="Times New Roman" w:eastAsia="宋体" w:cs="Times New Roman"/>
          <w:color w:val="auto"/>
          <w:highlight w:val="none"/>
        </w:rPr>
        <w:t>天津市政府采购</w:t>
      </w:r>
      <w:r>
        <w:rPr>
          <w:rFonts w:hint="eastAsia" w:ascii="Times New Roman" w:hAnsi="Times New Roman" w:eastAsia="宋体" w:cs="Times New Roman"/>
          <w:color w:val="auto"/>
          <w:highlight w:val="none"/>
        </w:rPr>
        <w:t>中心</w:t>
      </w:r>
      <w:r>
        <w:rPr>
          <w:rFonts w:ascii="Times New Roman" w:hAnsi="Times New Roman" w:eastAsia="宋体" w:cs="Times New Roman"/>
          <w:color w:val="auto"/>
          <w:highlight w:val="none"/>
        </w:rPr>
        <w:t>网（http://tjgpc.zwfwb.tj.gov.cn）</w:t>
      </w:r>
      <w:r>
        <w:rPr>
          <w:rFonts w:hint="eastAsia" w:ascii="Times New Roman" w:hAnsi="Times New Roman" w:eastAsia="宋体" w:cs="Times New Roman"/>
          <w:color w:val="auto"/>
          <w:highlight w:val="none"/>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highlight w:val="none"/>
        </w:rPr>
        <w:t>承担由此可能产生的风险。</w:t>
      </w:r>
    </w:p>
    <w:p w14:paraId="5B7448F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 询问与质疑</w:t>
      </w:r>
    </w:p>
    <w:p w14:paraId="5360594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1BEDC5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8.2 询问</w:t>
      </w:r>
    </w:p>
    <w:p w14:paraId="273DFB4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（1）询问可以采取电话、当面或书面等形式。</w:t>
      </w:r>
    </w:p>
    <w:p w14:paraId="3A4DFFF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（2）采购人应当自收到供应商询问之日起3个工作日内作出答复，但答复的内容不得涉及商业秘密或者依法应当保密的内容。</w:t>
      </w:r>
    </w:p>
    <w:p w14:paraId="6D5EB4E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8.3 质疑</w:t>
      </w:r>
    </w:p>
    <w:p w14:paraId="09AA8D1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（1）提出质疑的供应商应当是参与所质疑项目采购活动的供应商。</w:t>
      </w:r>
    </w:p>
    <w:p w14:paraId="6245633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90BB53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7F59F19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C1BF76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9CC716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8.4 针对询问或质疑的答复内容需要修改采购文件的，其修改内容应当以天津市政府采购网发布的更正公告为准。</w:t>
      </w:r>
    </w:p>
    <w:p w14:paraId="11A3CBF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9. 其他</w:t>
      </w:r>
    </w:p>
    <w:p w14:paraId="69DFFD6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本《供应商须知》的条款如与《磋商邀请函》、《磋商项目需求》就同一内容的表述不一致的，以《磋商邀请函》、《磋商项目需求》中规定的内容为准。</w:t>
      </w:r>
    </w:p>
    <w:p w14:paraId="703B7D1C">
      <w:pPr>
        <w:pStyle w:val="29"/>
        <w:spacing w:line="360" w:lineRule="auto"/>
        <w:ind w:firstLine="480" w:firstLineChars="200"/>
        <w:jc w:val="both"/>
        <w:rPr>
          <w:rFonts w:ascii="Times New Roman" w:hAnsi="Times New Roman" w:eastAsia="宋体" w:cs="Times New Roman"/>
          <w:color w:val="auto"/>
          <w:highlight w:val="none"/>
        </w:rPr>
      </w:pPr>
    </w:p>
    <w:p w14:paraId="1A09C0E0">
      <w:pPr>
        <w:pStyle w:val="29"/>
        <w:spacing w:line="360" w:lineRule="auto"/>
        <w:ind w:firstLine="480" w:firstLineChars="200"/>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竞争性磋商文件</w:t>
      </w:r>
    </w:p>
    <w:p w14:paraId="42AA799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 竞争性磋商文件的构成</w:t>
      </w:r>
    </w:p>
    <w:p w14:paraId="4008613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10.1 竞争性磋商文件由下述部分组成：</w:t>
      </w:r>
    </w:p>
    <w:p w14:paraId="0117DB2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（1）磋商邀请函；</w:t>
      </w:r>
    </w:p>
    <w:p w14:paraId="213C9CE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（2）磋商项目要求；</w:t>
      </w:r>
    </w:p>
    <w:p w14:paraId="1694A4B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（3）供应商须知；</w:t>
      </w:r>
    </w:p>
    <w:p w14:paraId="3301ADC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（4）合同草案；</w:t>
      </w:r>
    </w:p>
    <w:p w14:paraId="6BA6EAD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（5）响应文件格式；</w:t>
      </w:r>
    </w:p>
    <w:p w14:paraId="32757DB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（6）竞争性磋商文件的更正公告内容（如有）。</w:t>
      </w:r>
    </w:p>
    <w:p w14:paraId="1877950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10.2 除非有特殊要求，竞争性磋商文件不单独提供磋商项目使用地的自然环境、气候条件、公用设施等情况，投标人被视为熟悉上述与履行合同有关的一切情况。</w:t>
      </w:r>
    </w:p>
    <w:p w14:paraId="753AE73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10.3 《磋商项目需求》加注“★”号条款为实质性技术条款，不得出现负偏离，发生负偏离即做无效标处理。</w:t>
      </w:r>
    </w:p>
    <w:p w14:paraId="20A50E8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10.4 竞争性磋商文件中涉及的参照品牌、型号仅起说明作用，并没有任何限制性，投标人在投标中可以选用其他替代品牌或型号，但这些替代要实质上优于或相当于磋商要求。</w:t>
      </w:r>
    </w:p>
    <w:p w14:paraId="7987E93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10.5 除竞争性磋商文件另有规定外，竞争性磋商文件中要求的每一项产品只允许一种产品投标，每一项产品的采购数量不允许变更。</w:t>
      </w:r>
    </w:p>
    <w:p w14:paraId="03D4402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 竞争性磋商文件的澄清和修改</w:t>
      </w:r>
    </w:p>
    <w:p w14:paraId="4486583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11.1 提交首次响应文件截止之日前，采购人、采购代理机构需要对磋商文件进行补充或修改的，采购人、采购代理机构将会通过“天津市政府采购网”、“天津市政府采购中心网”以更正公告形式发布。</w:t>
      </w:r>
    </w:p>
    <w:p w14:paraId="56DE91D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15F914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F8C9D7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11.4 更正公告的内容为竞争性磋商文件的组成部分。当竞争性磋商文件与更正公告就同一内容的表述不一致时，以最后发出的更正公告内容为准。</w:t>
      </w:r>
    </w:p>
    <w:p w14:paraId="411AA83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AB449D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 答疑会和踏勘现场</w:t>
      </w:r>
    </w:p>
    <w:p w14:paraId="4DE3414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12.1 采购人、采购代理机构召开答疑会的，所有投标人应按《磋商邀请函》规定的时间、地点参加答疑会。投标人如不参加，其风险由投标人自行承担，采购人、采购代理机构不承担任何责任。</w:t>
      </w:r>
    </w:p>
    <w:p w14:paraId="45A056C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12.2 采购人、采购代理机构组织踏勘现场的，所有投标人按《磋商邀请函》规定的时间、地点参加踏勘现场活动。投标人如不参加，其风险由投标人自行承担，采购人、采购代理机构不承担任何责任。</w:t>
      </w:r>
    </w:p>
    <w:p w14:paraId="32AF965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07BBDAD7">
      <w:pPr>
        <w:pStyle w:val="29"/>
        <w:spacing w:line="360" w:lineRule="auto"/>
        <w:ind w:firstLine="480" w:firstLineChars="200"/>
        <w:jc w:val="both"/>
        <w:rPr>
          <w:rFonts w:ascii="Times New Roman" w:hAnsi="Times New Roman" w:eastAsia="宋体" w:cs="Times New Roman"/>
          <w:color w:val="auto"/>
          <w:highlight w:val="none"/>
        </w:rPr>
      </w:pPr>
    </w:p>
    <w:p w14:paraId="6FABA29F">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C  响应文件的编制</w:t>
      </w:r>
    </w:p>
    <w:p w14:paraId="33C8BF7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 要求</w:t>
      </w:r>
    </w:p>
    <w:p w14:paraId="320B9FB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104B80B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13.2 投标人应根据磋商项目需求和响应文件格式编制响应文件，保证其真实有效，并承担相应的法律责任。</w:t>
      </w:r>
    </w:p>
    <w:p w14:paraId="6CA664F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E87C10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 投标语言及计量单位</w:t>
      </w:r>
    </w:p>
    <w:p w14:paraId="7E4AB26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49B1324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14.2 除竞争性磋商文件中另有规定外，响应文件所使用的计量单位均应使用中华人民共和国法定计量单位。</w:t>
      </w:r>
    </w:p>
    <w:p w14:paraId="7D26503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 响应文件格式</w:t>
      </w:r>
    </w:p>
    <w:p w14:paraId="465CB12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15.1 投标人应按竞争性磋商文件第五部分提供的响应文件格式完整填写。因不按要求编制而引起系统无法检索、读取相关信息时，其后果由投标人自行承担。</w:t>
      </w:r>
    </w:p>
    <w:p w14:paraId="77CC94A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15.2 投标人可对本竞争性磋商文件“磋商项目要求”所列的所有货物进行投标，也可只对其中一包或几包的货物投标；若无特殊说明，每一包的内容不得分项投标，原则上按照整包确定成交供应商。</w:t>
      </w:r>
    </w:p>
    <w:p w14:paraId="281997A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15.3 如投标多个包的，要求按包分别独立制作响应文件。</w:t>
      </w:r>
    </w:p>
    <w:p w14:paraId="1F693DD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15.4 响应文件（包括封面和目录）的每一页，从封面开始按阿拉伯数字1、2、3</w:t>
      </w:r>
      <w:r>
        <w:rPr>
          <w:rFonts w:hint="eastAsia" w:ascii="宋体" w:hAnsi="宋体" w:eastAsia="宋体" w:cs="Times New Roman"/>
          <w:color w:val="auto"/>
          <w:highlight w:val="none"/>
        </w:rPr>
        <w:t>…</w:t>
      </w:r>
      <w:r>
        <w:rPr>
          <w:rFonts w:hint="eastAsia" w:ascii="Times New Roman" w:hAnsi="Times New Roman" w:eastAsia="宋体" w:cs="Times New Roman"/>
          <w:color w:val="auto"/>
          <w:highlight w:val="none"/>
        </w:rPr>
        <w:t>顺序编制页码。</w:t>
      </w:r>
    </w:p>
    <w:p w14:paraId="3E18D88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16. 响应文件的组成</w:t>
      </w:r>
    </w:p>
    <w:p w14:paraId="6E3C56A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16.1 按照《磋商邀请函》规定的时间分别上传加盖电子签章的两阶段电子响应文件。</w:t>
      </w:r>
    </w:p>
    <w:p w14:paraId="72BFD96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 报价</w:t>
      </w:r>
    </w:p>
    <w:p w14:paraId="74B77DE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17.1 报价书、报价分项一览表等各表中的报价，若无特殊说明应采用人民币填报。</w:t>
      </w:r>
    </w:p>
    <w:p w14:paraId="118F1FD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17.2 报价是</w:t>
      </w:r>
      <w:r>
        <w:rPr>
          <w:rFonts w:hint="eastAsia"/>
          <w:color w:val="auto"/>
          <w:highlight w:val="none"/>
        </w:rPr>
        <w:t>为完成竞争性磋商文件规定的一切工作所需的全部费用的最终优惠价格。</w:t>
      </w:r>
    </w:p>
    <w:p w14:paraId="7A7BCC7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17.3 除《磋商项目需求》中说明并允许外，投标的每一个货物、服务的单项报价以及采购项目的投标总价均只允许有一个报价，任何有选择的报价，采购人、采购代理机构均将予以拒绝。</w:t>
      </w:r>
    </w:p>
    <w:p w14:paraId="2BF79C5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18. 投标人资格证明文件</w:t>
      </w:r>
    </w:p>
    <w:p w14:paraId="0EF19EC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投标人必须提交证明其有资格进行投标和有能力履行合同的文件，作为响应文件的一部分。</w:t>
      </w:r>
    </w:p>
    <w:p w14:paraId="4ABA0E8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（1）《磋商邀请函》中规定的供应商资格要求（实质性要求）证明文件；</w:t>
      </w:r>
    </w:p>
    <w:p w14:paraId="1FADEC9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（2）若国家及行业对投标项目有特殊资格要求的，还须提供特殊资格证明文件；</w:t>
      </w:r>
    </w:p>
    <w:p w14:paraId="41C39E1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（3）涉及本须知中“4. 合格的投标人”相关要求的，按其要求执行。</w:t>
      </w:r>
    </w:p>
    <w:p w14:paraId="34B244E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 技术响应文件</w:t>
      </w:r>
    </w:p>
    <w:p w14:paraId="0742855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19.1 投标人须提交证明其拟供货物符合竞争性磋商文件规定的技术响应文件，作为响应文件的一部分。</w:t>
      </w:r>
    </w:p>
    <w:p w14:paraId="178FD68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19.2 上述文件可以是文字资料、图纸或数据，并须提供：</w:t>
      </w:r>
    </w:p>
    <w:p w14:paraId="6D7403B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（1）货物主要技术性能的详细描述；</w:t>
      </w:r>
    </w:p>
    <w:p w14:paraId="1D9CF3D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（2）保证货物从采购人开始使用至竞争性磋商文件规定的保修期内正常和连续运转期间所需要的所有备件和专用工具的详细清单，包括其现行价格和供货来源资料；</w:t>
      </w:r>
    </w:p>
    <w:p w14:paraId="3A2F027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0CAC932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6031798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 投标保证金</w:t>
      </w:r>
    </w:p>
    <w:p w14:paraId="0B9B5FC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20.1 按照《磋商项目需求》要求执行。</w:t>
      </w:r>
    </w:p>
    <w:p w14:paraId="26EEACE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20.2 符合《政府采购法实施条例》和《政府采购竞争性磋商采购方式管理暂行办法》相关规定。</w:t>
      </w:r>
    </w:p>
    <w:p w14:paraId="7B42CD0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 磋商有效期</w:t>
      </w:r>
    </w:p>
    <w:p w14:paraId="3256A45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21.1 磋商有效期为响应文件开启之日起60天。响应书中规定的有效期短于竞争性磋商文件规定的，其投标将被拒绝。</w:t>
      </w:r>
    </w:p>
    <w:p w14:paraId="7DC326B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34B9AFE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响应文件的签署及规定</w:t>
      </w:r>
    </w:p>
    <w:p w14:paraId="200604F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22.1 响应文件应按《磋商项目需求》和《响应文件格式》如实编写，未尽事宜可自行补充。响应文件内容不完整、格式不符合导致响应文件被误读、漏读或者查找不到相关内容的，投标人自行承担由此产生的风险。</w:t>
      </w:r>
    </w:p>
    <w:p w14:paraId="1C5C73E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22.2 投标人按照《磋商邀请函》的要求提交网上应答并分别</w:t>
      </w:r>
      <w:r>
        <w:rPr>
          <w:rFonts w:hint="eastAsia" w:ascii="Times New Roman" w:hAnsi="Times New Roman" w:cs="Times New Roman" w:eastAsiaTheme="minorEastAsia"/>
          <w:color w:val="auto"/>
          <w:szCs w:val="32"/>
          <w:highlight w:val="none"/>
        </w:rPr>
        <w:t>上传加盖电子签章的第一、第二阶段电子响应文件</w:t>
      </w:r>
      <w:r>
        <w:rPr>
          <w:rFonts w:hint="eastAsia" w:ascii="Times New Roman" w:hAnsi="Times New Roman" w:eastAsia="宋体" w:cs="Times New Roman"/>
          <w:color w:val="auto"/>
          <w:highlight w:val="none"/>
        </w:rPr>
        <w:t>（以通过天津公共资源电子签章客户端正确读取签章信息为准）。加盖电子签章的电子响应文件应与网上应答填报内容一致。</w:t>
      </w:r>
    </w:p>
    <w:p w14:paraId="02A1D3A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22.3 响应文件因模糊不清或表达不清所引起的后果由投标人自负。</w:t>
      </w:r>
    </w:p>
    <w:p w14:paraId="7CDE32F8">
      <w:pPr>
        <w:pStyle w:val="29"/>
        <w:spacing w:line="360" w:lineRule="auto"/>
        <w:jc w:val="center"/>
        <w:rPr>
          <w:rFonts w:ascii="Times New Roman" w:hAnsi="Times New Roman" w:eastAsia="宋体" w:cs="Times New Roman"/>
          <w:color w:val="auto"/>
          <w:highlight w:val="none"/>
        </w:rPr>
      </w:pPr>
    </w:p>
    <w:p w14:paraId="3AF020C3">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D  响应文件的网上应答和提交</w:t>
      </w:r>
    </w:p>
    <w:p w14:paraId="15AF0E5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highlight w:val="none"/>
        </w:rPr>
        <w:t>登录</w:t>
      </w:r>
      <w:r>
        <w:rPr>
          <w:rFonts w:hint="eastAsia" w:ascii="Times New Roman" w:hAnsi="Times New Roman" w:eastAsia="宋体" w:cs="Times New Roman"/>
          <w:color w:val="auto"/>
          <w:highlight w:val="none"/>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7166EDF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 制作和上传电子响应文件要求</w:t>
      </w:r>
    </w:p>
    <w:p w14:paraId="484341A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24.1 投标人须下载天津市政府采购中心网-下载中心-《天津公共资源电子签章客户端安装包及使用说明》。</w:t>
      </w:r>
    </w:p>
    <w:p w14:paraId="1640AF8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1ED3BB2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特别提醒：</w:t>
      </w:r>
    </w:p>
    <w:p w14:paraId="6A76EF4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75B692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92AF6F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24.3 投标人应保证电子响应文件清晰，便于识别，如因上传、扫描、格式等原因导致评审时受到影响，由投标人自行承担相应责任。</w:t>
      </w:r>
    </w:p>
    <w:p w14:paraId="5010F3C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24.4 未按规定提交网上应答和上传加盖电子签章的电子响应文件的投标将被拒绝。</w:t>
      </w:r>
    </w:p>
    <w:p w14:paraId="5836A71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25. 投标人须承诺接受电子投标的方式，并自行承担由此带来的废标、无效投标的风险。</w:t>
      </w:r>
    </w:p>
    <w:p w14:paraId="3C9E68B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 未按竞争性磋商文件的规定提交网上应答和上传加盖投标人电子签章的电子响应文件（以通过天津公共资源电子签章客户端正确读取签章信息为准）的投标将被拒绝。</w:t>
      </w:r>
    </w:p>
    <w:p w14:paraId="4C06C9A3">
      <w:pPr>
        <w:pStyle w:val="29"/>
        <w:spacing w:line="360" w:lineRule="auto"/>
        <w:ind w:firstLine="480" w:firstLineChars="200"/>
        <w:jc w:val="both"/>
        <w:rPr>
          <w:rFonts w:ascii="Times New Roman" w:hAnsi="Times New Roman" w:eastAsia="宋体" w:cs="Times New Roman"/>
          <w:color w:val="auto"/>
          <w:highlight w:val="none"/>
        </w:rPr>
      </w:pPr>
    </w:p>
    <w:p w14:paraId="45AF5B73">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E  磋商程序</w:t>
      </w:r>
    </w:p>
    <w:p w14:paraId="3EDC972A">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 </w:t>
      </w:r>
      <w:r>
        <w:rPr>
          <w:rFonts w:hint="eastAsia" w:ascii="Times New Roman" w:hAnsi="Times New Roman" w:eastAsia="宋体" w:cs="Times New Roman"/>
          <w:color w:val="auto"/>
          <w:highlight w:val="none"/>
        </w:rPr>
        <w:t>磋商步骤</w:t>
      </w:r>
    </w:p>
    <w:p w14:paraId="0385E8B6">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27.1 </w:t>
      </w:r>
      <w:r>
        <w:rPr>
          <w:rFonts w:hint="eastAsia" w:ascii="Times New Roman" w:hAnsi="Times New Roman" w:eastAsia="宋体" w:cs="Times New Roman"/>
          <w:color w:val="auto"/>
          <w:highlight w:val="none"/>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1838E92">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磋商小组要求供应商澄清、说明或者更正响应文件应当以书面形式做出。</w:t>
      </w:r>
    </w:p>
    <w:p w14:paraId="00E2D0C7">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注：供应商法定代表人或其磋商代表人须携带身份证或其他有效身份证明原件参加磋商。</w:t>
      </w:r>
    </w:p>
    <w:p w14:paraId="2EE4B89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27.2 </w:t>
      </w:r>
      <w:r>
        <w:rPr>
          <w:rFonts w:hint="eastAsia" w:ascii="Times New Roman" w:hAnsi="Times New Roman" w:eastAsia="宋体" w:cs="Times New Roman"/>
          <w:color w:val="auto"/>
          <w:highlight w:val="none"/>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454D02C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对磋商文件做出的实质性变动是磋商文件的有效组成部分，磋商小组应当及时以书面形式同时通知所有参加磋商的供应商。</w:t>
      </w:r>
    </w:p>
    <w:p w14:paraId="3B367B92">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供应商应当按照磋商文件的变动情况和磋商小组的要求重新提交电子响应文件，加盖电子签章</w:t>
      </w:r>
      <w:r>
        <w:rPr>
          <w:rFonts w:hint="eastAsia" w:ascii="Times New Roman" w:hAnsi="Times New Roman" w:eastAsia="宋体" w:cs="Times New Roman"/>
          <w:color w:val="auto"/>
          <w:highlight w:val="none"/>
        </w:rPr>
        <w:t>后于磋商小组规定的时间内通过天津市政府采购中心招投标系统“询标解答”上传至天津市政府采购中心招投标系统。</w:t>
      </w:r>
    </w:p>
    <w:p w14:paraId="540D9E9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未实质性响应磋商文件的响应文件按无效响应处理，磋商小组应当告知提交响应文件的供应商。</w:t>
      </w:r>
    </w:p>
    <w:p w14:paraId="458CC1D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27.3 </w:t>
      </w:r>
      <w:r>
        <w:rPr>
          <w:rFonts w:hint="eastAsia" w:ascii="Times New Roman" w:hAnsi="Times New Roman" w:eastAsia="宋体" w:cs="Times New Roman"/>
          <w:color w:val="auto"/>
          <w:highlight w:val="none"/>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18B6BFAB">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27.4 </w:t>
      </w:r>
      <w:r>
        <w:rPr>
          <w:rFonts w:hint="eastAsia" w:ascii="Times New Roman" w:hAnsi="Times New Roman" w:eastAsia="宋体" w:cs="Times New Roman"/>
          <w:color w:val="auto"/>
          <w:highlight w:val="none"/>
        </w:rPr>
        <w:t>第四步：经磋商确定最终采购需求和提交最后报价的供应商后，由磋商小组采用综合评分法对提交最后报价的供应商的响应文件和最后报价进行综合评分。</w:t>
      </w:r>
    </w:p>
    <w:p w14:paraId="029B1B2E">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27.5 </w:t>
      </w:r>
      <w:r>
        <w:rPr>
          <w:rFonts w:hint="eastAsia" w:ascii="Times New Roman" w:hAnsi="Times New Roman" w:eastAsia="宋体" w:cs="Times New Roman"/>
          <w:color w:val="auto"/>
          <w:highlight w:val="none"/>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CA81E72">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27.6 </w:t>
      </w:r>
      <w:r>
        <w:rPr>
          <w:rFonts w:hint="eastAsia" w:ascii="Times New Roman" w:hAnsi="Times New Roman" w:eastAsia="宋体" w:cs="Times New Roman"/>
          <w:color w:val="auto"/>
          <w:highlight w:val="none"/>
        </w:rPr>
        <w:t>出现下列情形之一的，采购人或者采购代理机构应当终止竞争性磋商采购活动，发布项目终止公告并说明原因，重新开展采购活动：</w:t>
      </w:r>
    </w:p>
    <w:p w14:paraId="4B218B6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）因情况变化，不再符合规定的竞争性磋商采购方式适用情形的；</w:t>
      </w:r>
    </w:p>
    <w:p w14:paraId="240953C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2</w:t>
      </w:r>
      <w:r>
        <w:rPr>
          <w:rFonts w:hint="eastAsia" w:ascii="Times New Roman" w:hAnsi="Times New Roman" w:eastAsia="宋体" w:cs="Times New Roman"/>
          <w:color w:val="auto"/>
          <w:highlight w:val="none"/>
        </w:rPr>
        <w:t>）出现影响采购公正的违法、违规行为的；</w:t>
      </w:r>
    </w:p>
    <w:p w14:paraId="2DF4E61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3</w:t>
      </w:r>
      <w:r>
        <w:rPr>
          <w:rFonts w:hint="eastAsia" w:ascii="Times New Roman" w:hAnsi="Times New Roman" w:eastAsia="宋体" w:cs="Times New Roman"/>
          <w:color w:val="auto"/>
          <w:highlight w:val="none"/>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highlight w:val="none"/>
        </w:rPr>
        <w:t>3</w:t>
      </w:r>
      <w:r>
        <w:rPr>
          <w:rFonts w:hint="eastAsia" w:ascii="Times New Roman" w:hAnsi="Times New Roman" w:eastAsia="宋体" w:cs="Times New Roman"/>
          <w:color w:val="auto"/>
          <w:highlight w:val="none"/>
        </w:rPr>
        <w:t>家的。</w:t>
      </w:r>
    </w:p>
    <w:p w14:paraId="7C84C704">
      <w:pPr>
        <w:pStyle w:val="29"/>
        <w:spacing w:line="360" w:lineRule="auto"/>
        <w:ind w:firstLine="480" w:firstLineChars="200"/>
        <w:jc w:val="both"/>
        <w:rPr>
          <w:rFonts w:ascii="Times New Roman" w:hAnsi="Times New Roman" w:eastAsia="宋体" w:cs="Times New Roman"/>
          <w:color w:val="auto"/>
          <w:highlight w:val="none"/>
        </w:rPr>
      </w:pPr>
      <w:r>
        <w:rPr>
          <w:color w:val="auto"/>
          <w:highlight w:val="none"/>
        </w:rPr>
        <w:t xml:space="preserve">27.7 </w:t>
      </w:r>
      <w:r>
        <w:rPr>
          <w:rFonts w:hint="eastAsia"/>
          <w:color w:val="auto"/>
          <w:highlight w:val="none"/>
        </w:rPr>
        <w:t>根据《财政部关于政府采购竞争性磋商采购方式管理暂行办法有关问题的补充通知》（财库〔</w:t>
      </w:r>
      <w:r>
        <w:rPr>
          <w:color w:val="auto"/>
          <w:highlight w:val="none"/>
        </w:rPr>
        <w:t>2015</w:t>
      </w:r>
      <w:r>
        <w:rPr>
          <w:rFonts w:hint="eastAsia"/>
          <w:color w:val="auto"/>
          <w:highlight w:val="none"/>
        </w:rPr>
        <w:t>〕</w:t>
      </w:r>
      <w:r>
        <w:rPr>
          <w:color w:val="auto"/>
          <w:highlight w:val="none"/>
        </w:rPr>
        <w:t>124</w:t>
      </w:r>
      <w:r>
        <w:rPr>
          <w:rFonts w:hint="eastAsia"/>
          <w:color w:val="auto"/>
          <w:highlight w:val="none"/>
        </w:rPr>
        <w:t>号）的规定，采用竞争性磋商采购方式采购的政府购买服务项目（含政府和社会资本合作项目），在采购过程中符合要求的供应商（社会资本）只有</w:t>
      </w:r>
      <w:r>
        <w:rPr>
          <w:color w:val="auto"/>
          <w:highlight w:val="none"/>
        </w:rPr>
        <w:t>2</w:t>
      </w:r>
      <w:r>
        <w:rPr>
          <w:rFonts w:hint="eastAsia"/>
          <w:color w:val="auto"/>
          <w:highlight w:val="none"/>
        </w:rPr>
        <w:t>家的，竞争性磋商采购活动可以继续进行。采购过程中符合要求的供应商（社会资本）只有</w:t>
      </w:r>
      <w:r>
        <w:rPr>
          <w:color w:val="auto"/>
          <w:highlight w:val="none"/>
        </w:rPr>
        <w:t>1</w:t>
      </w:r>
      <w:r>
        <w:rPr>
          <w:rFonts w:hint="eastAsia"/>
          <w:color w:val="auto"/>
          <w:highlight w:val="none"/>
        </w:rPr>
        <w:t>家的，采购人（项目实施机构）或者采购代理机构应当终止竞争性磋商采购活动，发布项目终止公告并说明原因，重新开展采购活动。</w:t>
      </w:r>
    </w:p>
    <w:p w14:paraId="57D0746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 评审方法及标准</w:t>
      </w:r>
    </w:p>
    <w:p w14:paraId="79398C3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28.1 磋商小组将根据竞争性磋商文件确定的评审原则和评审方法对确定为实质上响应竞争性磋商文件要求的投标进行评估和比较。</w:t>
      </w:r>
    </w:p>
    <w:p w14:paraId="778FDEC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28.2 磋商小组应当按照客观、公正、审慎的原则，根据竞争性磋商文件规定的评审程序、评审方法和评审标准进行独立评审。</w:t>
      </w:r>
    </w:p>
    <w:p w14:paraId="17A82DE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28.3 竞争性磋商文件内容违反国家有关强制性规定的，磋商小组应当停止评审并向采购人或者采购代理机构说明情况。</w:t>
      </w:r>
    </w:p>
    <w:p w14:paraId="3B8BDE4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28.4 对竞争性磋商文件中描述有歧义或前后不一致的地方，磋商小组有权进行评判，但对同一条款的评判应适用于每个投标人。</w:t>
      </w:r>
    </w:p>
    <w:p w14:paraId="31937F7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28.5 评审方法</w:t>
      </w:r>
    </w:p>
    <w:p w14:paraId="7CEB6DB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76B3189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1DA4799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w:t>
      </w:r>
      <w:r>
        <w:rPr>
          <w:rFonts w:hint="eastAsia" w:ascii="Times New Roman" w:hAnsi="Times New Roman" w:eastAsia="宋体"/>
          <w:color w:val="auto"/>
          <w:highlight w:val="none"/>
        </w:rPr>
        <w:t>按照《关于调整优化节能产品、环境标志产品政府采购执行机制的通知》（财库〔2019〕9号）文件要求，对</w:t>
      </w:r>
      <w:r>
        <w:rPr>
          <w:rFonts w:ascii="Times New Roman" w:hAnsi="Times New Roman" w:cs="Times New Roman"/>
          <w:color w:val="auto"/>
          <w:highlight w:val="none"/>
        </w:rPr>
        <w:t>政府采购节能、环境标志品目清单</w:t>
      </w:r>
      <w:r>
        <w:rPr>
          <w:rFonts w:hint="eastAsia" w:ascii="Times New Roman" w:hAnsi="Times New Roman" w:cs="Times New Roman"/>
          <w:color w:val="auto"/>
          <w:highlight w:val="none"/>
        </w:rPr>
        <w:t>内的产品实施</w:t>
      </w:r>
      <w:r>
        <w:rPr>
          <w:rFonts w:hint="eastAsia" w:ascii="Times New Roman" w:hAnsi="Times New Roman" w:eastAsia="宋体"/>
          <w:color w:val="auto"/>
          <w:highlight w:val="none"/>
        </w:rPr>
        <w:t>优先采购和强制采购的评标方法。</w:t>
      </w:r>
    </w:p>
    <w:p w14:paraId="4556723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651BF82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（5）成交候选供应商产生办法：按得分由高到低顺序确定成交候选供应商；得分相同的，按投标报价由低到高顺序确定成交候选供应商；得分且投标报价相同的，按技术指标优劣顺序确定成交候选供应商。</w:t>
      </w:r>
    </w:p>
    <w:p w14:paraId="70B3452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（6）采购人按成交候选供应商顺序确定成交供应商，或授权磋商小组按成交候选供应商顺序直接确定成交供应商。</w:t>
      </w:r>
    </w:p>
    <w:p w14:paraId="2A0A805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28.6 出现以下任何情形取消磋商资格：</w:t>
      </w:r>
    </w:p>
    <w:p w14:paraId="1B56403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（1）响应文件未按竞争性磋商文件的要求加盖电子签章的；</w:t>
      </w:r>
    </w:p>
    <w:p w14:paraId="0C21AA1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（2）磋商有效期短于竞争性磋商文件要求的；</w:t>
      </w:r>
    </w:p>
    <w:p w14:paraId="0A79FCF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（3）响应文件中提供虚假材料的；</w:t>
      </w:r>
    </w:p>
    <w:p w14:paraId="0118C71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（4）不能满足竞争性磋商文件中任何一条实质性要求或加注“★”号条款出现负偏离或经磋商小组认定未实质性响应竞争性磋商文件要求的或响应内容不符合相关强制性规定的；</w:t>
      </w:r>
    </w:p>
    <w:p w14:paraId="1BCA10B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（5）未按时进行网上解密或电子响应文件损坏、无效的；</w:t>
      </w:r>
    </w:p>
    <w:p w14:paraId="1C698AB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（6）磋商报价超出采购预算的；</w:t>
      </w:r>
    </w:p>
    <w:p w14:paraId="60D03A6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（7）存在串通情形的；</w:t>
      </w:r>
    </w:p>
    <w:p w14:paraId="523949F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（8）单位负责人或法定代表人为同一人，或者存在控股、管理关系的不同供应商，参加同一合同项下投标的，相关投标均无效；</w:t>
      </w:r>
    </w:p>
    <w:p w14:paraId="2B112BD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（9）其他法定响应无效的情形。</w:t>
      </w:r>
    </w:p>
    <w:p w14:paraId="1BE781B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 其他注意事项</w:t>
      </w:r>
    </w:p>
    <w:p w14:paraId="4EF43E1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29.1 在磋商期间，投标人不得向磋商小组成员或采购代理机构询问评审情况、施加任何影响，不得进行旨在影响评审结果的活动。</w:t>
      </w:r>
    </w:p>
    <w:p w14:paraId="76DAC9F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2EAED41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29.3 本项目不接受赠品、回扣或者与采购无关的其他商品、服务。</w:t>
      </w:r>
    </w:p>
    <w:p w14:paraId="7A9D14E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29.4 如果几个投标人所投整包产品为同一品牌时，在服务承诺符合竞争性磋商文件的情况下，报价最低的投标人入围评审阶段。</w:t>
      </w:r>
    </w:p>
    <w:p w14:paraId="3EDBCFCD">
      <w:pPr>
        <w:pStyle w:val="29"/>
        <w:spacing w:line="360" w:lineRule="auto"/>
        <w:ind w:firstLine="480" w:firstLineChars="200"/>
        <w:jc w:val="both"/>
        <w:rPr>
          <w:rFonts w:ascii="Times New Roman" w:hAnsi="Times New Roman" w:eastAsia="宋体" w:cs="Times New Roman"/>
          <w:color w:val="auto"/>
          <w:highlight w:val="none"/>
        </w:rPr>
      </w:pPr>
    </w:p>
    <w:p w14:paraId="1D36A8A1">
      <w:pPr>
        <w:pStyle w:val="29"/>
        <w:spacing w:line="360" w:lineRule="auto"/>
        <w:ind w:firstLine="480" w:firstLineChars="200"/>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F  授予合同</w:t>
      </w:r>
    </w:p>
    <w:p w14:paraId="7C56664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30. 成交供应商的产生</w:t>
      </w:r>
    </w:p>
    <w:p w14:paraId="37809C5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30.1 采购人可以事先授权磋商小组直接确定成交供应商。</w:t>
      </w:r>
    </w:p>
    <w:p w14:paraId="791BE0B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30.2 采购人也可以按照《政府采购法》及其实施条例等法律法规的规定和竞争性磋商文件的要求确认成交供应商。</w:t>
      </w:r>
    </w:p>
    <w:p w14:paraId="6A26468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 成交通知</w:t>
      </w:r>
    </w:p>
    <w:p w14:paraId="756313C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3EFC060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B8FD66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 签订合同</w:t>
      </w:r>
    </w:p>
    <w:p w14:paraId="66E391C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C58F48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32.2 竞争性磋商文件、成交供应商的响应文件及其澄清文件等，均为签订合同的依据，且为合同的组成部分。</w:t>
      </w:r>
    </w:p>
    <w:p w14:paraId="4CF7B23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33. 履约保证金</w:t>
      </w:r>
    </w:p>
    <w:p w14:paraId="5075275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33.1 若《磋商项目需求》规定须提交履约保证金的，成交供应商须按照规定要求提交履约保证金。</w:t>
      </w:r>
    </w:p>
    <w:p w14:paraId="5AB4814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33.2 成交供应商未能按合同规定履行其义务，采购人有权没收履约保证金。</w:t>
      </w:r>
    </w:p>
    <w:p w14:paraId="79CDEBB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34. 成交供应商拒绝与采购人签订合同的，采购人可以按照评审报告推荐的成交候选人名单排序，确定下一候选人为成交供应商，也可以重新开展政府采购活动。</w:t>
      </w:r>
    </w:p>
    <w:p w14:paraId="1386D70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 合同分包</w:t>
      </w:r>
    </w:p>
    <w:p w14:paraId="434FEC1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35.1 未经采购人同意，成交供应商不得分包合同。</w:t>
      </w:r>
    </w:p>
    <w:p w14:paraId="3F50C88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35.2 政府采购合同分包履行的，成交供应商就采购项目和分包项目向采购人负责，分包供应商就分包项目承担责任。</w:t>
      </w:r>
    </w:p>
    <w:p w14:paraId="2F2D64B6">
      <w:pPr>
        <w:pStyle w:val="29"/>
        <w:spacing w:line="360" w:lineRule="auto"/>
        <w:ind w:firstLine="480" w:firstLineChars="200"/>
        <w:jc w:val="both"/>
        <w:rPr>
          <w:rFonts w:ascii="Times New Roman" w:hAnsi="Times New Roman" w:eastAsia="宋体" w:cs="Times New Roman"/>
          <w:color w:val="auto"/>
          <w:highlight w:val="none"/>
        </w:rPr>
      </w:pPr>
    </w:p>
    <w:p w14:paraId="5DDE8822">
      <w:pPr>
        <w:pStyle w:val="29"/>
        <w:snapToGrid w:val="0"/>
        <w:spacing w:line="360" w:lineRule="auto"/>
        <w:ind w:firstLine="480" w:firstLineChars="200"/>
        <w:jc w:val="both"/>
        <w:rPr>
          <w:rFonts w:ascii="Times New Roman" w:hAnsi="Times New Roman" w:eastAsia="宋体" w:cs="Times New Roman"/>
          <w:color w:val="auto"/>
          <w:highlight w:val="none"/>
        </w:rPr>
      </w:pPr>
    </w:p>
    <w:p w14:paraId="3C8DBAA7">
      <w:pPr>
        <w:pStyle w:val="29"/>
        <w:snapToGrid w:val="0"/>
        <w:spacing w:line="360" w:lineRule="auto"/>
        <w:ind w:firstLine="480" w:firstLineChars="200"/>
        <w:jc w:val="both"/>
        <w:rPr>
          <w:rFonts w:ascii="Times New Roman" w:hAnsi="Times New Roman" w:eastAsia="宋体" w:cs="Times New Roman"/>
          <w:color w:val="auto"/>
          <w:highlight w:val="none"/>
        </w:rPr>
        <w:sectPr>
          <w:headerReference r:id="rId7" w:type="default"/>
          <w:pgSz w:w="11906" w:h="16838"/>
          <w:pgMar w:top="1440" w:right="1800" w:bottom="1440" w:left="1800" w:header="851" w:footer="992" w:gutter="0"/>
          <w:cols w:space="720" w:num="1"/>
          <w:docGrid w:type="lines" w:linePitch="312" w:charSpace="0"/>
        </w:sectPr>
      </w:pPr>
    </w:p>
    <w:p w14:paraId="66A1552D">
      <w:pPr>
        <w:pStyle w:val="11"/>
        <w:rPr>
          <w:rFonts w:ascii="Times New Roman" w:hAnsi="Times New Roman"/>
          <w:color w:val="auto"/>
          <w:highlight w:val="none"/>
        </w:rPr>
      </w:pPr>
      <w:r>
        <w:rPr>
          <w:rFonts w:ascii="Times New Roman" w:hAnsi="Times New Roman"/>
          <w:color w:val="auto"/>
          <w:highlight w:val="none"/>
        </w:rPr>
        <w:t>第四部分  合同草案</w:t>
      </w:r>
    </w:p>
    <w:p w14:paraId="6FCCB8C4">
      <w:pPr>
        <w:tabs>
          <w:tab w:val="left" w:pos="412"/>
          <w:tab w:val="left" w:pos="618"/>
        </w:tabs>
        <w:spacing w:line="520" w:lineRule="exact"/>
        <w:jc w:val="center"/>
        <w:rPr>
          <w:b/>
          <w:color w:val="auto"/>
          <w:sz w:val="30"/>
          <w:szCs w:val="30"/>
          <w:highlight w:val="none"/>
        </w:rPr>
      </w:pPr>
      <w:r>
        <w:rPr>
          <w:b/>
          <w:color w:val="auto"/>
          <w:sz w:val="30"/>
          <w:szCs w:val="30"/>
          <w:highlight w:val="none"/>
        </w:rPr>
        <w:t>合同一般条款</w:t>
      </w:r>
    </w:p>
    <w:p w14:paraId="366A5062">
      <w:pPr>
        <w:tabs>
          <w:tab w:val="left" w:pos="0"/>
          <w:tab w:val="left" w:pos="315"/>
        </w:tabs>
        <w:spacing w:line="520" w:lineRule="exact"/>
        <w:ind w:firstLine="480"/>
        <w:rPr>
          <w:color w:val="auto"/>
          <w:sz w:val="24"/>
          <w:szCs w:val="24"/>
          <w:highlight w:val="none"/>
        </w:rPr>
      </w:pPr>
      <w:r>
        <w:rPr>
          <w:color w:val="auto"/>
          <w:sz w:val="24"/>
          <w:szCs w:val="24"/>
          <w:highlight w:val="none"/>
        </w:rPr>
        <w:t xml:space="preserve">需方：  </w:t>
      </w:r>
    </w:p>
    <w:p w14:paraId="6BC666C4">
      <w:pPr>
        <w:tabs>
          <w:tab w:val="left" w:pos="0"/>
          <w:tab w:val="left" w:pos="315"/>
        </w:tabs>
        <w:spacing w:line="520" w:lineRule="exact"/>
        <w:ind w:firstLine="480"/>
        <w:rPr>
          <w:color w:val="auto"/>
          <w:sz w:val="24"/>
          <w:szCs w:val="24"/>
          <w:highlight w:val="none"/>
        </w:rPr>
      </w:pPr>
      <w:r>
        <w:rPr>
          <w:color w:val="auto"/>
          <w:sz w:val="24"/>
          <w:szCs w:val="24"/>
          <w:highlight w:val="none"/>
        </w:rPr>
        <w:t xml:space="preserve">供方： </w:t>
      </w:r>
    </w:p>
    <w:p w14:paraId="17DC22B3">
      <w:pPr>
        <w:tabs>
          <w:tab w:val="left" w:pos="0"/>
          <w:tab w:val="left" w:pos="315"/>
        </w:tabs>
        <w:spacing w:line="520" w:lineRule="exact"/>
        <w:ind w:firstLine="480"/>
        <w:rPr>
          <w:color w:val="auto"/>
          <w:sz w:val="24"/>
          <w:szCs w:val="24"/>
          <w:highlight w:val="none"/>
        </w:rPr>
      </w:pPr>
      <w:r>
        <w:rPr>
          <w:color w:val="auto"/>
          <w:sz w:val="24"/>
          <w:szCs w:val="24"/>
          <w:highlight w:val="none"/>
        </w:rPr>
        <w:t>供、需双方根据   项目（项目编号：TGPC-201 - ）的政府采购结果和</w:t>
      </w:r>
      <w:r>
        <w:rPr>
          <w:rFonts w:hint="eastAsia"/>
          <w:color w:val="auto"/>
          <w:sz w:val="24"/>
          <w:szCs w:val="24"/>
          <w:highlight w:val="none"/>
        </w:rPr>
        <w:t>竞争性磋商</w:t>
      </w:r>
      <w:r>
        <w:rPr>
          <w:color w:val="auto"/>
          <w:sz w:val="24"/>
          <w:szCs w:val="24"/>
          <w:highlight w:val="none"/>
        </w:rPr>
        <w:t>文件的要求，并经双方协商一致，达成  合同：</w:t>
      </w:r>
    </w:p>
    <w:p w14:paraId="5FB740A3">
      <w:pPr>
        <w:pStyle w:val="37"/>
        <w:numPr>
          <w:ilvl w:val="0"/>
          <w:numId w:val="1"/>
        </w:numPr>
        <w:spacing w:line="480" w:lineRule="exact"/>
        <w:ind w:firstLineChars="0"/>
        <w:rPr>
          <w:color w:val="auto"/>
          <w:sz w:val="24"/>
          <w:highlight w:val="none"/>
        </w:rPr>
      </w:pPr>
      <w:r>
        <w:rPr>
          <w:rFonts w:hint="eastAsia"/>
          <w:color w:val="auto"/>
          <w:sz w:val="24"/>
          <w:highlight w:val="none"/>
        </w:rPr>
        <w:t>本合同为中小企业预留合同</w:t>
      </w:r>
    </w:p>
    <w:p w14:paraId="0E8BA564">
      <w:pPr>
        <w:pStyle w:val="37"/>
        <w:numPr>
          <w:ilvl w:val="0"/>
          <w:numId w:val="1"/>
        </w:numPr>
        <w:spacing w:line="480" w:lineRule="exact"/>
        <w:ind w:firstLineChars="0"/>
        <w:rPr>
          <w:color w:val="auto"/>
          <w:sz w:val="24"/>
          <w:highlight w:val="none"/>
        </w:rPr>
      </w:pPr>
      <w:r>
        <w:rPr>
          <w:rFonts w:hint="eastAsia"/>
          <w:color w:val="auto"/>
          <w:sz w:val="24"/>
          <w:highlight w:val="none"/>
        </w:rPr>
        <w:t>本合同非中小企业预留合同</w:t>
      </w:r>
    </w:p>
    <w:p w14:paraId="0637E632">
      <w:pPr>
        <w:tabs>
          <w:tab w:val="left" w:pos="0"/>
          <w:tab w:val="left" w:pos="315"/>
        </w:tabs>
        <w:spacing w:line="520" w:lineRule="exact"/>
        <w:ind w:firstLine="480"/>
        <w:rPr>
          <w:color w:val="auto"/>
          <w:sz w:val="24"/>
          <w:szCs w:val="24"/>
          <w:highlight w:val="none"/>
        </w:rPr>
      </w:pPr>
      <w:r>
        <w:rPr>
          <w:color w:val="auto"/>
          <w:sz w:val="24"/>
          <w:szCs w:val="24"/>
          <w:highlight w:val="none"/>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73C2264">
      <w:pPr>
        <w:tabs>
          <w:tab w:val="left" w:pos="1133"/>
        </w:tabs>
        <w:spacing w:line="520" w:lineRule="exact"/>
        <w:ind w:firstLine="480" w:firstLineChars="200"/>
        <w:rPr>
          <w:color w:val="auto"/>
          <w:sz w:val="24"/>
          <w:szCs w:val="24"/>
          <w:highlight w:val="none"/>
        </w:rPr>
      </w:pPr>
      <w:r>
        <w:rPr>
          <w:color w:val="auto"/>
          <w:sz w:val="24"/>
          <w:szCs w:val="24"/>
          <w:highlight w:val="none"/>
        </w:rPr>
        <w:t>一、采购内容：  （详见附件）</w:t>
      </w:r>
    </w:p>
    <w:p w14:paraId="65F9AB42">
      <w:pPr>
        <w:tabs>
          <w:tab w:val="left" w:pos="1133"/>
        </w:tabs>
        <w:spacing w:line="520" w:lineRule="exact"/>
        <w:ind w:firstLine="480" w:firstLineChars="200"/>
        <w:rPr>
          <w:color w:val="auto"/>
          <w:sz w:val="24"/>
          <w:szCs w:val="24"/>
          <w:highlight w:val="none"/>
        </w:rPr>
      </w:pPr>
      <w:r>
        <w:rPr>
          <w:color w:val="auto"/>
          <w:sz w:val="24"/>
          <w:szCs w:val="24"/>
          <w:highlight w:val="none"/>
        </w:rPr>
        <w:t xml:space="preserve">    合同总价款：人民币  元</w:t>
      </w:r>
    </w:p>
    <w:p w14:paraId="061422DC">
      <w:pPr>
        <w:tabs>
          <w:tab w:val="left" w:pos="1133"/>
        </w:tabs>
        <w:spacing w:line="520" w:lineRule="exact"/>
        <w:ind w:firstLine="480" w:firstLineChars="200"/>
        <w:rPr>
          <w:color w:val="auto"/>
          <w:sz w:val="24"/>
          <w:szCs w:val="24"/>
          <w:highlight w:val="none"/>
        </w:rPr>
      </w:pPr>
      <w:r>
        <w:rPr>
          <w:color w:val="auto"/>
          <w:sz w:val="24"/>
          <w:szCs w:val="24"/>
          <w:highlight w:val="none"/>
        </w:rPr>
        <w:t xml:space="preserve">    大写：人民币  元整</w:t>
      </w:r>
    </w:p>
    <w:p w14:paraId="7DA7C7E2">
      <w:pPr>
        <w:tabs>
          <w:tab w:val="left" w:pos="360"/>
        </w:tabs>
        <w:spacing w:line="520" w:lineRule="exact"/>
        <w:ind w:firstLine="480" w:firstLineChars="200"/>
        <w:rPr>
          <w:color w:val="auto"/>
          <w:sz w:val="24"/>
          <w:szCs w:val="24"/>
          <w:highlight w:val="none"/>
        </w:rPr>
      </w:pPr>
      <w:r>
        <w:rPr>
          <w:color w:val="auto"/>
          <w:sz w:val="24"/>
          <w:szCs w:val="24"/>
          <w:highlight w:val="none"/>
        </w:rPr>
        <w:t>二、质量要求及对质量负责条件和期限：见附件。</w:t>
      </w:r>
    </w:p>
    <w:p w14:paraId="1643C915">
      <w:pPr>
        <w:tabs>
          <w:tab w:val="left" w:pos="360"/>
        </w:tabs>
        <w:spacing w:line="520" w:lineRule="exact"/>
        <w:ind w:firstLine="480" w:firstLineChars="200"/>
        <w:rPr>
          <w:color w:val="auto"/>
          <w:sz w:val="24"/>
          <w:szCs w:val="24"/>
          <w:highlight w:val="none"/>
        </w:rPr>
      </w:pPr>
      <w:r>
        <w:rPr>
          <w:color w:val="auto"/>
          <w:sz w:val="24"/>
          <w:szCs w:val="24"/>
          <w:highlight w:val="none"/>
        </w:rPr>
        <w:t>三、供方所提供的服务必须具有合法手续及相关文件。如涉及知识产权则必须是自己拥有或合法使用的。</w:t>
      </w:r>
    </w:p>
    <w:p w14:paraId="46C437F0">
      <w:pPr>
        <w:tabs>
          <w:tab w:val="left" w:pos="360"/>
        </w:tabs>
        <w:spacing w:line="520" w:lineRule="exact"/>
        <w:ind w:firstLine="480" w:firstLineChars="200"/>
        <w:rPr>
          <w:color w:val="auto"/>
          <w:sz w:val="24"/>
          <w:szCs w:val="24"/>
          <w:highlight w:val="none"/>
        </w:rPr>
      </w:pPr>
      <w:r>
        <w:rPr>
          <w:color w:val="auto"/>
          <w:sz w:val="24"/>
          <w:szCs w:val="24"/>
          <w:highlight w:val="none"/>
        </w:rPr>
        <w:t>四、</w:t>
      </w:r>
      <w:r>
        <w:rPr>
          <w:rFonts w:hint="eastAsia"/>
          <w:color w:val="auto"/>
          <w:sz w:val="24"/>
          <w:szCs w:val="24"/>
          <w:highlight w:val="none"/>
        </w:rPr>
        <w:t>服务</w:t>
      </w:r>
      <w:r>
        <w:rPr>
          <w:color w:val="auto"/>
          <w:sz w:val="24"/>
          <w:szCs w:val="24"/>
          <w:highlight w:val="none"/>
        </w:rPr>
        <w:t>时间、地点、方式：见附件。</w:t>
      </w:r>
    </w:p>
    <w:p w14:paraId="35ADA2A1">
      <w:pPr>
        <w:tabs>
          <w:tab w:val="left" w:pos="360"/>
        </w:tabs>
        <w:spacing w:line="520" w:lineRule="exact"/>
        <w:ind w:firstLine="480" w:firstLineChars="200"/>
        <w:rPr>
          <w:color w:val="auto"/>
          <w:sz w:val="24"/>
          <w:szCs w:val="24"/>
          <w:highlight w:val="none"/>
        </w:rPr>
      </w:pPr>
      <w:r>
        <w:rPr>
          <w:color w:val="auto"/>
          <w:sz w:val="24"/>
          <w:szCs w:val="24"/>
          <w:highlight w:val="none"/>
        </w:rPr>
        <w:t>五、供方应随</w:t>
      </w:r>
      <w:r>
        <w:rPr>
          <w:rFonts w:hint="eastAsia"/>
          <w:color w:val="auto"/>
          <w:sz w:val="24"/>
          <w:szCs w:val="24"/>
          <w:highlight w:val="none"/>
        </w:rPr>
        <w:t>服务</w:t>
      </w:r>
      <w:r>
        <w:rPr>
          <w:color w:val="auto"/>
          <w:sz w:val="24"/>
          <w:szCs w:val="24"/>
          <w:highlight w:val="none"/>
        </w:rPr>
        <w:t>向需方交付的相关资料。如果所提交文件是外文的，供方有义务为需方提供中文或译成中文文件。</w:t>
      </w:r>
    </w:p>
    <w:p w14:paraId="2B4C6AA0">
      <w:pPr>
        <w:tabs>
          <w:tab w:val="left" w:pos="360"/>
          <w:tab w:val="left" w:pos="721"/>
        </w:tabs>
        <w:spacing w:line="520" w:lineRule="exact"/>
        <w:rPr>
          <w:color w:val="auto"/>
          <w:sz w:val="24"/>
          <w:szCs w:val="24"/>
          <w:highlight w:val="none"/>
        </w:rPr>
      </w:pPr>
      <w:r>
        <w:rPr>
          <w:color w:val="auto"/>
          <w:sz w:val="24"/>
          <w:szCs w:val="24"/>
          <w:highlight w:val="none"/>
        </w:rPr>
        <w:t xml:space="preserve">    六、验收工作由需方负责对合同进行验收。</w:t>
      </w:r>
    </w:p>
    <w:p w14:paraId="626BCD96">
      <w:pPr>
        <w:tabs>
          <w:tab w:val="left" w:pos="360"/>
        </w:tabs>
        <w:spacing w:line="520" w:lineRule="exact"/>
        <w:rPr>
          <w:color w:val="auto"/>
          <w:sz w:val="24"/>
          <w:szCs w:val="24"/>
          <w:highlight w:val="none"/>
        </w:rPr>
      </w:pPr>
      <w:r>
        <w:rPr>
          <w:color w:val="auto"/>
          <w:sz w:val="24"/>
          <w:szCs w:val="24"/>
          <w:highlight w:val="none"/>
        </w:rPr>
        <w:t xml:space="preserve">    七、货款支付方式：见附件。</w:t>
      </w:r>
    </w:p>
    <w:p w14:paraId="58BE36A9">
      <w:pPr>
        <w:tabs>
          <w:tab w:val="left" w:pos="0"/>
          <w:tab w:val="left" w:pos="721"/>
        </w:tabs>
        <w:spacing w:line="520" w:lineRule="exact"/>
        <w:ind w:firstLine="480" w:firstLineChars="200"/>
        <w:rPr>
          <w:color w:val="auto"/>
          <w:sz w:val="24"/>
          <w:szCs w:val="24"/>
          <w:highlight w:val="none"/>
        </w:rPr>
      </w:pPr>
      <w:r>
        <w:rPr>
          <w:color w:val="auto"/>
          <w:sz w:val="24"/>
          <w:szCs w:val="24"/>
          <w:highlight w:val="none"/>
        </w:rPr>
        <w:t>供方开户银行（汉字全称）：</w:t>
      </w:r>
      <w:r>
        <w:rPr>
          <w:color w:val="auto"/>
          <w:sz w:val="24"/>
          <w:szCs w:val="24"/>
          <w:highlight w:val="none"/>
          <w:u w:val="single"/>
        </w:rPr>
        <w:t xml:space="preserve">                                        </w:t>
      </w:r>
      <w:r>
        <w:rPr>
          <w:color w:val="auto"/>
          <w:sz w:val="24"/>
          <w:szCs w:val="24"/>
          <w:highlight w:val="none"/>
        </w:rPr>
        <w:t>，</w:t>
      </w:r>
    </w:p>
    <w:p w14:paraId="0F8F8511">
      <w:pPr>
        <w:tabs>
          <w:tab w:val="left" w:pos="0"/>
          <w:tab w:val="left" w:pos="721"/>
        </w:tabs>
        <w:spacing w:line="520" w:lineRule="exact"/>
        <w:ind w:firstLine="513" w:firstLineChars="214"/>
        <w:rPr>
          <w:color w:val="auto"/>
          <w:sz w:val="24"/>
          <w:szCs w:val="24"/>
          <w:highlight w:val="none"/>
        </w:rPr>
      </w:pPr>
      <w:r>
        <w:rPr>
          <w:color w:val="auto"/>
          <w:sz w:val="24"/>
          <w:szCs w:val="24"/>
          <w:highlight w:val="none"/>
        </w:rPr>
        <w:t>行号（数字代码）：</w:t>
      </w:r>
      <w:r>
        <w:rPr>
          <w:color w:val="auto"/>
          <w:sz w:val="24"/>
          <w:szCs w:val="24"/>
          <w:highlight w:val="none"/>
          <w:u w:val="single"/>
        </w:rPr>
        <w:t xml:space="preserve">                                                </w:t>
      </w:r>
      <w:r>
        <w:rPr>
          <w:color w:val="auto"/>
          <w:sz w:val="24"/>
          <w:szCs w:val="24"/>
          <w:highlight w:val="none"/>
        </w:rPr>
        <w:t>，</w:t>
      </w:r>
    </w:p>
    <w:p w14:paraId="6DA4DEF9">
      <w:pPr>
        <w:tabs>
          <w:tab w:val="left" w:pos="0"/>
          <w:tab w:val="left" w:pos="721"/>
        </w:tabs>
        <w:spacing w:line="520" w:lineRule="exact"/>
        <w:ind w:firstLine="513" w:firstLineChars="214"/>
        <w:rPr>
          <w:color w:val="auto"/>
          <w:sz w:val="24"/>
          <w:szCs w:val="24"/>
          <w:highlight w:val="none"/>
        </w:rPr>
      </w:pPr>
      <w:r>
        <w:rPr>
          <w:rFonts w:hint="eastAsia"/>
          <w:color w:val="auto"/>
          <w:sz w:val="24"/>
          <w:szCs w:val="24"/>
          <w:highlight w:val="none"/>
        </w:rPr>
        <w:t>账</w:t>
      </w:r>
      <w:r>
        <w:rPr>
          <w:color w:val="auto"/>
          <w:sz w:val="24"/>
          <w:szCs w:val="24"/>
          <w:highlight w:val="none"/>
        </w:rPr>
        <w:t xml:space="preserve">       号：</w:t>
      </w:r>
      <w:r>
        <w:rPr>
          <w:color w:val="auto"/>
          <w:sz w:val="24"/>
          <w:szCs w:val="24"/>
          <w:highlight w:val="none"/>
          <w:u w:val="single"/>
        </w:rPr>
        <w:t xml:space="preserve">                                                   </w:t>
      </w:r>
      <w:r>
        <w:rPr>
          <w:color w:val="auto"/>
          <w:szCs w:val="24"/>
          <w:highlight w:val="none"/>
        </w:rPr>
        <w:t>。</w:t>
      </w:r>
    </w:p>
    <w:p w14:paraId="5CC1BF02">
      <w:pPr>
        <w:pStyle w:val="6"/>
        <w:spacing w:line="520" w:lineRule="exact"/>
        <w:ind w:leftChars="-50" w:firstLine="480" w:firstLineChars="200"/>
        <w:rPr>
          <w:color w:val="auto"/>
          <w:sz w:val="24"/>
          <w:szCs w:val="24"/>
          <w:highlight w:val="none"/>
        </w:rPr>
      </w:pPr>
      <w:r>
        <w:rPr>
          <w:rFonts w:hint="eastAsia"/>
          <w:color w:val="auto"/>
          <w:sz w:val="24"/>
          <w:szCs w:val="24"/>
          <w:highlight w:val="none"/>
        </w:rPr>
        <w:t>八</w:t>
      </w:r>
      <w:r>
        <w:rPr>
          <w:color w:val="auto"/>
          <w:sz w:val="24"/>
          <w:szCs w:val="24"/>
          <w:highlight w:val="none"/>
        </w:rPr>
        <w:t>、有关涉及本合同供方向天津市政府采购中心所提交的</w:t>
      </w:r>
      <w:r>
        <w:rPr>
          <w:rFonts w:hint="eastAsia"/>
          <w:color w:val="auto"/>
          <w:sz w:val="24"/>
          <w:szCs w:val="24"/>
          <w:highlight w:val="none"/>
          <w:lang w:eastAsia="zh-CN"/>
        </w:rPr>
        <w:t>响应</w:t>
      </w:r>
      <w:r>
        <w:rPr>
          <w:color w:val="auto"/>
          <w:sz w:val="24"/>
          <w:szCs w:val="24"/>
          <w:highlight w:val="none"/>
        </w:rPr>
        <w:t>文件及有关澄清资料和服务承诺均视为本合同不可分割的部分，对供方具有约束力。</w:t>
      </w:r>
    </w:p>
    <w:p w14:paraId="46B802AE">
      <w:pPr>
        <w:tabs>
          <w:tab w:val="left" w:pos="0"/>
          <w:tab w:val="left" w:pos="315"/>
        </w:tabs>
        <w:spacing w:line="520" w:lineRule="exact"/>
        <w:ind w:firstLine="480" w:firstLineChars="200"/>
        <w:rPr>
          <w:color w:val="auto"/>
          <w:sz w:val="24"/>
          <w:szCs w:val="24"/>
          <w:highlight w:val="none"/>
        </w:rPr>
      </w:pPr>
      <w:r>
        <w:rPr>
          <w:rFonts w:hint="eastAsia"/>
          <w:color w:val="auto"/>
          <w:sz w:val="24"/>
          <w:szCs w:val="24"/>
          <w:highlight w:val="none"/>
        </w:rPr>
        <w:t>九</w:t>
      </w:r>
      <w:r>
        <w:rPr>
          <w:color w:val="auto"/>
          <w:sz w:val="24"/>
          <w:szCs w:val="24"/>
          <w:highlight w:val="none"/>
        </w:rPr>
        <w:t>、本合同一式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176E4748">
        <w:tblPrEx>
          <w:tblCellMar>
            <w:top w:w="0" w:type="dxa"/>
            <w:left w:w="108" w:type="dxa"/>
            <w:bottom w:w="0" w:type="dxa"/>
            <w:right w:w="108" w:type="dxa"/>
          </w:tblCellMar>
        </w:tblPrEx>
        <w:tc>
          <w:tcPr>
            <w:tcW w:w="4261" w:type="dxa"/>
          </w:tcPr>
          <w:p w14:paraId="0D2FEE17">
            <w:pPr>
              <w:tabs>
                <w:tab w:val="left" w:pos="0"/>
                <w:tab w:val="left" w:pos="315"/>
              </w:tabs>
              <w:spacing w:line="520" w:lineRule="exact"/>
              <w:rPr>
                <w:color w:val="auto"/>
                <w:sz w:val="24"/>
                <w:szCs w:val="24"/>
                <w:highlight w:val="none"/>
              </w:rPr>
            </w:pPr>
            <w:r>
              <w:rPr>
                <w:color w:val="auto"/>
                <w:sz w:val="24"/>
                <w:szCs w:val="24"/>
                <w:highlight w:val="none"/>
              </w:rPr>
              <w:t xml:space="preserve">供方（公章）： </w:t>
            </w:r>
          </w:p>
        </w:tc>
        <w:tc>
          <w:tcPr>
            <w:tcW w:w="4261" w:type="dxa"/>
          </w:tcPr>
          <w:p w14:paraId="4AA68422">
            <w:pPr>
              <w:tabs>
                <w:tab w:val="left" w:pos="0"/>
                <w:tab w:val="left" w:pos="315"/>
              </w:tabs>
              <w:spacing w:line="520" w:lineRule="exact"/>
              <w:rPr>
                <w:color w:val="auto"/>
                <w:sz w:val="24"/>
                <w:szCs w:val="24"/>
                <w:highlight w:val="none"/>
              </w:rPr>
            </w:pPr>
            <w:r>
              <w:rPr>
                <w:color w:val="auto"/>
                <w:sz w:val="24"/>
                <w:szCs w:val="24"/>
                <w:highlight w:val="none"/>
              </w:rPr>
              <w:t xml:space="preserve">需方（公章）： </w:t>
            </w:r>
          </w:p>
        </w:tc>
      </w:tr>
      <w:tr w14:paraId="1AEA325F">
        <w:tblPrEx>
          <w:tblCellMar>
            <w:top w:w="0" w:type="dxa"/>
            <w:left w:w="108" w:type="dxa"/>
            <w:bottom w:w="0" w:type="dxa"/>
            <w:right w:w="108" w:type="dxa"/>
          </w:tblCellMar>
        </w:tblPrEx>
        <w:tc>
          <w:tcPr>
            <w:tcW w:w="4261" w:type="dxa"/>
          </w:tcPr>
          <w:p w14:paraId="7C45A582">
            <w:pPr>
              <w:tabs>
                <w:tab w:val="left" w:pos="0"/>
                <w:tab w:val="left" w:pos="315"/>
              </w:tabs>
              <w:spacing w:line="520" w:lineRule="exact"/>
              <w:rPr>
                <w:color w:val="auto"/>
                <w:sz w:val="24"/>
                <w:szCs w:val="24"/>
                <w:highlight w:val="none"/>
              </w:rPr>
            </w:pPr>
            <w:r>
              <w:rPr>
                <w:color w:val="auto"/>
                <w:sz w:val="24"/>
                <w:szCs w:val="24"/>
                <w:highlight w:val="none"/>
              </w:rPr>
              <w:t xml:space="preserve">地址：  </w:t>
            </w:r>
          </w:p>
        </w:tc>
        <w:tc>
          <w:tcPr>
            <w:tcW w:w="4261" w:type="dxa"/>
          </w:tcPr>
          <w:p w14:paraId="4A291E64">
            <w:pPr>
              <w:tabs>
                <w:tab w:val="left" w:pos="0"/>
                <w:tab w:val="left" w:pos="315"/>
              </w:tabs>
              <w:spacing w:line="520" w:lineRule="exact"/>
              <w:rPr>
                <w:color w:val="auto"/>
                <w:sz w:val="24"/>
                <w:szCs w:val="24"/>
                <w:highlight w:val="none"/>
              </w:rPr>
            </w:pPr>
            <w:r>
              <w:rPr>
                <w:color w:val="auto"/>
                <w:sz w:val="24"/>
                <w:szCs w:val="24"/>
                <w:highlight w:val="none"/>
              </w:rPr>
              <w:t xml:space="preserve">地址： </w:t>
            </w:r>
          </w:p>
        </w:tc>
      </w:tr>
      <w:tr w14:paraId="3DC5D34D">
        <w:tblPrEx>
          <w:tblCellMar>
            <w:top w:w="0" w:type="dxa"/>
            <w:left w:w="108" w:type="dxa"/>
            <w:bottom w:w="0" w:type="dxa"/>
            <w:right w:w="108" w:type="dxa"/>
          </w:tblCellMar>
        </w:tblPrEx>
        <w:tc>
          <w:tcPr>
            <w:tcW w:w="4261" w:type="dxa"/>
          </w:tcPr>
          <w:p w14:paraId="237281F3">
            <w:pPr>
              <w:tabs>
                <w:tab w:val="left" w:pos="360"/>
              </w:tabs>
              <w:spacing w:line="520" w:lineRule="exact"/>
              <w:rPr>
                <w:color w:val="auto"/>
                <w:sz w:val="24"/>
                <w:szCs w:val="24"/>
                <w:highlight w:val="none"/>
              </w:rPr>
            </w:pPr>
            <w:r>
              <w:rPr>
                <w:color w:val="auto"/>
                <w:sz w:val="24"/>
                <w:szCs w:val="24"/>
                <w:highlight w:val="none"/>
              </w:rPr>
              <w:t xml:space="preserve">法定代表人： </w:t>
            </w:r>
          </w:p>
        </w:tc>
        <w:tc>
          <w:tcPr>
            <w:tcW w:w="4261" w:type="dxa"/>
          </w:tcPr>
          <w:p w14:paraId="0681B867">
            <w:pPr>
              <w:tabs>
                <w:tab w:val="left" w:pos="360"/>
              </w:tabs>
              <w:spacing w:line="520" w:lineRule="exact"/>
              <w:rPr>
                <w:color w:val="auto"/>
                <w:sz w:val="24"/>
                <w:szCs w:val="24"/>
                <w:highlight w:val="none"/>
              </w:rPr>
            </w:pPr>
            <w:r>
              <w:rPr>
                <w:color w:val="auto"/>
                <w:sz w:val="24"/>
                <w:szCs w:val="24"/>
                <w:highlight w:val="none"/>
              </w:rPr>
              <w:t xml:space="preserve">法定代表人： </w:t>
            </w:r>
          </w:p>
        </w:tc>
      </w:tr>
      <w:tr w14:paraId="3568E24C">
        <w:tblPrEx>
          <w:tblCellMar>
            <w:top w:w="0" w:type="dxa"/>
            <w:left w:w="108" w:type="dxa"/>
            <w:bottom w:w="0" w:type="dxa"/>
            <w:right w:w="108" w:type="dxa"/>
          </w:tblCellMar>
        </w:tblPrEx>
        <w:tc>
          <w:tcPr>
            <w:tcW w:w="4261" w:type="dxa"/>
          </w:tcPr>
          <w:p w14:paraId="34B26041">
            <w:pPr>
              <w:tabs>
                <w:tab w:val="left" w:pos="360"/>
              </w:tabs>
              <w:spacing w:line="520" w:lineRule="exact"/>
              <w:rPr>
                <w:color w:val="auto"/>
                <w:sz w:val="24"/>
                <w:szCs w:val="24"/>
                <w:highlight w:val="none"/>
              </w:rPr>
            </w:pPr>
            <w:r>
              <w:rPr>
                <w:color w:val="auto"/>
                <w:sz w:val="24"/>
                <w:szCs w:val="24"/>
                <w:highlight w:val="none"/>
              </w:rPr>
              <w:t xml:space="preserve">委托代理人： </w:t>
            </w:r>
          </w:p>
        </w:tc>
        <w:tc>
          <w:tcPr>
            <w:tcW w:w="4261" w:type="dxa"/>
          </w:tcPr>
          <w:p w14:paraId="027404B9">
            <w:pPr>
              <w:tabs>
                <w:tab w:val="left" w:pos="360"/>
              </w:tabs>
              <w:spacing w:line="520" w:lineRule="exact"/>
              <w:rPr>
                <w:color w:val="auto"/>
                <w:sz w:val="24"/>
                <w:szCs w:val="24"/>
                <w:highlight w:val="none"/>
              </w:rPr>
            </w:pPr>
            <w:r>
              <w:rPr>
                <w:color w:val="auto"/>
                <w:sz w:val="24"/>
                <w:szCs w:val="24"/>
                <w:highlight w:val="none"/>
              </w:rPr>
              <w:t xml:space="preserve">委托代理人： </w:t>
            </w:r>
          </w:p>
        </w:tc>
      </w:tr>
      <w:tr w14:paraId="388E2210">
        <w:tblPrEx>
          <w:tblCellMar>
            <w:top w:w="0" w:type="dxa"/>
            <w:left w:w="108" w:type="dxa"/>
            <w:bottom w:w="0" w:type="dxa"/>
            <w:right w:w="108" w:type="dxa"/>
          </w:tblCellMar>
        </w:tblPrEx>
        <w:tc>
          <w:tcPr>
            <w:tcW w:w="4261" w:type="dxa"/>
          </w:tcPr>
          <w:p w14:paraId="08A56886">
            <w:pPr>
              <w:tabs>
                <w:tab w:val="left" w:pos="360"/>
              </w:tabs>
              <w:spacing w:line="520" w:lineRule="exact"/>
              <w:rPr>
                <w:color w:val="auto"/>
                <w:sz w:val="24"/>
                <w:szCs w:val="24"/>
                <w:highlight w:val="none"/>
              </w:rPr>
            </w:pPr>
            <w:r>
              <w:rPr>
                <w:color w:val="auto"/>
                <w:sz w:val="24"/>
                <w:szCs w:val="24"/>
                <w:highlight w:val="none"/>
              </w:rPr>
              <w:t>电话：</w:t>
            </w:r>
          </w:p>
        </w:tc>
        <w:tc>
          <w:tcPr>
            <w:tcW w:w="4261" w:type="dxa"/>
          </w:tcPr>
          <w:p w14:paraId="78171CE6">
            <w:pPr>
              <w:tabs>
                <w:tab w:val="left" w:pos="360"/>
              </w:tabs>
              <w:spacing w:line="520" w:lineRule="exact"/>
              <w:rPr>
                <w:color w:val="auto"/>
                <w:sz w:val="24"/>
                <w:szCs w:val="24"/>
                <w:highlight w:val="none"/>
              </w:rPr>
            </w:pPr>
            <w:r>
              <w:rPr>
                <w:color w:val="auto"/>
                <w:sz w:val="24"/>
                <w:szCs w:val="24"/>
                <w:highlight w:val="none"/>
              </w:rPr>
              <w:t>电话：</w:t>
            </w:r>
          </w:p>
        </w:tc>
      </w:tr>
    </w:tbl>
    <w:p w14:paraId="5860D625">
      <w:pPr>
        <w:rPr>
          <w:color w:val="auto"/>
          <w:sz w:val="24"/>
          <w:szCs w:val="24"/>
          <w:highlight w:val="none"/>
        </w:rPr>
      </w:pPr>
    </w:p>
    <w:p w14:paraId="56E1479B">
      <w:pPr>
        <w:rPr>
          <w:color w:val="auto"/>
          <w:szCs w:val="24"/>
          <w:highlight w:val="none"/>
        </w:rPr>
      </w:pPr>
      <w:r>
        <w:rPr>
          <w:color w:val="auto"/>
          <w:sz w:val="24"/>
          <w:szCs w:val="24"/>
          <w:highlight w:val="none"/>
        </w:rPr>
        <w:t>时间：20</w:t>
      </w:r>
      <w:r>
        <w:rPr>
          <w:rFonts w:hint="eastAsia"/>
          <w:color w:val="auto"/>
          <w:sz w:val="24"/>
          <w:szCs w:val="24"/>
          <w:highlight w:val="none"/>
        </w:rPr>
        <w:t xml:space="preserve">  </w:t>
      </w:r>
      <w:r>
        <w:rPr>
          <w:color w:val="auto"/>
          <w:sz w:val="24"/>
          <w:szCs w:val="24"/>
          <w:highlight w:val="none"/>
        </w:rPr>
        <w:t>年  月  日</w:t>
      </w:r>
    </w:p>
    <w:p w14:paraId="4603ED4C">
      <w:pPr>
        <w:jc w:val="center"/>
        <w:rPr>
          <w:b/>
          <w:color w:val="auto"/>
          <w:sz w:val="30"/>
          <w:szCs w:val="30"/>
          <w:highlight w:val="none"/>
        </w:rPr>
      </w:pPr>
      <w:r>
        <w:rPr>
          <w:b/>
          <w:color w:val="auto"/>
          <w:sz w:val="30"/>
          <w:szCs w:val="30"/>
          <w:highlight w:val="none"/>
        </w:rPr>
        <w:br w:type="page"/>
      </w:r>
      <w:r>
        <w:rPr>
          <w:b/>
          <w:color w:val="auto"/>
          <w:sz w:val="30"/>
          <w:szCs w:val="30"/>
          <w:highlight w:val="none"/>
        </w:rPr>
        <w:t>合同特殊条款</w:t>
      </w:r>
    </w:p>
    <w:p w14:paraId="61601800">
      <w:pPr>
        <w:tabs>
          <w:tab w:val="left" w:pos="360"/>
        </w:tabs>
        <w:spacing w:line="520" w:lineRule="exact"/>
        <w:ind w:firstLine="410" w:firstLineChars="171"/>
        <w:rPr>
          <w:color w:val="auto"/>
          <w:sz w:val="24"/>
          <w:szCs w:val="24"/>
          <w:highlight w:val="none"/>
        </w:rPr>
      </w:pPr>
    </w:p>
    <w:p w14:paraId="7090022A">
      <w:pPr>
        <w:tabs>
          <w:tab w:val="left" w:pos="360"/>
        </w:tabs>
        <w:spacing w:line="520" w:lineRule="exact"/>
        <w:ind w:firstLine="410" w:firstLineChars="171"/>
        <w:rPr>
          <w:color w:val="auto"/>
          <w:sz w:val="24"/>
          <w:szCs w:val="24"/>
          <w:highlight w:val="none"/>
        </w:rPr>
      </w:pPr>
      <w:r>
        <w:rPr>
          <w:color w:val="auto"/>
          <w:sz w:val="24"/>
          <w:szCs w:val="24"/>
          <w:highlight w:val="none"/>
        </w:rPr>
        <w:t xml:space="preserve"> 合同特殊条款是合同一般条款的补充和修改。如果两者之间有抵触，应以特殊条款为准。</w:t>
      </w:r>
    </w:p>
    <w:p w14:paraId="42043B6D">
      <w:pPr>
        <w:tabs>
          <w:tab w:val="left" w:pos="360"/>
        </w:tabs>
        <w:spacing w:line="520" w:lineRule="exact"/>
        <w:ind w:firstLine="410" w:firstLineChars="171"/>
        <w:rPr>
          <w:color w:val="auto"/>
          <w:sz w:val="24"/>
          <w:szCs w:val="24"/>
          <w:highlight w:val="none"/>
        </w:rPr>
      </w:pPr>
      <w:r>
        <w:rPr>
          <w:color w:val="auto"/>
          <w:sz w:val="24"/>
          <w:szCs w:val="24"/>
          <w:highlight w:val="none"/>
        </w:rPr>
        <w:t xml:space="preserve"> 合同特殊条款由</w:t>
      </w:r>
      <w:r>
        <w:rPr>
          <w:rFonts w:hint="eastAsia"/>
          <w:color w:val="auto"/>
          <w:sz w:val="24"/>
          <w:szCs w:val="24"/>
          <w:highlight w:val="none"/>
        </w:rPr>
        <w:t>供方</w:t>
      </w:r>
      <w:r>
        <w:rPr>
          <w:color w:val="auto"/>
          <w:sz w:val="24"/>
          <w:szCs w:val="24"/>
          <w:highlight w:val="none"/>
        </w:rPr>
        <w:t>和需方根据项目的具体情况协商拟订。</w:t>
      </w:r>
    </w:p>
    <w:p w14:paraId="6AFE396F">
      <w:pPr>
        <w:tabs>
          <w:tab w:val="left" w:pos="360"/>
        </w:tabs>
        <w:spacing w:line="520" w:lineRule="exact"/>
        <w:ind w:firstLine="410" w:firstLineChars="171"/>
        <w:rPr>
          <w:color w:val="auto"/>
          <w:sz w:val="24"/>
          <w:szCs w:val="24"/>
          <w:highlight w:val="none"/>
        </w:rPr>
      </w:pPr>
    </w:p>
    <w:p w14:paraId="5A0BD262">
      <w:pPr>
        <w:tabs>
          <w:tab w:val="left" w:pos="360"/>
        </w:tabs>
        <w:spacing w:line="520" w:lineRule="exact"/>
        <w:ind w:firstLine="410" w:firstLineChars="171"/>
        <w:rPr>
          <w:color w:val="auto"/>
          <w:sz w:val="24"/>
          <w:szCs w:val="24"/>
          <w:highlight w:val="none"/>
        </w:rPr>
        <w:sectPr>
          <w:headerReference r:id="rId8" w:type="default"/>
          <w:pgSz w:w="11906" w:h="16838"/>
          <w:pgMar w:top="1440" w:right="1800" w:bottom="1440" w:left="1800" w:header="851" w:footer="992" w:gutter="0"/>
          <w:cols w:space="720" w:num="1"/>
          <w:docGrid w:type="lines" w:linePitch="312" w:charSpace="0"/>
        </w:sectPr>
      </w:pPr>
    </w:p>
    <w:p w14:paraId="5196895F">
      <w:pPr>
        <w:pStyle w:val="2"/>
        <w:jc w:val="center"/>
        <w:rPr>
          <w:color w:val="auto"/>
          <w:highlight w:val="none"/>
        </w:rPr>
      </w:pPr>
      <w:r>
        <w:rPr>
          <w:color w:val="auto"/>
          <w:highlight w:val="none"/>
        </w:rPr>
        <w:t>第五部分  响应文件格式</w:t>
      </w:r>
    </w:p>
    <w:p w14:paraId="506CC2CA">
      <w:pPr>
        <w:autoSpaceDE w:val="0"/>
        <w:autoSpaceDN w:val="0"/>
        <w:adjustRightInd w:val="0"/>
        <w:spacing w:line="520" w:lineRule="exact"/>
        <w:rPr>
          <w:b/>
          <w:color w:val="auto"/>
          <w:kern w:val="0"/>
          <w:sz w:val="24"/>
          <w:highlight w:val="none"/>
        </w:rPr>
      </w:pPr>
    </w:p>
    <w:p w14:paraId="76DC8540">
      <w:pPr>
        <w:autoSpaceDE w:val="0"/>
        <w:autoSpaceDN w:val="0"/>
        <w:adjustRightInd w:val="0"/>
        <w:spacing w:line="520" w:lineRule="exact"/>
        <w:rPr>
          <w:b/>
          <w:color w:val="auto"/>
          <w:kern w:val="0"/>
          <w:sz w:val="24"/>
          <w:highlight w:val="none"/>
        </w:rPr>
      </w:pPr>
    </w:p>
    <w:p w14:paraId="3D573FE9">
      <w:pPr>
        <w:autoSpaceDE w:val="0"/>
        <w:autoSpaceDN w:val="0"/>
        <w:adjustRightInd w:val="0"/>
        <w:jc w:val="center"/>
        <w:rPr>
          <w:rFonts w:eastAsia="华文行楷"/>
          <w:color w:val="auto"/>
          <w:kern w:val="0"/>
          <w:sz w:val="144"/>
          <w:szCs w:val="144"/>
          <w:highlight w:val="none"/>
        </w:rPr>
      </w:pPr>
      <w:r>
        <w:rPr>
          <w:rFonts w:eastAsia="方正行楷简体"/>
          <w:color w:val="auto"/>
          <w:sz w:val="160"/>
          <w:szCs w:val="84"/>
          <w:highlight w:val="none"/>
        </w:rPr>
        <w:t>响 应</w:t>
      </w:r>
      <w:r>
        <w:rPr>
          <w:rFonts w:eastAsia="方正行楷简体"/>
          <w:color w:val="auto"/>
          <w:sz w:val="84"/>
          <w:szCs w:val="84"/>
          <w:highlight w:val="none"/>
        </w:rPr>
        <w:t xml:space="preserve"> </w:t>
      </w:r>
      <w:r>
        <w:rPr>
          <w:rFonts w:eastAsia="方正行楷简体"/>
          <w:color w:val="auto"/>
          <w:sz w:val="160"/>
          <w:szCs w:val="84"/>
          <w:highlight w:val="none"/>
        </w:rPr>
        <w:t>文</w:t>
      </w:r>
      <w:r>
        <w:rPr>
          <w:rFonts w:eastAsia="方正行楷简体"/>
          <w:color w:val="auto"/>
          <w:sz w:val="84"/>
          <w:szCs w:val="84"/>
          <w:highlight w:val="none"/>
        </w:rPr>
        <w:t xml:space="preserve"> </w:t>
      </w:r>
      <w:r>
        <w:rPr>
          <w:rFonts w:eastAsia="方正行楷简体"/>
          <w:color w:val="auto"/>
          <w:sz w:val="160"/>
          <w:szCs w:val="84"/>
          <w:highlight w:val="none"/>
        </w:rPr>
        <w:t>件</w:t>
      </w:r>
    </w:p>
    <w:p w14:paraId="5F0B02C0">
      <w:pPr>
        <w:autoSpaceDE w:val="0"/>
        <w:autoSpaceDN w:val="0"/>
        <w:adjustRightInd w:val="0"/>
        <w:spacing w:line="520" w:lineRule="exact"/>
        <w:jc w:val="center"/>
        <w:rPr>
          <w:rFonts w:eastAsia="楷体_GB2312"/>
          <w:b/>
          <w:color w:val="auto"/>
          <w:kern w:val="0"/>
          <w:sz w:val="36"/>
          <w:szCs w:val="36"/>
          <w:highlight w:val="none"/>
        </w:rPr>
      </w:pPr>
      <w:r>
        <w:rPr>
          <w:rFonts w:eastAsia="楷体_GB2312"/>
          <w:b/>
          <w:color w:val="auto"/>
          <w:kern w:val="0"/>
          <w:sz w:val="36"/>
          <w:szCs w:val="36"/>
          <w:highlight w:val="none"/>
        </w:rPr>
        <w:t xml:space="preserve">（ </w:t>
      </w:r>
      <w:r>
        <w:rPr>
          <w:rFonts w:hint="eastAsia" w:eastAsia="楷体_GB2312"/>
          <w:b/>
          <w:color w:val="auto"/>
          <w:kern w:val="0"/>
          <w:sz w:val="36"/>
          <w:szCs w:val="36"/>
          <w:highlight w:val="none"/>
        </w:rPr>
        <w:t>加盖电子签章</w:t>
      </w:r>
      <w:r>
        <w:rPr>
          <w:rFonts w:eastAsia="楷体_GB2312"/>
          <w:b/>
          <w:color w:val="auto"/>
          <w:kern w:val="0"/>
          <w:sz w:val="36"/>
          <w:szCs w:val="36"/>
          <w:highlight w:val="none"/>
        </w:rPr>
        <w:t xml:space="preserve"> ）</w:t>
      </w:r>
    </w:p>
    <w:p w14:paraId="3C6FD693">
      <w:pPr>
        <w:autoSpaceDE w:val="0"/>
        <w:autoSpaceDN w:val="0"/>
        <w:adjustRightInd w:val="0"/>
        <w:spacing w:line="520" w:lineRule="exact"/>
        <w:rPr>
          <w:b/>
          <w:color w:val="auto"/>
          <w:kern w:val="0"/>
          <w:sz w:val="24"/>
          <w:highlight w:val="none"/>
        </w:rPr>
      </w:pPr>
    </w:p>
    <w:p w14:paraId="2A7C54FA">
      <w:pPr>
        <w:autoSpaceDE w:val="0"/>
        <w:autoSpaceDN w:val="0"/>
        <w:adjustRightInd w:val="0"/>
        <w:spacing w:line="520" w:lineRule="exact"/>
        <w:jc w:val="center"/>
        <w:rPr>
          <w:b/>
          <w:color w:val="auto"/>
          <w:kern w:val="0"/>
          <w:sz w:val="24"/>
          <w:highlight w:val="none"/>
        </w:rPr>
      </w:pPr>
      <w:r>
        <w:rPr>
          <w:b/>
          <w:color w:val="auto"/>
          <w:kern w:val="0"/>
          <w:sz w:val="24"/>
          <w:highlight w:val="none"/>
        </w:rPr>
        <w:t>第一阶段</w:t>
      </w:r>
      <w:r>
        <w:rPr>
          <w:rFonts w:hint="eastAsia"/>
          <w:b/>
          <w:color w:val="auto"/>
          <w:kern w:val="0"/>
          <w:sz w:val="24"/>
          <w:highlight w:val="none"/>
        </w:rPr>
        <w:t>响应</w:t>
      </w:r>
      <w:r>
        <w:rPr>
          <w:b/>
          <w:color w:val="auto"/>
          <w:kern w:val="0"/>
          <w:sz w:val="24"/>
          <w:highlight w:val="none"/>
        </w:rPr>
        <w:t>文件</w:t>
      </w:r>
    </w:p>
    <w:p w14:paraId="2EBA0DE3">
      <w:pPr>
        <w:autoSpaceDE w:val="0"/>
        <w:autoSpaceDN w:val="0"/>
        <w:adjustRightInd w:val="0"/>
        <w:spacing w:line="520" w:lineRule="exact"/>
        <w:rPr>
          <w:b/>
          <w:color w:val="auto"/>
          <w:kern w:val="0"/>
          <w:sz w:val="24"/>
          <w:highlight w:val="none"/>
        </w:rPr>
      </w:pPr>
    </w:p>
    <w:p w14:paraId="7926C9FB">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编 号：</w:t>
      </w:r>
    </w:p>
    <w:p w14:paraId="2C4563C6">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名 称：</w:t>
      </w:r>
    </w:p>
    <w:p w14:paraId="4EE8FF6C">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所 投 包 号：</w:t>
      </w:r>
    </w:p>
    <w:p w14:paraId="6C336365">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供应商名称：</w:t>
      </w:r>
    </w:p>
    <w:p w14:paraId="6B6F3C5C">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法定代表人姓名：</w:t>
      </w:r>
    </w:p>
    <w:p w14:paraId="7277D123">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磋商代表人姓名：</w:t>
      </w:r>
    </w:p>
    <w:p w14:paraId="6FA8A07C">
      <w:pPr>
        <w:spacing w:before="93" w:beforeLines="30" w:after="218" w:afterLines="70" w:line="540" w:lineRule="exact"/>
        <w:ind w:left="630" w:leftChars="300"/>
        <w:rPr>
          <w:rFonts w:eastAsia="方正楷体简体"/>
          <w:b/>
          <w:color w:val="auto"/>
          <w:sz w:val="34"/>
          <w:szCs w:val="34"/>
          <w:highlight w:val="none"/>
        </w:rPr>
      </w:pPr>
    </w:p>
    <w:p w14:paraId="77D23D2F">
      <w:pPr>
        <w:spacing w:before="93" w:beforeLines="30" w:after="218" w:afterLines="70" w:line="540" w:lineRule="exact"/>
        <w:ind w:left="630" w:leftChars="300"/>
        <w:rPr>
          <w:rFonts w:eastAsia="方正楷体简体"/>
          <w:b/>
          <w:color w:val="auto"/>
          <w:sz w:val="34"/>
          <w:szCs w:val="34"/>
          <w:highlight w:val="none"/>
        </w:rPr>
      </w:pPr>
    </w:p>
    <w:p w14:paraId="5A88C40C">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递交日期：</w:t>
      </w:r>
    </w:p>
    <w:p w14:paraId="1058DC00">
      <w:pPr>
        <w:autoSpaceDN w:val="0"/>
        <w:spacing w:line="360" w:lineRule="auto"/>
        <w:jc w:val="center"/>
        <w:rPr>
          <w:b/>
          <w:bCs/>
          <w:color w:val="auto"/>
          <w:sz w:val="24"/>
          <w:highlight w:val="none"/>
        </w:rPr>
      </w:pPr>
      <w:r>
        <w:rPr>
          <w:b/>
          <w:color w:val="auto"/>
          <w:sz w:val="24"/>
          <w:highlight w:val="none"/>
        </w:rPr>
        <w:br w:type="page"/>
      </w:r>
      <w:r>
        <w:rPr>
          <w:rFonts w:hint="eastAsia"/>
          <w:b/>
          <w:color w:val="auto"/>
          <w:sz w:val="24"/>
          <w:highlight w:val="none"/>
        </w:rPr>
        <w:t>第一阶段</w:t>
      </w:r>
      <w:r>
        <w:rPr>
          <w:rFonts w:hint="eastAsia"/>
          <w:b/>
          <w:bCs/>
          <w:color w:val="auto"/>
          <w:sz w:val="24"/>
          <w:highlight w:val="none"/>
        </w:rPr>
        <w:t>响应文件总目录</w:t>
      </w:r>
    </w:p>
    <w:p w14:paraId="0ADF80A6">
      <w:pPr>
        <w:autoSpaceDN w:val="0"/>
        <w:spacing w:line="360" w:lineRule="auto"/>
        <w:jc w:val="center"/>
        <w:rPr>
          <w:b/>
          <w:bCs/>
          <w:color w:val="auto"/>
          <w:sz w:val="24"/>
          <w:highlight w:val="none"/>
        </w:rPr>
      </w:pPr>
    </w:p>
    <w:p w14:paraId="5F27D2F1">
      <w:pPr>
        <w:autoSpaceDN w:val="0"/>
        <w:spacing w:line="360" w:lineRule="auto"/>
        <w:jc w:val="center"/>
        <w:rPr>
          <w:b/>
          <w:bCs/>
          <w:color w:val="auto"/>
          <w:sz w:val="24"/>
          <w:highlight w:val="none"/>
        </w:rPr>
      </w:pPr>
      <w:r>
        <w:rPr>
          <w:rFonts w:hint="eastAsia"/>
          <w:b/>
          <w:bCs/>
          <w:color w:val="auto"/>
          <w:sz w:val="24"/>
          <w:highlight w:val="none"/>
        </w:rPr>
        <w:t>（投标人自行编制）</w:t>
      </w:r>
    </w:p>
    <w:p w14:paraId="47AE527B">
      <w:pPr>
        <w:widowControl/>
        <w:spacing w:line="360" w:lineRule="auto"/>
        <w:jc w:val="center"/>
        <w:rPr>
          <w:b/>
          <w:color w:val="auto"/>
          <w:sz w:val="24"/>
          <w:highlight w:val="none"/>
        </w:rPr>
      </w:pPr>
      <w:r>
        <w:rPr>
          <w:b/>
          <w:color w:val="auto"/>
          <w:sz w:val="24"/>
          <w:highlight w:val="none"/>
        </w:rPr>
        <w:br w:type="page"/>
      </w:r>
      <w:r>
        <w:rPr>
          <w:rFonts w:hint="eastAsia"/>
          <w:b/>
          <w:color w:val="auto"/>
          <w:sz w:val="24"/>
          <w:highlight w:val="none"/>
        </w:rPr>
        <w:t>评分因素及评标标准页码检索</w:t>
      </w:r>
    </w:p>
    <w:p w14:paraId="079324EC">
      <w:pPr>
        <w:widowControl/>
        <w:spacing w:line="360" w:lineRule="auto"/>
        <w:jc w:val="center"/>
        <w:rPr>
          <w:b/>
          <w:color w:val="auto"/>
          <w:sz w:val="24"/>
          <w:highlight w:val="none"/>
        </w:rPr>
      </w:pPr>
    </w:p>
    <w:p w14:paraId="7E900D1A">
      <w:pPr>
        <w:widowControl/>
        <w:spacing w:line="360" w:lineRule="auto"/>
        <w:jc w:val="center"/>
        <w:rPr>
          <w:b/>
          <w:bCs/>
          <w:color w:val="auto"/>
          <w:sz w:val="24"/>
          <w:highlight w:val="none"/>
        </w:rPr>
      </w:pPr>
      <w:r>
        <w:rPr>
          <w:rFonts w:hint="eastAsia"/>
          <w:b/>
          <w:bCs/>
          <w:color w:val="auto"/>
          <w:sz w:val="24"/>
          <w:highlight w:val="none"/>
        </w:rPr>
        <w:t>（投标人按磋商文件“评分因素及评标标准”中除涉及价格的评分项外的每个评分项逐项列明页码）</w:t>
      </w:r>
    </w:p>
    <w:p w14:paraId="2D5EB82E">
      <w:pPr>
        <w:spacing w:line="460" w:lineRule="exact"/>
        <w:rPr>
          <w:b/>
          <w:color w:val="auto"/>
          <w:sz w:val="24"/>
          <w:highlight w:val="none"/>
        </w:rPr>
      </w:pPr>
      <w:r>
        <w:rPr>
          <w:b/>
          <w:color w:val="auto"/>
          <w:sz w:val="24"/>
          <w:highlight w:val="none"/>
        </w:rPr>
        <w:br w:type="page"/>
      </w:r>
      <w:r>
        <w:rPr>
          <w:b/>
          <w:color w:val="auto"/>
          <w:sz w:val="24"/>
          <w:highlight w:val="none"/>
        </w:rPr>
        <w:t>附件1</w:t>
      </w:r>
    </w:p>
    <w:p w14:paraId="2C2AA71B">
      <w:pPr>
        <w:tabs>
          <w:tab w:val="left" w:pos="360"/>
        </w:tabs>
        <w:spacing w:line="560" w:lineRule="exact"/>
        <w:jc w:val="center"/>
        <w:rPr>
          <w:b/>
          <w:color w:val="auto"/>
          <w:sz w:val="24"/>
          <w:highlight w:val="none"/>
        </w:rPr>
      </w:pPr>
      <w:r>
        <w:rPr>
          <w:b/>
          <w:color w:val="auto"/>
          <w:sz w:val="24"/>
          <w:highlight w:val="none"/>
        </w:rPr>
        <w:t>响应书</w:t>
      </w:r>
    </w:p>
    <w:p w14:paraId="090AD642">
      <w:pPr>
        <w:autoSpaceDE w:val="0"/>
        <w:autoSpaceDN w:val="0"/>
        <w:adjustRightInd w:val="0"/>
        <w:spacing w:line="520" w:lineRule="exact"/>
        <w:jc w:val="left"/>
        <w:rPr>
          <w:color w:val="auto"/>
          <w:kern w:val="0"/>
          <w:sz w:val="24"/>
          <w:highlight w:val="none"/>
        </w:rPr>
      </w:pPr>
      <w:r>
        <w:rPr>
          <w:color w:val="auto"/>
          <w:kern w:val="0"/>
          <w:sz w:val="24"/>
          <w:highlight w:val="none"/>
        </w:rPr>
        <w:t>致：天津市政府采购中心</w:t>
      </w:r>
    </w:p>
    <w:p w14:paraId="68999A02">
      <w:pPr>
        <w:autoSpaceDE w:val="0"/>
        <w:autoSpaceDN w:val="0"/>
        <w:adjustRightInd w:val="0"/>
        <w:spacing w:line="360" w:lineRule="auto"/>
        <w:ind w:firstLine="480"/>
        <w:jc w:val="left"/>
        <w:rPr>
          <w:color w:val="auto"/>
          <w:kern w:val="0"/>
          <w:sz w:val="24"/>
          <w:highlight w:val="none"/>
        </w:rPr>
      </w:pPr>
      <w:r>
        <w:rPr>
          <w:color w:val="auto"/>
          <w:kern w:val="0"/>
          <w:sz w:val="24"/>
          <w:highlight w:val="none"/>
        </w:rPr>
        <w:t>根据贵方为</w:t>
      </w:r>
      <w:r>
        <w:rPr>
          <w:color w:val="auto"/>
          <w:kern w:val="0"/>
          <w:sz w:val="24"/>
          <w:highlight w:val="none"/>
          <w:u w:val="single"/>
        </w:rPr>
        <w:t xml:space="preserve">                 </w:t>
      </w:r>
      <w:r>
        <w:rPr>
          <w:color w:val="auto"/>
          <w:kern w:val="0"/>
          <w:sz w:val="24"/>
          <w:highlight w:val="none"/>
        </w:rPr>
        <w:t>的磋商邀请（项目编号：</w:t>
      </w:r>
      <w:r>
        <w:rPr>
          <w:rFonts w:hint="eastAsia"/>
          <w:color w:val="auto"/>
          <w:kern w:val="0"/>
          <w:sz w:val="24"/>
          <w:highlight w:val="none"/>
          <w:u w:val="single"/>
        </w:rPr>
        <w:t xml:space="preserve">          </w:t>
      </w:r>
      <w:r>
        <w:rPr>
          <w:color w:val="auto"/>
          <w:kern w:val="0"/>
          <w:sz w:val="24"/>
          <w:highlight w:val="none"/>
          <w:u w:val="single"/>
        </w:rPr>
        <w:t xml:space="preserve">      </w:t>
      </w:r>
      <w:r>
        <w:rPr>
          <w:color w:val="auto"/>
          <w:kern w:val="0"/>
          <w:sz w:val="24"/>
          <w:highlight w:val="none"/>
        </w:rPr>
        <w:t>），签字代表</w:t>
      </w:r>
      <w:r>
        <w:rPr>
          <w:color w:val="auto"/>
          <w:kern w:val="0"/>
          <w:sz w:val="24"/>
          <w:highlight w:val="none"/>
          <w:u w:val="single"/>
        </w:rPr>
        <w:t xml:space="preserve">           </w:t>
      </w:r>
      <w:r>
        <w:rPr>
          <w:color w:val="auto"/>
          <w:kern w:val="0"/>
          <w:sz w:val="24"/>
          <w:highlight w:val="none"/>
        </w:rPr>
        <w:t>（姓名职务）经正式授权并代表供应商</w:t>
      </w:r>
      <w:r>
        <w:rPr>
          <w:color w:val="auto"/>
          <w:kern w:val="0"/>
          <w:sz w:val="24"/>
          <w:highlight w:val="none"/>
          <w:u w:val="single"/>
        </w:rPr>
        <w:t xml:space="preserve">                   </w:t>
      </w:r>
      <w:r>
        <w:rPr>
          <w:color w:val="auto"/>
          <w:kern w:val="0"/>
          <w:sz w:val="24"/>
          <w:highlight w:val="none"/>
        </w:rPr>
        <w:t>（供应商名称、地址）</w:t>
      </w:r>
      <w:r>
        <w:rPr>
          <w:color w:val="auto"/>
          <w:sz w:val="24"/>
          <w:highlight w:val="none"/>
        </w:rPr>
        <w:t>提交</w:t>
      </w:r>
      <w:r>
        <w:rPr>
          <w:rFonts w:hint="eastAsia"/>
          <w:color w:val="auto"/>
          <w:sz w:val="24"/>
          <w:highlight w:val="none"/>
        </w:rPr>
        <w:t>网上应答及上传加盖电子签章的响应文件</w:t>
      </w:r>
      <w:r>
        <w:rPr>
          <w:color w:val="auto"/>
          <w:sz w:val="24"/>
          <w:highlight w:val="none"/>
        </w:rPr>
        <w:t>。</w:t>
      </w:r>
    </w:p>
    <w:p w14:paraId="0DD3284C">
      <w:pPr>
        <w:autoSpaceDE w:val="0"/>
        <w:autoSpaceDN w:val="0"/>
        <w:adjustRightInd w:val="0"/>
        <w:spacing w:line="360" w:lineRule="auto"/>
        <w:jc w:val="left"/>
        <w:rPr>
          <w:color w:val="auto"/>
          <w:kern w:val="0"/>
          <w:sz w:val="24"/>
          <w:highlight w:val="none"/>
        </w:rPr>
      </w:pPr>
      <w:r>
        <w:rPr>
          <w:color w:val="auto"/>
          <w:kern w:val="0"/>
          <w:sz w:val="24"/>
          <w:highlight w:val="none"/>
        </w:rPr>
        <w:t>据此函，签字代表宣布同意如下：</w:t>
      </w:r>
    </w:p>
    <w:p w14:paraId="73A02080">
      <w:pPr>
        <w:numPr>
          <w:ilvl w:val="0"/>
          <w:numId w:val="2"/>
        </w:numPr>
        <w:spacing w:line="360" w:lineRule="auto"/>
        <w:ind w:left="0" w:firstLine="480" w:firstLineChars="200"/>
        <w:jc w:val="left"/>
        <w:rPr>
          <w:color w:val="auto"/>
          <w:sz w:val="24"/>
          <w:highlight w:val="none"/>
        </w:rPr>
      </w:pPr>
      <w:r>
        <w:rPr>
          <w:color w:val="auto"/>
          <w:sz w:val="24"/>
          <w:highlight w:val="none"/>
        </w:rPr>
        <w:t>我公司将按磋商文件的规定履行合同责任和义务。</w:t>
      </w:r>
    </w:p>
    <w:p w14:paraId="7E2F6DA0">
      <w:pPr>
        <w:numPr>
          <w:ilvl w:val="0"/>
          <w:numId w:val="2"/>
        </w:numPr>
        <w:spacing w:line="360" w:lineRule="auto"/>
        <w:ind w:left="0" w:firstLine="480" w:firstLineChars="200"/>
        <w:jc w:val="left"/>
        <w:rPr>
          <w:color w:val="auto"/>
          <w:sz w:val="24"/>
          <w:highlight w:val="none"/>
        </w:rPr>
      </w:pPr>
      <w:r>
        <w:rPr>
          <w:color w:val="auto"/>
          <w:sz w:val="24"/>
          <w:highlight w:val="none"/>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1829C6B7">
      <w:pPr>
        <w:numPr>
          <w:ilvl w:val="0"/>
          <w:numId w:val="2"/>
        </w:numPr>
        <w:spacing w:line="360" w:lineRule="auto"/>
        <w:ind w:left="0" w:firstLine="480" w:firstLineChars="200"/>
        <w:jc w:val="left"/>
        <w:rPr>
          <w:color w:val="auto"/>
          <w:sz w:val="24"/>
          <w:highlight w:val="none"/>
        </w:rPr>
      </w:pPr>
      <w:r>
        <w:rPr>
          <w:color w:val="auto"/>
          <w:sz w:val="24"/>
          <w:highlight w:val="none"/>
        </w:rPr>
        <w:t>我公司的磋商有效期为开标之日起60天。</w:t>
      </w:r>
    </w:p>
    <w:p w14:paraId="26505C5B">
      <w:pPr>
        <w:numPr>
          <w:ilvl w:val="0"/>
          <w:numId w:val="2"/>
        </w:numPr>
        <w:spacing w:line="360" w:lineRule="auto"/>
        <w:ind w:left="0" w:firstLine="480" w:firstLineChars="200"/>
        <w:jc w:val="left"/>
        <w:rPr>
          <w:color w:val="auto"/>
          <w:sz w:val="24"/>
          <w:highlight w:val="none"/>
        </w:rPr>
      </w:pPr>
      <w:r>
        <w:rPr>
          <w:color w:val="auto"/>
          <w:sz w:val="24"/>
          <w:highlight w:val="none"/>
        </w:rPr>
        <w:t>我公司同意按照采购方要求提供的与投标有关的一切数据或资料，并声明响应文件及所提供的一切资料均真实有效。由于我公司提供资料不实而造成的责任和后果由我公司自行承担。</w:t>
      </w:r>
    </w:p>
    <w:p w14:paraId="2AFD7F05">
      <w:pPr>
        <w:numPr>
          <w:ilvl w:val="0"/>
          <w:numId w:val="2"/>
        </w:numPr>
        <w:spacing w:line="360" w:lineRule="auto"/>
        <w:ind w:left="0" w:firstLine="480" w:firstLineChars="200"/>
        <w:jc w:val="left"/>
        <w:rPr>
          <w:color w:val="auto"/>
          <w:sz w:val="24"/>
          <w:highlight w:val="none"/>
        </w:rPr>
      </w:pPr>
      <w:r>
        <w:rPr>
          <w:color w:val="auto"/>
          <w:sz w:val="24"/>
          <w:highlight w:val="none"/>
        </w:rPr>
        <w:t>我公司保证所投产品来自合法的供货渠道，若成交，则有义务向采购人提供其需要的有效书面证明材料。如果提供非法渠道的商品，视为欺诈，并承担相关责任。</w:t>
      </w:r>
    </w:p>
    <w:p w14:paraId="1FAE02D8">
      <w:pPr>
        <w:numPr>
          <w:ilvl w:val="0"/>
          <w:numId w:val="2"/>
        </w:numPr>
        <w:spacing w:line="360" w:lineRule="auto"/>
        <w:ind w:left="0" w:firstLine="480" w:firstLineChars="200"/>
        <w:jc w:val="left"/>
        <w:rPr>
          <w:color w:val="auto"/>
          <w:sz w:val="24"/>
          <w:highlight w:val="none"/>
        </w:rPr>
      </w:pPr>
      <w:r>
        <w:rPr>
          <w:color w:val="auto"/>
          <w:sz w:val="24"/>
          <w:highlight w:val="none"/>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F2B5395">
      <w:pPr>
        <w:numPr>
          <w:ilvl w:val="0"/>
          <w:numId w:val="2"/>
        </w:numPr>
        <w:spacing w:line="360" w:lineRule="auto"/>
        <w:ind w:left="0" w:firstLine="480" w:firstLineChars="200"/>
        <w:jc w:val="left"/>
        <w:rPr>
          <w:color w:val="auto"/>
          <w:sz w:val="24"/>
          <w:highlight w:val="none"/>
        </w:rPr>
      </w:pPr>
      <w:r>
        <w:rPr>
          <w:color w:val="auto"/>
          <w:sz w:val="24"/>
          <w:highlight w:val="none"/>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14:paraId="7B88C647">
      <w:pPr>
        <w:numPr>
          <w:ilvl w:val="0"/>
          <w:numId w:val="2"/>
        </w:numPr>
        <w:spacing w:line="360" w:lineRule="auto"/>
        <w:ind w:left="0" w:firstLine="480" w:firstLineChars="200"/>
        <w:jc w:val="left"/>
        <w:rPr>
          <w:color w:val="auto"/>
          <w:sz w:val="24"/>
          <w:highlight w:val="none"/>
        </w:rPr>
      </w:pPr>
      <w:r>
        <w:rPr>
          <w:rFonts w:hint="eastAsia"/>
          <w:color w:val="auto"/>
          <w:sz w:val="24"/>
          <w:highlight w:val="none"/>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4AF87372">
      <w:pPr>
        <w:numPr>
          <w:ilvl w:val="0"/>
          <w:numId w:val="2"/>
        </w:numPr>
        <w:spacing w:line="360" w:lineRule="auto"/>
        <w:ind w:left="0" w:firstLine="480" w:firstLineChars="200"/>
        <w:jc w:val="left"/>
        <w:rPr>
          <w:color w:val="auto"/>
          <w:sz w:val="24"/>
          <w:highlight w:val="none"/>
        </w:rPr>
      </w:pPr>
      <w:r>
        <w:rPr>
          <w:color w:val="auto"/>
          <w:sz w:val="24"/>
          <w:highlight w:val="none"/>
        </w:rPr>
        <w:t>我公司若成交，本承诺将成为合同不可分割的一部分，与合同具有同等的法律效力。</w:t>
      </w:r>
    </w:p>
    <w:p w14:paraId="59539317">
      <w:pPr>
        <w:numPr>
          <w:ilvl w:val="0"/>
          <w:numId w:val="2"/>
        </w:numPr>
        <w:spacing w:line="360" w:lineRule="auto"/>
        <w:ind w:left="0" w:firstLine="480" w:firstLineChars="200"/>
        <w:jc w:val="left"/>
        <w:rPr>
          <w:color w:val="auto"/>
          <w:sz w:val="24"/>
          <w:highlight w:val="none"/>
        </w:rPr>
      </w:pPr>
      <w:r>
        <w:rPr>
          <w:color w:val="auto"/>
          <w:sz w:val="24"/>
          <w:highlight w:val="none"/>
        </w:rPr>
        <w:t>如违反上述承诺，我公司投标无效且接受相关部门依法作出的处罚，并承担通过“天津市政府采购网”等相关媒体予以公布的任何风险和责任。</w:t>
      </w:r>
    </w:p>
    <w:p w14:paraId="4B5C97D4">
      <w:pPr>
        <w:spacing w:line="360" w:lineRule="auto"/>
        <w:ind w:firstLine="480" w:firstLineChars="200"/>
        <w:rPr>
          <w:color w:val="auto"/>
          <w:sz w:val="24"/>
          <w:highlight w:val="none"/>
        </w:rPr>
      </w:pPr>
      <w:r>
        <w:rPr>
          <w:color w:val="auto"/>
          <w:sz w:val="24"/>
          <w:highlight w:val="none"/>
        </w:rPr>
        <w:t>1</w:t>
      </w:r>
      <w:r>
        <w:rPr>
          <w:rFonts w:hint="eastAsia"/>
          <w:color w:val="auto"/>
          <w:sz w:val="24"/>
          <w:highlight w:val="none"/>
        </w:rPr>
        <w:t>1</w:t>
      </w:r>
      <w:r>
        <w:rPr>
          <w:color w:val="auto"/>
          <w:sz w:val="24"/>
          <w:highlight w:val="none"/>
        </w:rPr>
        <w:t xml:space="preserve">. </w:t>
      </w:r>
      <w:r>
        <w:rPr>
          <w:rFonts w:hint="eastAsia"/>
          <w:color w:val="auto"/>
          <w:sz w:val="24"/>
          <w:highlight w:val="none"/>
        </w:rPr>
        <w:t>我公司开票信息如下，</w:t>
      </w:r>
      <w:r>
        <w:rPr>
          <w:rFonts w:hint="eastAsia"/>
          <w:b/>
          <w:color w:val="auto"/>
          <w:sz w:val="24"/>
          <w:highlight w:val="none"/>
        </w:rPr>
        <w:t>此信息与我公司在税务局注册的信息一致</w:t>
      </w:r>
      <w:r>
        <w:rPr>
          <w:rFonts w:hint="eastAsia"/>
          <w:color w:val="auto"/>
          <w:sz w:val="24"/>
          <w:highlight w:val="none"/>
        </w:rPr>
        <w:t>：</w:t>
      </w:r>
    </w:p>
    <w:p w14:paraId="6EDBAD6A">
      <w:pPr>
        <w:spacing w:line="360" w:lineRule="auto"/>
        <w:ind w:firstLine="480" w:firstLineChars="200"/>
        <w:rPr>
          <w:color w:val="auto"/>
          <w:sz w:val="24"/>
          <w:highlight w:val="none"/>
        </w:rPr>
      </w:pPr>
      <w:r>
        <w:rPr>
          <w:rFonts w:hint="eastAsia"/>
          <w:color w:val="auto"/>
          <w:sz w:val="24"/>
          <w:highlight w:val="none"/>
        </w:rPr>
        <w:t>纳税人识别号：</w:t>
      </w:r>
    </w:p>
    <w:p w14:paraId="570F1491">
      <w:pPr>
        <w:spacing w:line="360" w:lineRule="auto"/>
        <w:ind w:firstLine="480" w:firstLineChars="200"/>
        <w:rPr>
          <w:color w:val="auto"/>
          <w:sz w:val="24"/>
          <w:highlight w:val="none"/>
        </w:rPr>
      </w:pPr>
      <w:r>
        <w:rPr>
          <w:rFonts w:hint="eastAsia"/>
          <w:color w:val="auto"/>
          <w:sz w:val="24"/>
          <w:highlight w:val="none"/>
        </w:rPr>
        <w:t>地址、电话：</w:t>
      </w:r>
    </w:p>
    <w:p w14:paraId="268F1E7A">
      <w:pPr>
        <w:spacing w:line="360" w:lineRule="auto"/>
        <w:ind w:firstLine="480" w:firstLineChars="200"/>
        <w:rPr>
          <w:color w:val="auto"/>
          <w:sz w:val="24"/>
          <w:highlight w:val="none"/>
        </w:rPr>
      </w:pPr>
      <w:r>
        <w:rPr>
          <w:rFonts w:hint="eastAsia"/>
          <w:color w:val="auto"/>
          <w:sz w:val="24"/>
          <w:highlight w:val="none"/>
        </w:rPr>
        <w:t>开户行及账号：</w:t>
      </w:r>
    </w:p>
    <w:p w14:paraId="6886C231">
      <w:pPr>
        <w:spacing w:line="360" w:lineRule="auto"/>
        <w:ind w:firstLine="480" w:firstLineChars="200"/>
        <w:rPr>
          <w:color w:val="auto"/>
          <w:sz w:val="24"/>
          <w:highlight w:val="none"/>
        </w:rPr>
      </w:pPr>
      <w:r>
        <w:rPr>
          <w:rFonts w:hint="eastAsia"/>
          <w:color w:val="auto"/>
          <w:sz w:val="24"/>
          <w:highlight w:val="none"/>
        </w:rPr>
        <w:t>开具发票类型：□增值税专用发票         □增值税普通发票</w:t>
      </w:r>
    </w:p>
    <w:p w14:paraId="5F259DB4">
      <w:pPr>
        <w:spacing w:line="360" w:lineRule="auto"/>
        <w:ind w:firstLine="480" w:firstLineChars="200"/>
        <w:rPr>
          <w:color w:val="auto"/>
          <w:sz w:val="24"/>
          <w:highlight w:val="none"/>
        </w:rPr>
      </w:pPr>
      <w:r>
        <w:rPr>
          <w:rFonts w:hint="eastAsia"/>
          <w:color w:val="auto"/>
          <w:sz w:val="24"/>
          <w:highlight w:val="none"/>
        </w:rPr>
        <w:t>12. 我公司选择招标代理服务费</w:t>
      </w:r>
      <w:r>
        <w:rPr>
          <w:color w:val="auto"/>
          <w:sz w:val="24"/>
          <w:highlight w:val="none"/>
        </w:rPr>
        <w:t>发票领取方式（请自行选择以下任一方式并在相应</w:t>
      </w:r>
      <w:r>
        <w:rPr>
          <w:rFonts w:hint="eastAsia"/>
          <w:color w:val="auto"/>
          <w:sz w:val="24"/>
          <w:highlight w:val="none"/>
        </w:rPr>
        <w:t>□里划“√”</w:t>
      </w:r>
      <w:r>
        <w:rPr>
          <w:color w:val="auto"/>
          <w:sz w:val="24"/>
          <w:highlight w:val="none"/>
        </w:rPr>
        <w:t>）：</w:t>
      </w:r>
    </w:p>
    <w:p w14:paraId="24690116">
      <w:pPr>
        <w:spacing w:line="360" w:lineRule="auto"/>
        <w:ind w:firstLine="482" w:firstLineChars="200"/>
        <w:rPr>
          <w:b/>
          <w:color w:val="auto"/>
          <w:sz w:val="24"/>
          <w:highlight w:val="none"/>
        </w:rPr>
      </w:pPr>
      <w:r>
        <w:rPr>
          <w:rFonts w:hint="eastAsia"/>
          <w:b/>
          <w:color w:val="auto"/>
          <w:sz w:val="24"/>
          <w:highlight w:val="none"/>
        </w:rPr>
        <w:t>□</w:t>
      </w:r>
      <w:r>
        <w:rPr>
          <w:b/>
          <w:color w:val="auto"/>
          <w:sz w:val="24"/>
          <w:highlight w:val="none"/>
        </w:rPr>
        <w:t>上门自取</w:t>
      </w:r>
    </w:p>
    <w:p w14:paraId="082ED565">
      <w:pPr>
        <w:spacing w:line="360" w:lineRule="auto"/>
        <w:ind w:firstLine="480" w:firstLineChars="200"/>
        <w:rPr>
          <w:color w:val="auto"/>
          <w:sz w:val="24"/>
          <w:highlight w:val="none"/>
        </w:rPr>
      </w:pPr>
    </w:p>
    <w:p w14:paraId="2FD3DA3E">
      <w:pPr>
        <w:spacing w:line="360" w:lineRule="auto"/>
        <w:ind w:firstLine="482" w:firstLineChars="200"/>
        <w:rPr>
          <w:b/>
          <w:color w:val="auto"/>
          <w:sz w:val="24"/>
          <w:highlight w:val="none"/>
        </w:rPr>
      </w:pPr>
      <w:r>
        <w:rPr>
          <w:rFonts w:hint="eastAsia"/>
          <w:b/>
          <w:color w:val="auto"/>
          <w:sz w:val="24"/>
          <w:highlight w:val="none"/>
        </w:rPr>
        <w:t>□</w:t>
      </w:r>
      <w:r>
        <w:rPr>
          <w:b/>
          <w:color w:val="auto"/>
          <w:sz w:val="24"/>
          <w:highlight w:val="none"/>
        </w:rPr>
        <w:t>到付邮寄</w:t>
      </w:r>
    </w:p>
    <w:p w14:paraId="23EE8373">
      <w:pPr>
        <w:spacing w:line="360" w:lineRule="auto"/>
        <w:ind w:firstLine="480" w:firstLineChars="200"/>
        <w:rPr>
          <w:color w:val="auto"/>
          <w:sz w:val="24"/>
          <w:highlight w:val="none"/>
        </w:rPr>
      </w:pPr>
      <w:r>
        <w:rPr>
          <w:color w:val="auto"/>
          <w:sz w:val="24"/>
          <w:highlight w:val="none"/>
        </w:rPr>
        <w:t>邮寄地址</w:t>
      </w:r>
      <w:r>
        <w:rPr>
          <w:rFonts w:hint="eastAsia"/>
          <w:color w:val="auto"/>
          <w:sz w:val="24"/>
          <w:highlight w:val="none"/>
        </w:rPr>
        <w:t>、邮编</w:t>
      </w:r>
      <w:r>
        <w:rPr>
          <w:color w:val="auto"/>
          <w:sz w:val="24"/>
          <w:highlight w:val="none"/>
        </w:rPr>
        <w:t>：</w:t>
      </w:r>
    </w:p>
    <w:p w14:paraId="66E8F76A">
      <w:pPr>
        <w:spacing w:line="360" w:lineRule="auto"/>
        <w:ind w:firstLine="480" w:firstLineChars="200"/>
        <w:rPr>
          <w:color w:val="auto"/>
          <w:sz w:val="24"/>
          <w:highlight w:val="none"/>
        </w:rPr>
      </w:pPr>
      <w:r>
        <w:rPr>
          <w:color w:val="auto"/>
          <w:sz w:val="24"/>
          <w:highlight w:val="none"/>
        </w:rPr>
        <w:t>邮寄联系人、手机号码：</w:t>
      </w:r>
    </w:p>
    <w:p w14:paraId="0A283BD1">
      <w:pPr>
        <w:autoSpaceDE w:val="0"/>
        <w:autoSpaceDN w:val="0"/>
        <w:adjustRightInd w:val="0"/>
        <w:spacing w:line="520" w:lineRule="exact"/>
        <w:ind w:firstLine="480"/>
        <w:jc w:val="left"/>
        <w:rPr>
          <w:color w:val="auto"/>
          <w:kern w:val="0"/>
          <w:sz w:val="24"/>
          <w:highlight w:val="none"/>
        </w:rPr>
      </w:pPr>
    </w:p>
    <w:p w14:paraId="7575D5D8">
      <w:pPr>
        <w:autoSpaceDE w:val="0"/>
        <w:autoSpaceDN w:val="0"/>
        <w:adjustRightInd w:val="0"/>
        <w:spacing w:line="520" w:lineRule="exact"/>
        <w:ind w:firstLine="480"/>
        <w:jc w:val="left"/>
        <w:rPr>
          <w:color w:val="auto"/>
          <w:kern w:val="0"/>
          <w:sz w:val="24"/>
          <w:highlight w:val="none"/>
        </w:rPr>
      </w:pPr>
    </w:p>
    <w:p w14:paraId="6BDCB26F">
      <w:pPr>
        <w:spacing w:line="360" w:lineRule="auto"/>
        <w:ind w:firstLine="4080" w:firstLineChars="1700"/>
        <w:rPr>
          <w:color w:val="auto"/>
          <w:sz w:val="24"/>
          <w:highlight w:val="none"/>
        </w:rPr>
      </w:pPr>
      <w:r>
        <w:rPr>
          <w:color w:val="auto"/>
          <w:sz w:val="24"/>
          <w:highlight w:val="none"/>
        </w:rPr>
        <w:t>投标人名称：</w:t>
      </w:r>
    </w:p>
    <w:p w14:paraId="345F641C">
      <w:pPr>
        <w:spacing w:line="360" w:lineRule="auto"/>
        <w:ind w:firstLine="4080" w:firstLineChars="1700"/>
        <w:rPr>
          <w:color w:val="auto"/>
          <w:sz w:val="24"/>
          <w:highlight w:val="none"/>
        </w:rPr>
      </w:pPr>
    </w:p>
    <w:p w14:paraId="25F6DEA3">
      <w:pPr>
        <w:autoSpaceDE w:val="0"/>
        <w:autoSpaceDN w:val="0"/>
        <w:adjustRightInd w:val="0"/>
        <w:spacing w:line="520" w:lineRule="exact"/>
        <w:ind w:firstLine="4080" w:firstLineChars="1700"/>
        <w:jc w:val="left"/>
        <w:rPr>
          <w:color w:val="auto"/>
          <w:kern w:val="0"/>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567F20E2">
      <w:pPr>
        <w:spacing w:line="460" w:lineRule="exact"/>
        <w:rPr>
          <w:b/>
          <w:color w:val="auto"/>
          <w:sz w:val="24"/>
          <w:highlight w:val="none"/>
        </w:rPr>
      </w:pPr>
      <w:r>
        <w:rPr>
          <w:b/>
          <w:color w:val="auto"/>
          <w:sz w:val="24"/>
          <w:highlight w:val="none"/>
        </w:rPr>
        <w:br w:type="page"/>
      </w:r>
      <w:r>
        <w:rPr>
          <w:b/>
          <w:color w:val="auto"/>
          <w:sz w:val="24"/>
          <w:highlight w:val="none"/>
        </w:rPr>
        <w:t>附件2</w:t>
      </w:r>
    </w:p>
    <w:p w14:paraId="62BC7D04">
      <w:pPr>
        <w:ind w:right="84"/>
        <w:jc w:val="center"/>
        <w:rPr>
          <w:b/>
          <w:color w:val="auto"/>
          <w:sz w:val="24"/>
          <w:highlight w:val="none"/>
        </w:rPr>
      </w:pPr>
    </w:p>
    <w:p w14:paraId="5EBAFA31">
      <w:pPr>
        <w:ind w:right="84"/>
        <w:jc w:val="center"/>
        <w:rPr>
          <w:b/>
          <w:color w:val="auto"/>
          <w:sz w:val="24"/>
          <w:highlight w:val="none"/>
        </w:rPr>
      </w:pPr>
      <w:r>
        <w:rPr>
          <w:rFonts w:hint="eastAsia"/>
          <w:b/>
          <w:color w:val="auto"/>
          <w:sz w:val="24"/>
          <w:highlight w:val="none"/>
        </w:rPr>
        <w:t>供应商资格声明函</w:t>
      </w:r>
    </w:p>
    <w:p w14:paraId="42A356C9">
      <w:pPr>
        <w:spacing w:line="360" w:lineRule="auto"/>
        <w:ind w:firstLine="420"/>
        <w:jc w:val="center"/>
        <w:rPr>
          <w:b/>
          <w:color w:val="auto"/>
          <w:sz w:val="24"/>
          <w:highlight w:val="none"/>
        </w:rPr>
      </w:pPr>
    </w:p>
    <w:p w14:paraId="1DB06732">
      <w:pPr>
        <w:spacing w:line="360" w:lineRule="auto"/>
        <w:rPr>
          <w:color w:val="auto"/>
          <w:sz w:val="24"/>
          <w:highlight w:val="none"/>
        </w:rPr>
      </w:pPr>
      <w:r>
        <w:rPr>
          <w:rFonts w:hint="eastAsia"/>
          <w:color w:val="auto"/>
          <w:sz w:val="24"/>
          <w:highlight w:val="none"/>
        </w:rPr>
        <w:t>天津市政府采购中心：</w:t>
      </w:r>
    </w:p>
    <w:p w14:paraId="3D7733B0">
      <w:pPr>
        <w:spacing w:line="360" w:lineRule="auto"/>
        <w:ind w:firstLine="480" w:firstLineChars="200"/>
        <w:rPr>
          <w:color w:val="auto"/>
          <w:sz w:val="24"/>
          <w:highlight w:val="none"/>
        </w:rPr>
      </w:pPr>
      <w:r>
        <w:rPr>
          <w:rFonts w:hint="eastAsia"/>
          <w:color w:val="auto"/>
          <w:sz w:val="24"/>
          <w:highlight w:val="none"/>
        </w:rPr>
        <w:t>我单位自愿参与本项目的政府采购活动，郑重承诺如下：</w:t>
      </w:r>
    </w:p>
    <w:p w14:paraId="45CCD5DD">
      <w:pPr>
        <w:spacing w:line="360" w:lineRule="auto"/>
        <w:ind w:firstLine="480" w:firstLineChars="200"/>
        <w:rPr>
          <w:color w:val="auto"/>
          <w:sz w:val="24"/>
          <w:highlight w:val="none"/>
        </w:rPr>
      </w:pPr>
      <w:r>
        <w:rPr>
          <w:rFonts w:hint="eastAsia"/>
          <w:color w:val="auto"/>
          <w:sz w:val="24"/>
          <w:highlight w:val="none"/>
        </w:rPr>
        <w:t>（一）我单位具有良好的商业信誉和健全的财务会计制度；</w:t>
      </w:r>
    </w:p>
    <w:p w14:paraId="2959C18C">
      <w:pPr>
        <w:spacing w:line="360" w:lineRule="auto"/>
        <w:ind w:firstLine="480" w:firstLineChars="200"/>
        <w:rPr>
          <w:color w:val="auto"/>
          <w:sz w:val="24"/>
          <w:highlight w:val="none"/>
        </w:rPr>
      </w:pPr>
      <w:r>
        <w:rPr>
          <w:rFonts w:hint="eastAsia"/>
          <w:color w:val="auto"/>
          <w:sz w:val="24"/>
          <w:highlight w:val="none"/>
        </w:rPr>
        <w:t>（二）我单位依法缴纳税收和社会保障资金；</w:t>
      </w:r>
    </w:p>
    <w:p w14:paraId="62E8C1EB">
      <w:pPr>
        <w:spacing w:line="360" w:lineRule="auto"/>
        <w:ind w:firstLine="480" w:firstLineChars="200"/>
        <w:rPr>
          <w:color w:val="auto"/>
          <w:sz w:val="24"/>
          <w:highlight w:val="none"/>
        </w:rPr>
      </w:pPr>
      <w:r>
        <w:rPr>
          <w:rFonts w:hint="eastAsia"/>
          <w:color w:val="auto"/>
          <w:sz w:val="24"/>
          <w:highlight w:val="none"/>
        </w:rPr>
        <w:t>（三）我单位具备履行合同所必需的设备和专业技术能力；</w:t>
      </w:r>
    </w:p>
    <w:p w14:paraId="5E635419">
      <w:pPr>
        <w:spacing w:line="360" w:lineRule="auto"/>
        <w:ind w:firstLine="480" w:firstLineChars="200"/>
        <w:rPr>
          <w:color w:val="auto"/>
          <w:sz w:val="24"/>
          <w:highlight w:val="none"/>
        </w:rPr>
      </w:pPr>
      <w:r>
        <w:rPr>
          <w:rFonts w:hint="eastAsia"/>
          <w:color w:val="auto"/>
          <w:sz w:val="24"/>
          <w:highlight w:val="none"/>
        </w:rPr>
        <w:t>（四）参加政府采购活动前3年我单位在经营活动中没有重大违法记录；</w:t>
      </w:r>
    </w:p>
    <w:p w14:paraId="160EF946">
      <w:pPr>
        <w:spacing w:line="360" w:lineRule="auto"/>
        <w:ind w:firstLine="480" w:firstLineChars="200"/>
        <w:rPr>
          <w:color w:val="auto"/>
          <w:sz w:val="24"/>
          <w:highlight w:val="none"/>
        </w:rPr>
      </w:pPr>
      <w:r>
        <w:rPr>
          <w:rFonts w:hint="eastAsia"/>
          <w:color w:val="auto"/>
          <w:sz w:val="24"/>
          <w:highlight w:val="none"/>
        </w:rPr>
        <w:t>（五）我单位不存在为采购项目提供整体设计、规范编制或者项目管理、监理、检测等服务后，再参加该采购项目的其他采购活动的情形。</w:t>
      </w:r>
    </w:p>
    <w:p w14:paraId="4ED2914F">
      <w:pPr>
        <w:spacing w:line="360" w:lineRule="auto"/>
        <w:ind w:firstLine="480" w:firstLineChars="200"/>
        <w:rPr>
          <w:color w:val="auto"/>
          <w:sz w:val="24"/>
          <w:highlight w:val="none"/>
        </w:rPr>
      </w:pPr>
      <w:r>
        <w:rPr>
          <w:rFonts w:hint="eastAsia"/>
          <w:color w:val="auto"/>
          <w:sz w:val="24"/>
          <w:highlight w:val="none"/>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50A82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47D370B">
            <w:pPr>
              <w:jc w:val="center"/>
              <w:rPr>
                <w:color w:val="auto"/>
                <w:szCs w:val="21"/>
                <w:highlight w:val="none"/>
              </w:rPr>
            </w:pPr>
            <w:r>
              <w:rPr>
                <w:rFonts w:hint="eastAsia"/>
                <w:color w:val="auto"/>
                <w:szCs w:val="21"/>
                <w:highlight w:val="none"/>
              </w:rPr>
              <w:t>序号</w:t>
            </w:r>
          </w:p>
        </w:tc>
        <w:tc>
          <w:tcPr>
            <w:tcW w:w="2273" w:type="pct"/>
            <w:vAlign w:val="center"/>
          </w:tcPr>
          <w:p w14:paraId="36BDAA3A">
            <w:pPr>
              <w:jc w:val="center"/>
              <w:rPr>
                <w:color w:val="auto"/>
                <w:szCs w:val="21"/>
                <w:highlight w:val="none"/>
              </w:rPr>
            </w:pPr>
            <w:r>
              <w:rPr>
                <w:rFonts w:hint="eastAsia"/>
                <w:color w:val="auto"/>
                <w:szCs w:val="21"/>
                <w:highlight w:val="none"/>
              </w:rPr>
              <w:t>单位名称</w:t>
            </w:r>
          </w:p>
        </w:tc>
        <w:tc>
          <w:tcPr>
            <w:tcW w:w="1667" w:type="pct"/>
            <w:vAlign w:val="center"/>
          </w:tcPr>
          <w:p w14:paraId="4EE5B335">
            <w:pPr>
              <w:jc w:val="center"/>
              <w:rPr>
                <w:color w:val="auto"/>
                <w:szCs w:val="21"/>
                <w:highlight w:val="none"/>
              </w:rPr>
            </w:pPr>
            <w:r>
              <w:rPr>
                <w:rFonts w:hint="eastAsia"/>
                <w:color w:val="auto"/>
                <w:szCs w:val="21"/>
                <w:highlight w:val="none"/>
              </w:rPr>
              <w:t>相互关系类型</w:t>
            </w:r>
          </w:p>
        </w:tc>
      </w:tr>
      <w:tr w14:paraId="00EEC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C6C7D7C">
            <w:pPr>
              <w:jc w:val="center"/>
              <w:rPr>
                <w:color w:val="auto"/>
                <w:szCs w:val="21"/>
                <w:highlight w:val="none"/>
              </w:rPr>
            </w:pPr>
            <w:r>
              <w:rPr>
                <w:rFonts w:hint="eastAsia"/>
                <w:color w:val="auto"/>
                <w:szCs w:val="21"/>
                <w:highlight w:val="none"/>
              </w:rPr>
              <w:t>1</w:t>
            </w:r>
          </w:p>
        </w:tc>
        <w:tc>
          <w:tcPr>
            <w:tcW w:w="2273" w:type="pct"/>
            <w:vAlign w:val="center"/>
          </w:tcPr>
          <w:p w14:paraId="76D8546F">
            <w:pPr>
              <w:jc w:val="center"/>
              <w:rPr>
                <w:color w:val="auto"/>
                <w:szCs w:val="21"/>
                <w:highlight w:val="none"/>
              </w:rPr>
            </w:pPr>
          </w:p>
        </w:tc>
        <w:tc>
          <w:tcPr>
            <w:tcW w:w="1667" w:type="pct"/>
            <w:vAlign w:val="center"/>
          </w:tcPr>
          <w:p w14:paraId="3A95E8C6">
            <w:pPr>
              <w:jc w:val="center"/>
              <w:rPr>
                <w:color w:val="auto"/>
                <w:szCs w:val="21"/>
                <w:highlight w:val="none"/>
              </w:rPr>
            </w:pPr>
          </w:p>
        </w:tc>
      </w:tr>
      <w:tr w14:paraId="7BBFC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D9C2061">
            <w:pPr>
              <w:jc w:val="center"/>
              <w:rPr>
                <w:color w:val="auto"/>
                <w:szCs w:val="21"/>
                <w:highlight w:val="none"/>
              </w:rPr>
            </w:pPr>
            <w:r>
              <w:rPr>
                <w:rFonts w:hint="eastAsia"/>
                <w:color w:val="auto"/>
                <w:szCs w:val="21"/>
                <w:highlight w:val="none"/>
              </w:rPr>
              <w:t>2</w:t>
            </w:r>
          </w:p>
        </w:tc>
        <w:tc>
          <w:tcPr>
            <w:tcW w:w="2273" w:type="pct"/>
            <w:vAlign w:val="center"/>
          </w:tcPr>
          <w:p w14:paraId="6C2CB0A3">
            <w:pPr>
              <w:jc w:val="center"/>
              <w:rPr>
                <w:color w:val="auto"/>
                <w:szCs w:val="21"/>
                <w:highlight w:val="none"/>
              </w:rPr>
            </w:pPr>
          </w:p>
        </w:tc>
        <w:tc>
          <w:tcPr>
            <w:tcW w:w="1667" w:type="pct"/>
            <w:vAlign w:val="center"/>
          </w:tcPr>
          <w:p w14:paraId="3E6D63FC">
            <w:pPr>
              <w:jc w:val="center"/>
              <w:rPr>
                <w:color w:val="auto"/>
                <w:szCs w:val="21"/>
                <w:highlight w:val="none"/>
              </w:rPr>
            </w:pPr>
          </w:p>
        </w:tc>
      </w:tr>
      <w:tr w14:paraId="55351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BD58F06">
            <w:pPr>
              <w:jc w:val="center"/>
              <w:rPr>
                <w:color w:val="auto"/>
                <w:szCs w:val="21"/>
                <w:highlight w:val="none"/>
              </w:rPr>
            </w:pPr>
            <w:r>
              <w:rPr>
                <w:rFonts w:hint="eastAsia"/>
                <w:color w:val="auto"/>
                <w:szCs w:val="21"/>
                <w:highlight w:val="none"/>
              </w:rPr>
              <w:t>3</w:t>
            </w:r>
          </w:p>
        </w:tc>
        <w:tc>
          <w:tcPr>
            <w:tcW w:w="2273" w:type="pct"/>
            <w:vAlign w:val="center"/>
          </w:tcPr>
          <w:p w14:paraId="46636024">
            <w:pPr>
              <w:jc w:val="center"/>
              <w:rPr>
                <w:color w:val="auto"/>
                <w:szCs w:val="21"/>
                <w:highlight w:val="none"/>
              </w:rPr>
            </w:pPr>
          </w:p>
        </w:tc>
        <w:tc>
          <w:tcPr>
            <w:tcW w:w="1667" w:type="pct"/>
            <w:vAlign w:val="center"/>
          </w:tcPr>
          <w:p w14:paraId="300322A0">
            <w:pPr>
              <w:jc w:val="center"/>
              <w:rPr>
                <w:color w:val="auto"/>
                <w:szCs w:val="21"/>
                <w:highlight w:val="none"/>
              </w:rPr>
            </w:pPr>
          </w:p>
        </w:tc>
      </w:tr>
    </w:tbl>
    <w:p w14:paraId="6C9C6D46">
      <w:pPr>
        <w:spacing w:line="360" w:lineRule="auto"/>
        <w:ind w:firstLine="480" w:firstLineChars="200"/>
        <w:rPr>
          <w:color w:val="auto"/>
          <w:sz w:val="24"/>
          <w:highlight w:val="none"/>
        </w:rPr>
      </w:pPr>
      <w:r>
        <w:rPr>
          <w:rFonts w:hint="eastAsia"/>
          <w:color w:val="auto"/>
          <w:sz w:val="24"/>
          <w:highlight w:val="none"/>
        </w:rPr>
        <w:t>上表未填写的，视为不存在第（六）条所列情形</w:t>
      </w:r>
    </w:p>
    <w:p w14:paraId="0A83AB0E">
      <w:pPr>
        <w:spacing w:line="360" w:lineRule="auto"/>
        <w:ind w:firstLine="480" w:firstLineChars="200"/>
        <w:rPr>
          <w:color w:val="auto"/>
          <w:sz w:val="24"/>
          <w:highlight w:val="none"/>
        </w:rPr>
      </w:pPr>
    </w:p>
    <w:p w14:paraId="40698E4D">
      <w:pPr>
        <w:spacing w:line="360" w:lineRule="auto"/>
        <w:ind w:firstLine="480" w:firstLineChars="200"/>
        <w:rPr>
          <w:color w:val="auto"/>
          <w:sz w:val="24"/>
          <w:highlight w:val="none"/>
        </w:rPr>
      </w:pPr>
      <w:r>
        <w:rPr>
          <w:rFonts w:hint="eastAsia"/>
          <w:color w:val="auto"/>
          <w:sz w:val="24"/>
          <w:highlight w:val="none"/>
        </w:rPr>
        <w:t>上述声明真实有效，否则我单位承担全部责任和不利后果。</w:t>
      </w:r>
    </w:p>
    <w:p w14:paraId="5AC1ABE0">
      <w:pPr>
        <w:spacing w:line="360" w:lineRule="auto"/>
        <w:ind w:firstLine="480" w:firstLineChars="200"/>
        <w:rPr>
          <w:color w:val="auto"/>
          <w:sz w:val="24"/>
          <w:highlight w:val="none"/>
        </w:rPr>
      </w:pPr>
    </w:p>
    <w:p w14:paraId="1DEAD4FF">
      <w:pPr>
        <w:spacing w:line="360" w:lineRule="auto"/>
        <w:ind w:firstLine="240" w:firstLineChars="100"/>
        <w:rPr>
          <w:color w:val="auto"/>
          <w:sz w:val="24"/>
          <w:highlight w:val="none"/>
        </w:rPr>
      </w:pPr>
      <w:r>
        <w:rPr>
          <w:color w:val="auto"/>
          <w:sz w:val="24"/>
          <w:highlight w:val="none"/>
        </w:rPr>
        <w:t>投标人名称：</w:t>
      </w:r>
    </w:p>
    <w:p w14:paraId="319B62F8">
      <w:pPr>
        <w:spacing w:line="360" w:lineRule="auto"/>
        <w:ind w:firstLine="240" w:firstLineChars="100"/>
        <w:rPr>
          <w:color w:val="auto"/>
          <w:sz w:val="24"/>
          <w:highlight w:val="none"/>
        </w:rPr>
      </w:pPr>
    </w:p>
    <w:p w14:paraId="51C4B05E">
      <w:pPr>
        <w:spacing w:line="360" w:lineRule="auto"/>
        <w:ind w:firstLine="240" w:firstLineChars="100"/>
        <w:rPr>
          <w:color w:val="auto"/>
          <w:sz w:val="24"/>
          <w:highlight w:val="none"/>
        </w:rPr>
      </w:pPr>
      <w:r>
        <w:rPr>
          <w:color w:val="auto"/>
          <w:sz w:val="24"/>
          <w:highlight w:val="none"/>
        </w:rPr>
        <w:t xml:space="preserve">日期：  </w:t>
      </w:r>
    </w:p>
    <w:p w14:paraId="7E1D3086">
      <w:pPr>
        <w:spacing w:line="460" w:lineRule="exact"/>
        <w:rPr>
          <w:b/>
          <w:color w:val="auto"/>
          <w:sz w:val="24"/>
          <w:highlight w:val="none"/>
        </w:rPr>
      </w:pPr>
    </w:p>
    <w:p w14:paraId="35905CC9">
      <w:pPr>
        <w:spacing w:line="460" w:lineRule="exact"/>
        <w:rPr>
          <w:b/>
          <w:color w:val="auto"/>
          <w:sz w:val="24"/>
          <w:highlight w:val="none"/>
        </w:rPr>
      </w:pPr>
    </w:p>
    <w:p w14:paraId="2E508FA4">
      <w:pPr>
        <w:spacing w:line="460" w:lineRule="exact"/>
        <w:rPr>
          <w:b/>
          <w:color w:val="auto"/>
          <w:sz w:val="24"/>
          <w:highlight w:val="none"/>
        </w:rPr>
      </w:pPr>
    </w:p>
    <w:p w14:paraId="784B97C9">
      <w:pPr>
        <w:spacing w:line="460" w:lineRule="exact"/>
        <w:rPr>
          <w:b/>
          <w:color w:val="auto"/>
          <w:sz w:val="24"/>
          <w:highlight w:val="none"/>
        </w:rPr>
      </w:pPr>
    </w:p>
    <w:p w14:paraId="6D352435">
      <w:pPr>
        <w:spacing w:line="460" w:lineRule="exact"/>
        <w:rPr>
          <w:b/>
          <w:color w:val="auto"/>
          <w:sz w:val="24"/>
          <w:highlight w:val="none"/>
        </w:rPr>
      </w:pPr>
    </w:p>
    <w:p w14:paraId="318E7596">
      <w:pPr>
        <w:spacing w:line="460" w:lineRule="exact"/>
        <w:rPr>
          <w:b/>
          <w:color w:val="auto"/>
          <w:sz w:val="24"/>
          <w:highlight w:val="none"/>
        </w:rPr>
      </w:pPr>
    </w:p>
    <w:p w14:paraId="277ABCEE">
      <w:pPr>
        <w:spacing w:line="460" w:lineRule="exact"/>
        <w:rPr>
          <w:b/>
          <w:color w:val="auto"/>
          <w:sz w:val="24"/>
          <w:highlight w:val="none"/>
        </w:rPr>
      </w:pPr>
      <w:r>
        <w:rPr>
          <w:rFonts w:hint="eastAsia"/>
          <w:b/>
          <w:bCs/>
          <w:color w:val="auto"/>
          <w:sz w:val="24"/>
          <w:highlight w:val="none"/>
        </w:rPr>
        <w:t>附件2-1：磋商文件第一部分供应商资格要求的证件</w:t>
      </w:r>
    </w:p>
    <w:p w14:paraId="136EA67B">
      <w:pPr>
        <w:spacing w:line="460" w:lineRule="exact"/>
        <w:rPr>
          <w:b/>
          <w:color w:val="auto"/>
          <w:sz w:val="24"/>
          <w:highlight w:val="none"/>
        </w:rPr>
      </w:pPr>
    </w:p>
    <w:p w14:paraId="73286098">
      <w:pPr>
        <w:spacing w:line="460" w:lineRule="exact"/>
        <w:jc w:val="left"/>
        <w:rPr>
          <w:b/>
          <w:color w:val="auto"/>
          <w:sz w:val="24"/>
          <w:highlight w:val="none"/>
        </w:rPr>
      </w:pPr>
      <w:r>
        <w:rPr>
          <w:b/>
          <w:color w:val="auto"/>
          <w:sz w:val="24"/>
          <w:highlight w:val="none"/>
        </w:rPr>
        <w:br w:type="page"/>
      </w:r>
      <w:r>
        <w:rPr>
          <w:b/>
          <w:color w:val="auto"/>
          <w:sz w:val="24"/>
          <w:highlight w:val="none"/>
        </w:rPr>
        <w:t>附件3</w:t>
      </w:r>
    </w:p>
    <w:p w14:paraId="241A9C50">
      <w:pPr>
        <w:autoSpaceDN w:val="0"/>
        <w:spacing w:line="360" w:lineRule="auto"/>
        <w:jc w:val="center"/>
        <w:rPr>
          <w:b/>
          <w:bCs/>
          <w:color w:val="auto"/>
          <w:sz w:val="24"/>
          <w:highlight w:val="none"/>
        </w:rPr>
      </w:pPr>
      <w:r>
        <w:rPr>
          <w:rFonts w:hint="eastAsia"/>
          <w:b/>
          <w:bCs/>
          <w:color w:val="auto"/>
          <w:sz w:val="24"/>
          <w:highlight w:val="none"/>
        </w:rPr>
        <w:t>磋商</w:t>
      </w:r>
      <w:r>
        <w:rPr>
          <w:b/>
          <w:bCs/>
          <w:color w:val="auto"/>
          <w:sz w:val="24"/>
          <w:highlight w:val="none"/>
        </w:rPr>
        <w:t>代表人授权书</w:t>
      </w:r>
    </w:p>
    <w:p w14:paraId="2F171E67">
      <w:pPr>
        <w:spacing w:line="360" w:lineRule="auto"/>
        <w:rPr>
          <w:color w:val="auto"/>
          <w:sz w:val="24"/>
          <w:szCs w:val="21"/>
          <w:highlight w:val="none"/>
        </w:rPr>
      </w:pPr>
    </w:p>
    <w:p w14:paraId="684D3B49">
      <w:pPr>
        <w:spacing w:line="360" w:lineRule="auto"/>
        <w:rPr>
          <w:color w:val="auto"/>
          <w:sz w:val="24"/>
          <w:szCs w:val="21"/>
          <w:highlight w:val="none"/>
        </w:rPr>
      </w:pPr>
      <w:r>
        <w:rPr>
          <w:color w:val="auto"/>
          <w:sz w:val="24"/>
          <w:szCs w:val="21"/>
          <w:highlight w:val="none"/>
        </w:rPr>
        <w:t>致：天津市政府采购中心</w:t>
      </w:r>
    </w:p>
    <w:p w14:paraId="0473273F">
      <w:pPr>
        <w:spacing w:line="360" w:lineRule="auto"/>
        <w:ind w:firstLine="480" w:firstLineChars="200"/>
        <w:rPr>
          <w:sz w:val="24"/>
          <w:szCs w:val="21"/>
        </w:rPr>
      </w:pPr>
      <w:r>
        <w:rPr>
          <w:rFonts w:hint="eastAsia"/>
          <w:color w:val="auto"/>
          <w:sz w:val="24"/>
          <w:szCs w:val="21"/>
          <w:highlight w:val="none"/>
        </w:rPr>
        <w:t>我单位授权委托本月</w:t>
      </w:r>
      <w:r>
        <w:rPr>
          <w:color w:val="auto"/>
          <w:sz w:val="24"/>
          <w:szCs w:val="21"/>
          <w:highlight w:val="none"/>
        </w:rPr>
        <w:t>/</w:t>
      </w:r>
      <w:r>
        <w:rPr>
          <w:rFonts w:hint="eastAsia"/>
          <w:color w:val="auto"/>
          <w:sz w:val="24"/>
          <w:szCs w:val="21"/>
          <w:highlight w:val="none"/>
        </w:rPr>
        <w:t>上月（本月尚未缴纳社保的，则填写上月）由我单位缴纳社会保险的在职职工</w:t>
      </w:r>
      <w:r>
        <w:rPr>
          <w:color w:val="auto"/>
          <w:sz w:val="24"/>
          <w:szCs w:val="21"/>
          <w:highlight w:val="none"/>
        </w:rPr>
        <w:t>_______________</w:t>
      </w:r>
      <w:r>
        <w:rPr>
          <w:rFonts w:hint="eastAsia"/>
          <w:color w:val="auto"/>
          <w:sz w:val="24"/>
          <w:szCs w:val="21"/>
          <w:highlight w:val="none"/>
        </w:rPr>
        <w:t>（姓名）（身份证号码：</w:t>
      </w:r>
      <w:r>
        <w:rPr>
          <w:color w:val="auto"/>
          <w:sz w:val="24"/>
          <w:szCs w:val="21"/>
          <w:highlight w:val="none"/>
        </w:rPr>
        <w:t>____________________</w:t>
      </w:r>
      <w:r>
        <w:rPr>
          <w:rFonts w:hint="eastAsia"/>
          <w:color w:val="auto"/>
          <w:sz w:val="24"/>
          <w:szCs w:val="21"/>
          <w:highlight w:val="none"/>
        </w:rPr>
        <w:t>、联系电话：</w:t>
      </w:r>
      <w:r>
        <w:rPr>
          <w:color w:val="auto"/>
          <w:sz w:val="24"/>
          <w:szCs w:val="21"/>
          <w:highlight w:val="none"/>
        </w:rPr>
        <w:t>_______________</w:t>
      </w:r>
      <w:r>
        <w:rPr>
          <w:rFonts w:hint="eastAsia"/>
          <w:color w:val="auto"/>
          <w:sz w:val="24"/>
          <w:szCs w:val="21"/>
          <w:highlight w:val="none"/>
        </w:rPr>
        <w:t>）作为磋商代表人以我方的名义参加贵中心组</w:t>
      </w:r>
      <w:r>
        <w:rPr>
          <w:rFonts w:hint="eastAsia"/>
          <w:sz w:val="24"/>
          <w:szCs w:val="21"/>
        </w:rPr>
        <w:t>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557CC757">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0D94B3DF">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24A6A032">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214B224D">
      <w:pPr>
        <w:spacing w:line="360" w:lineRule="auto"/>
        <w:ind w:firstLine="480" w:firstLineChars="200"/>
        <w:rPr>
          <w:sz w:val="24"/>
        </w:rPr>
      </w:pPr>
    </w:p>
    <w:p w14:paraId="4558C8B8">
      <w:pPr>
        <w:spacing w:line="360" w:lineRule="auto"/>
        <w:ind w:firstLine="480" w:firstLineChars="200"/>
        <w:rPr>
          <w:sz w:val="24"/>
        </w:rPr>
      </w:pPr>
    </w:p>
    <w:p w14:paraId="63F35BEC">
      <w:pPr>
        <w:spacing w:line="360" w:lineRule="auto"/>
        <w:ind w:firstLine="480" w:firstLineChars="200"/>
        <w:rPr>
          <w:sz w:val="24"/>
        </w:rPr>
      </w:pPr>
    </w:p>
    <w:p w14:paraId="63237C43">
      <w:pPr>
        <w:spacing w:line="480" w:lineRule="auto"/>
        <w:jc w:val="center"/>
        <w:rPr>
          <w:sz w:val="24"/>
        </w:rPr>
      </w:pPr>
      <w:r>
        <w:rPr>
          <w:sz w:val="24"/>
        </w:rPr>
        <w:t xml:space="preserve">     年   月   日  </w:t>
      </w:r>
    </w:p>
    <w:p w14:paraId="5AE44AA0">
      <w:pPr>
        <w:spacing w:line="360" w:lineRule="auto"/>
        <w:ind w:firstLine="5040" w:firstLineChars="2100"/>
        <w:rPr>
          <w:sz w:val="24"/>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F1AC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4" w:type="dxa"/>
            <w:shd w:val="clear" w:color="auto" w:fill="auto"/>
          </w:tcPr>
          <w:p w14:paraId="745CF111">
            <w:pPr>
              <w:spacing w:line="360" w:lineRule="auto"/>
              <w:jc w:val="left"/>
              <w:rPr>
                <w:sz w:val="24"/>
              </w:rPr>
            </w:pPr>
            <w:r>
              <w:rPr>
                <w:sz w:val="24"/>
              </w:rPr>
              <w:t>磋商代表人身份证正面</w:t>
            </w:r>
          </w:p>
          <w:p w14:paraId="0B665D18">
            <w:pPr>
              <w:spacing w:line="360" w:lineRule="auto"/>
              <w:jc w:val="left"/>
              <w:rPr>
                <w:sz w:val="24"/>
              </w:rPr>
            </w:pPr>
          </w:p>
          <w:p w14:paraId="3EAA8B60">
            <w:pPr>
              <w:spacing w:line="360" w:lineRule="auto"/>
              <w:jc w:val="left"/>
              <w:rPr>
                <w:sz w:val="24"/>
              </w:rPr>
            </w:pPr>
          </w:p>
          <w:p w14:paraId="011ED30C">
            <w:pPr>
              <w:spacing w:line="360" w:lineRule="auto"/>
              <w:jc w:val="left"/>
              <w:rPr>
                <w:sz w:val="24"/>
              </w:rPr>
            </w:pPr>
          </w:p>
          <w:p w14:paraId="75A333F4">
            <w:pPr>
              <w:spacing w:line="360" w:lineRule="auto"/>
              <w:jc w:val="left"/>
              <w:rPr>
                <w:sz w:val="24"/>
              </w:rPr>
            </w:pPr>
          </w:p>
          <w:p w14:paraId="464181FB">
            <w:pPr>
              <w:spacing w:line="360" w:lineRule="auto"/>
              <w:jc w:val="left"/>
              <w:rPr>
                <w:sz w:val="24"/>
              </w:rPr>
            </w:pPr>
          </w:p>
        </w:tc>
        <w:tc>
          <w:tcPr>
            <w:tcW w:w="4264" w:type="dxa"/>
            <w:shd w:val="clear" w:color="auto" w:fill="auto"/>
          </w:tcPr>
          <w:p w14:paraId="20D13B4A">
            <w:pPr>
              <w:spacing w:line="360" w:lineRule="auto"/>
              <w:jc w:val="left"/>
              <w:rPr>
                <w:sz w:val="24"/>
              </w:rPr>
            </w:pPr>
            <w:r>
              <w:rPr>
                <w:sz w:val="24"/>
              </w:rPr>
              <w:t>磋商代表人身份证背面</w:t>
            </w:r>
          </w:p>
        </w:tc>
      </w:tr>
    </w:tbl>
    <w:p w14:paraId="7EB88C10">
      <w:pPr>
        <w:spacing w:line="360" w:lineRule="auto"/>
        <w:rPr>
          <w:sz w:val="24"/>
        </w:rPr>
      </w:pPr>
    </w:p>
    <w:p w14:paraId="5928F974">
      <w:pPr>
        <w:spacing w:line="460" w:lineRule="exact"/>
        <w:jc w:val="left"/>
        <w:rPr>
          <w:b/>
          <w:sz w:val="24"/>
        </w:rPr>
      </w:pPr>
      <w:r>
        <w:rPr>
          <w:b/>
          <w:sz w:val="24"/>
        </w:rPr>
        <w:br w:type="page"/>
      </w:r>
      <w:r>
        <w:rPr>
          <w:b/>
          <w:sz w:val="24"/>
        </w:rPr>
        <w:t>附件4-1</w:t>
      </w:r>
    </w:p>
    <w:p w14:paraId="081C8290">
      <w:pPr>
        <w:spacing w:line="460" w:lineRule="exact"/>
        <w:ind w:left="181"/>
        <w:jc w:val="center"/>
        <w:rPr>
          <w:b/>
          <w:sz w:val="24"/>
        </w:rPr>
      </w:pPr>
    </w:p>
    <w:p w14:paraId="3F8BE112">
      <w:pPr>
        <w:autoSpaceDN w:val="0"/>
        <w:spacing w:line="360" w:lineRule="auto"/>
        <w:jc w:val="center"/>
        <w:rPr>
          <w:b/>
          <w:bCs/>
          <w:sz w:val="24"/>
        </w:rPr>
      </w:pPr>
      <w:r>
        <w:rPr>
          <w:b/>
          <w:bCs/>
          <w:sz w:val="24"/>
        </w:rPr>
        <w:t>商务要求点对点应答表</w:t>
      </w:r>
    </w:p>
    <w:p w14:paraId="286C37AB">
      <w:pPr>
        <w:spacing w:line="460" w:lineRule="exact"/>
        <w:rPr>
          <w:sz w:val="24"/>
        </w:rPr>
      </w:pPr>
    </w:p>
    <w:p w14:paraId="1CDB7AD6">
      <w:pPr>
        <w:spacing w:line="460" w:lineRule="exact"/>
        <w:rPr>
          <w:sz w:val="24"/>
        </w:rPr>
      </w:pPr>
      <w:r>
        <w:rPr>
          <w:sz w:val="24"/>
        </w:rPr>
        <w:t>项目名称：</w:t>
      </w:r>
      <w:r>
        <w:rPr>
          <w:sz w:val="24"/>
          <w:u w:val="single"/>
        </w:rPr>
        <w:t xml:space="preserve">                    </w:t>
      </w:r>
    </w:p>
    <w:p w14:paraId="26DAB7CB">
      <w:pPr>
        <w:spacing w:line="460" w:lineRule="exact"/>
        <w:rPr>
          <w:sz w:val="24"/>
        </w:rPr>
      </w:pPr>
      <w:r>
        <w:rPr>
          <w:sz w:val="24"/>
        </w:rPr>
        <w:t>项目编号：</w:t>
      </w:r>
      <w:r>
        <w:rPr>
          <w:sz w:val="24"/>
          <w:u w:val="single"/>
        </w:rPr>
        <w:t xml:space="preserve">                    </w:t>
      </w:r>
    </w:p>
    <w:p w14:paraId="51633CA5">
      <w:pPr>
        <w:spacing w:line="460" w:lineRule="exact"/>
        <w:rPr>
          <w:sz w:val="24"/>
          <w:u w:val="single"/>
        </w:rPr>
      </w:pPr>
      <w:r>
        <w:rPr>
          <w:sz w:val="24"/>
        </w:rPr>
        <w:t>包号：</w:t>
      </w:r>
      <w:r>
        <w:rPr>
          <w:sz w:val="24"/>
          <w:u w:val="single"/>
        </w:rPr>
        <w:t xml:space="preserve">                        </w:t>
      </w:r>
    </w:p>
    <w:p w14:paraId="189988F7">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4A6995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3A8843C">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7CBFD20">
            <w:pPr>
              <w:widowControl/>
              <w:jc w:val="center"/>
              <w:rPr>
                <w:kern w:val="0"/>
                <w:szCs w:val="21"/>
              </w:rPr>
            </w:pPr>
            <w:r>
              <w:rPr>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19C3580">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E731423">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C5CD132">
            <w:pPr>
              <w:widowControl/>
              <w:jc w:val="center"/>
              <w:rPr>
                <w:kern w:val="0"/>
                <w:szCs w:val="21"/>
              </w:rPr>
            </w:pPr>
            <w:r>
              <w:rPr>
                <w:kern w:val="0"/>
                <w:szCs w:val="21"/>
              </w:rPr>
              <w:t>备注</w:t>
            </w:r>
          </w:p>
        </w:tc>
      </w:tr>
      <w:tr w14:paraId="2A3D947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F327846">
            <w:pPr>
              <w:widowControl/>
              <w:jc w:val="left"/>
              <w:rPr>
                <w:kern w:val="0"/>
                <w:szCs w:val="21"/>
              </w:rPr>
            </w:pPr>
            <w:r>
              <w:rPr>
                <w:kern w:val="0"/>
                <w:szCs w:val="21"/>
              </w:rPr>
              <w:t>（一）报价要求</w:t>
            </w:r>
          </w:p>
        </w:tc>
      </w:tr>
      <w:tr w14:paraId="3F9AB3E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95284D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8AB43C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8D1053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FD7B04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C26166F">
            <w:pPr>
              <w:widowControl/>
              <w:jc w:val="left"/>
              <w:rPr>
                <w:kern w:val="0"/>
                <w:szCs w:val="21"/>
              </w:rPr>
            </w:pPr>
            <w:r>
              <w:rPr>
                <w:kern w:val="0"/>
                <w:szCs w:val="21"/>
              </w:rPr>
              <w:t>　</w:t>
            </w:r>
          </w:p>
        </w:tc>
      </w:tr>
      <w:tr w14:paraId="6AFC0C3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9D2D64B">
            <w:pPr>
              <w:widowControl/>
              <w:jc w:val="left"/>
              <w:rPr>
                <w:kern w:val="0"/>
                <w:szCs w:val="21"/>
              </w:rPr>
            </w:pPr>
            <w:r>
              <w:rPr>
                <w:kern w:val="0"/>
                <w:szCs w:val="21"/>
              </w:rPr>
              <w:t>（二）时间、地点要求</w:t>
            </w:r>
          </w:p>
        </w:tc>
      </w:tr>
      <w:tr w14:paraId="18228A7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B46FBC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E0501A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D03956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47020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D6CF36E">
            <w:pPr>
              <w:widowControl/>
              <w:jc w:val="left"/>
              <w:rPr>
                <w:kern w:val="0"/>
                <w:szCs w:val="21"/>
              </w:rPr>
            </w:pPr>
            <w:r>
              <w:rPr>
                <w:kern w:val="0"/>
                <w:szCs w:val="21"/>
              </w:rPr>
              <w:t>　</w:t>
            </w:r>
          </w:p>
        </w:tc>
      </w:tr>
      <w:tr w14:paraId="25D6438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766FB84">
            <w:pPr>
              <w:widowControl/>
              <w:jc w:val="left"/>
              <w:rPr>
                <w:kern w:val="0"/>
                <w:szCs w:val="21"/>
              </w:rPr>
            </w:pPr>
            <w:r>
              <w:rPr>
                <w:kern w:val="0"/>
                <w:szCs w:val="21"/>
              </w:rPr>
              <w:t>（三）付款方式</w:t>
            </w:r>
          </w:p>
        </w:tc>
      </w:tr>
      <w:tr w14:paraId="2302D38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212BB8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B0A6C7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30B007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8B346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79879CF">
            <w:pPr>
              <w:widowControl/>
              <w:jc w:val="left"/>
              <w:rPr>
                <w:kern w:val="0"/>
                <w:szCs w:val="21"/>
              </w:rPr>
            </w:pPr>
            <w:r>
              <w:rPr>
                <w:kern w:val="0"/>
                <w:szCs w:val="21"/>
              </w:rPr>
              <w:t>　</w:t>
            </w:r>
          </w:p>
        </w:tc>
      </w:tr>
      <w:tr w14:paraId="3C6001A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FC03B9">
            <w:pPr>
              <w:widowControl/>
              <w:jc w:val="left"/>
              <w:rPr>
                <w:kern w:val="0"/>
                <w:szCs w:val="21"/>
              </w:rPr>
            </w:pPr>
            <w:r>
              <w:rPr>
                <w:kern w:val="0"/>
                <w:szCs w:val="21"/>
              </w:rPr>
              <w:t>（四）投标保证金和履约保证金</w:t>
            </w:r>
          </w:p>
        </w:tc>
      </w:tr>
      <w:tr w14:paraId="352CD4D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2DC385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B8B34B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88F01F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FA8C94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9FE48D7">
            <w:pPr>
              <w:widowControl/>
              <w:jc w:val="left"/>
              <w:rPr>
                <w:kern w:val="0"/>
                <w:szCs w:val="21"/>
              </w:rPr>
            </w:pPr>
            <w:r>
              <w:rPr>
                <w:kern w:val="0"/>
                <w:szCs w:val="21"/>
              </w:rPr>
              <w:t>　</w:t>
            </w:r>
          </w:p>
        </w:tc>
      </w:tr>
    </w:tbl>
    <w:p w14:paraId="303C3361">
      <w:pPr>
        <w:spacing w:line="620" w:lineRule="exact"/>
        <w:rPr>
          <w:sz w:val="24"/>
        </w:rPr>
      </w:pPr>
      <w:r>
        <w:rPr>
          <w:sz w:val="24"/>
        </w:rPr>
        <w:t>注：</w:t>
      </w:r>
    </w:p>
    <w:p w14:paraId="589C7CB7">
      <w:pPr>
        <w:spacing w:line="360" w:lineRule="auto"/>
        <w:rPr>
          <w:sz w:val="24"/>
        </w:rPr>
      </w:pPr>
      <w:r>
        <w:rPr>
          <w:sz w:val="24"/>
        </w:rPr>
        <w:t>1. 不如实填写偏离情况的响应文件将视为虚假材料。</w:t>
      </w:r>
    </w:p>
    <w:p w14:paraId="428F6634">
      <w:pPr>
        <w:spacing w:line="360" w:lineRule="auto"/>
        <w:rPr>
          <w:sz w:val="24"/>
        </w:rPr>
      </w:pPr>
      <w:r>
        <w:rPr>
          <w:sz w:val="24"/>
        </w:rPr>
        <w:t>2. 磋商要求指磋商文件中规定的具体要求，投标应答指响应文件的具体内容。</w:t>
      </w:r>
    </w:p>
    <w:p w14:paraId="2E907FAD">
      <w:pPr>
        <w:spacing w:line="360" w:lineRule="auto"/>
        <w:rPr>
          <w:sz w:val="24"/>
        </w:rPr>
      </w:pPr>
      <w:r>
        <w:rPr>
          <w:rFonts w:hint="eastAsia"/>
          <w:sz w:val="24"/>
        </w:rPr>
        <w:t>3</w:t>
      </w:r>
      <w:r>
        <w:rPr>
          <w:sz w:val="24"/>
        </w:rPr>
        <w:t>. 偏离说明指磋商要求与投标应答之间的不同之处。</w:t>
      </w:r>
    </w:p>
    <w:p w14:paraId="76540885">
      <w:pPr>
        <w:spacing w:line="360" w:lineRule="auto"/>
        <w:rPr>
          <w:sz w:val="24"/>
        </w:rPr>
      </w:pPr>
    </w:p>
    <w:p w14:paraId="26AA7BA2">
      <w:pPr>
        <w:spacing w:line="360" w:lineRule="auto"/>
        <w:ind w:firstLine="4080" w:firstLineChars="1700"/>
        <w:rPr>
          <w:sz w:val="24"/>
        </w:rPr>
      </w:pPr>
      <w:r>
        <w:rPr>
          <w:sz w:val="24"/>
        </w:rPr>
        <w:t>投标人名称：</w:t>
      </w:r>
    </w:p>
    <w:p w14:paraId="219A9E85">
      <w:pPr>
        <w:spacing w:line="360" w:lineRule="auto"/>
        <w:ind w:firstLine="4080" w:firstLineChars="1700"/>
        <w:rPr>
          <w:sz w:val="24"/>
        </w:rPr>
      </w:pPr>
    </w:p>
    <w:p w14:paraId="0EDC0D0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17A0324">
      <w:pPr>
        <w:tabs>
          <w:tab w:val="left" w:pos="360"/>
        </w:tabs>
        <w:spacing w:after="312" w:afterLines="100" w:line="360" w:lineRule="auto"/>
        <w:rPr>
          <w:b/>
          <w:sz w:val="24"/>
        </w:rPr>
      </w:pPr>
      <w:r>
        <w:rPr>
          <w:sz w:val="24"/>
        </w:rPr>
        <w:br w:type="page"/>
      </w:r>
      <w:r>
        <w:rPr>
          <w:b/>
          <w:sz w:val="24"/>
        </w:rPr>
        <w:t>附件4-2</w:t>
      </w:r>
    </w:p>
    <w:p w14:paraId="5CC46009">
      <w:pPr>
        <w:autoSpaceDN w:val="0"/>
        <w:spacing w:line="360" w:lineRule="auto"/>
        <w:jc w:val="center"/>
        <w:rPr>
          <w:b/>
          <w:bCs/>
          <w:sz w:val="24"/>
        </w:rPr>
      </w:pPr>
      <w:r>
        <w:rPr>
          <w:b/>
          <w:bCs/>
          <w:sz w:val="24"/>
        </w:rPr>
        <w:t>技术要求点对点应答表</w:t>
      </w:r>
    </w:p>
    <w:p w14:paraId="1D47F80D">
      <w:pPr>
        <w:spacing w:line="460" w:lineRule="exact"/>
        <w:rPr>
          <w:sz w:val="24"/>
        </w:rPr>
      </w:pPr>
    </w:p>
    <w:p w14:paraId="0C1FE75C">
      <w:pPr>
        <w:spacing w:line="460" w:lineRule="exact"/>
        <w:rPr>
          <w:sz w:val="24"/>
        </w:rPr>
      </w:pPr>
      <w:r>
        <w:rPr>
          <w:sz w:val="24"/>
        </w:rPr>
        <w:t>项目名称：</w:t>
      </w:r>
      <w:r>
        <w:rPr>
          <w:sz w:val="24"/>
          <w:u w:val="single"/>
        </w:rPr>
        <w:t xml:space="preserve">                    </w:t>
      </w:r>
    </w:p>
    <w:p w14:paraId="0299C4F4">
      <w:pPr>
        <w:spacing w:line="460" w:lineRule="exact"/>
        <w:rPr>
          <w:sz w:val="24"/>
        </w:rPr>
      </w:pPr>
      <w:r>
        <w:rPr>
          <w:sz w:val="24"/>
        </w:rPr>
        <w:t>项目编号：</w:t>
      </w:r>
      <w:r>
        <w:rPr>
          <w:sz w:val="24"/>
          <w:u w:val="single"/>
        </w:rPr>
        <w:t xml:space="preserve">                    </w:t>
      </w:r>
    </w:p>
    <w:p w14:paraId="2B2B5D84">
      <w:pPr>
        <w:spacing w:line="460" w:lineRule="exact"/>
        <w:rPr>
          <w:sz w:val="24"/>
          <w:u w:val="single"/>
        </w:rPr>
      </w:pPr>
      <w:r>
        <w:rPr>
          <w:sz w:val="24"/>
        </w:rPr>
        <w:t>包号：</w:t>
      </w:r>
      <w:r>
        <w:rPr>
          <w:sz w:val="24"/>
          <w:u w:val="single"/>
        </w:rPr>
        <w:t xml:space="preserve">                        </w:t>
      </w:r>
    </w:p>
    <w:p w14:paraId="6F2BAFB2">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518A5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43" w:type="dxa"/>
            <w:shd w:val="clear" w:color="auto" w:fill="auto"/>
            <w:vAlign w:val="center"/>
          </w:tcPr>
          <w:p w14:paraId="3D77188D">
            <w:pPr>
              <w:widowControl/>
              <w:snapToGrid w:val="0"/>
              <w:jc w:val="center"/>
              <w:rPr>
                <w:kern w:val="0"/>
                <w:sz w:val="24"/>
                <w:szCs w:val="21"/>
              </w:rPr>
            </w:pPr>
            <w:r>
              <w:rPr>
                <w:kern w:val="0"/>
                <w:sz w:val="24"/>
                <w:szCs w:val="21"/>
              </w:rPr>
              <w:t>序号</w:t>
            </w:r>
          </w:p>
        </w:tc>
        <w:tc>
          <w:tcPr>
            <w:tcW w:w="3922" w:type="dxa"/>
            <w:shd w:val="clear" w:color="auto" w:fill="auto"/>
            <w:vAlign w:val="center"/>
          </w:tcPr>
          <w:p w14:paraId="51AD7BEA">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5900028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E68DEF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C24E65C">
            <w:pPr>
              <w:widowControl/>
              <w:snapToGrid w:val="0"/>
              <w:jc w:val="center"/>
              <w:rPr>
                <w:kern w:val="0"/>
                <w:sz w:val="24"/>
                <w:szCs w:val="21"/>
              </w:rPr>
            </w:pPr>
            <w:r>
              <w:rPr>
                <w:kern w:val="0"/>
                <w:sz w:val="24"/>
                <w:szCs w:val="21"/>
              </w:rPr>
              <w:t>备注</w:t>
            </w:r>
          </w:p>
        </w:tc>
      </w:tr>
      <w:tr w14:paraId="5B2B3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6CFB414">
            <w:pPr>
              <w:widowControl/>
              <w:snapToGrid w:val="0"/>
              <w:jc w:val="center"/>
              <w:rPr>
                <w:kern w:val="0"/>
                <w:sz w:val="24"/>
                <w:szCs w:val="21"/>
              </w:rPr>
            </w:pPr>
            <w:r>
              <w:rPr>
                <w:kern w:val="0"/>
                <w:sz w:val="24"/>
                <w:szCs w:val="21"/>
              </w:rPr>
              <w:t>1</w:t>
            </w:r>
          </w:p>
        </w:tc>
        <w:tc>
          <w:tcPr>
            <w:tcW w:w="3922" w:type="dxa"/>
            <w:shd w:val="clear" w:color="auto" w:fill="auto"/>
            <w:vAlign w:val="center"/>
          </w:tcPr>
          <w:p w14:paraId="1B8B4001">
            <w:pPr>
              <w:widowControl/>
              <w:snapToGrid w:val="0"/>
              <w:jc w:val="left"/>
              <w:rPr>
                <w:kern w:val="0"/>
                <w:sz w:val="24"/>
                <w:szCs w:val="21"/>
              </w:rPr>
            </w:pPr>
            <w:r>
              <w:rPr>
                <w:kern w:val="0"/>
                <w:sz w:val="24"/>
                <w:szCs w:val="21"/>
              </w:rPr>
              <w:t>（一）</w:t>
            </w:r>
            <w:r>
              <w:rPr>
                <w:rFonts w:hint="eastAsia"/>
                <w:bCs/>
                <w:sz w:val="24"/>
              </w:rPr>
              <w:t>供应商</w:t>
            </w:r>
            <w:r>
              <w:rPr>
                <w:bCs/>
                <w:sz w:val="24"/>
              </w:rPr>
              <w:t>须承诺所提供的服务、人员及设备符合相关国家强制性规定</w:t>
            </w:r>
          </w:p>
        </w:tc>
        <w:tc>
          <w:tcPr>
            <w:tcW w:w="2438" w:type="dxa"/>
            <w:shd w:val="clear" w:color="auto" w:fill="auto"/>
            <w:vAlign w:val="center"/>
          </w:tcPr>
          <w:p w14:paraId="4CED8AD8">
            <w:pPr>
              <w:widowControl/>
              <w:snapToGrid w:val="0"/>
              <w:jc w:val="center"/>
              <w:rPr>
                <w:kern w:val="0"/>
                <w:sz w:val="24"/>
                <w:szCs w:val="21"/>
              </w:rPr>
            </w:pPr>
          </w:p>
        </w:tc>
        <w:tc>
          <w:tcPr>
            <w:tcW w:w="1289" w:type="dxa"/>
            <w:shd w:val="clear" w:color="auto" w:fill="auto"/>
            <w:vAlign w:val="center"/>
          </w:tcPr>
          <w:p w14:paraId="5D51A540">
            <w:pPr>
              <w:widowControl/>
              <w:snapToGrid w:val="0"/>
              <w:jc w:val="center"/>
              <w:rPr>
                <w:kern w:val="0"/>
                <w:sz w:val="24"/>
                <w:szCs w:val="21"/>
              </w:rPr>
            </w:pPr>
          </w:p>
        </w:tc>
        <w:tc>
          <w:tcPr>
            <w:tcW w:w="843" w:type="dxa"/>
            <w:shd w:val="clear" w:color="auto" w:fill="auto"/>
            <w:vAlign w:val="center"/>
          </w:tcPr>
          <w:p w14:paraId="4DF652CB">
            <w:pPr>
              <w:widowControl/>
              <w:snapToGrid w:val="0"/>
              <w:jc w:val="center"/>
              <w:rPr>
                <w:kern w:val="0"/>
                <w:sz w:val="24"/>
                <w:szCs w:val="21"/>
              </w:rPr>
            </w:pPr>
          </w:p>
        </w:tc>
      </w:tr>
      <w:tr w14:paraId="061B9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40405A">
            <w:pPr>
              <w:widowControl/>
              <w:snapToGrid w:val="0"/>
              <w:jc w:val="center"/>
              <w:rPr>
                <w:kern w:val="0"/>
                <w:sz w:val="24"/>
                <w:szCs w:val="21"/>
              </w:rPr>
            </w:pPr>
          </w:p>
        </w:tc>
        <w:tc>
          <w:tcPr>
            <w:tcW w:w="3922" w:type="dxa"/>
            <w:shd w:val="clear" w:color="auto" w:fill="auto"/>
            <w:vAlign w:val="center"/>
          </w:tcPr>
          <w:p w14:paraId="5B9E88A3">
            <w:pPr>
              <w:widowControl/>
              <w:snapToGrid w:val="0"/>
              <w:jc w:val="left"/>
              <w:rPr>
                <w:rFonts w:hint="eastAsia" w:ascii="Times New Roman" w:hAnsi="Times New Roman" w:eastAsia="宋体" w:cs="Times New Roman"/>
                <w:kern w:val="0"/>
                <w:sz w:val="24"/>
                <w:szCs w:val="21"/>
                <w:lang w:eastAsia="zh-CN"/>
              </w:rPr>
            </w:pPr>
            <w:r>
              <w:rPr>
                <w:rFonts w:hint="eastAsia" w:ascii="Times New Roman" w:hAnsi="Times New Roman" w:eastAsia="宋体" w:cs="Times New Roman"/>
                <w:kern w:val="0"/>
                <w:sz w:val="24"/>
                <w:szCs w:val="21"/>
                <w:lang w:eastAsia="zh-CN"/>
              </w:rPr>
              <w:t>（</w:t>
            </w:r>
            <w:r>
              <w:rPr>
                <w:rFonts w:hint="eastAsia" w:ascii="Times New Roman" w:hAnsi="Times New Roman" w:eastAsia="宋体" w:cs="Times New Roman"/>
                <w:kern w:val="0"/>
                <w:sz w:val="24"/>
                <w:szCs w:val="21"/>
                <w:lang w:val="en-US" w:eastAsia="zh-CN"/>
              </w:rPr>
              <w:t>二</w:t>
            </w:r>
            <w:r>
              <w:rPr>
                <w:rFonts w:hint="eastAsia" w:ascii="Times New Roman" w:hAnsi="Times New Roman" w:eastAsia="宋体" w:cs="Times New Roman"/>
                <w:kern w:val="0"/>
                <w:sz w:val="24"/>
                <w:szCs w:val="21"/>
                <w:lang w:eastAsia="zh-CN"/>
              </w:rPr>
              <w:t>）</w:t>
            </w:r>
            <w:r>
              <w:rPr>
                <w:rFonts w:hint="eastAsia" w:ascii="Times New Roman" w:hAnsi="Times New Roman" w:eastAsia="宋体" w:cs="Times New Roman"/>
                <w:kern w:val="0"/>
                <w:sz w:val="24"/>
                <w:szCs w:val="21"/>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14:paraId="7A278018">
            <w:pPr>
              <w:widowControl/>
              <w:snapToGrid w:val="0"/>
              <w:jc w:val="center"/>
              <w:rPr>
                <w:kern w:val="0"/>
                <w:sz w:val="24"/>
                <w:szCs w:val="21"/>
              </w:rPr>
            </w:pPr>
          </w:p>
        </w:tc>
        <w:tc>
          <w:tcPr>
            <w:tcW w:w="1289" w:type="dxa"/>
            <w:shd w:val="clear" w:color="auto" w:fill="auto"/>
            <w:vAlign w:val="center"/>
          </w:tcPr>
          <w:p w14:paraId="6388F130">
            <w:pPr>
              <w:widowControl/>
              <w:snapToGrid w:val="0"/>
              <w:jc w:val="center"/>
              <w:rPr>
                <w:kern w:val="0"/>
                <w:sz w:val="24"/>
                <w:szCs w:val="21"/>
              </w:rPr>
            </w:pPr>
          </w:p>
        </w:tc>
        <w:tc>
          <w:tcPr>
            <w:tcW w:w="843" w:type="dxa"/>
            <w:shd w:val="clear" w:color="auto" w:fill="auto"/>
            <w:vAlign w:val="center"/>
          </w:tcPr>
          <w:p w14:paraId="1401051E">
            <w:pPr>
              <w:widowControl/>
              <w:snapToGrid w:val="0"/>
              <w:jc w:val="center"/>
              <w:rPr>
                <w:kern w:val="0"/>
                <w:sz w:val="24"/>
                <w:szCs w:val="21"/>
              </w:rPr>
            </w:pPr>
          </w:p>
        </w:tc>
      </w:tr>
      <w:tr w14:paraId="3E960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E5B1CE9">
            <w:pPr>
              <w:widowControl/>
              <w:snapToGrid w:val="0"/>
              <w:jc w:val="center"/>
              <w:rPr>
                <w:kern w:val="0"/>
                <w:sz w:val="24"/>
                <w:szCs w:val="21"/>
              </w:rPr>
            </w:pPr>
          </w:p>
        </w:tc>
        <w:tc>
          <w:tcPr>
            <w:tcW w:w="3922" w:type="dxa"/>
            <w:shd w:val="clear" w:color="auto" w:fill="auto"/>
            <w:vAlign w:val="center"/>
          </w:tcPr>
          <w:p w14:paraId="20D3A69F">
            <w:pPr>
              <w:widowControl/>
              <w:snapToGrid w:val="0"/>
              <w:jc w:val="left"/>
              <w:rPr>
                <w:rFonts w:ascii="Times New Roman" w:hAnsi="Times New Roman" w:eastAsia="宋体" w:cs="Times New Roman"/>
                <w:kern w:val="0"/>
                <w:sz w:val="24"/>
                <w:szCs w:val="21"/>
              </w:rPr>
            </w:pPr>
            <w:r>
              <w:rPr>
                <w:rFonts w:hint="eastAsia" w:ascii="Times New Roman" w:hAnsi="Times New Roman" w:eastAsia="宋体" w:cs="Times New Roman"/>
                <w:kern w:val="0"/>
                <w:sz w:val="24"/>
                <w:szCs w:val="21"/>
                <w:lang w:val="en-US" w:eastAsia="zh-CN"/>
              </w:rPr>
              <w:t>（三）供应商须承诺报价应包含</w:t>
            </w:r>
            <w:r>
              <w:rPr>
                <w:rFonts w:hint="eastAsia" w:ascii="Times New Roman" w:hAnsi="Times New Roman" w:eastAsia="宋体" w:cs="Times New Roman"/>
                <w:kern w:val="0"/>
                <w:sz w:val="24"/>
                <w:szCs w:val="21"/>
                <w:lang w:val="en-US"/>
              </w:rPr>
              <w:t>驻场工程师就餐和相关差旅费用，并提供驻场工程师办公电脑、打印机等设备</w:t>
            </w:r>
          </w:p>
        </w:tc>
        <w:tc>
          <w:tcPr>
            <w:tcW w:w="2438" w:type="dxa"/>
            <w:shd w:val="clear" w:color="auto" w:fill="auto"/>
            <w:vAlign w:val="center"/>
          </w:tcPr>
          <w:p w14:paraId="7E3574D8">
            <w:pPr>
              <w:widowControl/>
              <w:snapToGrid w:val="0"/>
              <w:jc w:val="center"/>
              <w:rPr>
                <w:kern w:val="0"/>
                <w:sz w:val="24"/>
                <w:szCs w:val="21"/>
              </w:rPr>
            </w:pPr>
          </w:p>
        </w:tc>
        <w:tc>
          <w:tcPr>
            <w:tcW w:w="1289" w:type="dxa"/>
            <w:shd w:val="clear" w:color="auto" w:fill="auto"/>
            <w:vAlign w:val="center"/>
          </w:tcPr>
          <w:p w14:paraId="71E0BCEA">
            <w:pPr>
              <w:widowControl/>
              <w:snapToGrid w:val="0"/>
              <w:jc w:val="center"/>
              <w:rPr>
                <w:kern w:val="0"/>
                <w:sz w:val="24"/>
                <w:szCs w:val="21"/>
              </w:rPr>
            </w:pPr>
          </w:p>
        </w:tc>
        <w:tc>
          <w:tcPr>
            <w:tcW w:w="843" w:type="dxa"/>
            <w:shd w:val="clear" w:color="auto" w:fill="auto"/>
            <w:vAlign w:val="center"/>
          </w:tcPr>
          <w:p w14:paraId="063A9632">
            <w:pPr>
              <w:widowControl/>
              <w:snapToGrid w:val="0"/>
              <w:jc w:val="center"/>
              <w:rPr>
                <w:kern w:val="0"/>
                <w:sz w:val="24"/>
                <w:szCs w:val="21"/>
              </w:rPr>
            </w:pPr>
          </w:p>
        </w:tc>
      </w:tr>
      <w:tr w14:paraId="7C1C8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695255">
            <w:pPr>
              <w:widowControl/>
              <w:snapToGrid w:val="0"/>
              <w:jc w:val="center"/>
              <w:rPr>
                <w:kern w:val="0"/>
                <w:sz w:val="24"/>
                <w:szCs w:val="21"/>
              </w:rPr>
            </w:pPr>
          </w:p>
        </w:tc>
        <w:tc>
          <w:tcPr>
            <w:tcW w:w="3922" w:type="dxa"/>
            <w:shd w:val="clear" w:color="auto" w:fill="auto"/>
            <w:vAlign w:val="center"/>
          </w:tcPr>
          <w:p w14:paraId="2ECCF21E">
            <w:pPr>
              <w:widowControl/>
              <w:snapToGrid w:val="0"/>
              <w:jc w:val="left"/>
              <w:rPr>
                <w:rFonts w:hint="eastAsia" w:ascii="Times New Roman" w:hAnsi="Times New Roman" w:eastAsia="宋体" w:cs="Times New Roman"/>
                <w:kern w:val="0"/>
                <w:sz w:val="24"/>
                <w:szCs w:val="21"/>
                <w:lang w:eastAsia="zh-CN"/>
              </w:rPr>
            </w:pPr>
            <w:r>
              <w:rPr>
                <w:rFonts w:hint="eastAsia" w:ascii="Times New Roman" w:hAnsi="Times New Roman" w:eastAsia="宋体" w:cs="Times New Roman"/>
                <w:kern w:val="0"/>
                <w:sz w:val="24"/>
                <w:szCs w:val="21"/>
                <w:lang w:eastAsia="zh-CN"/>
              </w:rPr>
              <w:t>（</w:t>
            </w:r>
            <w:r>
              <w:rPr>
                <w:rFonts w:hint="eastAsia" w:ascii="Times New Roman" w:hAnsi="Times New Roman" w:eastAsia="宋体" w:cs="Times New Roman"/>
                <w:kern w:val="0"/>
                <w:sz w:val="24"/>
                <w:szCs w:val="21"/>
                <w:lang w:val="en-US" w:eastAsia="zh-CN"/>
              </w:rPr>
              <w:t>四</w:t>
            </w:r>
            <w:r>
              <w:rPr>
                <w:rFonts w:hint="eastAsia" w:ascii="Times New Roman" w:hAnsi="Times New Roman" w:eastAsia="宋体" w:cs="Times New Roman"/>
                <w:kern w:val="0"/>
                <w:sz w:val="24"/>
                <w:szCs w:val="21"/>
                <w:lang w:eastAsia="zh-CN"/>
              </w:rPr>
              <w:t>）</w:t>
            </w:r>
            <w:r>
              <w:rPr>
                <w:rFonts w:hint="eastAsia" w:ascii="Times New Roman" w:hAnsi="Times New Roman" w:eastAsia="宋体" w:cs="Times New Roman"/>
                <w:kern w:val="0"/>
                <w:sz w:val="24"/>
                <w:szCs w:val="21"/>
                <w:lang w:val="en-US" w:eastAsia="zh-CN"/>
              </w:rPr>
              <w:t>供应商</w:t>
            </w:r>
            <w:r>
              <w:rPr>
                <w:rFonts w:ascii="Times New Roman" w:hAnsi="Times New Roman" w:eastAsia="宋体" w:cs="Times New Roman"/>
                <w:kern w:val="0"/>
                <w:sz w:val="24"/>
                <w:szCs w:val="21"/>
              </w:rPr>
              <w:t>须承诺</w:t>
            </w:r>
            <w:r>
              <w:rPr>
                <w:rFonts w:hint="eastAsia" w:ascii="Times New Roman" w:hAnsi="Times New Roman" w:eastAsia="宋体" w:cs="Times New Roman"/>
                <w:kern w:val="0"/>
                <w:sz w:val="24"/>
                <w:szCs w:val="21"/>
                <w:lang w:val="en-US"/>
              </w:rPr>
              <w:t>：本项目中的全部源代码（不包含既有知识产权类和工具）和知识产权全部为</w:t>
            </w:r>
            <w:r>
              <w:rPr>
                <w:rFonts w:hint="eastAsia" w:ascii="Times New Roman" w:hAnsi="Times New Roman" w:eastAsia="宋体" w:cs="Times New Roman"/>
                <w:kern w:val="0"/>
                <w:sz w:val="24"/>
                <w:szCs w:val="21"/>
                <w:lang w:val="en-US" w:eastAsia="zh-CN"/>
              </w:rPr>
              <w:t>采购人</w:t>
            </w:r>
            <w:r>
              <w:rPr>
                <w:rFonts w:hint="eastAsia" w:ascii="Times New Roman" w:hAnsi="Times New Roman" w:eastAsia="宋体" w:cs="Times New Roman"/>
                <w:kern w:val="0"/>
                <w:sz w:val="24"/>
                <w:szCs w:val="21"/>
                <w:lang w:val="en-US"/>
              </w:rPr>
              <w:t>所有，</w:t>
            </w:r>
            <w:r>
              <w:rPr>
                <w:rFonts w:hint="eastAsia" w:ascii="Times New Roman" w:hAnsi="Times New Roman" w:eastAsia="宋体" w:cs="Times New Roman"/>
                <w:kern w:val="0"/>
                <w:sz w:val="24"/>
                <w:szCs w:val="21"/>
                <w:lang w:val="en-US" w:eastAsia="zh-CN"/>
              </w:rPr>
              <w:t>成交供应商</w:t>
            </w:r>
            <w:r>
              <w:rPr>
                <w:rFonts w:hint="eastAsia" w:ascii="Times New Roman" w:hAnsi="Times New Roman" w:eastAsia="宋体" w:cs="Times New Roman"/>
                <w:kern w:val="0"/>
                <w:sz w:val="24"/>
                <w:szCs w:val="21"/>
                <w:lang w:val="en-US"/>
              </w:rPr>
              <w:t>需在合作期间及合作终止后 5 年内，在</w:t>
            </w:r>
            <w:r>
              <w:rPr>
                <w:rFonts w:hint="eastAsia" w:ascii="Times New Roman" w:hAnsi="Times New Roman" w:eastAsia="宋体" w:cs="Times New Roman"/>
                <w:kern w:val="0"/>
                <w:sz w:val="24"/>
                <w:szCs w:val="21"/>
                <w:lang w:val="en-US" w:eastAsia="zh-CN"/>
              </w:rPr>
              <w:t>采购人</w:t>
            </w:r>
            <w:r>
              <w:rPr>
                <w:rFonts w:hint="eastAsia" w:ascii="Times New Roman" w:hAnsi="Times New Roman" w:eastAsia="宋体" w:cs="Times New Roman"/>
                <w:kern w:val="0"/>
                <w:sz w:val="24"/>
                <w:szCs w:val="21"/>
                <w:lang w:val="en-US"/>
              </w:rPr>
              <w:t>提出要求的 3 天内无条件提供本项目源代码。</w:t>
            </w:r>
          </w:p>
        </w:tc>
        <w:tc>
          <w:tcPr>
            <w:tcW w:w="2438" w:type="dxa"/>
            <w:shd w:val="clear" w:color="auto" w:fill="auto"/>
            <w:vAlign w:val="center"/>
          </w:tcPr>
          <w:p w14:paraId="4A07BDD4">
            <w:pPr>
              <w:widowControl/>
              <w:snapToGrid w:val="0"/>
              <w:jc w:val="center"/>
              <w:rPr>
                <w:kern w:val="0"/>
                <w:sz w:val="24"/>
                <w:szCs w:val="21"/>
              </w:rPr>
            </w:pPr>
          </w:p>
        </w:tc>
        <w:tc>
          <w:tcPr>
            <w:tcW w:w="1289" w:type="dxa"/>
            <w:shd w:val="clear" w:color="auto" w:fill="auto"/>
            <w:vAlign w:val="center"/>
          </w:tcPr>
          <w:p w14:paraId="29A29167">
            <w:pPr>
              <w:widowControl/>
              <w:snapToGrid w:val="0"/>
              <w:jc w:val="center"/>
              <w:rPr>
                <w:kern w:val="0"/>
                <w:sz w:val="24"/>
                <w:szCs w:val="21"/>
              </w:rPr>
            </w:pPr>
          </w:p>
        </w:tc>
        <w:tc>
          <w:tcPr>
            <w:tcW w:w="843" w:type="dxa"/>
            <w:shd w:val="clear" w:color="auto" w:fill="auto"/>
            <w:vAlign w:val="center"/>
          </w:tcPr>
          <w:p w14:paraId="6C47C9EA">
            <w:pPr>
              <w:widowControl/>
              <w:snapToGrid w:val="0"/>
              <w:jc w:val="center"/>
              <w:rPr>
                <w:kern w:val="0"/>
                <w:sz w:val="24"/>
                <w:szCs w:val="21"/>
              </w:rPr>
            </w:pPr>
          </w:p>
        </w:tc>
      </w:tr>
      <w:tr w14:paraId="6D92B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2725BE7">
            <w:pPr>
              <w:widowControl/>
              <w:snapToGrid w:val="0"/>
              <w:jc w:val="center"/>
              <w:rPr>
                <w:kern w:val="0"/>
                <w:sz w:val="24"/>
                <w:szCs w:val="21"/>
              </w:rPr>
            </w:pPr>
          </w:p>
        </w:tc>
        <w:tc>
          <w:tcPr>
            <w:tcW w:w="3922" w:type="dxa"/>
            <w:shd w:val="clear" w:color="auto" w:fill="auto"/>
            <w:vAlign w:val="center"/>
          </w:tcPr>
          <w:p w14:paraId="5E9AD0AC">
            <w:pPr>
              <w:widowControl/>
              <w:snapToGrid w:val="0"/>
              <w:jc w:val="left"/>
              <w:rPr>
                <w:rFonts w:hint="eastAsia" w:ascii="Times New Roman" w:hAnsi="Times New Roman" w:eastAsia="宋体" w:cs="Times New Roman"/>
                <w:kern w:val="0"/>
                <w:sz w:val="24"/>
                <w:szCs w:val="21"/>
                <w:lang w:eastAsia="zh-CN"/>
              </w:rPr>
            </w:pPr>
            <w:r>
              <w:rPr>
                <w:rFonts w:hint="eastAsia" w:ascii="Times New Roman" w:hAnsi="Times New Roman" w:eastAsia="宋体" w:cs="Times New Roman"/>
                <w:kern w:val="0"/>
                <w:sz w:val="24"/>
                <w:szCs w:val="21"/>
                <w:lang w:eastAsia="zh-CN"/>
              </w:rPr>
              <w:t>（</w:t>
            </w:r>
            <w:r>
              <w:rPr>
                <w:rFonts w:hint="eastAsia" w:ascii="Times New Roman" w:hAnsi="Times New Roman" w:eastAsia="宋体" w:cs="Times New Roman"/>
                <w:kern w:val="0"/>
                <w:sz w:val="24"/>
                <w:szCs w:val="21"/>
                <w:lang w:val="en-US" w:eastAsia="zh-CN"/>
              </w:rPr>
              <w:t>五）供应商须承诺合同执行结束后，应确保服务工作平滑稳定地迁移到下一个服务团队，在合同结束至新的中标单位到位期间，继续提供原合同规定的服务内容和服务水平。中标单位应制定详细的交接工作计划，包括概况、目标、实施内容（包括不限于系统建设方面、信息资源保存方面等）、质量保证措施、进度安排、应急预案等内容，并报采购人进行备份，同时作为采购人检查的依据。</w:t>
            </w:r>
          </w:p>
        </w:tc>
        <w:tc>
          <w:tcPr>
            <w:tcW w:w="2438" w:type="dxa"/>
            <w:shd w:val="clear" w:color="auto" w:fill="auto"/>
            <w:vAlign w:val="center"/>
          </w:tcPr>
          <w:p w14:paraId="374D5F92">
            <w:pPr>
              <w:widowControl/>
              <w:snapToGrid w:val="0"/>
              <w:jc w:val="center"/>
              <w:rPr>
                <w:kern w:val="0"/>
                <w:sz w:val="24"/>
                <w:szCs w:val="21"/>
              </w:rPr>
            </w:pPr>
          </w:p>
        </w:tc>
        <w:tc>
          <w:tcPr>
            <w:tcW w:w="1289" w:type="dxa"/>
            <w:shd w:val="clear" w:color="auto" w:fill="auto"/>
            <w:vAlign w:val="center"/>
          </w:tcPr>
          <w:p w14:paraId="3560D2F0">
            <w:pPr>
              <w:widowControl/>
              <w:snapToGrid w:val="0"/>
              <w:jc w:val="center"/>
              <w:rPr>
                <w:kern w:val="0"/>
                <w:sz w:val="24"/>
                <w:szCs w:val="21"/>
              </w:rPr>
            </w:pPr>
          </w:p>
        </w:tc>
        <w:tc>
          <w:tcPr>
            <w:tcW w:w="843" w:type="dxa"/>
            <w:shd w:val="clear" w:color="auto" w:fill="auto"/>
            <w:vAlign w:val="center"/>
          </w:tcPr>
          <w:p w14:paraId="209CA53E">
            <w:pPr>
              <w:widowControl/>
              <w:snapToGrid w:val="0"/>
              <w:jc w:val="center"/>
              <w:rPr>
                <w:kern w:val="0"/>
                <w:sz w:val="24"/>
                <w:szCs w:val="21"/>
              </w:rPr>
            </w:pPr>
          </w:p>
        </w:tc>
      </w:tr>
      <w:tr w14:paraId="097FA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7FA8A7">
            <w:pPr>
              <w:widowControl/>
              <w:snapToGrid w:val="0"/>
              <w:jc w:val="center"/>
              <w:rPr>
                <w:kern w:val="0"/>
                <w:sz w:val="24"/>
                <w:szCs w:val="21"/>
              </w:rPr>
            </w:pPr>
          </w:p>
        </w:tc>
        <w:tc>
          <w:tcPr>
            <w:tcW w:w="3922" w:type="dxa"/>
            <w:shd w:val="clear" w:color="auto" w:fill="auto"/>
            <w:vAlign w:val="center"/>
          </w:tcPr>
          <w:p w14:paraId="61560F06">
            <w:pPr>
              <w:widowControl/>
              <w:snapToGrid w:val="0"/>
              <w:jc w:val="left"/>
              <w:rPr>
                <w:rFonts w:hint="eastAsia" w:ascii="Times New Roman" w:hAnsi="Times New Roman" w:eastAsia="宋体" w:cs="Times New Roman"/>
                <w:kern w:val="0"/>
                <w:sz w:val="24"/>
                <w:szCs w:val="21"/>
                <w:lang w:eastAsia="zh-CN"/>
              </w:rPr>
            </w:pPr>
            <w:r>
              <w:rPr>
                <w:rFonts w:hint="eastAsia" w:ascii="Times New Roman" w:hAnsi="Times New Roman" w:eastAsia="宋体" w:cs="Times New Roman"/>
                <w:kern w:val="0"/>
                <w:sz w:val="24"/>
                <w:szCs w:val="21"/>
                <w:lang w:eastAsia="zh-CN"/>
              </w:rPr>
              <w:t>（</w:t>
            </w:r>
            <w:r>
              <w:rPr>
                <w:rFonts w:hint="eastAsia" w:ascii="Times New Roman" w:hAnsi="Times New Roman" w:eastAsia="宋体" w:cs="Times New Roman"/>
                <w:kern w:val="0"/>
                <w:sz w:val="24"/>
                <w:szCs w:val="21"/>
                <w:lang w:val="en-US" w:eastAsia="zh-CN"/>
              </w:rPr>
              <w:t>六</w:t>
            </w:r>
            <w:r>
              <w:rPr>
                <w:rFonts w:hint="eastAsia" w:ascii="Times New Roman" w:hAnsi="Times New Roman" w:eastAsia="宋体" w:cs="Times New Roman"/>
                <w:kern w:val="0"/>
                <w:sz w:val="24"/>
                <w:szCs w:val="21"/>
                <w:lang w:eastAsia="zh-CN"/>
              </w:rPr>
              <w:t>）供应商须承诺本项目合作终止后 3 年内，无条件配合采购人进行数据迁移、数据字典提供、数据结构提供、对相关实现方式讲解</w:t>
            </w:r>
          </w:p>
        </w:tc>
        <w:tc>
          <w:tcPr>
            <w:tcW w:w="2438" w:type="dxa"/>
            <w:shd w:val="clear" w:color="auto" w:fill="auto"/>
            <w:vAlign w:val="center"/>
          </w:tcPr>
          <w:p w14:paraId="73348BE3">
            <w:pPr>
              <w:widowControl/>
              <w:snapToGrid w:val="0"/>
              <w:jc w:val="center"/>
              <w:rPr>
                <w:kern w:val="0"/>
                <w:sz w:val="24"/>
                <w:szCs w:val="21"/>
              </w:rPr>
            </w:pPr>
          </w:p>
        </w:tc>
        <w:tc>
          <w:tcPr>
            <w:tcW w:w="1289" w:type="dxa"/>
            <w:shd w:val="clear" w:color="auto" w:fill="auto"/>
            <w:vAlign w:val="center"/>
          </w:tcPr>
          <w:p w14:paraId="63091089">
            <w:pPr>
              <w:widowControl/>
              <w:snapToGrid w:val="0"/>
              <w:jc w:val="center"/>
              <w:rPr>
                <w:kern w:val="0"/>
                <w:sz w:val="24"/>
                <w:szCs w:val="21"/>
              </w:rPr>
            </w:pPr>
          </w:p>
        </w:tc>
        <w:tc>
          <w:tcPr>
            <w:tcW w:w="843" w:type="dxa"/>
            <w:shd w:val="clear" w:color="auto" w:fill="auto"/>
            <w:vAlign w:val="center"/>
          </w:tcPr>
          <w:p w14:paraId="0303F138">
            <w:pPr>
              <w:widowControl/>
              <w:snapToGrid w:val="0"/>
              <w:jc w:val="center"/>
              <w:rPr>
                <w:kern w:val="0"/>
                <w:sz w:val="24"/>
                <w:szCs w:val="21"/>
              </w:rPr>
            </w:pPr>
          </w:p>
        </w:tc>
      </w:tr>
      <w:tr w14:paraId="57DFF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3ECB60B2">
            <w:pPr>
              <w:widowControl/>
              <w:snapToGrid w:val="0"/>
              <w:ind w:firstLine="360" w:firstLineChars="150"/>
              <w:rPr>
                <w:kern w:val="0"/>
                <w:sz w:val="24"/>
                <w:szCs w:val="21"/>
              </w:rPr>
            </w:pPr>
            <w:r>
              <w:rPr>
                <w:kern w:val="0"/>
                <w:sz w:val="24"/>
                <w:szCs w:val="21"/>
              </w:rPr>
              <w:t>2. 项目需求书要求</w:t>
            </w:r>
          </w:p>
        </w:tc>
      </w:tr>
      <w:tr w14:paraId="29463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6109A7">
            <w:pPr>
              <w:widowControl/>
              <w:snapToGrid w:val="0"/>
              <w:jc w:val="center"/>
              <w:rPr>
                <w:kern w:val="0"/>
                <w:sz w:val="24"/>
                <w:szCs w:val="21"/>
              </w:rPr>
            </w:pPr>
            <w:r>
              <w:rPr>
                <w:kern w:val="0"/>
                <w:sz w:val="24"/>
                <w:szCs w:val="21"/>
              </w:rPr>
              <w:t>序号</w:t>
            </w:r>
          </w:p>
        </w:tc>
        <w:tc>
          <w:tcPr>
            <w:tcW w:w="3922" w:type="dxa"/>
            <w:shd w:val="clear" w:color="auto" w:fill="auto"/>
            <w:vAlign w:val="center"/>
          </w:tcPr>
          <w:p w14:paraId="6C2A67B5">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5FF4D8B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25CCD5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6FAE8AB">
            <w:pPr>
              <w:widowControl/>
              <w:snapToGrid w:val="0"/>
              <w:jc w:val="center"/>
              <w:rPr>
                <w:kern w:val="0"/>
                <w:sz w:val="24"/>
                <w:szCs w:val="21"/>
              </w:rPr>
            </w:pPr>
            <w:r>
              <w:rPr>
                <w:kern w:val="0"/>
                <w:sz w:val="24"/>
                <w:szCs w:val="21"/>
              </w:rPr>
              <w:t>备注</w:t>
            </w:r>
          </w:p>
        </w:tc>
      </w:tr>
      <w:tr w14:paraId="53434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40DF8CF">
            <w:pPr>
              <w:widowControl/>
              <w:snapToGrid w:val="0"/>
              <w:jc w:val="center"/>
              <w:rPr>
                <w:kern w:val="0"/>
                <w:sz w:val="24"/>
                <w:szCs w:val="21"/>
              </w:rPr>
            </w:pPr>
          </w:p>
        </w:tc>
        <w:tc>
          <w:tcPr>
            <w:tcW w:w="3922" w:type="dxa"/>
            <w:shd w:val="clear" w:color="auto" w:fill="auto"/>
            <w:vAlign w:val="center"/>
          </w:tcPr>
          <w:p w14:paraId="435C538C">
            <w:pPr>
              <w:widowControl/>
              <w:snapToGrid w:val="0"/>
              <w:jc w:val="center"/>
              <w:rPr>
                <w:kern w:val="0"/>
                <w:sz w:val="24"/>
                <w:szCs w:val="21"/>
              </w:rPr>
            </w:pPr>
          </w:p>
        </w:tc>
        <w:tc>
          <w:tcPr>
            <w:tcW w:w="2438" w:type="dxa"/>
            <w:shd w:val="clear" w:color="auto" w:fill="auto"/>
            <w:vAlign w:val="center"/>
          </w:tcPr>
          <w:p w14:paraId="1E5708CB">
            <w:pPr>
              <w:widowControl/>
              <w:snapToGrid w:val="0"/>
              <w:jc w:val="center"/>
              <w:rPr>
                <w:kern w:val="0"/>
                <w:sz w:val="24"/>
                <w:szCs w:val="21"/>
              </w:rPr>
            </w:pPr>
          </w:p>
        </w:tc>
        <w:tc>
          <w:tcPr>
            <w:tcW w:w="1289" w:type="dxa"/>
            <w:shd w:val="clear" w:color="auto" w:fill="auto"/>
            <w:vAlign w:val="center"/>
          </w:tcPr>
          <w:p w14:paraId="1CD4C807">
            <w:pPr>
              <w:widowControl/>
              <w:snapToGrid w:val="0"/>
              <w:jc w:val="center"/>
              <w:rPr>
                <w:kern w:val="0"/>
                <w:sz w:val="24"/>
                <w:szCs w:val="21"/>
              </w:rPr>
            </w:pPr>
          </w:p>
        </w:tc>
        <w:tc>
          <w:tcPr>
            <w:tcW w:w="843" w:type="dxa"/>
            <w:shd w:val="clear" w:color="auto" w:fill="auto"/>
            <w:vAlign w:val="center"/>
          </w:tcPr>
          <w:p w14:paraId="434DAEFE">
            <w:pPr>
              <w:widowControl/>
              <w:snapToGrid w:val="0"/>
              <w:jc w:val="center"/>
              <w:rPr>
                <w:kern w:val="0"/>
                <w:sz w:val="24"/>
                <w:szCs w:val="21"/>
              </w:rPr>
            </w:pPr>
          </w:p>
        </w:tc>
      </w:tr>
      <w:tr w14:paraId="64C07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0A3762">
            <w:pPr>
              <w:widowControl/>
              <w:snapToGrid w:val="0"/>
              <w:jc w:val="center"/>
              <w:rPr>
                <w:kern w:val="0"/>
                <w:sz w:val="24"/>
                <w:szCs w:val="21"/>
              </w:rPr>
            </w:pPr>
          </w:p>
        </w:tc>
        <w:tc>
          <w:tcPr>
            <w:tcW w:w="3922" w:type="dxa"/>
            <w:shd w:val="clear" w:color="auto" w:fill="auto"/>
            <w:vAlign w:val="center"/>
          </w:tcPr>
          <w:p w14:paraId="6BACD30E">
            <w:pPr>
              <w:widowControl/>
              <w:snapToGrid w:val="0"/>
              <w:jc w:val="center"/>
              <w:rPr>
                <w:kern w:val="0"/>
                <w:sz w:val="24"/>
                <w:szCs w:val="21"/>
              </w:rPr>
            </w:pPr>
          </w:p>
        </w:tc>
        <w:tc>
          <w:tcPr>
            <w:tcW w:w="2438" w:type="dxa"/>
            <w:shd w:val="clear" w:color="auto" w:fill="auto"/>
            <w:vAlign w:val="center"/>
          </w:tcPr>
          <w:p w14:paraId="72828FB8">
            <w:pPr>
              <w:widowControl/>
              <w:snapToGrid w:val="0"/>
              <w:jc w:val="center"/>
              <w:rPr>
                <w:kern w:val="0"/>
                <w:sz w:val="24"/>
                <w:szCs w:val="21"/>
              </w:rPr>
            </w:pPr>
          </w:p>
        </w:tc>
        <w:tc>
          <w:tcPr>
            <w:tcW w:w="1289" w:type="dxa"/>
            <w:shd w:val="clear" w:color="auto" w:fill="auto"/>
            <w:vAlign w:val="center"/>
          </w:tcPr>
          <w:p w14:paraId="5380FF6D">
            <w:pPr>
              <w:widowControl/>
              <w:snapToGrid w:val="0"/>
              <w:jc w:val="center"/>
              <w:rPr>
                <w:kern w:val="0"/>
                <w:sz w:val="24"/>
                <w:szCs w:val="21"/>
              </w:rPr>
            </w:pPr>
          </w:p>
        </w:tc>
        <w:tc>
          <w:tcPr>
            <w:tcW w:w="843" w:type="dxa"/>
            <w:shd w:val="clear" w:color="auto" w:fill="auto"/>
            <w:vAlign w:val="center"/>
          </w:tcPr>
          <w:p w14:paraId="6D17ADC0">
            <w:pPr>
              <w:widowControl/>
              <w:snapToGrid w:val="0"/>
              <w:jc w:val="center"/>
              <w:rPr>
                <w:kern w:val="0"/>
                <w:sz w:val="24"/>
                <w:szCs w:val="21"/>
              </w:rPr>
            </w:pPr>
          </w:p>
        </w:tc>
      </w:tr>
      <w:tr w14:paraId="24861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EBA126">
            <w:pPr>
              <w:widowControl/>
              <w:snapToGrid w:val="0"/>
              <w:jc w:val="center"/>
              <w:rPr>
                <w:kern w:val="0"/>
                <w:sz w:val="24"/>
                <w:szCs w:val="21"/>
              </w:rPr>
            </w:pPr>
          </w:p>
        </w:tc>
        <w:tc>
          <w:tcPr>
            <w:tcW w:w="3922" w:type="dxa"/>
            <w:shd w:val="clear" w:color="auto" w:fill="auto"/>
            <w:vAlign w:val="center"/>
          </w:tcPr>
          <w:p w14:paraId="4C287100">
            <w:pPr>
              <w:widowControl/>
              <w:snapToGrid w:val="0"/>
              <w:jc w:val="center"/>
              <w:rPr>
                <w:kern w:val="0"/>
                <w:sz w:val="24"/>
                <w:szCs w:val="21"/>
              </w:rPr>
            </w:pPr>
          </w:p>
        </w:tc>
        <w:tc>
          <w:tcPr>
            <w:tcW w:w="2438" w:type="dxa"/>
            <w:shd w:val="clear" w:color="auto" w:fill="auto"/>
            <w:vAlign w:val="center"/>
          </w:tcPr>
          <w:p w14:paraId="7A112237">
            <w:pPr>
              <w:widowControl/>
              <w:snapToGrid w:val="0"/>
              <w:jc w:val="center"/>
              <w:rPr>
                <w:kern w:val="0"/>
                <w:sz w:val="24"/>
                <w:szCs w:val="21"/>
              </w:rPr>
            </w:pPr>
          </w:p>
        </w:tc>
        <w:tc>
          <w:tcPr>
            <w:tcW w:w="1289" w:type="dxa"/>
            <w:shd w:val="clear" w:color="auto" w:fill="auto"/>
            <w:vAlign w:val="center"/>
          </w:tcPr>
          <w:p w14:paraId="43AE483F">
            <w:pPr>
              <w:widowControl/>
              <w:snapToGrid w:val="0"/>
              <w:jc w:val="center"/>
              <w:rPr>
                <w:kern w:val="0"/>
                <w:sz w:val="24"/>
                <w:szCs w:val="21"/>
              </w:rPr>
            </w:pPr>
          </w:p>
        </w:tc>
        <w:tc>
          <w:tcPr>
            <w:tcW w:w="843" w:type="dxa"/>
            <w:shd w:val="clear" w:color="auto" w:fill="auto"/>
            <w:vAlign w:val="center"/>
          </w:tcPr>
          <w:p w14:paraId="3A1428C0">
            <w:pPr>
              <w:widowControl/>
              <w:snapToGrid w:val="0"/>
              <w:jc w:val="center"/>
              <w:rPr>
                <w:kern w:val="0"/>
                <w:sz w:val="24"/>
                <w:szCs w:val="21"/>
              </w:rPr>
            </w:pPr>
          </w:p>
        </w:tc>
      </w:tr>
      <w:tr w14:paraId="0B947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1EB0748">
            <w:pPr>
              <w:widowControl/>
              <w:snapToGrid w:val="0"/>
              <w:jc w:val="center"/>
              <w:rPr>
                <w:kern w:val="0"/>
                <w:sz w:val="24"/>
                <w:szCs w:val="21"/>
              </w:rPr>
            </w:pPr>
          </w:p>
        </w:tc>
        <w:tc>
          <w:tcPr>
            <w:tcW w:w="3922" w:type="dxa"/>
            <w:shd w:val="clear" w:color="auto" w:fill="auto"/>
            <w:vAlign w:val="center"/>
          </w:tcPr>
          <w:p w14:paraId="46BE9A9F">
            <w:pPr>
              <w:widowControl/>
              <w:snapToGrid w:val="0"/>
              <w:jc w:val="center"/>
              <w:rPr>
                <w:kern w:val="0"/>
                <w:sz w:val="24"/>
                <w:szCs w:val="21"/>
              </w:rPr>
            </w:pPr>
          </w:p>
        </w:tc>
        <w:tc>
          <w:tcPr>
            <w:tcW w:w="2438" w:type="dxa"/>
            <w:shd w:val="clear" w:color="auto" w:fill="auto"/>
            <w:vAlign w:val="center"/>
          </w:tcPr>
          <w:p w14:paraId="548AE0C7">
            <w:pPr>
              <w:widowControl/>
              <w:snapToGrid w:val="0"/>
              <w:jc w:val="center"/>
              <w:rPr>
                <w:kern w:val="0"/>
                <w:sz w:val="24"/>
                <w:szCs w:val="21"/>
              </w:rPr>
            </w:pPr>
          </w:p>
        </w:tc>
        <w:tc>
          <w:tcPr>
            <w:tcW w:w="1289" w:type="dxa"/>
            <w:shd w:val="clear" w:color="auto" w:fill="auto"/>
            <w:vAlign w:val="center"/>
          </w:tcPr>
          <w:p w14:paraId="6594D8B2">
            <w:pPr>
              <w:widowControl/>
              <w:snapToGrid w:val="0"/>
              <w:jc w:val="center"/>
              <w:rPr>
                <w:kern w:val="0"/>
                <w:sz w:val="24"/>
                <w:szCs w:val="21"/>
              </w:rPr>
            </w:pPr>
          </w:p>
        </w:tc>
        <w:tc>
          <w:tcPr>
            <w:tcW w:w="843" w:type="dxa"/>
            <w:shd w:val="clear" w:color="auto" w:fill="auto"/>
            <w:vAlign w:val="center"/>
          </w:tcPr>
          <w:p w14:paraId="1FADAADB">
            <w:pPr>
              <w:widowControl/>
              <w:snapToGrid w:val="0"/>
              <w:jc w:val="center"/>
              <w:rPr>
                <w:kern w:val="0"/>
                <w:sz w:val="24"/>
                <w:szCs w:val="21"/>
              </w:rPr>
            </w:pPr>
          </w:p>
        </w:tc>
      </w:tr>
      <w:tr w14:paraId="74F5B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550166">
            <w:pPr>
              <w:widowControl/>
              <w:snapToGrid w:val="0"/>
              <w:jc w:val="center"/>
              <w:rPr>
                <w:kern w:val="0"/>
                <w:sz w:val="24"/>
                <w:szCs w:val="21"/>
              </w:rPr>
            </w:pPr>
          </w:p>
        </w:tc>
        <w:tc>
          <w:tcPr>
            <w:tcW w:w="3922" w:type="dxa"/>
            <w:shd w:val="clear" w:color="auto" w:fill="auto"/>
            <w:vAlign w:val="center"/>
          </w:tcPr>
          <w:p w14:paraId="43CD1565">
            <w:pPr>
              <w:widowControl/>
              <w:snapToGrid w:val="0"/>
              <w:jc w:val="center"/>
              <w:rPr>
                <w:kern w:val="0"/>
                <w:sz w:val="24"/>
                <w:szCs w:val="21"/>
              </w:rPr>
            </w:pPr>
          </w:p>
        </w:tc>
        <w:tc>
          <w:tcPr>
            <w:tcW w:w="2438" w:type="dxa"/>
            <w:shd w:val="clear" w:color="auto" w:fill="auto"/>
            <w:vAlign w:val="center"/>
          </w:tcPr>
          <w:p w14:paraId="0438848B">
            <w:pPr>
              <w:widowControl/>
              <w:snapToGrid w:val="0"/>
              <w:jc w:val="center"/>
              <w:rPr>
                <w:kern w:val="0"/>
                <w:sz w:val="24"/>
                <w:szCs w:val="21"/>
              </w:rPr>
            </w:pPr>
          </w:p>
        </w:tc>
        <w:tc>
          <w:tcPr>
            <w:tcW w:w="1289" w:type="dxa"/>
            <w:shd w:val="clear" w:color="auto" w:fill="auto"/>
            <w:vAlign w:val="center"/>
          </w:tcPr>
          <w:p w14:paraId="4A3FE427">
            <w:pPr>
              <w:widowControl/>
              <w:snapToGrid w:val="0"/>
              <w:jc w:val="center"/>
              <w:rPr>
                <w:kern w:val="0"/>
                <w:sz w:val="24"/>
                <w:szCs w:val="21"/>
              </w:rPr>
            </w:pPr>
          </w:p>
        </w:tc>
        <w:tc>
          <w:tcPr>
            <w:tcW w:w="843" w:type="dxa"/>
            <w:shd w:val="clear" w:color="auto" w:fill="auto"/>
            <w:vAlign w:val="center"/>
          </w:tcPr>
          <w:p w14:paraId="64663BBE">
            <w:pPr>
              <w:widowControl/>
              <w:snapToGrid w:val="0"/>
              <w:jc w:val="center"/>
              <w:rPr>
                <w:kern w:val="0"/>
                <w:sz w:val="24"/>
                <w:szCs w:val="21"/>
              </w:rPr>
            </w:pPr>
          </w:p>
        </w:tc>
      </w:tr>
    </w:tbl>
    <w:p w14:paraId="101BCFFC">
      <w:pPr>
        <w:spacing w:line="620" w:lineRule="exact"/>
        <w:rPr>
          <w:sz w:val="24"/>
        </w:rPr>
      </w:pPr>
      <w:r>
        <w:rPr>
          <w:sz w:val="24"/>
        </w:rPr>
        <w:t>注：</w:t>
      </w:r>
    </w:p>
    <w:p w14:paraId="045AEE1F">
      <w:pPr>
        <w:spacing w:line="360" w:lineRule="auto"/>
        <w:rPr>
          <w:sz w:val="24"/>
        </w:rPr>
      </w:pPr>
      <w:r>
        <w:rPr>
          <w:sz w:val="24"/>
        </w:rPr>
        <w:t>1. 不如实填写偏离情况的响应文件将视为虚假材料。</w:t>
      </w:r>
    </w:p>
    <w:p w14:paraId="095FD83A">
      <w:pPr>
        <w:spacing w:line="360" w:lineRule="auto"/>
        <w:rPr>
          <w:sz w:val="24"/>
        </w:rPr>
      </w:pPr>
      <w:r>
        <w:rPr>
          <w:sz w:val="24"/>
        </w:rPr>
        <w:t>2. 磋商要求指磋商文件中规定的具体要求，投标应答指响应文件的具体内容。</w:t>
      </w:r>
    </w:p>
    <w:p w14:paraId="035DB4B1">
      <w:pPr>
        <w:spacing w:line="360" w:lineRule="auto"/>
        <w:rPr>
          <w:sz w:val="24"/>
        </w:rPr>
      </w:pPr>
      <w:r>
        <w:rPr>
          <w:sz w:val="24"/>
        </w:rPr>
        <w:t>3. 偏离说明指磋商要求与投标应答之间的不同之处。</w:t>
      </w:r>
    </w:p>
    <w:p w14:paraId="787BD8FF">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10056781">
      <w:pPr>
        <w:spacing w:line="360" w:lineRule="auto"/>
        <w:rPr>
          <w:sz w:val="24"/>
        </w:rPr>
      </w:pPr>
    </w:p>
    <w:p w14:paraId="15979EAB">
      <w:pPr>
        <w:spacing w:line="360" w:lineRule="auto"/>
        <w:ind w:firstLine="4080" w:firstLineChars="1700"/>
        <w:rPr>
          <w:sz w:val="24"/>
        </w:rPr>
      </w:pPr>
      <w:r>
        <w:rPr>
          <w:sz w:val="24"/>
        </w:rPr>
        <w:t>投标人名称：</w:t>
      </w:r>
    </w:p>
    <w:p w14:paraId="7AC34EF9">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F868D9">
      <w:pPr>
        <w:spacing w:line="480" w:lineRule="auto"/>
        <w:rPr>
          <w:b/>
          <w:color w:val="000000"/>
          <w:sz w:val="24"/>
        </w:rPr>
      </w:pPr>
      <w:r>
        <w:rPr>
          <w:b/>
          <w:sz w:val="24"/>
        </w:rPr>
        <w:br w:type="page"/>
      </w:r>
      <w:r>
        <w:rPr>
          <w:b/>
          <w:sz w:val="24"/>
        </w:rPr>
        <w:t>附件4-</w:t>
      </w:r>
      <w:r>
        <w:rPr>
          <w:rFonts w:hint="eastAsia"/>
          <w:b/>
          <w:sz w:val="24"/>
        </w:rPr>
        <w:t>3</w:t>
      </w:r>
    </w:p>
    <w:p w14:paraId="3F6F8AF4">
      <w:pPr>
        <w:spacing w:line="480" w:lineRule="auto"/>
        <w:jc w:val="center"/>
        <w:rPr>
          <w:rFonts w:ascii="宋体" w:hAnsi="宋体"/>
          <w:b/>
          <w:color w:val="000000"/>
          <w:sz w:val="28"/>
        </w:rPr>
      </w:pPr>
      <w:r>
        <w:rPr>
          <w:rFonts w:hint="eastAsia"/>
          <w:b/>
          <w:color w:val="000000"/>
          <w:sz w:val="24"/>
        </w:rPr>
        <w:t>专业人员组成及任务分配</w:t>
      </w:r>
    </w:p>
    <w:p w14:paraId="0C49582A">
      <w:pPr>
        <w:spacing w:line="440" w:lineRule="exact"/>
        <w:rPr>
          <w:rFonts w:ascii="宋体" w:hAnsi="宋体"/>
          <w:color w:val="000000"/>
          <w:sz w:val="18"/>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4FE63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46C971B3">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05E950A3">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3C878957">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6F289823">
            <w:pPr>
              <w:spacing w:line="440" w:lineRule="exact"/>
              <w:jc w:val="center"/>
              <w:rPr>
                <w:rFonts w:ascii="宋体" w:hAnsi="宋体"/>
                <w:b/>
                <w:bCs/>
                <w:color w:val="000000"/>
                <w:sz w:val="24"/>
              </w:rPr>
            </w:pPr>
            <w:r>
              <w:rPr>
                <w:rFonts w:hint="eastAsia" w:ascii="宋体" w:hAnsi="宋体"/>
                <w:b/>
                <w:bCs/>
                <w:color w:val="000000"/>
                <w:sz w:val="24"/>
              </w:rPr>
              <w:t>任务</w:t>
            </w:r>
          </w:p>
        </w:tc>
      </w:tr>
      <w:tr w14:paraId="01E0E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55D71763">
            <w:pPr>
              <w:spacing w:line="440" w:lineRule="exact"/>
              <w:rPr>
                <w:rFonts w:ascii="宋体" w:hAnsi="宋体"/>
                <w:color w:val="000000"/>
                <w:sz w:val="24"/>
              </w:rPr>
            </w:pPr>
          </w:p>
        </w:tc>
        <w:tc>
          <w:tcPr>
            <w:tcW w:w="2669" w:type="dxa"/>
            <w:tcBorders>
              <w:top w:val="nil"/>
            </w:tcBorders>
          </w:tcPr>
          <w:p w14:paraId="30B52A76">
            <w:pPr>
              <w:spacing w:line="440" w:lineRule="exact"/>
              <w:rPr>
                <w:rFonts w:ascii="宋体" w:hAnsi="宋体"/>
                <w:color w:val="000000"/>
                <w:sz w:val="24"/>
              </w:rPr>
            </w:pPr>
          </w:p>
        </w:tc>
        <w:tc>
          <w:tcPr>
            <w:tcW w:w="1620" w:type="dxa"/>
            <w:tcBorders>
              <w:top w:val="nil"/>
            </w:tcBorders>
            <w:vAlign w:val="center"/>
          </w:tcPr>
          <w:p w14:paraId="457748F1">
            <w:pPr>
              <w:spacing w:line="440" w:lineRule="exact"/>
              <w:jc w:val="center"/>
              <w:rPr>
                <w:rFonts w:ascii="宋体" w:hAnsi="宋体"/>
                <w:color w:val="000000"/>
                <w:sz w:val="24"/>
              </w:rPr>
            </w:pPr>
          </w:p>
        </w:tc>
        <w:tc>
          <w:tcPr>
            <w:tcW w:w="2967" w:type="dxa"/>
            <w:tcBorders>
              <w:top w:val="nil"/>
            </w:tcBorders>
          </w:tcPr>
          <w:p w14:paraId="62ACD904">
            <w:pPr>
              <w:spacing w:line="440" w:lineRule="exact"/>
              <w:rPr>
                <w:rFonts w:ascii="宋体" w:hAnsi="宋体"/>
                <w:color w:val="000000"/>
                <w:sz w:val="24"/>
              </w:rPr>
            </w:pPr>
          </w:p>
        </w:tc>
      </w:tr>
      <w:tr w14:paraId="068AE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4F48B86">
            <w:pPr>
              <w:spacing w:line="440" w:lineRule="exact"/>
              <w:rPr>
                <w:rFonts w:ascii="宋体" w:hAnsi="宋体"/>
                <w:color w:val="000000"/>
                <w:sz w:val="24"/>
              </w:rPr>
            </w:pPr>
          </w:p>
        </w:tc>
        <w:tc>
          <w:tcPr>
            <w:tcW w:w="2669" w:type="dxa"/>
          </w:tcPr>
          <w:p w14:paraId="06048C9B">
            <w:pPr>
              <w:spacing w:line="440" w:lineRule="exact"/>
              <w:rPr>
                <w:rFonts w:ascii="宋体" w:hAnsi="宋体"/>
                <w:color w:val="000000"/>
                <w:sz w:val="24"/>
              </w:rPr>
            </w:pPr>
          </w:p>
        </w:tc>
        <w:tc>
          <w:tcPr>
            <w:tcW w:w="1620" w:type="dxa"/>
            <w:vAlign w:val="center"/>
          </w:tcPr>
          <w:p w14:paraId="0D52F363">
            <w:pPr>
              <w:spacing w:line="440" w:lineRule="exact"/>
              <w:jc w:val="center"/>
              <w:rPr>
                <w:rFonts w:ascii="宋体" w:hAnsi="宋体"/>
                <w:color w:val="000000"/>
                <w:sz w:val="24"/>
              </w:rPr>
            </w:pPr>
          </w:p>
        </w:tc>
        <w:tc>
          <w:tcPr>
            <w:tcW w:w="2967" w:type="dxa"/>
          </w:tcPr>
          <w:p w14:paraId="1E6F7EF5">
            <w:pPr>
              <w:spacing w:line="440" w:lineRule="exact"/>
              <w:rPr>
                <w:rFonts w:ascii="宋体" w:hAnsi="宋体"/>
                <w:color w:val="000000"/>
                <w:sz w:val="24"/>
              </w:rPr>
            </w:pPr>
          </w:p>
        </w:tc>
      </w:tr>
      <w:tr w14:paraId="2AC1B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DB2B159">
            <w:pPr>
              <w:spacing w:line="440" w:lineRule="exact"/>
              <w:rPr>
                <w:rFonts w:ascii="宋体" w:hAnsi="宋体"/>
                <w:color w:val="000000"/>
                <w:sz w:val="24"/>
              </w:rPr>
            </w:pPr>
          </w:p>
        </w:tc>
        <w:tc>
          <w:tcPr>
            <w:tcW w:w="2669" w:type="dxa"/>
          </w:tcPr>
          <w:p w14:paraId="63E1E983">
            <w:pPr>
              <w:spacing w:line="440" w:lineRule="exact"/>
              <w:rPr>
                <w:rFonts w:ascii="宋体" w:hAnsi="宋体"/>
                <w:color w:val="000000"/>
                <w:sz w:val="24"/>
              </w:rPr>
            </w:pPr>
          </w:p>
        </w:tc>
        <w:tc>
          <w:tcPr>
            <w:tcW w:w="1620" w:type="dxa"/>
            <w:vAlign w:val="center"/>
          </w:tcPr>
          <w:p w14:paraId="7D10107D">
            <w:pPr>
              <w:spacing w:line="440" w:lineRule="exact"/>
              <w:jc w:val="center"/>
              <w:rPr>
                <w:rFonts w:ascii="宋体" w:hAnsi="宋体"/>
                <w:color w:val="000000"/>
                <w:sz w:val="24"/>
              </w:rPr>
            </w:pPr>
          </w:p>
        </w:tc>
        <w:tc>
          <w:tcPr>
            <w:tcW w:w="2967" w:type="dxa"/>
          </w:tcPr>
          <w:p w14:paraId="2AD971DC">
            <w:pPr>
              <w:spacing w:line="440" w:lineRule="exact"/>
              <w:rPr>
                <w:rFonts w:ascii="宋体" w:hAnsi="宋体"/>
                <w:color w:val="000000"/>
                <w:sz w:val="24"/>
              </w:rPr>
            </w:pPr>
          </w:p>
        </w:tc>
      </w:tr>
      <w:tr w14:paraId="2EBAC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45F5D2B">
            <w:pPr>
              <w:spacing w:line="440" w:lineRule="exact"/>
              <w:rPr>
                <w:rFonts w:ascii="宋体" w:hAnsi="宋体"/>
                <w:color w:val="000000"/>
                <w:sz w:val="24"/>
              </w:rPr>
            </w:pPr>
          </w:p>
        </w:tc>
        <w:tc>
          <w:tcPr>
            <w:tcW w:w="2669" w:type="dxa"/>
          </w:tcPr>
          <w:p w14:paraId="0382C3D8">
            <w:pPr>
              <w:spacing w:line="440" w:lineRule="exact"/>
              <w:rPr>
                <w:rFonts w:ascii="宋体" w:hAnsi="宋体"/>
                <w:color w:val="000000"/>
                <w:sz w:val="24"/>
              </w:rPr>
            </w:pPr>
          </w:p>
        </w:tc>
        <w:tc>
          <w:tcPr>
            <w:tcW w:w="1620" w:type="dxa"/>
            <w:vAlign w:val="center"/>
          </w:tcPr>
          <w:p w14:paraId="2F601AEE">
            <w:pPr>
              <w:spacing w:line="440" w:lineRule="exact"/>
              <w:jc w:val="center"/>
              <w:rPr>
                <w:rFonts w:ascii="宋体" w:hAnsi="宋体"/>
                <w:color w:val="000000"/>
                <w:sz w:val="24"/>
              </w:rPr>
            </w:pPr>
          </w:p>
        </w:tc>
        <w:tc>
          <w:tcPr>
            <w:tcW w:w="2967" w:type="dxa"/>
          </w:tcPr>
          <w:p w14:paraId="6727EF3F">
            <w:pPr>
              <w:spacing w:line="440" w:lineRule="exact"/>
              <w:rPr>
                <w:rFonts w:ascii="宋体" w:hAnsi="宋体"/>
                <w:color w:val="000000"/>
                <w:sz w:val="24"/>
              </w:rPr>
            </w:pPr>
          </w:p>
        </w:tc>
      </w:tr>
      <w:tr w14:paraId="11EF5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7F307AD">
            <w:pPr>
              <w:spacing w:line="440" w:lineRule="exact"/>
              <w:rPr>
                <w:rFonts w:ascii="宋体" w:hAnsi="宋体"/>
                <w:color w:val="000000"/>
                <w:sz w:val="24"/>
              </w:rPr>
            </w:pPr>
          </w:p>
        </w:tc>
        <w:tc>
          <w:tcPr>
            <w:tcW w:w="2669" w:type="dxa"/>
          </w:tcPr>
          <w:p w14:paraId="21B6D0A7">
            <w:pPr>
              <w:spacing w:line="440" w:lineRule="exact"/>
              <w:rPr>
                <w:rFonts w:ascii="宋体" w:hAnsi="宋体"/>
                <w:color w:val="000000"/>
                <w:sz w:val="24"/>
              </w:rPr>
            </w:pPr>
          </w:p>
        </w:tc>
        <w:tc>
          <w:tcPr>
            <w:tcW w:w="1620" w:type="dxa"/>
            <w:vAlign w:val="center"/>
          </w:tcPr>
          <w:p w14:paraId="01DB4CBA">
            <w:pPr>
              <w:spacing w:line="440" w:lineRule="exact"/>
              <w:jc w:val="center"/>
              <w:rPr>
                <w:rFonts w:ascii="宋体" w:hAnsi="宋体"/>
                <w:color w:val="000000"/>
                <w:sz w:val="24"/>
              </w:rPr>
            </w:pPr>
          </w:p>
        </w:tc>
        <w:tc>
          <w:tcPr>
            <w:tcW w:w="2967" w:type="dxa"/>
          </w:tcPr>
          <w:p w14:paraId="33F57CC8">
            <w:pPr>
              <w:spacing w:line="440" w:lineRule="exact"/>
              <w:rPr>
                <w:rFonts w:ascii="宋体" w:hAnsi="宋体"/>
                <w:color w:val="000000"/>
                <w:sz w:val="24"/>
              </w:rPr>
            </w:pPr>
          </w:p>
        </w:tc>
      </w:tr>
      <w:tr w14:paraId="0F090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51E6018">
            <w:pPr>
              <w:spacing w:line="440" w:lineRule="exact"/>
              <w:rPr>
                <w:rFonts w:ascii="宋体" w:hAnsi="宋体"/>
                <w:color w:val="000000"/>
                <w:sz w:val="24"/>
              </w:rPr>
            </w:pPr>
          </w:p>
        </w:tc>
        <w:tc>
          <w:tcPr>
            <w:tcW w:w="2669" w:type="dxa"/>
          </w:tcPr>
          <w:p w14:paraId="0139CBDF">
            <w:pPr>
              <w:spacing w:line="440" w:lineRule="exact"/>
              <w:rPr>
                <w:rFonts w:ascii="宋体" w:hAnsi="宋体"/>
                <w:color w:val="000000"/>
                <w:sz w:val="24"/>
              </w:rPr>
            </w:pPr>
          </w:p>
        </w:tc>
        <w:tc>
          <w:tcPr>
            <w:tcW w:w="1620" w:type="dxa"/>
            <w:vAlign w:val="center"/>
          </w:tcPr>
          <w:p w14:paraId="70AE84A0">
            <w:pPr>
              <w:spacing w:line="440" w:lineRule="exact"/>
              <w:jc w:val="center"/>
              <w:rPr>
                <w:rFonts w:ascii="宋体" w:hAnsi="宋体"/>
                <w:color w:val="000000"/>
                <w:sz w:val="24"/>
              </w:rPr>
            </w:pPr>
          </w:p>
        </w:tc>
        <w:tc>
          <w:tcPr>
            <w:tcW w:w="2967" w:type="dxa"/>
          </w:tcPr>
          <w:p w14:paraId="04105B15">
            <w:pPr>
              <w:spacing w:line="440" w:lineRule="exact"/>
              <w:rPr>
                <w:rFonts w:ascii="宋体" w:hAnsi="宋体"/>
                <w:color w:val="000000"/>
                <w:sz w:val="24"/>
              </w:rPr>
            </w:pPr>
          </w:p>
        </w:tc>
      </w:tr>
      <w:tr w14:paraId="5D350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66B610E">
            <w:pPr>
              <w:spacing w:line="440" w:lineRule="exact"/>
              <w:rPr>
                <w:rFonts w:ascii="宋体" w:hAnsi="宋体"/>
                <w:color w:val="000000"/>
                <w:sz w:val="24"/>
              </w:rPr>
            </w:pPr>
          </w:p>
        </w:tc>
        <w:tc>
          <w:tcPr>
            <w:tcW w:w="2669" w:type="dxa"/>
          </w:tcPr>
          <w:p w14:paraId="26B888B6">
            <w:pPr>
              <w:spacing w:line="440" w:lineRule="exact"/>
              <w:rPr>
                <w:rFonts w:ascii="宋体" w:hAnsi="宋体"/>
                <w:color w:val="000000"/>
                <w:sz w:val="24"/>
              </w:rPr>
            </w:pPr>
          </w:p>
        </w:tc>
        <w:tc>
          <w:tcPr>
            <w:tcW w:w="1620" w:type="dxa"/>
            <w:vAlign w:val="center"/>
          </w:tcPr>
          <w:p w14:paraId="50A2776A">
            <w:pPr>
              <w:spacing w:line="440" w:lineRule="exact"/>
              <w:jc w:val="center"/>
              <w:rPr>
                <w:rFonts w:ascii="宋体" w:hAnsi="宋体"/>
                <w:color w:val="000000"/>
                <w:sz w:val="24"/>
              </w:rPr>
            </w:pPr>
          </w:p>
        </w:tc>
        <w:tc>
          <w:tcPr>
            <w:tcW w:w="2967" w:type="dxa"/>
          </w:tcPr>
          <w:p w14:paraId="65B51415">
            <w:pPr>
              <w:spacing w:line="440" w:lineRule="exact"/>
              <w:rPr>
                <w:rFonts w:ascii="宋体" w:hAnsi="宋体"/>
                <w:color w:val="000000"/>
                <w:sz w:val="24"/>
              </w:rPr>
            </w:pPr>
          </w:p>
        </w:tc>
      </w:tr>
      <w:tr w14:paraId="7756C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7C7EE84">
            <w:pPr>
              <w:spacing w:line="440" w:lineRule="exact"/>
              <w:rPr>
                <w:rFonts w:ascii="宋体" w:hAnsi="宋体"/>
                <w:color w:val="000000"/>
                <w:sz w:val="24"/>
              </w:rPr>
            </w:pPr>
          </w:p>
        </w:tc>
        <w:tc>
          <w:tcPr>
            <w:tcW w:w="2669" w:type="dxa"/>
          </w:tcPr>
          <w:p w14:paraId="1AAAFA83">
            <w:pPr>
              <w:spacing w:line="440" w:lineRule="exact"/>
              <w:rPr>
                <w:rFonts w:ascii="宋体" w:hAnsi="宋体"/>
                <w:color w:val="000000"/>
                <w:sz w:val="24"/>
              </w:rPr>
            </w:pPr>
          </w:p>
        </w:tc>
        <w:tc>
          <w:tcPr>
            <w:tcW w:w="1620" w:type="dxa"/>
            <w:vAlign w:val="center"/>
          </w:tcPr>
          <w:p w14:paraId="6E7EFE21">
            <w:pPr>
              <w:spacing w:line="440" w:lineRule="exact"/>
              <w:jc w:val="center"/>
              <w:rPr>
                <w:rFonts w:ascii="宋体" w:hAnsi="宋体"/>
                <w:color w:val="000000"/>
                <w:sz w:val="24"/>
              </w:rPr>
            </w:pPr>
          </w:p>
        </w:tc>
        <w:tc>
          <w:tcPr>
            <w:tcW w:w="2967" w:type="dxa"/>
          </w:tcPr>
          <w:p w14:paraId="6743C6E6">
            <w:pPr>
              <w:spacing w:line="440" w:lineRule="exact"/>
              <w:rPr>
                <w:rFonts w:ascii="宋体" w:hAnsi="宋体"/>
                <w:color w:val="000000"/>
                <w:sz w:val="24"/>
              </w:rPr>
            </w:pPr>
          </w:p>
        </w:tc>
      </w:tr>
      <w:tr w14:paraId="6593E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BA31CA9">
            <w:pPr>
              <w:spacing w:line="440" w:lineRule="exact"/>
              <w:rPr>
                <w:rFonts w:ascii="宋体" w:hAnsi="宋体"/>
                <w:color w:val="000000"/>
                <w:sz w:val="24"/>
              </w:rPr>
            </w:pPr>
          </w:p>
        </w:tc>
        <w:tc>
          <w:tcPr>
            <w:tcW w:w="2669" w:type="dxa"/>
          </w:tcPr>
          <w:p w14:paraId="10DD36D2">
            <w:pPr>
              <w:spacing w:line="440" w:lineRule="exact"/>
              <w:rPr>
                <w:rFonts w:ascii="宋体" w:hAnsi="宋体"/>
                <w:color w:val="000000"/>
                <w:sz w:val="24"/>
              </w:rPr>
            </w:pPr>
          </w:p>
        </w:tc>
        <w:tc>
          <w:tcPr>
            <w:tcW w:w="1620" w:type="dxa"/>
            <w:vAlign w:val="center"/>
          </w:tcPr>
          <w:p w14:paraId="73C3483E">
            <w:pPr>
              <w:spacing w:line="440" w:lineRule="exact"/>
              <w:jc w:val="center"/>
              <w:rPr>
                <w:rFonts w:ascii="宋体" w:hAnsi="宋体"/>
                <w:color w:val="000000"/>
                <w:sz w:val="24"/>
              </w:rPr>
            </w:pPr>
          </w:p>
        </w:tc>
        <w:tc>
          <w:tcPr>
            <w:tcW w:w="2967" w:type="dxa"/>
          </w:tcPr>
          <w:p w14:paraId="649AFEA6">
            <w:pPr>
              <w:spacing w:line="440" w:lineRule="exact"/>
              <w:rPr>
                <w:rFonts w:ascii="宋体" w:hAnsi="宋体"/>
                <w:color w:val="000000"/>
                <w:sz w:val="24"/>
              </w:rPr>
            </w:pPr>
          </w:p>
        </w:tc>
      </w:tr>
      <w:tr w14:paraId="26589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5B33844">
            <w:pPr>
              <w:spacing w:line="440" w:lineRule="exact"/>
              <w:rPr>
                <w:rFonts w:ascii="宋体" w:hAnsi="宋体"/>
                <w:color w:val="000000"/>
                <w:sz w:val="24"/>
              </w:rPr>
            </w:pPr>
          </w:p>
        </w:tc>
        <w:tc>
          <w:tcPr>
            <w:tcW w:w="2669" w:type="dxa"/>
          </w:tcPr>
          <w:p w14:paraId="04191F18">
            <w:pPr>
              <w:spacing w:line="440" w:lineRule="exact"/>
              <w:rPr>
                <w:rFonts w:ascii="宋体" w:hAnsi="宋体"/>
                <w:color w:val="000000"/>
                <w:sz w:val="24"/>
              </w:rPr>
            </w:pPr>
          </w:p>
        </w:tc>
        <w:tc>
          <w:tcPr>
            <w:tcW w:w="1620" w:type="dxa"/>
            <w:vAlign w:val="center"/>
          </w:tcPr>
          <w:p w14:paraId="09C22F4D">
            <w:pPr>
              <w:spacing w:line="440" w:lineRule="exact"/>
              <w:jc w:val="center"/>
              <w:rPr>
                <w:rFonts w:ascii="宋体" w:hAnsi="宋体"/>
                <w:color w:val="000000"/>
                <w:sz w:val="24"/>
              </w:rPr>
            </w:pPr>
          </w:p>
        </w:tc>
        <w:tc>
          <w:tcPr>
            <w:tcW w:w="2967" w:type="dxa"/>
          </w:tcPr>
          <w:p w14:paraId="536A65D6">
            <w:pPr>
              <w:spacing w:line="440" w:lineRule="exact"/>
              <w:rPr>
                <w:rFonts w:ascii="宋体" w:hAnsi="宋体"/>
                <w:color w:val="000000"/>
                <w:sz w:val="24"/>
              </w:rPr>
            </w:pPr>
          </w:p>
        </w:tc>
      </w:tr>
      <w:tr w14:paraId="0094F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6FF57B8">
            <w:pPr>
              <w:spacing w:line="440" w:lineRule="exact"/>
              <w:rPr>
                <w:rFonts w:ascii="宋体" w:hAnsi="宋体"/>
                <w:color w:val="000000"/>
                <w:sz w:val="24"/>
              </w:rPr>
            </w:pPr>
          </w:p>
        </w:tc>
        <w:tc>
          <w:tcPr>
            <w:tcW w:w="2669" w:type="dxa"/>
          </w:tcPr>
          <w:p w14:paraId="3F8F3FD5">
            <w:pPr>
              <w:spacing w:line="440" w:lineRule="exact"/>
              <w:rPr>
                <w:rFonts w:ascii="宋体" w:hAnsi="宋体"/>
                <w:color w:val="000000"/>
                <w:sz w:val="24"/>
              </w:rPr>
            </w:pPr>
          </w:p>
        </w:tc>
        <w:tc>
          <w:tcPr>
            <w:tcW w:w="1620" w:type="dxa"/>
            <w:vAlign w:val="center"/>
          </w:tcPr>
          <w:p w14:paraId="6F75F90C">
            <w:pPr>
              <w:spacing w:line="440" w:lineRule="exact"/>
              <w:jc w:val="center"/>
              <w:rPr>
                <w:rFonts w:ascii="宋体" w:hAnsi="宋体"/>
                <w:color w:val="000000"/>
                <w:sz w:val="24"/>
              </w:rPr>
            </w:pPr>
          </w:p>
        </w:tc>
        <w:tc>
          <w:tcPr>
            <w:tcW w:w="2967" w:type="dxa"/>
          </w:tcPr>
          <w:p w14:paraId="10F01140">
            <w:pPr>
              <w:spacing w:line="440" w:lineRule="exact"/>
              <w:rPr>
                <w:rFonts w:ascii="宋体" w:hAnsi="宋体"/>
                <w:color w:val="000000"/>
                <w:sz w:val="24"/>
              </w:rPr>
            </w:pPr>
          </w:p>
        </w:tc>
      </w:tr>
      <w:tr w14:paraId="54F88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5479F70">
            <w:pPr>
              <w:spacing w:line="440" w:lineRule="exact"/>
              <w:rPr>
                <w:rFonts w:ascii="宋体" w:hAnsi="宋体"/>
                <w:color w:val="000000"/>
                <w:sz w:val="24"/>
              </w:rPr>
            </w:pPr>
          </w:p>
        </w:tc>
        <w:tc>
          <w:tcPr>
            <w:tcW w:w="2669" w:type="dxa"/>
          </w:tcPr>
          <w:p w14:paraId="3AE8DB79">
            <w:pPr>
              <w:spacing w:line="440" w:lineRule="exact"/>
              <w:rPr>
                <w:rFonts w:ascii="宋体" w:hAnsi="宋体"/>
                <w:color w:val="000000"/>
                <w:sz w:val="24"/>
              </w:rPr>
            </w:pPr>
          </w:p>
        </w:tc>
        <w:tc>
          <w:tcPr>
            <w:tcW w:w="1620" w:type="dxa"/>
            <w:vAlign w:val="center"/>
          </w:tcPr>
          <w:p w14:paraId="1484C929">
            <w:pPr>
              <w:spacing w:line="440" w:lineRule="exact"/>
              <w:jc w:val="center"/>
              <w:rPr>
                <w:rFonts w:ascii="宋体" w:hAnsi="宋体"/>
                <w:color w:val="000000"/>
                <w:sz w:val="24"/>
              </w:rPr>
            </w:pPr>
          </w:p>
        </w:tc>
        <w:tc>
          <w:tcPr>
            <w:tcW w:w="2967" w:type="dxa"/>
          </w:tcPr>
          <w:p w14:paraId="54C676DA">
            <w:pPr>
              <w:spacing w:line="440" w:lineRule="exact"/>
              <w:rPr>
                <w:rFonts w:ascii="宋体" w:hAnsi="宋体"/>
                <w:color w:val="000000"/>
                <w:sz w:val="24"/>
              </w:rPr>
            </w:pPr>
          </w:p>
        </w:tc>
      </w:tr>
      <w:tr w14:paraId="55018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7AC7450">
            <w:pPr>
              <w:spacing w:line="440" w:lineRule="exact"/>
              <w:rPr>
                <w:rFonts w:ascii="宋体" w:hAnsi="宋体"/>
                <w:color w:val="000000"/>
                <w:sz w:val="24"/>
              </w:rPr>
            </w:pPr>
          </w:p>
        </w:tc>
        <w:tc>
          <w:tcPr>
            <w:tcW w:w="2669" w:type="dxa"/>
          </w:tcPr>
          <w:p w14:paraId="076F7621">
            <w:pPr>
              <w:spacing w:line="440" w:lineRule="exact"/>
              <w:rPr>
                <w:rFonts w:ascii="宋体" w:hAnsi="宋体"/>
                <w:color w:val="000000"/>
                <w:sz w:val="24"/>
              </w:rPr>
            </w:pPr>
          </w:p>
        </w:tc>
        <w:tc>
          <w:tcPr>
            <w:tcW w:w="1620" w:type="dxa"/>
            <w:vAlign w:val="center"/>
          </w:tcPr>
          <w:p w14:paraId="141C192E">
            <w:pPr>
              <w:spacing w:line="440" w:lineRule="exact"/>
              <w:jc w:val="center"/>
              <w:rPr>
                <w:rFonts w:ascii="宋体" w:hAnsi="宋体"/>
                <w:color w:val="000000"/>
                <w:sz w:val="24"/>
              </w:rPr>
            </w:pPr>
          </w:p>
        </w:tc>
        <w:tc>
          <w:tcPr>
            <w:tcW w:w="2967" w:type="dxa"/>
          </w:tcPr>
          <w:p w14:paraId="52AF5AC8">
            <w:pPr>
              <w:spacing w:line="440" w:lineRule="exact"/>
              <w:rPr>
                <w:rFonts w:ascii="宋体" w:hAnsi="宋体"/>
                <w:color w:val="000000"/>
                <w:sz w:val="24"/>
              </w:rPr>
            </w:pPr>
          </w:p>
        </w:tc>
      </w:tr>
      <w:tr w14:paraId="47B13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479FFEC">
            <w:pPr>
              <w:spacing w:line="440" w:lineRule="exact"/>
              <w:rPr>
                <w:rFonts w:ascii="宋体" w:hAnsi="宋体"/>
                <w:color w:val="000000"/>
                <w:sz w:val="24"/>
              </w:rPr>
            </w:pPr>
          </w:p>
        </w:tc>
        <w:tc>
          <w:tcPr>
            <w:tcW w:w="2669" w:type="dxa"/>
          </w:tcPr>
          <w:p w14:paraId="4FCF14EE">
            <w:pPr>
              <w:spacing w:line="440" w:lineRule="exact"/>
              <w:rPr>
                <w:rFonts w:ascii="宋体" w:hAnsi="宋体"/>
                <w:color w:val="000000"/>
                <w:sz w:val="24"/>
              </w:rPr>
            </w:pPr>
          </w:p>
        </w:tc>
        <w:tc>
          <w:tcPr>
            <w:tcW w:w="1620" w:type="dxa"/>
            <w:vAlign w:val="center"/>
          </w:tcPr>
          <w:p w14:paraId="514CDB7E">
            <w:pPr>
              <w:spacing w:line="440" w:lineRule="exact"/>
              <w:jc w:val="center"/>
              <w:rPr>
                <w:rFonts w:ascii="宋体" w:hAnsi="宋体"/>
                <w:color w:val="000000"/>
                <w:sz w:val="24"/>
              </w:rPr>
            </w:pPr>
          </w:p>
        </w:tc>
        <w:tc>
          <w:tcPr>
            <w:tcW w:w="2967" w:type="dxa"/>
          </w:tcPr>
          <w:p w14:paraId="348BA8BD">
            <w:pPr>
              <w:spacing w:line="440" w:lineRule="exact"/>
              <w:rPr>
                <w:rFonts w:ascii="宋体" w:hAnsi="宋体"/>
                <w:color w:val="000000"/>
                <w:sz w:val="24"/>
              </w:rPr>
            </w:pPr>
          </w:p>
        </w:tc>
      </w:tr>
      <w:tr w14:paraId="5A4EE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12E2AD3">
            <w:pPr>
              <w:spacing w:line="440" w:lineRule="exact"/>
              <w:rPr>
                <w:rFonts w:ascii="宋体" w:hAnsi="宋体"/>
                <w:color w:val="000000"/>
                <w:sz w:val="24"/>
              </w:rPr>
            </w:pPr>
          </w:p>
        </w:tc>
        <w:tc>
          <w:tcPr>
            <w:tcW w:w="2669" w:type="dxa"/>
          </w:tcPr>
          <w:p w14:paraId="46D634AE">
            <w:pPr>
              <w:spacing w:line="440" w:lineRule="exact"/>
              <w:rPr>
                <w:rFonts w:ascii="宋体" w:hAnsi="宋体"/>
                <w:color w:val="000000"/>
                <w:sz w:val="24"/>
              </w:rPr>
            </w:pPr>
          </w:p>
        </w:tc>
        <w:tc>
          <w:tcPr>
            <w:tcW w:w="1620" w:type="dxa"/>
            <w:vAlign w:val="center"/>
          </w:tcPr>
          <w:p w14:paraId="351B47C8">
            <w:pPr>
              <w:spacing w:line="440" w:lineRule="exact"/>
              <w:jc w:val="center"/>
              <w:rPr>
                <w:rFonts w:ascii="宋体" w:hAnsi="宋体"/>
                <w:color w:val="000000"/>
                <w:sz w:val="24"/>
              </w:rPr>
            </w:pPr>
          </w:p>
        </w:tc>
        <w:tc>
          <w:tcPr>
            <w:tcW w:w="2967" w:type="dxa"/>
          </w:tcPr>
          <w:p w14:paraId="1FF243E8">
            <w:pPr>
              <w:spacing w:line="440" w:lineRule="exact"/>
              <w:rPr>
                <w:rFonts w:ascii="宋体" w:hAnsi="宋体"/>
                <w:color w:val="000000"/>
                <w:sz w:val="24"/>
              </w:rPr>
            </w:pPr>
          </w:p>
        </w:tc>
      </w:tr>
      <w:tr w14:paraId="1D092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4586926">
            <w:pPr>
              <w:spacing w:line="440" w:lineRule="exact"/>
              <w:rPr>
                <w:rFonts w:ascii="宋体" w:hAnsi="宋体"/>
                <w:color w:val="000000"/>
                <w:sz w:val="24"/>
              </w:rPr>
            </w:pPr>
          </w:p>
        </w:tc>
        <w:tc>
          <w:tcPr>
            <w:tcW w:w="2669" w:type="dxa"/>
          </w:tcPr>
          <w:p w14:paraId="5664977F">
            <w:pPr>
              <w:spacing w:line="440" w:lineRule="exact"/>
              <w:rPr>
                <w:rFonts w:ascii="宋体" w:hAnsi="宋体"/>
                <w:color w:val="000000"/>
                <w:sz w:val="24"/>
              </w:rPr>
            </w:pPr>
          </w:p>
        </w:tc>
        <w:tc>
          <w:tcPr>
            <w:tcW w:w="1620" w:type="dxa"/>
            <w:vAlign w:val="center"/>
          </w:tcPr>
          <w:p w14:paraId="3E281E37">
            <w:pPr>
              <w:spacing w:line="440" w:lineRule="exact"/>
              <w:jc w:val="center"/>
              <w:rPr>
                <w:rFonts w:ascii="宋体" w:hAnsi="宋体"/>
                <w:color w:val="000000"/>
                <w:sz w:val="24"/>
              </w:rPr>
            </w:pPr>
          </w:p>
        </w:tc>
        <w:tc>
          <w:tcPr>
            <w:tcW w:w="2967" w:type="dxa"/>
          </w:tcPr>
          <w:p w14:paraId="5166F379">
            <w:pPr>
              <w:spacing w:line="440" w:lineRule="exact"/>
              <w:rPr>
                <w:rFonts w:ascii="宋体" w:hAnsi="宋体"/>
                <w:color w:val="000000"/>
                <w:sz w:val="24"/>
              </w:rPr>
            </w:pPr>
          </w:p>
        </w:tc>
      </w:tr>
      <w:tr w14:paraId="66D0E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EF8EFDB">
            <w:pPr>
              <w:spacing w:line="440" w:lineRule="exact"/>
              <w:rPr>
                <w:rFonts w:ascii="宋体" w:hAnsi="宋体"/>
                <w:color w:val="000000"/>
                <w:sz w:val="24"/>
              </w:rPr>
            </w:pPr>
          </w:p>
        </w:tc>
        <w:tc>
          <w:tcPr>
            <w:tcW w:w="2669" w:type="dxa"/>
          </w:tcPr>
          <w:p w14:paraId="5B351932">
            <w:pPr>
              <w:spacing w:line="440" w:lineRule="exact"/>
              <w:rPr>
                <w:rFonts w:ascii="宋体" w:hAnsi="宋体"/>
                <w:color w:val="000000"/>
                <w:sz w:val="24"/>
              </w:rPr>
            </w:pPr>
          </w:p>
        </w:tc>
        <w:tc>
          <w:tcPr>
            <w:tcW w:w="1620" w:type="dxa"/>
            <w:vAlign w:val="center"/>
          </w:tcPr>
          <w:p w14:paraId="3B8F173F">
            <w:pPr>
              <w:spacing w:line="440" w:lineRule="exact"/>
              <w:jc w:val="center"/>
              <w:rPr>
                <w:rFonts w:ascii="宋体" w:hAnsi="宋体"/>
                <w:color w:val="000000"/>
                <w:sz w:val="24"/>
              </w:rPr>
            </w:pPr>
          </w:p>
        </w:tc>
        <w:tc>
          <w:tcPr>
            <w:tcW w:w="2967" w:type="dxa"/>
          </w:tcPr>
          <w:p w14:paraId="6C6C0306">
            <w:pPr>
              <w:spacing w:line="440" w:lineRule="exact"/>
              <w:rPr>
                <w:rFonts w:ascii="宋体" w:hAnsi="宋体"/>
                <w:color w:val="000000"/>
                <w:sz w:val="24"/>
              </w:rPr>
            </w:pPr>
          </w:p>
        </w:tc>
      </w:tr>
      <w:tr w14:paraId="48D5A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9E09122">
            <w:pPr>
              <w:spacing w:line="440" w:lineRule="exact"/>
              <w:rPr>
                <w:rFonts w:ascii="宋体" w:hAnsi="宋体"/>
                <w:color w:val="000000"/>
                <w:sz w:val="24"/>
              </w:rPr>
            </w:pPr>
          </w:p>
        </w:tc>
        <w:tc>
          <w:tcPr>
            <w:tcW w:w="2669" w:type="dxa"/>
          </w:tcPr>
          <w:p w14:paraId="0D20C887">
            <w:pPr>
              <w:spacing w:line="440" w:lineRule="exact"/>
              <w:rPr>
                <w:rFonts w:ascii="宋体" w:hAnsi="宋体"/>
                <w:color w:val="000000"/>
                <w:sz w:val="24"/>
              </w:rPr>
            </w:pPr>
          </w:p>
        </w:tc>
        <w:tc>
          <w:tcPr>
            <w:tcW w:w="1620" w:type="dxa"/>
            <w:vAlign w:val="center"/>
          </w:tcPr>
          <w:p w14:paraId="123A4196">
            <w:pPr>
              <w:spacing w:line="440" w:lineRule="exact"/>
              <w:jc w:val="center"/>
              <w:rPr>
                <w:rFonts w:ascii="宋体" w:hAnsi="宋体"/>
                <w:color w:val="000000"/>
                <w:sz w:val="24"/>
              </w:rPr>
            </w:pPr>
          </w:p>
        </w:tc>
        <w:tc>
          <w:tcPr>
            <w:tcW w:w="2967" w:type="dxa"/>
          </w:tcPr>
          <w:p w14:paraId="4534A2AF">
            <w:pPr>
              <w:spacing w:line="440" w:lineRule="exact"/>
              <w:rPr>
                <w:rFonts w:ascii="宋体" w:hAnsi="宋体"/>
                <w:color w:val="000000"/>
                <w:sz w:val="24"/>
              </w:rPr>
            </w:pPr>
          </w:p>
        </w:tc>
      </w:tr>
      <w:tr w14:paraId="2E09F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7B615A1">
            <w:pPr>
              <w:spacing w:line="440" w:lineRule="exact"/>
              <w:rPr>
                <w:rFonts w:ascii="宋体" w:hAnsi="宋体"/>
                <w:color w:val="000000"/>
                <w:sz w:val="24"/>
              </w:rPr>
            </w:pPr>
          </w:p>
        </w:tc>
        <w:tc>
          <w:tcPr>
            <w:tcW w:w="2669" w:type="dxa"/>
          </w:tcPr>
          <w:p w14:paraId="248BB2B5">
            <w:pPr>
              <w:spacing w:line="440" w:lineRule="exact"/>
              <w:rPr>
                <w:rFonts w:ascii="宋体" w:hAnsi="宋体"/>
                <w:color w:val="000000"/>
                <w:sz w:val="24"/>
              </w:rPr>
            </w:pPr>
          </w:p>
        </w:tc>
        <w:tc>
          <w:tcPr>
            <w:tcW w:w="1620" w:type="dxa"/>
            <w:vAlign w:val="center"/>
          </w:tcPr>
          <w:p w14:paraId="6AD6DB3D">
            <w:pPr>
              <w:spacing w:line="440" w:lineRule="exact"/>
              <w:jc w:val="center"/>
              <w:rPr>
                <w:rFonts w:ascii="宋体" w:hAnsi="宋体"/>
                <w:color w:val="000000"/>
                <w:sz w:val="24"/>
              </w:rPr>
            </w:pPr>
          </w:p>
        </w:tc>
        <w:tc>
          <w:tcPr>
            <w:tcW w:w="2967" w:type="dxa"/>
          </w:tcPr>
          <w:p w14:paraId="4EAFEAD0">
            <w:pPr>
              <w:spacing w:line="440" w:lineRule="exact"/>
              <w:rPr>
                <w:rFonts w:ascii="宋体" w:hAnsi="宋体"/>
                <w:color w:val="000000"/>
                <w:sz w:val="24"/>
              </w:rPr>
            </w:pPr>
          </w:p>
        </w:tc>
      </w:tr>
    </w:tbl>
    <w:p w14:paraId="0BD07AF2">
      <w:pPr>
        <w:spacing w:after="120" w:line="440" w:lineRule="exact"/>
        <w:rPr>
          <w:rFonts w:ascii="宋体" w:hAnsi="宋体"/>
          <w:b/>
          <w:bCs/>
          <w:color w:val="000000"/>
          <w:sz w:val="24"/>
        </w:rPr>
      </w:pPr>
      <w:r>
        <w:rPr>
          <w:rFonts w:hint="eastAsia" w:ascii="宋体" w:hAnsi="宋体"/>
          <w:b/>
          <w:bCs/>
          <w:color w:val="000000"/>
          <w:sz w:val="24"/>
        </w:rPr>
        <w:t>注：列出所有参加本项目专业人员名单及在本项目中所承担职位和工作。</w:t>
      </w:r>
    </w:p>
    <w:p w14:paraId="554362E0">
      <w:pPr>
        <w:spacing w:after="120" w:line="440" w:lineRule="exact"/>
        <w:rPr>
          <w:rFonts w:ascii="宋体" w:hAnsi="宋体"/>
          <w:b/>
          <w:bCs/>
          <w:color w:val="000000"/>
          <w:sz w:val="24"/>
        </w:rPr>
      </w:pPr>
    </w:p>
    <w:p w14:paraId="7B83F2F4">
      <w:pPr>
        <w:spacing w:line="360" w:lineRule="auto"/>
        <w:rPr>
          <w:sz w:val="24"/>
        </w:rPr>
      </w:pPr>
      <w:r>
        <w:rPr>
          <w:sz w:val="24"/>
        </w:rPr>
        <w:t>投标人名称：</w:t>
      </w:r>
    </w:p>
    <w:p w14:paraId="7075783C">
      <w:pPr>
        <w:spacing w:after="120" w:line="440" w:lineRule="exact"/>
        <w:rPr>
          <w:rFonts w:ascii="宋体" w:hAnsi="宋体"/>
          <w:b/>
          <w:bCs/>
          <w:color w:val="000000"/>
          <w:sz w:val="24"/>
        </w:rPr>
        <w:sectPr>
          <w:headerReference r:id="rId10" w:type="first"/>
          <w:footerReference r:id="rId13" w:type="first"/>
          <w:headerReference r:id="rId9" w:type="default"/>
          <w:footerReference r:id="rId11" w:type="default"/>
          <w:footerReference r:id="rId12" w:type="even"/>
          <w:pgSz w:w="11907" w:h="16840"/>
          <w:pgMar w:top="1440" w:right="1797" w:bottom="1440" w:left="1797" w:header="851" w:footer="992" w:gutter="0"/>
          <w:cols w:space="425" w:num="1"/>
          <w:titlePg/>
          <w:docGrid w:type="lines" w:linePitch="312" w:charSpace="0"/>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8686D03">
      <w:pPr>
        <w:spacing w:line="480" w:lineRule="auto"/>
        <w:rPr>
          <w:b/>
          <w:color w:val="000000"/>
          <w:sz w:val="24"/>
        </w:rPr>
      </w:pPr>
      <w:r>
        <w:rPr>
          <w:rFonts w:hint="eastAsia"/>
          <w:b/>
          <w:color w:val="000000"/>
          <w:sz w:val="24"/>
        </w:rPr>
        <w:t>附件</w:t>
      </w:r>
      <w:r>
        <w:rPr>
          <w:b/>
          <w:sz w:val="24"/>
        </w:rPr>
        <w:t>4</w:t>
      </w:r>
      <w:r>
        <w:rPr>
          <w:rFonts w:hint="eastAsia"/>
          <w:b/>
          <w:color w:val="000000"/>
          <w:sz w:val="24"/>
        </w:rPr>
        <w:t>-4</w:t>
      </w:r>
    </w:p>
    <w:p w14:paraId="122C0C29">
      <w:pPr>
        <w:spacing w:line="480" w:lineRule="auto"/>
        <w:jc w:val="center"/>
        <w:rPr>
          <w:rFonts w:ascii="宋体" w:hAnsi="宋体"/>
          <w:b/>
          <w:color w:val="000000"/>
          <w:sz w:val="30"/>
        </w:rPr>
      </w:pPr>
      <w:r>
        <w:rPr>
          <w:rFonts w:hint="eastAsia"/>
          <w:b/>
          <w:color w:val="000000"/>
          <w:sz w:val="24"/>
        </w:rPr>
        <w:t>专业人员简历格式</w:t>
      </w:r>
    </w:p>
    <w:p w14:paraId="5B349336">
      <w:pPr>
        <w:spacing w:after="120" w:line="440" w:lineRule="exact"/>
        <w:rPr>
          <w:rFonts w:ascii="宋体" w:hAnsi="宋体"/>
          <w:color w:val="000000"/>
          <w:sz w:val="24"/>
        </w:rPr>
      </w:pPr>
      <w:r>
        <w:rPr>
          <w:rFonts w:hint="eastAsia" w:ascii="宋体" w:hAnsi="宋体"/>
          <w:color w:val="000000"/>
          <w:sz w:val="24"/>
        </w:rPr>
        <w:t>建议职位：</w:t>
      </w:r>
      <w:r>
        <w:rPr>
          <w:rFonts w:hint="eastAsia" w:ascii="宋体" w:hAnsi="宋体"/>
          <w:color w:val="000000"/>
          <w:sz w:val="24"/>
          <w:u w:val="single"/>
        </w:rPr>
        <w:t xml:space="preserve">                                          </w:t>
      </w:r>
    </w:p>
    <w:p w14:paraId="6EF930FB">
      <w:pPr>
        <w:spacing w:after="120" w:line="440" w:lineRule="exact"/>
        <w:rPr>
          <w:rFonts w:ascii="宋体" w:hAnsi="宋体"/>
          <w:color w:val="000000"/>
          <w:sz w:val="24"/>
        </w:rPr>
      </w:pPr>
      <w:r>
        <w:rPr>
          <w:rFonts w:hint="eastAsia" w:ascii="宋体" w:hAnsi="宋体"/>
          <w:color w:val="000000"/>
          <w:sz w:val="24"/>
        </w:rPr>
        <w:t>公司名称：</w:t>
      </w:r>
      <w:r>
        <w:rPr>
          <w:rFonts w:hint="eastAsia" w:ascii="宋体" w:hAnsi="宋体"/>
          <w:color w:val="000000"/>
          <w:sz w:val="24"/>
          <w:u w:val="single"/>
        </w:rPr>
        <w:t xml:space="preserve">                                          </w:t>
      </w:r>
    </w:p>
    <w:p w14:paraId="24A85DA6">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073F4CC8">
      <w:pPr>
        <w:spacing w:after="120" w:line="440" w:lineRule="exact"/>
        <w:rPr>
          <w:rFonts w:ascii="宋体" w:hAnsi="宋体"/>
          <w:color w:val="000000"/>
          <w:sz w:val="24"/>
        </w:rPr>
      </w:pPr>
      <w:r>
        <w:rPr>
          <w:rFonts w:hint="eastAsia" w:ascii="宋体" w:hAnsi="宋体"/>
          <w:color w:val="000000"/>
          <w:sz w:val="24"/>
        </w:rPr>
        <w:t>学历：</w:t>
      </w:r>
      <w:r>
        <w:rPr>
          <w:rFonts w:hint="eastAsia" w:ascii="宋体" w:hAnsi="宋体"/>
          <w:color w:val="000000"/>
          <w:sz w:val="24"/>
          <w:u w:val="single"/>
        </w:rPr>
        <w:t xml:space="preserve">                                     　        </w:t>
      </w:r>
    </w:p>
    <w:p w14:paraId="0535ADF7">
      <w:pPr>
        <w:spacing w:after="120" w:line="440" w:lineRule="exact"/>
        <w:rPr>
          <w:rFonts w:ascii="宋体" w:hAnsi="宋体"/>
          <w:color w:val="000000"/>
          <w:sz w:val="24"/>
        </w:rPr>
      </w:pPr>
      <w:r>
        <w:rPr>
          <w:rFonts w:hint="eastAsia" w:ascii="宋体" w:hAnsi="宋体"/>
          <w:color w:val="000000"/>
          <w:sz w:val="24"/>
        </w:rPr>
        <w:t>专业：</w:t>
      </w:r>
      <w:r>
        <w:rPr>
          <w:rFonts w:hint="eastAsia" w:ascii="宋体" w:hAnsi="宋体"/>
          <w:color w:val="000000"/>
          <w:sz w:val="24"/>
          <w:u w:val="single"/>
        </w:rPr>
        <w:t xml:space="preserve">                                     　        </w:t>
      </w:r>
    </w:p>
    <w:p w14:paraId="685ADBAD">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30AC1E22">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3F29D21B">
      <w:pPr>
        <w:spacing w:after="120" w:line="440" w:lineRule="exact"/>
        <w:rPr>
          <w:rFonts w:ascii="宋体" w:hAnsi="宋体"/>
          <w:b/>
          <w:color w:val="000000"/>
          <w:sz w:val="24"/>
        </w:rPr>
      </w:pPr>
      <w:r>
        <w:rPr>
          <w:rFonts w:hint="eastAsia" w:ascii="宋体" w:hAnsi="宋体"/>
          <w:b/>
          <w:color w:val="000000"/>
          <w:sz w:val="24"/>
        </w:rPr>
        <w:t>关键资格条件：</w:t>
      </w:r>
    </w:p>
    <w:p w14:paraId="252D6F50">
      <w:pPr>
        <w:pStyle w:val="5"/>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（概述此人员与本任务最相关的经验和培训情况以及所获与本项目内容相关的资格证书，描述其在以前的有关任务中承担的责任度，给出日期和地点。）</w:t>
      </w:r>
    </w:p>
    <w:p w14:paraId="6A27BEDE">
      <w:pPr>
        <w:pStyle w:val="5"/>
        <w:pBdr>
          <w:bottom w:val="single" w:color="auto" w:sz="6" w:space="1"/>
        </w:pBdr>
        <w:rPr>
          <w:rFonts w:ascii="宋体" w:hAnsi="宋体"/>
          <w:i/>
          <w:color w:val="000000"/>
          <w:sz w:val="24"/>
        </w:rPr>
      </w:pPr>
    </w:p>
    <w:p w14:paraId="01E58BCC">
      <w:pPr>
        <w:spacing w:after="120" w:line="440" w:lineRule="exact"/>
        <w:rPr>
          <w:rFonts w:ascii="宋体" w:hAnsi="宋体"/>
          <w:b/>
          <w:color w:val="000000"/>
          <w:sz w:val="24"/>
        </w:rPr>
      </w:pPr>
      <w:r>
        <w:rPr>
          <w:rFonts w:hint="eastAsia" w:ascii="宋体" w:hAnsi="宋体"/>
          <w:b/>
          <w:color w:val="000000"/>
          <w:sz w:val="24"/>
        </w:rPr>
        <w:t>教育：</w:t>
      </w:r>
    </w:p>
    <w:p w14:paraId="3FF23ECD">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10AC5E60">
      <w:pPr>
        <w:spacing w:after="120" w:line="360" w:lineRule="exact"/>
        <w:rPr>
          <w:rFonts w:ascii="宋体" w:hAnsi="宋体"/>
          <w:b/>
          <w:color w:val="000000"/>
          <w:sz w:val="24"/>
        </w:rPr>
      </w:pPr>
      <w:r>
        <w:rPr>
          <w:rFonts w:hint="eastAsia" w:ascii="宋体" w:hAnsi="宋体"/>
          <w:b/>
          <w:color w:val="000000"/>
          <w:sz w:val="24"/>
        </w:rPr>
        <w:t>所获证书：</w:t>
      </w:r>
    </w:p>
    <w:p w14:paraId="05E1FCA2">
      <w:pPr>
        <w:spacing w:after="120" w:line="360" w:lineRule="exact"/>
        <w:rPr>
          <w:rFonts w:ascii="宋体" w:hAnsi="宋体"/>
          <w:i/>
          <w:color w:val="000000"/>
          <w:sz w:val="24"/>
        </w:rPr>
      </w:pPr>
      <w:r>
        <w:rPr>
          <w:rFonts w:hint="eastAsia" w:ascii="宋体" w:hAnsi="宋体"/>
          <w:i/>
          <w:color w:val="000000"/>
          <w:sz w:val="24"/>
        </w:rPr>
        <w:t>（提供此人与本项目相关的证书扫描件）</w:t>
      </w:r>
    </w:p>
    <w:p w14:paraId="4F4D20AE">
      <w:pPr>
        <w:pBdr>
          <w:bottom w:val="single" w:color="auto" w:sz="6" w:space="1"/>
        </w:pBdr>
        <w:spacing w:after="120" w:line="360" w:lineRule="exact"/>
        <w:rPr>
          <w:rFonts w:ascii="宋体" w:hAnsi="宋体"/>
          <w:color w:val="000000"/>
          <w:sz w:val="24"/>
        </w:rPr>
      </w:pPr>
    </w:p>
    <w:p w14:paraId="6057AFCA">
      <w:pPr>
        <w:spacing w:after="120" w:line="360" w:lineRule="exact"/>
        <w:rPr>
          <w:rFonts w:ascii="宋体" w:hAnsi="宋体"/>
          <w:b/>
          <w:color w:val="000000"/>
          <w:sz w:val="24"/>
        </w:rPr>
      </w:pPr>
      <w:r>
        <w:rPr>
          <w:rFonts w:hint="eastAsia" w:ascii="宋体" w:hAnsi="宋体"/>
          <w:b/>
          <w:color w:val="000000"/>
          <w:sz w:val="24"/>
        </w:rPr>
        <w:t>工作简历：</w:t>
      </w:r>
    </w:p>
    <w:p w14:paraId="38D87F3E">
      <w:pPr>
        <w:pStyle w:val="13"/>
        <w:spacing w:line="360" w:lineRule="exact"/>
        <w:rPr>
          <w:rFonts w:ascii="宋体" w:hAnsi="宋体"/>
          <w:color w:val="000000"/>
        </w:rPr>
      </w:pPr>
      <w:r>
        <w:rPr>
          <w:rFonts w:hint="eastAsia" w:ascii="宋体" w:hAnsi="宋体"/>
          <w:color w:val="000000"/>
        </w:rPr>
        <w:t>（从现任职位开始，倒叙列出自毕业后所任所有职务、日期、受雇单位名称、职位头衔、任务地点。近五年的经验应给出从事活动的类型和适当的用户信息。）</w:t>
      </w:r>
    </w:p>
    <w:p w14:paraId="52900587">
      <w:pPr>
        <w:pBdr>
          <w:bottom w:val="single" w:color="auto" w:sz="6" w:space="1"/>
        </w:pBdr>
        <w:spacing w:after="120" w:line="440" w:lineRule="exact"/>
        <w:rPr>
          <w:rFonts w:ascii="宋体" w:hAnsi="宋体"/>
          <w:color w:val="000000"/>
          <w:sz w:val="24"/>
        </w:rPr>
      </w:pPr>
    </w:p>
    <w:p w14:paraId="798A3041">
      <w:pPr>
        <w:spacing w:after="120" w:line="440" w:lineRule="exact"/>
        <w:rPr>
          <w:rFonts w:ascii="宋体" w:hAnsi="宋体"/>
          <w:b/>
          <w:color w:val="000000"/>
          <w:sz w:val="24"/>
        </w:rPr>
      </w:pPr>
    </w:p>
    <w:p w14:paraId="2AC797C1">
      <w:pPr>
        <w:spacing w:line="360" w:lineRule="auto"/>
        <w:rPr>
          <w:sz w:val="24"/>
        </w:rPr>
      </w:pPr>
      <w:r>
        <w:rPr>
          <w:sz w:val="24"/>
        </w:rPr>
        <w:t>投标人名称：</w:t>
      </w:r>
    </w:p>
    <w:p w14:paraId="18F051F6">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E621D8">
      <w:pPr>
        <w:rPr>
          <w:color w:val="000000"/>
        </w:rPr>
      </w:pPr>
      <w:r>
        <w:rPr>
          <w:rFonts w:hint="eastAsia" w:ascii="宋体" w:hAnsi="宋体"/>
          <w:b/>
          <w:bCs/>
          <w:color w:val="000000"/>
          <w:sz w:val="24"/>
        </w:rPr>
        <w:t>注：所建议的关键专业人员均需填写此表。</w:t>
      </w:r>
    </w:p>
    <w:p w14:paraId="7B06B119">
      <w:pPr>
        <w:spacing w:line="480" w:lineRule="auto"/>
        <w:rPr>
          <w:b/>
          <w:color w:val="000000"/>
          <w:sz w:val="24"/>
        </w:rPr>
      </w:pPr>
      <w:r>
        <w:rPr>
          <w:b/>
          <w:sz w:val="24"/>
        </w:rPr>
        <w:br w:type="page"/>
      </w:r>
      <w:r>
        <w:rPr>
          <w:rFonts w:hint="eastAsia"/>
          <w:b/>
          <w:color w:val="000000"/>
          <w:sz w:val="24"/>
        </w:rPr>
        <w:t>附件</w:t>
      </w:r>
      <w:r>
        <w:rPr>
          <w:b/>
          <w:sz w:val="24"/>
        </w:rPr>
        <w:t>4</w:t>
      </w:r>
      <w:r>
        <w:rPr>
          <w:rFonts w:hint="eastAsia"/>
          <w:b/>
          <w:color w:val="000000"/>
          <w:sz w:val="24"/>
        </w:rPr>
        <w:t>-5</w:t>
      </w:r>
    </w:p>
    <w:p w14:paraId="201F1CAE">
      <w:pPr>
        <w:spacing w:line="560" w:lineRule="exact"/>
        <w:jc w:val="center"/>
        <w:rPr>
          <w:rFonts w:ascii="宋体"/>
          <w:b/>
          <w:sz w:val="24"/>
        </w:rPr>
      </w:pPr>
      <w:r>
        <w:rPr>
          <w:rFonts w:hint="eastAsia" w:ascii="宋体"/>
          <w:b/>
          <w:sz w:val="24"/>
        </w:rPr>
        <w:t>主要相关项目业绩一览表</w:t>
      </w:r>
    </w:p>
    <w:p w14:paraId="174F87EE">
      <w:pPr>
        <w:spacing w:line="460" w:lineRule="exact"/>
        <w:rPr>
          <w:sz w:val="24"/>
        </w:rPr>
      </w:pPr>
      <w:r>
        <w:rPr>
          <w:sz w:val="24"/>
        </w:rPr>
        <w:t>项目名称：</w:t>
      </w:r>
      <w:r>
        <w:rPr>
          <w:sz w:val="24"/>
          <w:u w:val="single"/>
        </w:rPr>
        <w:t xml:space="preserve">                    </w:t>
      </w:r>
    </w:p>
    <w:p w14:paraId="666A825B">
      <w:pPr>
        <w:spacing w:line="460" w:lineRule="exact"/>
        <w:rPr>
          <w:sz w:val="24"/>
        </w:rPr>
      </w:pPr>
      <w:r>
        <w:rPr>
          <w:sz w:val="24"/>
        </w:rPr>
        <w:t>项目编号：</w:t>
      </w:r>
      <w:r>
        <w:rPr>
          <w:sz w:val="24"/>
          <w:u w:val="single"/>
        </w:rPr>
        <w:t xml:space="preserve">                    </w:t>
      </w:r>
    </w:p>
    <w:p w14:paraId="5E752B4D">
      <w:pPr>
        <w:spacing w:line="460" w:lineRule="exact"/>
        <w:rPr>
          <w:sz w:val="24"/>
          <w:u w:val="single"/>
        </w:rPr>
      </w:pPr>
      <w:r>
        <w:rPr>
          <w:sz w:val="24"/>
        </w:rPr>
        <w:t>包号：</w:t>
      </w:r>
      <w:r>
        <w:rPr>
          <w:sz w:val="24"/>
          <w:u w:val="single"/>
        </w:rPr>
        <w:t xml:space="preserve">                        </w:t>
      </w:r>
    </w:p>
    <w:p w14:paraId="3FCC0398">
      <w:pPr>
        <w:spacing w:line="560" w:lineRule="exact"/>
        <w:jc w:val="center"/>
        <w:rPr>
          <w:rFonts w:ascii="宋体"/>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3C302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8B8E2BA">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1A7BBFCD">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0352687C">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7B25BBE8">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4A486CD1">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45490B1C">
            <w:pPr>
              <w:spacing w:line="500" w:lineRule="exact"/>
              <w:jc w:val="center"/>
              <w:rPr>
                <w:rFonts w:ascii="宋体"/>
                <w:sz w:val="24"/>
              </w:rPr>
            </w:pPr>
            <w:r>
              <w:rPr>
                <w:rFonts w:hint="eastAsia" w:ascii="宋体"/>
                <w:sz w:val="24"/>
              </w:rPr>
              <w:t>开始日期—</w:t>
            </w:r>
          </w:p>
          <w:p w14:paraId="40214967">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44B51A4E">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180BF8B7">
            <w:pPr>
              <w:spacing w:line="500" w:lineRule="exact"/>
              <w:jc w:val="center"/>
              <w:rPr>
                <w:rFonts w:ascii="宋体"/>
                <w:sz w:val="24"/>
              </w:rPr>
            </w:pPr>
            <w:r>
              <w:rPr>
                <w:rFonts w:hint="eastAsia" w:ascii="宋体"/>
                <w:sz w:val="24"/>
              </w:rPr>
              <w:t>合同编号</w:t>
            </w:r>
          </w:p>
        </w:tc>
      </w:tr>
      <w:tr w14:paraId="46AB9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48A3368">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7B06C0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9E023A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A69E98D">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CECE79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23BD394">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1EA307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58E3495">
            <w:pPr>
              <w:spacing w:line="560" w:lineRule="exact"/>
              <w:jc w:val="center"/>
              <w:rPr>
                <w:rFonts w:ascii="宋体"/>
                <w:b/>
                <w:sz w:val="24"/>
              </w:rPr>
            </w:pPr>
          </w:p>
        </w:tc>
      </w:tr>
      <w:tr w14:paraId="31145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9A99B5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51B6A2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F8BCF0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AE9818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0E99C51">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77EB0A1">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9C38E2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0BD0AFB">
            <w:pPr>
              <w:spacing w:line="560" w:lineRule="exact"/>
              <w:jc w:val="center"/>
              <w:rPr>
                <w:rFonts w:ascii="宋体"/>
                <w:b/>
                <w:sz w:val="24"/>
              </w:rPr>
            </w:pPr>
          </w:p>
        </w:tc>
      </w:tr>
      <w:tr w14:paraId="5A3C9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B1BC75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D0CDAC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B17A62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CA2C54D">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D7A72D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3B01166">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CEE927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39F157C">
            <w:pPr>
              <w:spacing w:line="560" w:lineRule="exact"/>
              <w:jc w:val="center"/>
              <w:rPr>
                <w:rFonts w:ascii="宋体"/>
                <w:b/>
                <w:sz w:val="24"/>
              </w:rPr>
            </w:pPr>
          </w:p>
        </w:tc>
      </w:tr>
      <w:tr w14:paraId="3ECD1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32AFA5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8BD68B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FE1D8E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34FCD4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CFB201A">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9B60F17">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810020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9D6D334">
            <w:pPr>
              <w:spacing w:line="560" w:lineRule="exact"/>
              <w:jc w:val="center"/>
              <w:rPr>
                <w:rFonts w:ascii="宋体"/>
                <w:b/>
                <w:sz w:val="24"/>
              </w:rPr>
            </w:pPr>
          </w:p>
        </w:tc>
      </w:tr>
      <w:tr w14:paraId="2061D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482771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839B5C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BB907C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0B66903">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397C17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78D4728">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FDA2B0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248245A">
            <w:pPr>
              <w:spacing w:line="560" w:lineRule="exact"/>
              <w:jc w:val="center"/>
              <w:rPr>
                <w:rFonts w:ascii="宋体"/>
                <w:b/>
                <w:sz w:val="24"/>
              </w:rPr>
            </w:pPr>
          </w:p>
        </w:tc>
      </w:tr>
      <w:tr w14:paraId="3E8E8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7060C2D">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B38BA5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11D7C6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53D4767">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AAD1BC4">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9456A9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7395ED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FC7389C">
            <w:pPr>
              <w:spacing w:line="560" w:lineRule="exact"/>
              <w:jc w:val="center"/>
              <w:rPr>
                <w:rFonts w:ascii="宋体"/>
                <w:b/>
                <w:sz w:val="24"/>
              </w:rPr>
            </w:pPr>
          </w:p>
        </w:tc>
      </w:tr>
      <w:tr w14:paraId="48F81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2C7A736">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386594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B97F3D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DB7E91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314E4F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9690F68">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15011B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F470808">
            <w:pPr>
              <w:spacing w:line="560" w:lineRule="exact"/>
              <w:jc w:val="center"/>
              <w:rPr>
                <w:rFonts w:ascii="宋体"/>
                <w:b/>
                <w:sz w:val="24"/>
              </w:rPr>
            </w:pPr>
          </w:p>
        </w:tc>
      </w:tr>
      <w:tr w14:paraId="18A53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1AAA85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524B23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A1D061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E44093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528CF2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9410898">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BE0158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7723DE3">
            <w:pPr>
              <w:spacing w:line="560" w:lineRule="exact"/>
              <w:jc w:val="center"/>
              <w:rPr>
                <w:rFonts w:ascii="宋体"/>
                <w:b/>
                <w:sz w:val="24"/>
              </w:rPr>
            </w:pPr>
          </w:p>
        </w:tc>
      </w:tr>
      <w:tr w14:paraId="40206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9887028">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58B79E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4EF449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7A3FB37">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343C5E9">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CAD4A8A">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6FB215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7ACFE49">
            <w:pPr>
              <w:spacing w:line="560" w:lineRule="exact"/>
              <w:jc w:val="center"/>
              <w:rPr>
                <w:rFonts w:ascii="宋体"/>
                <w:b/>
                <w:sz w:val="24"/>
              </w:rPr>
            </w:pPr>
          </w:p>
        </w:tc>
      </w:tr>
      <w:tr w14:paraId="06BD9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C5AEB2C">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8748BD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5FC682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64CCC14">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79362C1">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B50BB9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E095D42">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9C84DC9">
            <w:pPr>
              <w:spacing w:line="560" w:lineRule="exact"/>
              <w:jc w:val="center"/>
              <w:rPr>
                <w:rFonts w:ascii="宋体"/>
                <w:b/>
                <w:sz w:val="24"/>
              </w:rPr>
            </w:pPr>
          </w:p>
        </w:tc>
      </w:tr>
      <w:tr w14:paraId="054EC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92F34B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DFDA09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AB49D1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6F66F3D">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F8686C4">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486DD0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91131F9">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B1CC545">
            <w:pPr>
              <w:spacing w:line="560" w:lineRule="exact"/>
              <w:jc w:val="center"/>
              <w:rPr>
                <w:rFonts w:ascii="宋体"/>
                <w:b/>
                <w:sz w:val="24"/>
              </w:rPr>
            </w:pPr>
          </w:p>
        </w:tc>
      </w:tr>
    </w:tbl>
    <w:p w14:paraId="3EEA13C2">
      <w:pPr>
        <w:spacing w:line="560" w:lineRule="exact"/>
        <w:rPr>
          <w:rFonts w:ascii="宋体"/>
          <w:sz w:val="24"/>
        </w:rPr>
      </w:pPr>
      <w:r>
        <w:rPr>
          <w:rFonts w:hint="eastAsia" w:ascii="宋体"/>
          <w:sz w:val="24"/>
        </w:rPr>
        <w:t>备注：投标人所列业绩应按第二部分的要求将证明材料按顺序附后。</w:t>
      </w:r>
    </w:p>
    <w:p w14:paraId="610A88D0">
      <w:pPr>
        <w:spacing w:line="560" w:lineRule="exact"/>
        <w:rPr>
          <w:rFonts w:ascii="宋体"/>
          <w:sz w:val="24"/>
        </w:rPr>
      </w:pPr>
    </w:p>
    <w:p w14:paraId="4AE05AA5">
      <w:pPr>
        <w:spacing w:line="360" w:lineRule="auto"/>
        <w:rPr>
          <w:sz w:val="24"/>
        </w:rPr>
      </w:pPr>
      <w:r>
        <w:rPr>
          <w:sz w:val="24"/>
        </w:rPr>
        <w:t>投标人名称：</w:t>
      </w:r>
    </w:p>
    <w:p w14:paraId="268E3247">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C47C837">
      <w:pPr>
        <w:widowControl/>
        <w:jc w:val="left"/>
        <w:rPr>
          <w:sz w:val="24"/>
        </w:rPr>
      </w:pPr>
      <w:r>
        <w:rPr>
          <w:sz w:val="24"/>
        </w:rPr>
        <w:br w:type="page"/>
      </w:r>
    </w:p>
    <w:p w14:paraId="5E69D21E">
      <w:pPr>
        <w:spacing w:line="460" w:lineRule="exact"/>
        <w:rPr>
          <w:b/>
          <w:sz w:val="24"/>
        </w:rPr>
      </w:pPr>
      <w:r>
        <w:rPr>
          <w:b/>
          <w:sz w:val="24"/>
        </w:rPr>
        <w:t>附件5：评分因素中要求的各项方案、证明材料等</w:t>
      </w:r>
    </w:p>
    <w:p w14:paraId="0BF73C17">
      <w:pPr>
        <w:spacing w:line="460" w:lineRule="exact"/>
        <w:rPr>
          <w:b/>
          <w:sz w:val="24"/>
        </w:rPr>
      </w:pPr>
      <w:r>
        <w:rPr>
          <w:b/>
          <w:sz w:val="24"/>
        </w:rPr>
        <w:br w:type="page"/>
      </w:r>
      <w:r>
        <w:rPr>
          <w:b/>
          <w:sz w:val="24"/>
        </w:rPr>
        <w:t>附件6</w:t>
      </w:r>
      <w:r>
        <w:rPr>
          <w:rFonts w:hint="eastAsia"/>
          <w:b/>
          <w:sz w:val="24"/>
        </w:rPr>
        <w:t>-1</w:t>
      </w:r>
    </w:p>
    <w:p w14:paraId="591F7885">
      <w:pPr>
        <w:autoSpaceDE w:val="0"/>
        <w:autoSpaceDN w:val="0"/>
        <w:spacing w:line="480" w:lineRule="auto"/>
        <w:jc w:val="center"/>
        <w:rPr>
          <w:sz w:val="24"/>
          <w:szCs w:val="24"/>
        </w:rPr>
      </w:pPr>
      <w:r>
        <w:rPr>
          <w:b/>
          <w:sz w:val="24"/>
          <w:szCs w:val="24"/>
        </w:rPr>
        <w:t>中小企业声明函（服务）</w:t>
      </w:r>
    </w:p>
    <w:p w14:paraId="36225DBE">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955D94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7776D6A">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14FF997">
      <w:pPr>
        <w:autoSpaceDE w:val="0"/>
        <w:autoSpaceDN w:val="0"/>
        <w:spacing w:line="500" w:lineRule="exact"/>
        <w:ind w:left="641"/>
        <w:jc w:val="left"/>
        <w:rPr>
          <w:sz w:val="24"/>
          <w:szCs w:val="24"/>
        </w:rPr>
      </w:pPr>
      <w:r>
        <w:rPr>
          <w:sz w:val="24"/>
          <w:szCs w:val="24"/>
        </w:rPr>
        <w:t>……</w:t>
      </w:r>
    </w:p>
    <w:p w14:paraId="31C804AA">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BA6755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F6636DB">
      <w:pPr>
        <w:autoSpaceDE w:val="0"/>
        <w:autoSpaceDN w:val="0"/>
        <w:spacing w:line="500" w:lineRule="exact"/>
        <w:ind w:left="3840"/>
        <w:jc w:val="left"/>
        <w:rPr>
          <w:sz w:val="24"/>
          <w:szCs w:val="24"/>
        </w:rPr>
      </w:pPr>
      <w:r>
        <w:rPr>
          <w:sz w:val="24"/>
          <w:szCs w:val="24"/>
        </w:rPr>
        <w:t>投标人名称：</w:t>
      </w:r>
    </w:p>
    <w:p w14:paraId="0CCC632A">
      <w:pPr>
        <w:autoSpaceDE w:val="0"/>
        <w:autoSpaceDN w:val="0"/>
        <w:spacing w:line="500" w:lineRule="exact"/>
        <w:ind w:left="3840"/>
        <w:jc w:val="left"/>
        <w:rPr>
          <w:sz w:val="32"/>
        </w:rPr>
      </w:pPr>
      <w:r>
        <w:rPr>
          <w:sz w:val="24"/>
          <w:szCs w:val="24"/>
        </w:rPr>
        <w:t>日期：</w:t>
      </w:r>
    </w:p>
    <w:p w14:paraId="63A7E131">
      <w:pPr>
        <w:spacing w:line="360" w:lineRule="auto"/>
        <w:ind w:right="84" w:firstLine="241" w:firstLineChars="100"/>
        <w:rPr>
          <w:b/>
          <w:sz w:val="24"/>
          <w:szCs w:val="24"/>
        </w:rPr>
      </w:pPr>
      <w:r>
        <w:rPr>
          <w:b/>
          <w:sz w:val="24"/>
          <w:szCs w:val="24"/>
        </w:rPr>
        <w:t>注：</w:t>
      </w:r>
    </w:p>
    <w:p w14:paraId="441431D9">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C9E8CA4">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71EEA42">
      <w:pPr>
        <w:spacing w:line="360" w:lineRule="auto"/>
        <w:ind w:right="84" w:firstLine="241" w:firstLineChars="100"/>
        <w:rPr>
          <w:sz w:val="24"/>
        </w:rPr>
      </w:pPr>
      <w:r>
        <w:rPr>
          <w:b/>
          <w:sz w:val="24"/>
          <w:szCs w:val="24"/>
        </w:rPr>
        <w:t>3.中标（成交）供应商享受中小企业扶持政策的，将随中标（成交）结果同时公告其《中小企业声明函》，接受社会监督。</w:t>
      </w:r>
      <w:r>
        <w:rPr>
          <w:sz w:val="24"/>
        </w:rPr>
        <w:br w:type="page"/>
      </w:r>
    </w:p>
    <w:p w14:paraId="340C7DB0">
      <w:pPr>
        <w:autoSpaceDN w:val="0"/>
        <w:spacing w:line="360" w:lineRule="auto"/>
        <w:rPr>
          <w:b/>
          <w:bCs/>
          <w:sz w:val="24"/>
        </w:rPr>
      </w:pPr>
      <w:r>
        <w:rPr>
          <w:rFonts w:hint="eastAsia"/>
          <w:b/>
          <w:bCs/>
          <w:sz w:val="24"/>
        </w:rPr>
        <w:t>附件6-2</w:t>
      </w:r>
    </w:p>
    <w:p w14:paraId="38F36F1D">
      <w:pPr>
        <w:autoSpaceDN w:val="0"/>
        <w:spacing w:line="360" w:lineRule="auto"/>
        <w:jc w:val="left"/>
        <w:rPr>
          <w:b/>
          <w:bCs/>
          <w:sz w:val="24"/>
        </w:rPr>
      </w:pPr>
      <w:r>
        <w:rPr>
          <w:rFonts w:hint="eastAsia"/>
          <w:b/>
          <w:kern w:val="0"/>
          <w:sz w:val="24"/>
          <w:szCs w:val="21"/>
        </w:rPr>
        <w:t>若不是残疾人福利性单位，响应文件中可不提供此声明函</w:t>
      </w:r>
    </w:p>
    <w:p w14:paraId="2CAC8E35">
      <w:pPr>
        <w:autoSpaceDN w:val="0"/>
        <w:spacing w:line="360" w:lineRule="auto"/>
        <w:jc w:val="center"/>
        <w:rPr>
          <w:b/>
          <w:bCs/>
          <w:sz w:val="24"/>
        </w:rPr>
      </w:pPr>
    </w:p>
    <w:p w14:paraId="23F9CC08">
      <w:pPr>
        <w:snapToGrid w:val="0"/>
        <w:spacing w:line="360" w:lineRule="auto"/>
        <w:jc w:val="center"/>
        <w:rPr>
          <w:b/>
          <w:bCs/>
          <w:sz w:val="24"/>
        </w:rPr>
      </w:pPr>
      <w:r>
        <w:rPr>
          <w:rFonts w:hint="eastAsia"/>
          <w:b/>
          <w:bCs/>
          <w:sz w:val="24"/>
        </w:rPr>
        <w:t>残疾人福利性单位声明函</w:t>
      </w:r>
    </w:p>
    <w:p w14:paraId="26D2FA12">
      <w:pPr>
        <w:snapToGrid w:val="0"/>
        <w:spacing w:line="360" w:lineRule="auto"/>
        <w:ind w:firstLine="482" w:firstLineChars="200"/>
        <w:jc w:val="left"/>
        <w:rPr>
          <w:b/>
          <w:bCs/>
          <w:sz w:val="24"/>
        </w:rPr>
      </w:pPr>
    </w:p>
    <w:p w14:paraId="5BFCCE7D">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549A0A9">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03D759C3">
      <w:pPr>
        <w:snapToGrid w:val="0"/>
        <w:spacing w:line="360" w:lineRule="auto"/>
        <w:ind w:firstLine="480" w:firstLineChars="200"/>
        <w:jc w:val="left"/>
        <w:rPr>
          <w:bCs/>
          <w:sz w:val="24"/>
        </w:rPr>
      </w:pPr>
    </w:p>
    <w:p w14:paraId="3F937B8F">
      <w:pPr>
        <w:snapToGrid w:val="0"/>
        <w:spacing w:line="360" w:lineRule="auto"/>
        <w:ind w:firstLine="480" w:firstLineChars="200"/>
        <w:jc w:val="left"/>
        <w:rPr>
          <w:bCs/>
          <w:sz w:val="24"/>
        </w:rPr>
      </w:pPr>
    </w:p>
    <w:p w14:paraId="1A08FE75">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C9D8817">
      <w:pPr>
        <w:snapToGrid w:val="0"/>
        <w:spacing w:line="360" w:lineRule="auto"/>
        <w:ind w:firstLine="480" w:firstLineChars="200"/>
        <w:jc w:val="left"/>
        <w:rPr>
          <w:bCs/>
          <w:sz w:val="24"/>
        </w:rPr>
      </w:pPr>
    </w:p>
    <w:p w14:paraId="0B9083B5">
      <w:pPr>
        <w:snapToGrid w:val="0"/>
        <w:spacing w:line="360" w:lineRule="auto"/>
        <w:ind w:firstLine="480" w:firstLineChars="200"/>
        <w:jc w:val="left"/>
        <w:rPr>
          <w:sz w:val="24"/>
          <w:szCs w:val="21"/>
        </w:rPr>
      </w:pPr>
      <w:r>
        <w:rPr>
          <w:rFonts w:hint="eastAsia"/>
          <w:bCs/>
          <w:sz w:val="24"/>
        </w:rPr>
        <w:t xml:space="preserve">               日  期：</w:t>
      </w:r>
    </w:p>
    <w:p w14:paraId="35BDFAFE">
      <w:pPr>
        <w:snapToGrid w:val="0"/>
        <w:spacing w:line="360" w:lineRule="auto"/>
        <w:ind w:firstLine="480" w:firstLineChars="200"/>
        <w:jc w:val="left"/>
        <w:rPr>
          <w:sz w:val="24"/>
          <w:szCs w:val="21"/>
        </w:rPr>
      </w:pPr>
    </w:p>
    <w:p w14:paraId="49D68E42">
      <w:pPr>
        <w:snapToGrid w:val="0"/>
        <w:spacing w:line="360" w:lineRule="auto"/>
        <w:ind w:firstLine="480" w:firstLineChars="200"/>
        <w:rPr>
          <w:sz w:val="24"/>
          <w:szCs w:val="21"/>
        </w:rPr>
      </w:pPr>
      <w:r>
        <w:rPr>
          <w:sz w:val="24"/>
          <w:szCs w:val="21"/>
        </w:rPr>
        <w:t>注：</w:t>
      </w:r>
    </w:p>
    <w:p w14:paraId="7FC0F38D">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58563682">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7C5F562B">
      <w:pPr>
        <w:tabs>
          <w:tab w:val="left" w:pos="360"/>
        </w:tabs>
        <w:spacing w:line="360" w:lineRule="auto"/>
        <w:rPr>
          <w:szCs w:val="21"/>
        </w:rPr>
      </w:pPr>
      <w:r>
        <w:rPr>
          <w:szCs w:val="21"/>
        </w:rPr>
        <w:br w:type="page"/>
      </w:r>
      <w:r>
        <w:rPr>
          <w:b/>
          <w:sz w:val="24"/>
        </w:rPr>
        <w:t>附件7</w:t>
      </w:r>
      <w:r>
        <w:rPr>
          <w:rFonts w:hint="eastAsia"/>
          <w:b/>
          <w:sz w:val="24"/>
          <w:szCs w:val="24"/>
        </w:rPr>
        <w:t>：</w:t>
      </w:r>
      <w:r>
        <w:rPr>
          <w:b/>
          <w:sz w:val="24"/>
          <w:szCs w:val="24"/>
        </w:rPr>
        <w:t>投标人认为需要提交的其他资料</w:t>
      </w:r>
    </w:p>
    <w:p w14:paraId="7BCFFFA2">
      <w:pPr>
        <w:spacing w:line="460" w:lineRule="exact"/>
        <w:ind w:left="192"/>
        <w:rPr>
          <w:b/>
          <w:sz w:val="24"/>
        </w:rPr>
      </w:pPr>
    </w:p>
    <w:p w14:paraId="0627DB91">
      <w:pPr>
        <w:autoSpaceDE w:val="0"/>
        <w:autoSpaceDN w:val="0"/>
        <w:adjustRightInd w:val="0"/>
        <w:jc w:val="center"/>
        <w:rPr>
          <w:sz w:val="24"/>
        </w:rPr>
      </w:pPr>
      <w:r>
        <w:rPr>
          <w:sz w:val="24"/>
        </w:rPr>
        <w:br w:type="page"/>
      </w:r>
    </w:p>
    <w:p w14:paraId="41E487C7">
      <w:pPr>
        <w:autoSpaceDE w:val="0"/>
        <w:autoSpaceDN w:val="0"/>
        <w:adjustRightInd w:val="0"/>
        <w:jc w:val="center"/>
        <w:rPr>
          <w:sz w:val="24"/>
        </w:rPr>
      </w:pPr>
    </w:p>
    <w:p w14:paraId="5684818F">
      <w:pPr>
        <w:autoSpaceDE w:val="0"/>
        <w:autoSpaceDN w:val="0"/>
        <w:adjustRightInd w:val="0"/>
        <w:jc w:val="center"/>
        <w:rPr>
          <w:sz w:val="24"/>
        </w:rPr>
      </w:pPr>
    </w:p>
    <w:p w14:paraId="2E130595">
      <w:pPr>
        <w:autoSpaceDE w:val="0"/>
        <w:autoSpaceDN w:val="0"/>
        <w:adjustRightInd w:val="0"/>
        <w:jc w:val="center"/>
        <w:rPr>
          <w:sz w:val="24"/>
        </w:rPr>
      </w:pPr>
    </w:p>
    <w:p w14:paraId="4F32A847">
      <w:pPr>
        <w:autoSpaceDE w:val="0"/>
        <w:autoSpaceDN w:val="0"/>
        <w:adjustRightInd w:val="0"/>
        <w:jc w:val="center"/>
        <w:rPr>
          <w:sz w:val="24"/>
        </w:rPr>
      </w:pPr>
    </w:p>
    <w:p w14:paraId="0315CC2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3B77E39">
      <w:pPr>
        <w:autoSpaceDE w:val="0"/>
        <w:autoSpaceDN w:val="0"/>
        <w:adjustRightInd w:val="0"/>
        <w:spacing w:line="520" w:lineRule="exact"/>
        <w:rPr>
          <w:b/>
          <w:kern w:val="0"/>
          <w:sz w:val="24"/>
        </w:rPr>
      </w:pPr>
    </w:p>
    <w:p w14:paraId="5A7AF6B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23917DD">
      <w:pPr>
        <w:autoSpaceDE w:val="0"/>
        <w:autoSpaceDN w:val="0"/>
        <w:adjustRightInd w:val="0"/>
        <w:spacing w:line="520" w:lineRule="exact"/>
        <w:rPr>
          <w:b/>
          <w:kern w:val="0"/>
          <w:sz w:val="24"/>
        </w:rPr>
      </w:pPr>
    </w:p>
    <w:p w14:paraId="1F052EBF">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28AA93E9">
      <w:pPr>
        <w:autoSpaceDE w:val="0"/>
        <w:autoSpaceDN w:val="0"/>
        <w:adjustRightInd w:val="0"/>
        <w:spacing w:line="520" w:lineRule="exact"/>
        <w:rPr>
          <w:b/>
          <w:kern w:val="0"/>
          <w:sz w:val="24"/>
        </w:rPr>
      </w:pPr>
    </w:p>
    <w:p w14:paraId="06633F3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278CF3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07E81F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EBD7CA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BD9D3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12D0F6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1F9815FC">
      <w:pPr>
        <w:spacing w:before="93" w:beforeLines="30" w:after="218" w:afterLines="70" w:line="540" w:lineRule="exact"/>
        <w:ind w:left="630" w:leftChars="300"/>
        <w:rPr>
          <w:rFonts w:eastAsia="方正楷体简体"/>
          <w:b/>
          <w:sz w:val="34"/>
          <w:szCs w:val="34"/>
        </w:rPr>
      </w:pPr>
    </w:p>
    <w:p w14:paraId="074B04E0">
      <w:pPr>
        <w:spacing w:before="93" w:beforeLines="30" w:after="218" w:afterLines="70" w:line="540" w:lineRule="exact"/>
        <w:ind w:left="630" w:leftChars="300"/>
        <w:rPr>
          <w:rFonts w:eastAsia="方正楷体简体"/>
          <w:b/>
          <w:sz w:val="34"/>
          <w:szCs w:val="34"/>
        </w:rPr>
      </w:pPr>
    </w:p>
    <w:p w14:paraId="11E1CF04">
      <w:pPr>
        <w:spacing w:before="93" w:beforeLines="30" w:after="218" w:afterLines="70" w:line="540" w:lineRule="exact"/>
        <w:ind w:left="630" w:leftChars="300"/>
        <w:rPr>
          <w:b/>
          <w:kern w:val="0"/>
          <w:sz w:val="24"/>
        </w:rPr>
      </w:pPr>
      <w:r>
        <w:rPr>
          <w:rFonts w:eastAsia="方正楷体简体"/>
          <w:b/>
          <w:sz w:val="34"/>
          <w:szCs w:val="34"/>
        </w:rPr>
        <w:t>递交日期：</w:t>
      </w:r>
    </w:p>
    <w:p w14:paraId="1D521D0D">
      <w:pPr>
        <w:tabs>
          <w:tab w:val="left" w:pos="360"/>
        </w:tabs>
        <w:spacing w:line="460" w:lineRule="exact"/>
        <w:jc w:val="center"/>
        <w:rPr>
          <w:b/>
          <w:sz w:val="24"/>
        </w:rPr>
      </w:pPr>
      <w:r>
        <w:rPr>
          <w:sz w:val="24"/>
        </w:rPr>
        <w:br w:type="page"/>
      </w:r>
      <w:r>
        <w:rPr>
          <w:b/>
          <w:sz w:val="24"/>
        </w:rPr>
        <w:t>报价书</w:t>
      </w:r>
    </w:p>
    <w:p w14:paraId="1BB0C888">
      <w:pPr>
        <w:spacing w:line="460" w:lineRule="exact"/>
        <w:rPr>
          <w:sz w:val="24"/>
        </w:rPr>
      </w:pPr>
      <w:r>
        <w:rPr>
          <w:sz w:val="24"/>
        </w:rPr>
        <w:t>致：天津市政府采购中心</w:t>
      </w:r>
    </w:p>
    <w:p w14:paraId="4C90AC1C">
      <w:pPr>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030258F4">
      <w:pPr>
        <w:spacing w:line="460" w:lineRule="exact"/>
        <w:ind w:firstLine="480" w:firstLineChars="200"/>
        <w:rPr>
          <w:sz w:val="24"/>
        </w:rPr>
      </w:pPr>
      <w:r>
        <w:rPr>
          <w:sz w:val="24"/>
        </w:rPr>
        <w:t>据此函，签字代表宣布同意如下：</w:t>
      </w:r>
    </w:p>
    <w:p w14:paraId="570C81DC">
      <w:pPr>
        <w:spacing w:line="460" w:lineRule="exact"/>
        <w:ind w:left="480"/>
        <w:jc w:val="left"/>
        <w:rPr>
          <w:sz w:val="24"/>
        </w:rPr>
      </w:pPr>
      <w:r>
        <w:rPr>
          <w:sz w:val="24"/>
        </w:rPr>
        <w:t>1. 所附报价表中规定的应提供服务价格为</w:t>
      </w:r>
    </w:p>
    <w:p w14:paraId="7B3D4DA8">
      <w:pPr>
        <w:spacing w:line="460" w:lineRule="exact"/>
        <w:ind w:left="480"/>
        <w:jc w:val="left"/>
        <w:rPr>
          <w:sz w:val="24"/>
        </w:rPr>
      </w:pPr>
      <w:r>
        <w:rPr>
          <w:sz w:val="24"/>
        </w:rPr>
        <w:t>第一包：</w:t>
      </w:r>
    </w:p>
    <w:p w14:paraId="509032AC">
      <w:pPr>
        <w:spacing w:line="460" w:lineRule="exact"/>
        <w:ind w:left="480"/>
        <w:jc w:val="left"/>
        <w:rPr>
          <w:sz w:val="24"/>
        </w:rPr>
      </w:pPr>
      <w:r>
        <w:rPr>
          <w:sz w:val="24"/>
        </w:rPr>
        <w:t xml:space="preserve">  报价</w:t>
      </w:r>
      <w:r>
        <w:rPr>
          <w:sz w:val="24"/>
          <w:u w:val="single"/>
        </w:rPr>
        <w:t xml:space="preserve">         </w:t>
      </w:r>
      <w:r>
        <w:rPr>
          <w:sz w:val="24"/>
        </w:rPr>
        <w:t>元（注明币种）</w:t>
      </w:r>
    </w:p>
    <w:p w14:paraId="527B2ADB">
      <w:pPr>
        <w:spacing w:line="460" w:lineRule="exact"/>
        <w:ind w:left="472" w:firstLine="237"/>
        <w:jc w:val="left"/>
        <w:rPr>
          <w:sz w:val="24"/>
        </w:rPr>
      </w:pPr>
      <w:r>
        <w:rPr>
          <w:sz w:val="24"/>
        </w:rPr>
        <w:t>大写</w:t>
      </w:r>
      <w:r>
        <w:rPr>
          <w:sz w:val="24"/>
          <w:u w:val="single"/>
        </w:rPr>
        <w:t xml:space="preserve">                    </w:t>
      </w:r>
      <w:r>
        <w:rPr>
          <w:sz w:val="24"/>
        </w:rPr>
        <w:t>（文字表述）。</w:t>
      </w:r>
    </w:p>
    <w:p w14:paraId="0A85417C">
      <w:pPr>
        <w:spacing w:line="460" w:lineRule="exact"/>
        <w:ind w:left="480"/>
        <w:jc w:val="left"/>
        <w:rPr>
          <w:sz w:val="24"/>
        </w:rPr>
      </w:pPr>
      <w:r>
        <w:rPr>
          <w:sz w:val="24"/>
        </w:rPr>
        <w:t>第二包：</w:t>
      </w:r>
    </w:p>
    <w:p w14:paraId="7517C094">
      <w:pPr>
        <w:spacing w:line="460" w:lineRule="exact"/>
        <w:ind w:left="480"/>
        <w:jc w:val="left"/>
        <w:rPr>
          <w:sz w:val="24"/>
        </w:rPr>
      </w:pPr>
      <w:r>
        <w:rPr>
          <w:sz w:val="24"/>
        </w:rPr>
        <w:t xml:space="preserve">  报价</w:t>
      </w:r>
      <w:r>
        <w:rPr>
          <w:sz w:val="24"/>
          <w:u w:val="single"/>
        </w:rPr>
        <w:t xml:space="preserve">         </w:t>
      </w:r>
      <w:r>
        <w:rPr>
          <w:sz w:val="24"/>
        </w:rPr>
        <w:t>元（注明币种）</w:t>
      </w:r>
    </w:p>
    <w:p w14:paraId="02425519">
      <w:pPr>
        <w:spacing w:line="460" w:lineRule="exact"/>
        <w:ind w:left="472" w:firstLine="237"/>
        <w:jc w:val="left"/>
        <w:rPr>
          <w:sz w:val="24"/>
        </w:rPr>
      </w:pPr>
      <w:r>
        <w:rPr>
          <w:sz w:val="24"/>
        </w:rPr>
        <w:t>大写</w:t>
      </w:r>
      <w:r>
        <w:rPr>
          <w:sz w:val="24"/>
          <w:u w:val="single"/>
        </w:rPr>
        <w:t xml:space="preserve">                    </w:t>
      </w:r>
      <w:r>
        <w:rPr>
          <w:sz w:val="24"/>
        </w:rPr>
        <w:t>（文字表述）。</w:t>
      </w:r>
    </w:p>
    <w:p w14:paraId="6B4E6E70">
      <w:pPr>
        <w:spacing w:line="460" w:lineRule="exact"/>
        <w:ind w:left="472" w:firstLine="237"/>
        <w:jc w:val="left"/>
        <w:rPr>
          <w:sz w:val="24"/>
        </w:rPr>
      </w:pPr>
      <w:r>
        <w:rPr>
          <w:sz w:val="24"/>
        </w:rPr>
        <w:t>……</w:t>
      </w:r>
    </w:p>
    <w:p w14:paraId="68BB8FF0">
      <w:pPr>
        <w:spacing w:line="460" w:lineRule="exact"/>
        <w:ind w:firstLine="471"/>
        <w:rPr>
          <w:sz w:val="24"/>
        </w:rPr>
      </w:pPr>
      <w:r>
        <w:rPr>
          <w:sz w:val="24"/>
        </w:rPr>
        <w:t>2. 投标人已经对全部价格进行了认真核对，保证本报价真实、准确无误，并承担本价格所对应本项目的一切责任和义务。</w:t>
      </w:r>
    </w:p>
    <w:p w14:paraId="7A3ECDCB">
      <w:pPr>
        <w:spacing w:line="460" w:lineRule="exact"/>
        <w:ind w:firstLine="471"/>
        <w:rPr>
          <w:sz w:val="24"/>
        </w:rPr>
      </w:pPr>
      <w:r>
        <w:rPr>
          <w:sz w:val="24"/>
        </w:rPr>
        <w:t>3. 两个阶段响应文件一一对应、不可分割，共同构成我方对本项目的所有承诺。</w:t>
      </w:r>
    </w:p>
    <w:p w14:paraId="52069503">
      <w:pPr>
        <w:spacing w:line="460" w:lineRule="exact"/>
        <w:ind w:firstLine="471"/>
        <w:rPr>
          <w:sz w:val="24"/>
        </w:rPr>
      </w:pPr>
    </w:p>
    <w:p w14:paraId="39BD6D05">
      <w:pPr>
        <w:spacing w:line="460" w:lineRule="exact"/>
        <w:ind w:firstLine="471"/>
        <w:rPr>
          <w:sz w:val="24"/>
        </w:rPr>
      </w:pPr>
    </w:p>
    <w:p w14:paraId="2D8879F8">
      <w:pPr>
        <w:spacing w:line="360" w:lineRule="auto"/>
        <w:ind w:firstLine="4080" w:firstLineChars="1700"/>
        <w:rPr>
          <w:sz w:val="24"/>
        </w:rPr>
      </w:pPr>
      <w:r>
        <w:rPr>
          <w:sz w:val="24"/>
        </w:rPr>
        <w:t>投标人名称：</w:t>
      </w:r>
    </w:p>
    <w:p w14:paraId="21C0010C">
      <w:pPr>
        <w:spacing w:line="360" w:lineRule="auto"/>
        <w:ind w:firstLine="4080" w:firstLineChars="1700"/>
        <w:rPr>
          <w:sz w:val="24"/>
        </w:rPr>
      </w:pPr>
    </w:p>
    <w:p w14:paraId="55D2A410">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C87795">
      <w:pPr>
        <w:spacing w:line="460" w:lineRule="exact"/>
        <w:ind w:firstLine="471"/>
        <w:rPr>
          <w:sz w:val="24"/>
        </w:rPr>
      </w:pPr>
    </w:p>
    <w:p w14:paraId="2849CB51">
      <w:pPr>
        <w:spacing w:line="460" w:lineRule="exact"/>
        <w:rPr>
          <w:b/>
          <w:sz w:val="24"/>
        </w:rPr>
      </w:pPr>
      <w:r>
        <w:rPr>
          <w:b/>
          <w:sz w:val="24"/>
        </w:rPr>
        <w:br w:type="page"/>
      </w:r>
      <w:r>
        <w:rPr>
          <w:b/>
          <w:sz w:val="24"/>
        </w:rPr>
        <w:t>附件1</w:t>
      </w:r>
    </w:p>
    <w:p w14:paraId="3CCE4E67">
      <w:pPr>
        <w:tabs>
          <w:tab w:val="left" w:pos="3780"/>
          <w:tab w:val="left" w:pos="3960"/>
        </w:tabs>
        <w:spacing w:line="460" w:lineRule="exact"/>
        <w:jc w:val="center"/>
        <w:rPr>
          <w:b/>
          <w:sz w:val="24"/>
        </w:rPr>
      </w:pPr>
      <w:r>
        <w:rPr>
          <w:b/>
          <w:sz w:val="24"/>
        </w:rPr>
        <w:t>报价分项一览表</w:t>
      </w:r>
    </w:p>
    <w:p w14:paraId="49893111">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5C7F95DC">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1C4D0DC2">
      <w:pPr>
        <w:spacing w:line="460" w:lineRule="exact"/>
        <w:rPr>
          <w:sz w:val="24"/>
        </w:rPr>
      </w:pPr>
    </w:p>
    <w:p w14:paraId="450C1EA7">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5FA87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6F7A613A">
            <w:pPr>
              <w:widowControl/>
              <w:jc w:val="center"/>
              <w:rPr>
                <w:b/>
                <w:bCs/>
                <w:kern w:val="0"/>
                <w:sz w:val="24"/>
                <w:szCs w:val="24"/>
              </w:rPr>
            </w:pPr>
            <w:r>
              <w:rPr>
                <w:b/>
                <w:bCs/>
                <w:kern w:val="0"/>
                <w:sz w:val="24"/>
                <w:szCs w:val="24"/>
              </w:rPr>
              <w:t>项号</w:t>
            </w:r>
          </w:p>
        </w:tc>
        <w:tc>
          <w:tcPr>
            <w:tcW w:w="2349" w:type="dxa"/>
            <w:vAlign w:val="center"/>
          </w:tcPr>
          <w:p w14:paraId="02C52C89">
            <w:pPr>
              <w:widowControl/>
              <w:jc w:val="center"/>
              <w:rPr>
                <w:b/>
                <w:bCs/>
                <w:kern w:val="0"/>
                <w:sz w:val="24"/>
                <w:szCs w:val="24"/>
              </w:rPr>
            </w:pPr>
            <w:r>
              <w:rPr>
                <w:b/>
                <w:bCs/>
                <w:kern w:val="0"/>
                <w:sz w:val="24"/>
                <w:szCs w:val="24"/>
              </w:rPr>
              <w:t>服务名称</w:t>
            </w:r>
          </w:p>
        </w:tc>
        <w:tc>
          <w:tcPr>
            <w:tcW w:w="1701" w:type="dxa"/>
            <w:vAlign w:val="center"/>
          </w:tcPr>
          <w:p w14:paraId="4E497FDC">
            <w:pPr>
              <w:widowControl/>
              <w:jc w:val="center"/>
              <w:rPr>
                <w:b/>
                <w:bCs/>
                <w:kern w:val="0"/>
                <w:sz w:val="24"/>
                <w:szCs w:val="24"/>
              </w:rPr>
            </w:pPr>
            <w:r>
              <w:rPr>
                <w:b/>
                <w:bCs/>
                <w:kern w:val="0"/>
                <w:sz w:val="24"/>
                <w:szCs w:val="24"/>
              </w:rPr>
              <w:t>总价</w:t>
            </w:r>
          </w:p>
        </w:tc>
        <w:tc>
          <w:tcPr>
            <w:tcW w:w="2238" w:type="dxa"/>
            <w:vAlign w:val="center"/>
          </w:tcPr>
          <w:p w14:paraId="6E9AD2B4">
            <w:pPr>
              <w:widowControl/>
              <w:jc w:val="center"/>
              <w:rPr>
                <w:b/>
                <w:bCs/>
                <w:kern w:val="0"/>
                <w:sz w:val="24"/>
                <w:szCs w:val="24"/>
              </w:rPr>
            </w:pPr>
            <w:r>
              <w:rPr>
                <w:b/>
                <w:bCs/>
                <w:kern w:val="0"/>
                <w:sz w:val="24"/>
                <w:szCs w:val="24"/>
              </w:rPr>
              <w:t>数量</w:t>
            </w:r>
          </w:p>
        </w:tc>
        <w:tc>
          <w:tcPr>
            <w:tcW w:w="1848" w:type="dxa"/>
            <w:vAlign w:val="center"/>
          </w:tcPr>
          <w:p w14:paraId="7C6AA18D">
            <w:pPr>
              <w:widowControl/>
              <w:jc w:val="center"/>
              <w:rPr>
                <w:b/>
                <w:bCs/>
                <w:kern w:val="0"/>
                <w:sz w:val="24"/>
                <w:szCs w:val="24"/>
              </w:rPr>
            </w:pPr>
            <w:r>
              <w:rPr>
                <w:b/>
                <w:bCs/>
                <w:kern w:val="0"/>
                <w:sz w:val="24"/>
                <w:szCs w:val="24"/>
              </w:rPr>
              <w:t>备注</w:t>
            </w:r>
          </w:p>
        </w:tc>
      </w:tr>
      <w:tr w14:paraId="6158F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4FAF64B6">
            <w:pPr>
              <w:widowControl/>
              <w:jc w:val="center"/>
              <w:rPr>
                <w:kern w:val="0"/>
                <w:sz w:val="24"/>
                <w:szCs w:val="24"/>
              </w:rPr>
            </w:pPr>
            <w:r>
              <w:rPr>
                <w:kern w:val="0"/>
                <w:sz w:val="24"/>
                <w:szCs w:val="24"/>
              </w:rPr>
              <w:t>1</w:t>
            </w:r>
          </w:p>
        </w:tc>
        <w:tc>
          <w:tcPr>
            <w:tcW w:w="2349" w:type="dxa"/>
            <w:vAlign w:val="center"/>
          </w:tcPr>
          <w:p w14:paraId="48C66682">
            <w:pPr>
              <w:widowControl/>
              <w:jc w:val="center"/>
              <w:rPr>
                <w:kern w:val="0"/>
                <w:sz w:val="24"/>
                <w:szCs w:val="24"/>
              </w:rPr>
            </w:pPr>
          </w:p>
        </w:tc>
        <w:tc>
          <w:tcPr>
            <w:tcW w:w="1701" w:type="dxa"/>
            <w:vAlign w:val="center"/>
          </w:tcPr>
          <w:p w14:paraId="26DCDAE7">
            <w:pPr>
              <w:widowControl/>
              <w:jc w:val="center"/>
              <w:rPr>
                <w:kern w:val="0"/>
                <w:sz w:val="24"/>
                <w:szCs w:val="24"/>
              </w:rPr>
            </w:pPr>
          </w:p>
        </w:tc>
        <w:tc>
          <w:tcPr>
            <w:tcW w:w="2238" w:type="dxa"/>
            <w:vAlign w:val="center"/>
          </w:tcPr>
          <w:p w14:paraId="15168492">
            <w:pPr>
              <w:widowControl/>
              <w:jc w:val="center"/>
              <w:rPr>
                <w:sz w:val="24"/>
                <w:szCs w:val="24"/>
              </w:rPr>
            </w:pPr>
            <w:r>
              <w:rPr>
                <w:sz w:val="24"/>
                <w:szCs w:val="24"/>
              </w:rPr>
              <w:t>1项</w:t>
            </w:r>
          </w:p>
        </w:tc>
        <w:tc>
          <w:tcPr>
            <w:tcW w:w="1848" w:type="dxa"/>
            <w:vAlign w:val="center"/>
          </w:tcPr>
          <w:p w14:paraId="5117DC52">
            <w:pPr>
              <w:widowControl/>
              <w:jc w:val="center"/>
              <w:rPr>
                <w:sz w:val="24"/>
                <w:szCs w:val="24"/>
              </w:rPr>
            </w:pPr>
          </w:p>
        </w:tc>
      </w:tr>
      <w:tr w14:paraId="73330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58C843E">
            <w:pPr>
              <w:widowControl/>
              <w:jc w:val="left"/>
              <w:rPr>
                <w:kern w:val="0"/>
                <w:sz w:val="24"/>
                <w:szCs w:val="24"/>
              </w:rPr>
            </w:pPr>
            <w:r>
              <w:rPr>
                <w:kern w:val="0"/>
                <w:sz w:val="24"/>
                <w:szCs w:val="24"/>
              </w:rPr>
              <w:t>其中</w:t>
            </w:r>
          </w:p>
        </w:tc>
      </w:tr>
      <w:tr w14:paraId="35059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3CC4D5A">
            <w:pPr>
              <w:widowControl/>
              <w:jc w:val="left"/>
              <w:rPr>
                <w:b/>
                <w:sz w:val="24"/>
                <w:szCs w:val="24"/>
              </w:rPr>
            </w:pPr>
            <w:r>
              <w:rPr>
                <w:b/>
                <w:sz w:val="24"/>
                <w:szCs w:val="24"/>
              </w:rPr>
              <w:t>分项名称</w:t>
            </w:r>
          </w:p>
        </w:tc>
        <w:tc>
          <w:tcPr>
            <w:tcW w:w="1701" w:type="dxa"/>
            <w:vAlign w:val="center"/>
          </w:tcPr>
          <w:p w14:paraId="767DD58D">
            <w:pPr>
              <w:widowControl/>
              <w:jc w:val="center"/>
              <w:rPr>
                <w:b/>
                <w:kern w:val="0"/>
                <w:sz w:val="24"/>
                <w:szCs w:val="24"/>
              </w:rPr>
            </w:pPr>
            <w:r>
              <w:rPr>
                <w:b/>
                <w:kern w:val="0"/>
                <w:sz w:val="24"/>
                <w:szCs w:val="24"/>
              </w:rPr>
              <w:t>价格</w:t>
            </w:r>
          </w:p>
        </w:tc>
        <w:tc>
          <w:tcPr>
            <w:tcW w:w="2238" w:type="dxa"/>
            <w:vAlign w:val="center"/>
          </w:tcPr>
          <w:p w14:paraId="355CE234">
            <w:pPr>
              <w:widowControl/>
              <w:jc w:val="center"/>
              <w:rPr>
                <w:b/>
                <w:kern w:val="0"/>
                <w:sz w:val="24"/>
                <w:szCs w:val="24"/>
              </w:rPr>
            </w:pPr>
            <w:r>
              <w:rPr>
                <w:b/>
                <w:kern w:val="0"/>
                <w:sz w:val="24"/>
                <w:szCs w:val="24"/>
              </w:rPr>
              <w:t>数量</w:t>
            </w:r>
          </w:p>
        </w:tc>
        <w:tc>
          <w:tcPr>
            <w:tcW w:w="1848" w:type="dxa"/>
            <w:vAlign w:val="center"/>
          </w:tcPr>
          <w:p w14:paraId="6FD5A67B">
            <w:pPr>
              <w:widowControl/>
              <w:jc w:val="center"/>
              <w:rPr>
                <w:b/>
                <w:bCs/>
                <w:kern w:val="0"/>
                <w:sz w:val="24"/>
                <w:szCs w:val="24"/>
              </w:rPr>
            </w:pPr>
            <w:r>
              <w:rPr>
                <w:b/>
                <w:bCs/>
                <w:kern w:val="0"/>
                <w:sz w:val="24"/>
                <w:szCs w:val="24"/>
              </w:rPr>
              <w:t>备注</w:t>
            </w:r>
          </w:p>
        </w:tc>
      </w:tr>
      <w:tr w14:paraId="3BFB6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B3D98E">
            <w:pPr>
              <w:widowControl/>
              <w:jc w:val="left"/>
              <w:rPr>
                <w:kern w:val="0"/>
                <w:sz w:val="24"/>
                <w:szCs w:val="24"/>
              </w:rPr>
            </w:pPr>
          </w:p>
        </w:tc>
        <w:tc>
          <w:tcPr>
            <w:tcW w:w="1701" w:type="dxa"/>
            <w:vAlign w:val="center"/>
          </w:tcPr>
          <w:p w14:paraId="222BAAAF">
            <w:pPr>
              <w:widowControl/>
              <w:jc w:val="center"/>
              <w:rPr>
                <w:kern w:val="0"/>
                <w:sz w:val="24"/>
                <w:szCs w:val="24"/>
              </w:rPr>
            </w:pPr>
          </w:p>
        </w:tc>
        <w:tc>
          <w:tcPr>
            <w:tcW w:w="2238" w:type="dxa"/>
            <w:vAlign w:val="center"/>
          </w:tcPr>
          <w:p w14:paraId="0383F628">
            <w:pPr>
              <w:widowControl/>
              <w:jc w:val="center"/>
              <w:rPr>
                <w:kern w:val="0"/>
                <w:sz w:val="24"/>
                <w:szCs w:val="24"/>
              </w:rPr>
            </w:pPr>
          </w:p>
        </w:tc>
        <w:tc>
          <w:tcPr>
            <w:tcW w:w="1848" w:type="dxa"/>
            <w:vAlign w:val="center"/>
          </w:tcPr>
          <w:p w14:paraId="15196C3C">
            <w:pPr>
              <w:widowControl/>
              <w:jc w:val="center"/>
              <w:rPr>
                <w:sz w:val="24"/>
                <w:szCs w:val="24"/>
              </w:rPr>
            </w:pPr>
          </w:p>
        </w:tc>
      </w:tr>
      <w:tr w14:paraId="27494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10625B1">
            <w:pPr>
              <w:widowControl/>
              <w:jc w:val="left"/>
              <w:rPr>
                <w:kern w:val="0"/>
                <w:sz w:val="24"/>
                <w:szCs w:val="24"/>
              </w:rPr>
            </w:pPr>
          </w:p>
        </w:tc>
        <w:tc>
          <w:tcPr>
            <w:tcW w:w="1701" w:type="dxa"/>
            <w:vAlign w:val="center"/>
          </w:tcPr>
          <w:p w14:paraId="044BC391">
            <w:pPr>
              <w:widowControl/>
              <w:jc w:val="center"/>
              <w:rPr>
                <w:kern w:val="0"/>
                <w:sz w:val="24"/>
                <w:szCs w:val="24"/>
              </w:rPr>
            </w:pPr>
          </w:p>
        </w:tc>
        <w:tc>
          <w:tcPr>
            <w:tcW w:w="2238" w:type="dxa"/>
            <w:vAlign w:val="center"/>
          </w:tcPr>
          <w:p w14:paraId="10A51956">
            <w:pPr>
              <w:widowControl/>
              <w:jc w:val="center"/>
              <w:rPr>
                <w:kern w:val="0"/>
                <w:sz w:val="24"/>
                <w:szCs w:val="24"/>
              </w:rPr>
            </w:pPr>
          </w:p>
        </w:tc>
        <w:tc>
          <w:tcPr>
            <w:tcW w:w="1848" w:type="dxa"/>
            <w:vAlign w:val="center"/>
          </w:tcPr>
          <w:p w14:paraId="333598A8">
            <w:pPr>
              <w:widowControl/>
              <w:jc w:val="center"/>
              <w:rPr>
                <w:sz w:val="24"/>
                <w:szCs w:val="24"/>
              </w:rPr>
            </w:pPr>
          </w:p>
        </w:tc>
      </w:tr>
      <w:tr w14:paraId="1229B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6E1C40F">
            <w:pPr>
              <w:widowControl/>
              <w:jc w:val="left"/>
              <w:rPr>
                <w:kern w:val="0"/>
                <w:sz w:val="24"/>
                <w:szCs w:val="24"/>
              </w:rPr>
            </w:pPr>
          </w:p>
        </w:tc>
        <w:tc>
          <w:tcPr>
            <w:tcW w:w="1701" w:type="dxa"/>
            <w:vAlign w:val="center"/>
          </w:tcPr>
          <w:p w14:paraId="2585A9D7">
            <w:pPr>
              <w:widowControl/>
              <w:jc w:val="center"/>
              <w:rPr>
                <w:kern w:val="0"/>
                <w:sz w:val="24"/>
                <w:szCs w:val="24"/>
              </w:rPr>
            </w:pPr>
          </w:p>
        </w:tc>
        <w:tc>
          <w:tcPr>
            <w:tcW w:w="2238" w:type="dxa"/>
            <w:vAlign w:val="center"/>
          </w:tcPr>
          <w:p w14:paraId="6E0206B8">
            <w:pPr>
              <w:widowControl/>
              <w:jc w:val="center"/>
              <w:rPr>
                <w:kern w:val="0"/>
                <w:sz w:val="24"/>
                <w:szCs w:val="24"/>
              </w:rPr>
            </w:pPr>
          </w:p>
        </w:tc>
        <w:tc>
          <w:tcPr>
            <w:tcW w:w="1848" w:type="dxa"/>
            <w:vAlign w:val="center"/>
          </w:tcPr>
          <w:p w14:paraId="4796A674">
            <w:pPr>
              <w:widowControl/>
              <w:jc w:val="center"/>
              <w:rPr>
                <w:sz w:val="24"/>
                <w:szCs w:val="24"/>
              </w:rPr>
            </w:pPr>
          </w:p>
        </w:tc>
      </w:tr>
      <w:tr w14:paraId="159C0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CF2865D">
            <w:pPr>
              <w:widowControl/>
              <w:jc w:val="left"/>
              <w:rPr>
                <w:sz w:val="24"/>
              </w:rPr>
            </w:pPr>
          </w:p>
        </w:tc>
        <w:tc>
          <w:tcPr>
            <w:tcW w:w="1701" w:type="dxa"/>
            <w:vAlign w:val="center"/>
          </w:tcPr>
          <w:p w14:paraId="3AE58391">
            <w:pPr>
              <w:widowControl/>
              <w:jc w:val="center"/>
              <w:rPr>
                <w:kern w:val="0"/>
                <w:sz w:val="24"/>
                <w:szCs w:val="24"/>
              </w:rPr>
            </w:pPr>
          </w:p>
        </w:tc>
        <w:tc>
          <w:tcPr>
            <w:tcW w:w="2238" w:type="dxa"/>
            <w:vAlign w:val="center"/>
          </w:tcPr>
          <w:p w14:paraId="16148901">
            <w:pPr>
              <w:widowControl/>
              <w:jc w:val="center"/>
              <w:rPr>
                <w:kern w:val="0"/>
                <w:sz w:val="24"/>
                <w:szCs w:val="24"/>
              </w:rPr>
            </w:pPr>
          </w:p>
        </w:tc>
        <w:tc>
          <w:tcPr>
            <w:tcW w:w="1848" w:type="dxa"/>
            <w:vAlign w:val="center"/>
          </w:tcPr>
          <w:p w14:paraId="3A7A06B0">
            <w:pPr>
              <w:widowControl/>
              <w:jc w:val="center"/>
              <w:rPr>
                <w:sz w:val="24"/>
                <w:szCs w:val="24"/>
              </w:rPr>
            </w:pPr>
          </w:p>
        </w:tc>
      </w:tr>
      <w:tr w14:paraId="53817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FAE2143">
            <w:pPr>
              <w:widowControl/>
              <w:jc w:val="left"/>
              <w:rPr>
                <w:sz w:val="24"/>
              </w:rPr>
            </w:pPr>
            <w:r>
              <w:rPr>
                <w:sz w:val="24"/>
              </w:rPr>
              <w:t>……</w:t>
            </w:r>
          </w:p>
        </w:tc>
        <w:tc>
          <w:tcPr>
            <w:tcW w:w="1701" w:type="dxa"/>
            <w:vAlign w:val="center"/>
          </w:tcPr>
          <w:p w14:paraId="46174D4B">
            <w:pPr>
              <w:widowControl/>
              <w:jc w:val="center"/>
              <w:rPr>
                <w:kern w:val="0"/>
                <w:sz w:val="24"/>
                <w:szCs w:val="24"/>
              </w:rPr>
            </w:pPr>
          </w:p>
        </w:tc>
        <w:tc>
          <w:tcPr>
            <w:tcW w:w="2238" w:type="dxa"/>
            <w:vAlign w:val="center"/>
          </w:tcPr>
          <w:p w14:paraId="6FA5DC3B">
            <w:pPr>
              <w:widowControl/>
              <w:jc w:val="center"/>
              <w:rPr>
                <w:kern w:val="0"/>
                <w:sz w:val="24"/>
                <w:szCs w:val="24"/>
              </w:rPr>
            </w:pPr>
          </w:p>
        </w:tc>
        <w:tc>
          <w:tcPr>
            <w:tcW w:w="1848" w:type="dxa"/>
            <w:vAlign w:val="center"/>
          </w:tcPr>
          <w:p w14:paraId="1BD4A51E">
            <w:pPr>
              <w:widowControl/>
              <w:jc w:val="center"/>
              <w:rPr>
                <w:sz w:val="24"/>
                <w:szCs w:val="24"/>
              </w:rPr>
            </w:pPr>
          </w:p>
        </w:tc>
      </w:tr>
      <w:tr w14:paraId="2F403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CE63ADA">
            <w:pPr>
              <w:widowControl/>
              <w:jc w:val="left"/>
              <w:rPr>
                <w:sz w:val="24"/>
              </w:rPr>
            </w:pPr>
          </w:p>
        </w:tc>
        <w:tc>
          <w:tcPr>
            <w:tcW w:w="1701" w:type="dxa"/>
            <w:vAlign w:val="center"/>
          </w:tcPr>
          <w:p w14:paraId="215907D2">
            <w:pPr>
              <w:widowControl/>
              <w:jc w:val="center"/>
              <w:rPr>
                <w:kern w:val="0"/>
                <w:sz w:val="24"/>
                <w:szCs w:val="24"/>
              </w:rPr>
            </w:pPr>
          </w:p>
        </w:tc>
        <w:tc>
          <w:tcPr>
            <w:tcW w:w="2238" w:type="dxa"/>
            <w:vAlign w:val="center"/>
          </w:tcPr>
          <w:p w14:paraId="6D9F4B68">
            <w:pPr>
              <w:widowControl/>
              <w:ind w:firstLine="9" w:firstLineChars="4"/>
              <w:jc w:val="center"/>
              <w:rPr>
                <w:kern w:val="0"/>
                <w:sz w:val="24"/>
                <w:szCs w:val="24"/>
              </w:rPr>
            </w:pPr>
          </w:p>
        </w:tc>
        <w:tc>
          <w:tcPr>
            <w:tcW w:w="1848" w:type="dxa"/>
            <w:vAlign w:val="center"/>
          </w:tcPr>
          <w:p w14:paraId="40F9C42D">
            <w:pPr>
              <w:widowControl/>
              <w:ind w:firstLine="9" w:firstLineChars="4"/>
              <w:jc w:val="center"/>
              <w:rPr>
                <w:sz w:val="24"/>
                <w:szCs w:val="24"/>
              </w:rPr>
            </w:pPr>
          </w:p>
        </w:tc>
      </w:tr>
      <w:tr w14:paraId="5D24E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20422AF">
            <w:pPr>
              <w:widowControl/>
              <w:jc w:val="left"/>
              <w:rPr>
                <w:kern w:val="0"/>
                <w:sz w:val="24"/>
                <w:szCs w:val="24"/>
              </w:rPr>
            </w:pPr>
          </w:p>
        </w:tc>
        <w:tc>
          <w:tcPr>
            <w:tcW w:w="1701" w:type="dxa"/>
            <w:vAlign w:val="center"/>
          </w:tcPr>
          <w:p w14:paraId="4FADA8BA">
            <w:pPr>
              <w:widowControl/>
              <w:jc w:val="center"/>
              <w:rPr>
                <w:kern w:val="0"/>
                <w:sz w:val="24"/>
                <w:szCs w:val="24"/>
              </w:rPr>
            </w:pPr>
          </w:p>
        </w:tc>
        <w:tc>
          <w:tcPr>
            <w:tcW w:w="2238" w:type="dxa"/>
            <w:vAlign w:val="center"/>
          </w:tcPr>
          <w:p w14:paraId="3FF390A1">
            <w:pPr>
              <w:widowControl/>
              <w:jc w:val="center"/>
              <w:rPr>
                <w:kern w:val="0"/>
                <w:sz w:val="24"/>
                <w:szCs w:val="24"/>
              </w:rPr>
            </w:pPr>
          </w:p>
        </w:tc>
        <w:tc>
          <w:tcPr>
            <w:tcW w:w="1848" w:type="dxa"/>
            <w:vAlign w:val="center"/>
          </w:tcPr>
          <w:p w14:paraId="215312AD">
            <w:pPr>
              <w:widowControl/>
              <w:jc w:val="center"/>
              <w:rPr>
                <w:kern w:val="0"/>
                <w:sz w:val="24"/>
                <w:szCs w:val="24"/>
              </w:rPr>
            </w:pPr>
          </w:p>
        </w:tc>
      </w:tr>
      <w:tr w14:paraId="3ED1E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D459F57">
            <w:pPr>
              <w:widowControl/>
              <w:jc w:val="left"/>
              <w:rPr>
                <w:kern w:val="0"/>
                <w:sz w:val="24"/>
                <w:szCs w:val="24"/>
              </w:rPr>
            </w:pPr>
          </w:p>
        </w:tc>
        <w:tc>
          <w:tcPr>
            <w:tcW w:w="1701" w:type="dxa"/>
            <w:vAlign w:val="center"/>
          </w:tcPr>
          <w:p w14:paraId="4C28520A">
            <w:pPr>
              <w:widowControl/>
              <w:jc w:val="center"/>
              <w:rPr>
                <w:kern w:val="0"/>
                <w:sz w:val="24"/>
                <w:szCs w:val="24"/>
              </w:rPr>
            </w:pPr>
          </w:p>
        </w:tc>
        <w:tc>
          <w:tcPr>
            <w:tcW w:w="2238" w:type="dxa"/>
            <w:vAlign w:val="center"/>
          </w:tcPr>
          <w:p w14:paraId="49E2ECEB">
            <w:pPr>
              <w:widowControl/>
              <w:jc w:val="center"/>
              <w:rPr>
                <w:kern w:val="0"/>
                <w:sz w:val="24"/>
                <w:szCs w:val="24"/>
              </w:rPr>
            </w:pPr>
          </w:p>
        </w:tc>
        <w:tc>
          <w:tcPr>
            <w:tcW w:w="1848" w:type="dxa"/>
            <w:vAlign w:val="center"/>
          </w:tcPr>
          <w:p w14:paraId="49078B29">
            <w:pPr>
              <w:widowControl/>
              <w:jc w:val="center"/>
              <w:rPr>
                <w:kern w:val="0"/>
                <w:sz w:val="24"/>
                <w:szCs w:val="24"/>
              </w:rPr>
            </w:pPr>
          </w:p>
        </w:tc>
      </w:tr>
      <w:tr w14:paraId="308F0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FE37A6C">
            <w:pPr>
              <w:widowControl/>
              <w:jc w:val="left"/>
              <w:rPr>
                <w:sz w:val="24"/>
              </w:rPr>
            </w:pPr>
          </w:p>
        </w:tc>
        <w:tc>
          <w:tcPr>
            <w:tcW w:w="1701" w:type="dxa"/>
            <w:vAlign w:val="center"/>
          </w:tcPr>
          <w:p w14:paraId="700C1504">
            <w:pPr>
              <w:widowControl/>
              <w:jc w:val="center"/>
              <w:rPr>
                <w:kern w:val="0"/>
                <w:sz w:val="24"/>
                <w:szCs w:val="24"/>
              </w:rPr>
            </w:pPr>
          </w:p>
        </w:tc>
        <w:tc>
          <w:tcPr>
            <w:tcW w:w="2238" w:type="dxa"/>
            <w:vAlign w:val="center"/>
          </w:tcPr>
          <w:p w14:paraId="3D796681">
            <w:pPr>
              <w:widowControl/>
              <w:jc w:val="center"/>
              <w:rPr>
                <w:kern w:val="0"/>
                <w:sz w:val="24"/>
                <w:szCs w:val="24"/>
              </w:rPr>
            </w:pPr>
          </w:p>
        </w:tc>
        <w:tc>
          <w:tcPr>
            <w:tcW w:w="1848" w:type="dxa"/>
            <w:vAlign w:val="center"/>
          </w:tcPr>
          <w:p w14:paraId="012D71EB">
            <w:pPr>
              <w:widowControl/>
              <w:jc w:val="center"/>
              <w:rPr>
                <w:kern w:val="0"/>
                <w:sz w:val="24"/>
                <w:szCs w:val="24"/>
              </w:rPr>
            </w:pPr>
          </w:p>
        </w:tc>
      </w:tr>
      <w:tr w14:paraId="58DE2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021A98">
            <w:pPr>
              <w:widowControl/>
              <w:jc w:val="left"/>
              <w:rPr>
                <w:sz w:val="24"/>
              </w:rPr>
            </w:pPr>
          </w:p>
        </w:tc>
        <w:tc>
          <w:tcPr>
            <w:tcW w:w="1701" w:type="dxa"/>
            <w:vAlign w:val="center"/>
          </w:tcPr>
          <w:p w14:paraId="7039668B">
            <w:pPr>
              <w:widowControl/>
              <w:jc w:val="center"/>
              <w:rPr>
                <w:kern w:val="0"/>
                <w:sz w:val="24"/>
                <w:szCs w:val="24"/>
              </w:rPr>
            </w:pPr>
          </w:p>
        </w:tc>
        <w:tc>
          <w:tcPr>
            <w:tcW w:w="2238" w:type="dxa"/>
            <w:vAlign w:val="center"/>
          </w:tcPr>
          <w:p w14:paraId="777F04EE">
            <w:pPr>
              <w:widowControl/>
              <w:jc w:val="center"/>
              <w:rPr>
                <w:kern w:val="0"/>
                <w:sz w:val="24"/>
                <w:szCs w:val="24"/>
              </w:rPr>
            </w:pPr>
          </w:p>
        </w:tc>
        <w:tc>
          <w:tcPr>
            <w:tcW w:w="1848" w:type="dxa"/>
            <w:vAlign w:val="center"/>
          </w:tcPr>
          <w:p w14:paraId="55EC5A08">
            <w:pPr>
              <w:widowControl/>
              <w:jc w:val="center"/>
              <w:rPr>
                <w:kern w:val="0"/>
                <w:sz w:val="24"/>
                <w:szCs w:val="24"/>
              </w:rPr>
            </w:pPr>
          </w:p>
        </w:tc>
      </w:tr>
      <w:tr w14:paraId="43DA3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5338B3F">
            <w:pPr>
              <w:widowControl/>
              <w:jc w:val="center"/>
              <w:rPr>
                <w:sz w:val="24"/>
              </w:rPr>
            </w:pPr>
          </w:p>
        </w:tc>
        <w:tc>
          <w:tcPr>
            <w:tcW w:w="1701" w:type="dxa"/>
            <w:vAlign w:val="center"/>
          </w:tcPr>
          <w:p w14:paraId="72012F29">
            <w:pPr>
              <w:widowControl/>
              <w:jc w:val="center"/>
              <w:rPr>
                <w:kern w:val="0"/>
                <w:sz w:val="24"/>
                <w:szCs w:val="24"/>
              </w:rPr>
            </w:pPr>
          </w:p>
        </w:tc>
        <w:tc>
          <w:tcPr>
            <w:tcW w:w="2238" w:type="dxa"/>
            <w:vAlign w:val="center"/>
          </w:tcPr>
          <w:p w14:paraId="142E3659">
            <w:pPr>
              <w:widowControl/>
              <w:jc w:val="center"/>
              <w:rPr>
                <w:kern w:val="0"/>
                <w:sz w:val="24"/>
                <w:szCs w:val="24"/>
              </w:rPr>
            </w:pPr>
          </w:p>
        </w:tc>
        <w:tc>
          <w:tcPr>
            <w:tcW w:w="1848" w:type="dxa"/>
            <w:vAlign w:val="center"/>
          </w:tcPr>
          <w:p w14:paraId="3C6712FD">
            <w:pPr>
              <w:widowControl/>
              <w:jc w:val="center"/>
              <w:rPr>
                <w:kern w:val="0"/>
                <w:sz w:val="24"/>
                <w:szCs w:val="24"/>
              </w:rPr>
            </w:pPr>
          </w:p>
        </w:tc>
      </w:tr>
    </w:tbl>
    <w:p w14:paraId="5012E103">
      <w:pPr>
        <w:ind w:left="180"/>
        <w:rPr>
          <w:sz w:val="22"/>
          <w:szCs w:val="24"/>
        </w:rPr>
      </w:pPr>
      <w:r>
        <w:rPr>
          <w:sz w:val="22"/>
          <w:szCs w:val="24"/>
        </w:rPr>
        <w:t xml:space="preserve">注：1. 本表第一行填写本项目投标总价 </w:t>
      </w:r>
    </w:p>
    <w:p w14:paraId="6977F102">
      <w:pPr>
        <w:ind w:left="180" w:firstLine="440" w:firstLineChars="200"/>
      </w:pPr>
      <w:r>
        <w:rPr>
          <w:sz w:val="22"/>
          <w:szCs w:val="24"/>
        </w:rPr>
        <w:t>2. 下面应填写分项价格及分项名称（分项名称可根据实际情况增减、修改），分项价格汇总应等于总价</w:t>
      </w:r>
    </w:p>
    <w:p w14:paraId="673DA9A7">
      <w:pPr>
        <w:spacing w:line="460" w:lineRule="exact"/>
        <w:ind w:left="192" w:firstLine="3948" w:firstLineChars="1645"/>
        <w:rPr>
          <w:sz w:val="24"/>
        </w:rPr>
      </w:pPr>
    </w:p>
    <w:p w14:paraId="245FDCC3">
      <w:pPr>
        <w:spacing w:line="360" w:lineRule="auto"/>
        <w:ind w:firstLine="4080" w:firstLineChars="1700"/>
        <w:rPr>
          <w:sz w:val="24"/>
        </w:rPr>
      </w:pPr>
      <w:r>
        <w:rPr>
          <w:sz w:val="24"/>
        </w:rPr>
        <w:t>投标人名称：</w:t>
      </w:r>
    </w:p>
    <w:p w14:paraId="48B3EA01">
      <w:pPr>
        <w:spacing w:line="360" w:lineRule="auto"/>
        <w:ind w:firstLine="4080" w:firstLineChars="1700"/>
        <w:rPr>
          <w:sz w:val="24"/>
        </w:rPr>
      </w:pPr>
    </w:p>
    <w:p w14:paraId="7810F62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8255C2">
      <w:pPr>
        <w:spacing w:line="460" w:lineRule="exact"/>
        <w:rPr>
          <w:sz w:val="24"/>
        </w:rPr>
      </w:pPr>
    </w:p>
    <w:sectPr>
      <w:headerReference r:id="rId1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DBCE9F">
    <w:pPr>
      <w:pStyle w:val="8"/>
      <w:jc w:val="center"/>
      <w:rPr>
        <w:lang w:eastAsia="zh-CN"/>
      </w:rP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57296269"/>
      <w:docPartObj>
        <w:docPartGallery w:val="autotext"/>
      </w:docPartObj>
    </w:sdtPr>
    <w:sdtContent>
      <w:p w14:paraId="0010C82C">
        <w:pPr>
          <w:pStyle w:val="8"/>
          <w:jc w:val="center"/>
        </w:pPr>
        <w:r>
          <w:fldChar w:fldCharType="begin"/>
        </w:r>
        <w:r>
          <w:instrText xml:space="preserve">PAGE   \* MERGEFORMAT</w:instrText>
        </w:r>
        <w:r>
          <w:fldChar w:fldCharType="separate"/>
        </w:r>
        <w:r>
          <w:rPr>
            <w:lang w:val="zh-CN" w:eastAsia="zh-CN"/>
          </w:rPr>
          <w:t>56</w:t>
        </w:r>
        <w:r>
          <w:fldChar w:fldCharType="end"/>
        </w:r>
      </w:p>
    </w:sdtContent>
  </w:sdt>
  <w:p w14:paraId="36CA1ABA">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7BEE33">
    <w:pPr>
      <w:pStyle w:val="8"/>
      <w:framePr w:wrap="around" w:vAnchor="text" w:hAnchor="margin" w:xAlign="center" w:y="1"/>
      <w:rPr>
        <w:rStyle w:val="20"/>
      </w:rPr>
    </w:pPr>
    <w:r>
      <w:rPr>
        <w:rStyle w:val="20"/>
      </w:rPr>
      <w:fldChar w:fldCharType="begin"/>
    </w:r>
    <w:r>
      <w:rPr>
        <w:rStyle w:val="20"/>
      </w:rPr>
      <w:instrText xml:space="preserve">PAGE  </w:instrText>
    </w:r>
    <w:r>
      <w:rPr>
        <w:rStyle w:val="20"/>
      </w:rPr>
      <w:fldChar w:fldCharType="end"/>
    </w:r>
  </w:p>
  <w:p w14:paraId="18B62798">
    <w:pPr>
      <w:pStyle w:val="8"/>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92132274"/>
      <w:docPartObj>
        <w:docPartGallery w:val="autotext"/>
      </w:docPartObj>
    </w:sdtPr>
    <w:sdtContent>
      <w:p w14:paraId="382894F1">
        <w:pPr>
          <w:pStyle w:val="8"/>
          <w:jc w:val="center"/>
        </w:pPr>
        <w:r>
          <w:fldChar w:fldCharType="begin"/>
        </w:r>
        <w:r>
          <w:instrText xml:space="preserve">PAGE   \* MERGEFORMAT</w:instrText>
        </w:r>
        <w:r>
          <w:fldChar w:fldCharType="separate"/>
        </w:r>
        <w:r>
          <w:rPr>
            <w:lang w:val="zh-CN" w:eastAsia="zh-CN"/>
          </w:rPr>
          <w:t>34</w:t>
        </w:r>
        <w:r>
          <w:fldChar w:fldCharType="end"/>
        </w:r>
      </w:p>
    </w:sdtContent>
  </w:sdt>
  <w:p w14:paraId="7E953D5B">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AE0191">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059A38">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84E5E">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C6D3E8">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C4C2A0">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8921C">
    <w:pPr>
      <w:pStyle w:val="9"/>
      <w:jc w:val="both"/>
    </w:pPr>
    <w:r>
      <w:rPr>
        <w:rFonts w:hint="eastAsia"/>
        <w:lang w:eastAsia="zh-CN"/>
      </w:rPr>
      <w:t>竞争性</w:t>
    </w:r>
    <w:r>
      <w:rPr>
        <w:rFonts w:hint="eastAsia"/>
      </w:rPr>
      <w:t>磋商文件                                                              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A2C83">
    <w:pPr>
      <w:pStyle w:val="9"/>
      <w:jc w:val="both"/>
    </w:pPr>
    <w:r>
      <w:rPr>
        <w:rFonts w:hint="eastAsia"/>
        <w:lang w:eastAsia="zh-CN"/>
      </w:rPr>
      <w:t>竞争性</w:t>
    </w:r>
    <w:r>
      <w:rPr>
        <w:rFonts w:hint="eastAsia"/>
      </w:rPr>
      <w:t xml:space="preserve">磋商文件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5E794">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 w:val="042A120D"/>
    <w:rsid w:val="1A0E6ACF"/>
    <w:rsid w:val="20531848"/>
    <w:rsid w:val="212417F0"/>
    <w:rsid w:val="252325B6"/>
    <w:rsid w:val="2A0A3D5A"/>
    <w:rsid w:val="2F721B2B"/>
    <w:rsid w:val="32DE1CE0"/>
    <w:rsid w:val="33492D04"/>
    <w:rsid w:val="34A75058"/>
    <w:rsid w:val="378B4D1E"/>
    <w:rsid w:val="38534D7D"/>
    <w:rsid w:val="3C461E13"/>
    <w:rsid w:val="3E7E575C"/>
    <w:rsid w:val="4D97263C"/>
    <w:rsid w:val="4FD80B7D"/>
    <w:rsid w:val="55F935FB"/>
    <w:rsid w:val="5E5A37D0"/>
    <w:rsid w:val="616607B3"/>
    <w:rsid w:val="6501777D"/>
    <w:rsid w:val="6AD803F7"/>
    <w:rsid w:val="6B2313EE"/>
    <w:rsid w:val="73866A73"/>
    <w:rsid w:val="7AC3217F"/>
    <w:rsid w:val="7C0E5228"/>
    <w:rsid w:val="7E2067E3"/>
    <w:rsid w:val="7F4021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 w:type="character" w:customStyle="1" w:styleId="76">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2.pn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8.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footer" Target="footer2.xml"/><Relationship Id="rId10" Type="http://schemas.openxmlformats.org/officeDocument/2006/relationships/header" Target="head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BE50AA-2B12-407F-9FAD-1B108C16D442}">
  <ds:schemaRefs/>
</ds:datastoreItem>
</file>

<file path=docProps/app.xml><?xml version="1.0" encoding="utf-8"?>
<Properties xmlns="http://schemas.openxmlformats.org/officeDocument/2006/extended-properties" xmlns:vt="http://schemas.openxmlformats.org/officeDocument/2006/docPropsVTypes">
  <Template>Normal.dotm</Template>
  <Pages>190</Pages>
  <Words>11225</Words>
  <Characters>12067</Characters>
  <Lines>212</Lines>
  <Paragraphs>59</Paragraphs>
  <TotalTime>93</TotalTime>
  <ScaleCrop>false</ScaleCrop>
  <LinksUpToDate>false</LinksUpToDate>
  <CharactersWithSpaces>12166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2024-06-12T06:43:00Z</dcterms:created>
  <dc:creator>未定义</dc:creator>
  <cp:lastModifiedBy>尃翟</cp:lastModifiedBy>
  <cp:lastPrinted>2015-08-04T03:01:00Z</cp:lastPrinted>
  <dcterms:modified xsi:type="dcterms:W3CDTF">2025-12-02T04:34:44Z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8483EF7ACD004DEF8420555AD2545B2B_13</vt:lpwstr>
  </property>
</Properties>
</file>