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4"/>
        <w:rPr>
          <w:rFonts w:ascii="Times New Roman" w:hAnsi="Times New Roman"/>
        </w:rPr>
      </w:pPr>
      <w:bookmarkStart w:id="2" w:name="_GoBack"/>
      <w:bookmarkEnd w:id="2"/>
    </w:p>
    <w:p>
      <w:pPr>
        <w:tabs>
          <w:tab w:val="left" w:pos="210"/>
        </w:tabs>
        <w:autoSpaceDE w:val="0"/>
        <w:autoSpaceDN w:val="0"/>
        <w:adjustRightInd w:val="0"/>
        <w:spacing w:line="360" w:lineRule="auto"/>
        <w:ind w:firstLine="480" w:firstLineChars="200"/>
        <w:outlineLvl w:val="0"/>
        <w:rPr>
          <w:color w:val="000000"/>
          <w:sz w:val="24"/>
          <w:szCs w:val="24"/>
        </w:rPr>
      </w:pPr>
      <w:r>
        <w:rPr>
          <w:rFonts w:hint="eastAsia" w:hAnsiTheme="minorEastAsia"/>
          <w:sz w:val="24"/>
          <w:szCs w:val="24"/>
        </w:rPr>
        <w:t>商务要求</w:t>
      </w:r>
    </w:p>
    <w:p>
      <w:pPr>
        <w:autoSpaceDE w:val="0"/>
        <w:autoSpaceDN w:val="0"/>
        <w:adjustRightInd w:val="0"/>
        <w:spacing w:line="360" w:lineRule="auto"/>
        <w:ind w:firstLine="480"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pPr>
        <w:autoSpaceDE w:val="0"/>
        <w:autoSpaceDN w:val="0"/>
        <w:adjustRightInd w:val="0"/>
        <w:spacing w:line="360" w:lineRule="auto"/>
        <w:ind w:firstLine="480"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pPr>
        <w:autoSpaceDE w:val="0"/>
        <w:autoSpaceDN w:val="0"/>
        <w:adjustRightInd w:val="0"/>
        <w:spacing w:line="360" w:lineRule="auto"/>
        <w:ind w:firstLine="480" w:firstLineChars="200"/>
        <w:rPr>
          <w:color w:val="000000"/>
          <w:sz w:val="24"/>
        </w:rPr>
      </w:pPr>
      <w:r>
        <w:rPr>
          <w:rFonts w:hint="eastAsia"/>
          <w:color w:val="000000"/>
          <w:sz w:val="24"/>
        </w:rPr>
        <w:t xml:space="preserve">2. </w:t>
      </w:r>
      <w:r>
        <w:rPr>
          <w:rFonts w:hint="eastAsia" w:hAnsiTheme="minorEastAsia"/>
          <w:color w:val="000000"/>
          <w:sz w:val="24"/>
        </w:rPr>
        <w:t>投标人的报价应包括：设备主机及附件货款、运输费、运输保险费、装卸费、安装调试费及其他应有的费用。投标人所报价格为货到现场安装调试完成的最终优惠价格。</w:t>
      </w:r>
    </w:p>
    <w:p>
      <w:pPr>
        <w:spacing w:line="360" w:lineRule="auto"/>
        <w:ind w:firstLine="480" w:firstLineChars="200"/>
        <w:rPr>
          <w:kern w:val="0"/>
          <w:sz w:val="24"/>
          <w:szCs w:val="24"/>
        </w:rPr>
      </w:pPr>
      <w:r>
        <w:rPr>
          <w:rFonts w:hint="eastAsia"/>
          <w:color w:val="000000" w:themeColor="text1"/>
          <w:kern w:val="0"/>
          <w:sz w:val="24"/>
          <w:szCs w:val="24"/>
          <w14:textFill>
            <w14:solidFill>
              <w14:schemeClr w14:val="tx1"/>
            </w14:solidFill>
          </w14:textFill>
        </w:rPr>
        <w:t>3. 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若出现异常低价投标情况，评审委员会启动异常低价投标审查程序（详见本文件第三部分31.1）。</w:t>
      </w:r>
    </w:p>
    <w:p>
      <w:pPr>
        <w:spacing w:line="360" w:lineRule="auto"/>
        <w:ind w:firstLine="480" w:firstLineChars="200"/>
        <w:rPr>
          <w:kern w:val="0"/>
          <w:sz w:val="24"/>
          <w:szCs w:val="24"/>
        </w:rPr>
      </w:pPr>
      <w:r>
        <w:rPr>
          <w:rFonts w:hint="eastAsia"/>
          <w:kern w:val="0"/>
          <w:sz w:val="24"/>
          <w:szCs w:val="24"/>
        </w:rPr>
        <w:t xml:space="preserve">4. </w:t>
      </w:r>
      <w:r>
        <w:rPr>
          <w:rFonts w:hAnsiTheme="minorEastAsia"/>
          <w:sz w:val="24"/>
        </w:rPr>
        <w:t>验收相关费用由投标人负责。</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（二）服务要求</w:t>
      </w:r>
    </w:p>
    <w:p>
      <w:pPr>
        <w:autoSpaceDE w:val="0"/>
        <w:autoSpaceDN w:val="0"/>
        <w:adjustRightInd w:val="0"/>
        <w:spacing w:line="360" w:lineRule="auto"/>
        <w:ind w:firstLine="480" w:firstLineChars="200"/>
        <w:rPr>
          <w:sz w:val="24"/>
        </w:rPr>
      </w:pPr>
      <w:r>
        <w:rPr>
          <w:rFonts w:hint="eastAsia"/>
          <w:sz w:val="24"/>
        </w:rPr>
        <w:t>1. 提供所投产品至少5年的免费保修，终身维修。</w:t>
      </w:r>
    </w:p>
    <w:p>
      <w:pPr>
        <w:autoSpaceDE w:val="0"/>
        <w:autoSpaceDN w:val="0"/>
        <w:adjustRightInd w:val="0"/>
        <w:spacing w:line="360" w:lineRule="auto"/>
        <w:ind w:firstLine="480" w:firstLineChars="200"/>
        <w:rPr>
          <w:sz w:val="24"/>
        </w:rPr>
      </w:pPr>
      <w:r>
        <w:rPr>
          <w:rFonts w:hint="eastAsia"/>
          <w:sz w:val="24"/>
        </w:rPr>
        <w:t>2. 保修期内免费更换零配件，7×24小时技术响应，24小时内维修工程师到达维修现场。保修期自验收合格之日起计算。</w:t>
      </w:r>
    </w:p>
    <w:p>
      <w:pPr>
        <w:autoSpaceDE w:val="0"/>
        <w:autoSpaceDN w:val="0"/>
        <w:adjustRightInd w:val="0"/>
        <w:spacing w:line="360" w:lineRule="auto"/>
        <w:ind w:firstLine="480" w:firstLineChars="200"/>
        <w:rPr>
          <w:sz w:val="24"/>
        </w:rPr>
      </w:pPr>
      <w:r>
        <w:rPr>
          <w:rFonts w:hint="eastAsia"/>
          <w:sz w:val="24"/>
        </w:rPr>
        <w:t>3. 提供所投产品制造商服务机构情况，包括地址、联系方式及技术人员数量等。</w:t>
      </w:r>
    </w:p>
    <w:p>
      <w:pPr>
        <w:autoSpaceDE w:val="0"/>
        <w:autoSpaceDN w:val="0"/>
        <w:adjustRightInd w:val="0"/>
        <w:spacing w:line="360" w:lineRule="auto"/>
        <w:ind w:firstLine="480" w:firstLineChars="200"/>
        <w:rPr>
          <w:sz w:val="24"/>
        </w:rPr>
      </w:pPr>
      <w:r>
        <w:rPr>
          <w:rFonts w:hint="eastAsia"/>
          <w:sz w:val="24"/>
        </w:rPr>
        <w:t>4.  提供现场技术培训。</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（三）交货要求</w:t>
      </w:r>
    </w:p>
    <w:p>
      <w:pPr>
        <w:autoSpaceDE w:val="0"/>
        <w:autoSpaceDN w:val="0"/>
        <w:adjustRightInd w:val="0"/>
        <w:spacing w:line="360" w:lineRule="auto"/>
        <w:ind w:firstLine="480" w:firstLineChars="200"/>
        <w:rPr>
          <w:color w:val="000000"/>
          <w:sz w:val="24"/>
        </w:rPr>
      </w:pPr>
      <w:r>
        <w:rPr>
          <w:rFonts w:hint="eastAsia"/>
          <w:color w:val="000000"/>
          <w:sz w:val="24"/>
        </w:rPr>
        <w:t xml:space="preserve">1. </w:t>
      </w:r>
      <w:r>
        <w:rPr>
          <w:rFonts w:hint="eastAsia" w:hAnsiTheme="minorEastAsia"/>
          <w:color w:val="000000"/>
          <w:sz w:val="24"/>
        </w:rPr>
        <w:t>交货期：</w:t>
      </w:r>
    </w:p>
    <w:p>
      <w:pPr>
        <w:autoSpaceDE w:val="0"/>
        <w:autoSpaceDN w:val="0"/>
        <w:adjustRightInd w:val="0"/>
        <w:spacing w:line="360" w:lineRule="auto"/>
        <w:ind w:firstLine="480" w:firstLineChars="200"/>
        <w:rPr>
          <w:sz w:val="24"/>
        </w:rPr>
      </w:pPr>
      <w:r>
        <w:rPr>
          <w:rFonts w:hint="eastAsia" w:hAnsiTheme="minorEastAsia"/>
          <w:sz w:val="24"/>
        </w:rPr>
        <w:t>货到时间：自签订合同之日起</w:t>
      </w:r>
      <w:r>
        <w:rPr>
          <w:rFonts w:hint="eastAsia"/>
          <w:sz w:val="24"/>
        </w:rPr>
        <w:t>30</w:t>
      </w:r>
      <w:r>
        <w:rPr>
          <w:rFonts w:hint="eastAsia" w:hAnsiTheme="minorEastAsia"/>
          <w:sz w:val="24"/>
        </w:rPr>
        <w:t>日内（特殊情况以合同为准）。</w:t>
      </w:r>
    </w:p>
    <w:p>
      <w:pPr>
        <w:autoSpaceDE w:val="0"/>
        <w:autoSpaceDN w:val="0"/>
        <w:adjustRightInd w:val="0"/>
        <w:spacing w:line="360" w:lineRule="auto"/>
        <w:ind w:firstLine="480" w:firstLineChars="200"/>
        <w:rPr>
          <w:sz w:val="24"/>
        </w:rPr>
      </w:pPr>
      <w:r>
        <w:rPr>
          <w:rFonts w:hint="eastAsia" w:hAnsiTheme="minorEastAsia"/>
          <w:sz w:val="24"/>
        </w:rPr>
        <w:t>安装完成：货到之日起</w:t>
      </w:r>
      <w:r>
        <w:rPr>
          <w:rFonts w:hint="eastAsia"/>
          <w:sz w:val="24"/>
        </w:rPr>
        <w:t>10</w:t>
      </w:r>
      <w:r>
        <w:rPr>
          <w:rFonts w:hint="eastAsia" w:hAnsiTheme="minorEastAsia"/>
          <w:sz w:val="24"/>
        </w:rPr>
        <w:t>日内（特殊情况以合同为准）。</w:t>
      </w:r>
    </w:p>
    <w:p>
      <w:pPr>
        <w:autoSpaceDE w:val="0"/>
        <w:autoSpaceDN w:val="0"/>
        <w:adjustRightInd w:val="0"/>
        <w:spacing w:line="360" w:lineRule="auto"/>
        <w:ind w:firstLine="480" w:firstLineChars="200"/>
        <w:rPr>
          <w:color w:val="000000"/>
          <w:sz w:val="24"/>
        </w:rPr>
      </w:pPr>
      <w:r>
        <w:rPr>
          <w:rFonts w:hint="eastAsia"/>
          <w:color w:val="000000"/>
          <w:sz w:val="24"/>
        </w:rPr>
        <w:t xml:space="preserve">2. </w:t>
      </w:r>
      <w:r>
        <w:rPr>
          <w:rFonts w:hint="eastAsia" w:hAnsiTheme="minorEastAsia"/>
          <w:color w:val="000000"/>
          <w:sz w:val="24"/>
        </w:rPr>
        <w:t>交货地点：天津市津南医院。</w:t>
      </w:r>
    </w:p>
    <w:p>
      <w:pPr>
        <w:autoSpaceDE w:val="0"/>
        <w:autoSpaceDN w:val="0"/>
        <w:adjustRightInd w:val="0"/>
        <w:spacing w:line="360" w:lineRule="auto"/>
        <w:ind w:firstLine="480"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pPr>
        <w:autoSpaceDE w:val="0"/>
        <w:autoSpaceDN w:val="0"/>
        <w:adjustRightInd w:val="0"/>
        <w:spacing w:line="360" w:lineRule="auto"/>
        <w:ind w:firstLine="480" w:firstLineChars="200"/>
        <w:rPr>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（四）付款方式</w:t>
      </w:r>
    </w:p>
    <w:p>
      <w:pPr>
        <w:autoSpaceDE w:val="0"/>
        <w:autoSpaceDN w:val="0"/>
        <w:adjustRightInd w:val="0"/>
        <w:spacing w:line="360" w:lineRule="auto"/>
        <w:ind w:firstLine="480" w:firstLineChars="200"/>
        <w:rPr>
          <w:rFonts w:hAnsiTheme="minorEastAsia"/>
          <w:sz w:val="24"/>
        </w:rPr>
      </w:pPr>
      <w:r>
        <w:rPr>
          <w:rFonts w:hint="eastAsia" w:hAnsiTheme="minorEastAsia"/>
          <w:sz w:val="24"/>
        </w:rPr>
        <w:t>货到现场安装、调试完毕，所有设备使用无质量问题，验收合格后30日内支付合同总额的90%，所有设备正常使用满一年且无质量问题，到期后10个工作日内支付合同总额的10%。（特殊情况以合同为准）</w:t>
      </w:r>
    </w:p>
    <w:p>
      <w:pPr>
        <w:autoSpaceDE w:val="0"/>
        <w:autoSpaceDN w:val="0"/>
        <w:adjustRightInd w:val="0"/>
        <w:spacing w:line="360" w:lineRule="auto"/>
        <w:ind w:firstLine="480" w:firstLineChars="200"/>
        <w:rPr>
          <w:sz w:val="24"/>
        </w:rPr>
      </w:pPr>
      <w:r>
        <w:rPr>
          <w:rFonts w:hint="eastAsia" w:hAnsiTheme="minorEastAsia"/>
          <w:sz w:val="24"/>
        </w:rPr>
        <w:t>投标人应在采购人支付费用前，向采购人开具符合采购人要求的发票，若投标人迟延开具发票或开具的发票不符合采购人要求，采购人有权延迟付款且不视为违约。</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（五）投标保证金和履约保证金</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本项目不收取投标保证金和履约保证金。</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（六）验收方法及标准</w:t>
      </w:r>
    </w:p>
    <w:p>
      <w:pPr>
        <w:autoSpaceDE w:val="0"/>
        <w:autoSpaceDN w:val="0"/>
        <w:adjustRightInd w:val="0"/>
        <w:spacing w:line="360" w:lineRule="auto"/>
        <w:ind w:firstLine="480" w:firstLineChars="200"/>
        <w:rPr>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验收结束后，应当出具验收书，列明各项标准的验收情况及项目总体评价，由验收双方共同签署。</w:t>
      </w:r>
    </w:p>
    <w:p>
      <w:pPr>
        <w:autoSpaceDE w:val="0"/>
        <w:autoSpaceDN w:val="0"/>
        <w:adjustRightInd w:val="0"/>
        <w:spacing w:line="360" w:lineRule="auto"/>
        <w:ind w:firstLine="480" w:firstLineChars="200"/>
        <w:rPr>
          <w:rFonts w:hAnsiTheme="minorEastAsia"/>
          <w:bCs/>
          <w:sz w:val="24"/>
        </w:rPr>
      </w:pPr>
    </w:p>
    <w:p>
      <w:pPr>
        <w:autoSpaceDE w:val="0"/>
        <w:autoSpaceDN w:val="0"/>
        <w:adjustRightInd w:val="0"/>
        <w:spacing w:line="360" w:lineRule="auto"/>
        <w:ind w:firstLine="480" w:firstLineChars="200"/>
        <w:rPr>
          <w:bCs/>
          <w:sz w:val="24"/>
        </w:rPr>
      </w:pPr>
      <w:r>
        <w:rPr>
          <w:rFonts w:hAnsiTheme="minorEastAsia"/>
          <w:bCs/>
          <w:sz w:val="24"/>
        </w:rPr>
        <w:t>技术要求</w:t>
      </w:r>
    </w:p>
    <w:p>
      <w:pPr>
        <w:spacing w:line="360" w:lineRule="auto"/>
        <w:ind w:firstLine="480" w:firstLineChars="200"/>
        <w:outlineLvl w:val="0"/>
        <w:rPr>
          <w:sz w:val="24"/>
        </w:rPr>
      </w:pPr>
      <w:r>
        <w:rPr>
          <w:rFonts w:hint="eastAsia" w:hAnsiTheme="minorEastAsia"/>
          <w:sz w:val="24"/>
        </w:rPr>
        <w:t>（一）投标人须承诺所投产品和服务符合相关强制性规定。交货时采购人有权要求投标人出具所投产品、服务符合上述规定的证明文件。</w:t>
      </w:r>
    </w:p>
    <w:p>
      <w:pPr>
        <w:spacing w:line="360" w:lineRule="auto"/>
        <w:ind w:firstLine="480" w:firstLineChars="200"/>
        <w:outlineLvl w:val="0"/>
        <w:rPr>
          <w:sz w:val="24"/>
        </w:rPr>
      </w:pPr>
      <w:r>
        <w:rPr>
          <w:rFonts w:hint="eastAsia" w:hAnsiTheme="minorEastAsia"/>
          <w:sz w:val="24"/>
        </w:rPr>
        <w:t>（二）</w:t>
      </w:r>
      <w:r>
        <w:rPr>
          <w:rFonts w:hAnsiTheme="minorEastAsia"/>
          <w:sz w:val="24"/>
        </w:rPr>
        <w:t>投标文件中对所投产品的名称、品牌、</w:t>
      </w:r>
      <w:r>
        <w:rPr>
          <w:rFonts w:hint="eastAsia" w:hAnsiTheme="minorEastAsia"/>
          <w:sz w:val="24"/>
        </w:rPr>
        <w:t>制造商</w:t>
      </w:r>
      <w:r>
        <w:rPr>
          <w:rFonts w:hAnsiTheme="minorEastAsia"/>
          <w:sz w:val="24"/>
        </w:rPr>
        <w:t>、产地、主要技术性能指标及其在技术、安全、性能、管理、厂家标准、使用年限及售后服务等方面情况提供详细的具有法律效力的技术资料。</w:t>
      </w:r>
    </w:p>
    <w:p>
      <w:pPr>
        <w:spacing w:line="360" w:lineRule="auto"/>
        <w:ind w:firstLine="480" w:firstLineChars="200"/>
        <w:outlineLvl w:val="0"/>
        <w:rPr>
          <w:sz w:val="24"/>
        </w:rPr>
      </w:pPr>
      <w:r>
        <w:rPr>
          <w:rFonts w:hint="eastAsia" w:hAnsiTheme="minorEastAsia"/>
          <w:sz w:val="24"/>
        </w:rPr>
        <w:t>（三）投标文件中提供能够证明所投产品性能质量的证明材料，如检测</w:t>
      </w:r>
      <w:r>
        <w:rPr>
          <w:rFonts w:hint="eastAsia"/>
          <w:sz w:val="24"/>
        </w:rPr>
        <w:t>/</w:t>
      </w:r>
      <w:r>
        <w:rPr>
          <w:rFonts w:hint="eastAsia" w:hAnsiTheme="minorEastAsia"/>
          <w:sz w:val="24"/>
        </w:rPr>
        <w:t>检验</w:t>
      </w:r>
      <w:r>
        <w:rPr>
          <w:rFonts w:hint="eastAsia"/>
          <w:sz w:val="24"/>
        </w:rPr>
        <w:t>/</w:t>
      </w:r>
      <w:r>
        <w:rPr>
          <w:rFonts w:hint="eastAsia" w:hAnsiTheme="minorEastAsia"/>
          <w:sz w:val="24"/>
        </w:rPr>
        <w:t>试验</w:t>
      </w:r>
      <w:r>
        <w:rPr>
          <w:rFonts w:hint="eastAsia"/>
          <w:sz w:val="24"/>
        </w:rPr>
        <w:t>/</w:t>
      </w:r>
      <w:r>
        <w:rPr>
          <w:rFonts w:hint="eastAsia" w:hAnsiTheme="minorEastAsia"/>
          <w:sz w:val="24"/>
        </w:rPr>
        <w:t>测试报告、与所投产品相关的知识产权证书、第三方认证机构出具的认证证书等。</w:t>
      </w:r>
    </w:p>
    <w:p>
      <w:pPr>
        <w:spacing w:line="360" w:lineRule="auto"/>
        <w:ind w:firstLine="480" w:firstLineChars="200"/>
        <w:outlineLvl w:val="0"/>
        <w:rPr>
          <w:sz w:val="24"/>
        </w:rPr>
      </w:pPr>
      <w:r>
        <w:rPr>
          <w:rFonts w:hint="eastAsia" w:hAnsiTheme="minorEastAsia"/>
          <w:sz w:val="24"/>
        </w:rPr>
        <w:t>（四）投标文件中提供能够证明所投产品制造商能力的证明材料，如质量管理体系认证、职业健康安全管理体系认证、环境管理体系认证等。</w:t>
      </w:r>
    </w:p>
    <w:p>
      <w:pPr>
        <w:spacing w:line="360" w:lineRule="auto"/>
        <w:ind w:firstLine="480" w:firstLineChars="200"/>
        <w:outlineLvl w:val="0"/>
        <w:rPr>
          <w:sz w:val="24"/>
        </w:rPr>
      </w:pPr>
      <w:r>
        <w:rPr>
          <w:rFonts w:hint="eastAsia" w:hAnsiTheme="minor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pPr>
        <w:autoSpaceDE w:val="0"/>
        <w:autoSpaceDN w:val="0"/>
        <w:adjustRightInd w:val="0"/>
        <w:spacing w:line="360" w:lineRule="auto"/>
        <w:ind w:firstLine="480" w:firstLineChars="200"/>
        <w:rPr>
          <w:bCs/>
          <w:sz w:val="24"/>
        </w:rPr>
      </w:pPr>
      <w:r>
        <w:rPr>
          <w:rFonts w:hint="eastAsia" w:hAnsiTheme="minorEastAsia"/>
          <w:sz w:val="24"/>
        </w:rPr>
        <w:t>（六）具体需求详见本部分项目需求书，</w:t>
      </w:r>
      <w:r>
        <w:rPr>
          <w:rFonts w:hint="eastAsia"/>
          <w:bCs/>
          <w:sz w:val="24"/>
        </w:rPr>
        <w:t>图片仅供参考，若文字表述与图片不一致时，以文字表述为准。</w:t>
      </w:r>
    </w:p>
    <w:p>
      <w:pPr>
        <w:autoSpaceDE w:val="0"/>
        <w:autoSpaceDN w:val="0"/>
        <w:adjustRightInd w:val="0"/>
        <w:spacing w:line="360" w:lineRule="auto"/>
        <w:rPr>
          <w:rFonts w:hAnsiTheme="minorEastAsia"/>
          <w:sz w:val="24"/>
        </w:rPr>
      </w:pPr>
    </w:p>
    <w:p>
      <w:pPr>
        <w:spacing w:line="360" w:lineRule="auto"/>
        <w:rPr>
          <w:sz w:val="24"/>
        </w:rPr>
      </w:pPr>
      <w:r>
        <w:rPr>
          <w:rFonts w:hint="eastAsia" w:hAnsiTheme="minorEastAsia"/>
          <w:sz w:val="24"/>
        </w:rPr>
        <w:t>采购清单</w:t>
      </w:r>
    </w:p>
    <w:p>
      <w:pPr>
        <w:autoSpaceDE w:val="0"/>
        <w:autoSpaceDN w:val="0"/>
        <w:adjustRightInd w:val="0"/>
        <w:spacing w:line="480" w:lineRule="auto"/>
        <w:jc w:val="left"/>
        <w:rPr>
          <w:rFonts w:ascii="宋体" w:hAnsi="宋体" w:cs="宋体"/>
          <w:color w:val="000000"/>
          <w:kern w:val="0"/>
          <w:sz w:val="24"/>
          <w:szCs w:val="24"/>
        </w:rPr>
      </w:pPr>
      <w:r>
        <w:rPr>
          <w:rFonts w:hint="eastAsia" w:ascii="PingFang SC" w:hAnsi="PingFang SC" w:eastAsia="PingFang SC" w:cs="PingFang SC"/>
          <w:color w:val="000000"/>
          <w:kern w:val="0"/>
          <w:sz w:val="24"/>
          <w:szCs w:val="21"/>
        </w:rPr>
        <w:t>▲</w:t>
      </w:r>
      <w:r>
        <w:rPr>
          <w:rFonts w:hint="eastAsia"/>
          <w:sz w:val="24"/>
        </w:rPr>
        <w:t>■</w:t>
      </w:r>
      <w:r>
        <w:rPr>
          <w:rFonts w:hint="eastAsia" w:ascii="PingFang SC" w:hAnsi="PingFang SC" w:eastAsia="PingFang SC" w:cs="PingFang SC"/>
          <w:color w:val="000000"/>
          <w:kern w:val="0"/>
          <w:sz w:val="24"/>
          <w:szCs w:val="21"/>
        </w:rPr>
        <w:t>1、</w:t>
      </w:r>
      <w:bookmarkStart w:id="0" w:name="OLE_LINK8"/>
      <w:bookmarkStart w:id="1" w:name="OLE_LINK7"/>
      <w:r>
        <w:rPr>
          <w:rFonts w:hint="eastAsia" w:ascii="宋体" w:hAnsi="宋体" w:cs="宋体"/>
          <w:color w:val="000000"/>
          <w:kern w:val="0"/>
          <w:sz w:val="24"/>
          <w:szCs w:val="24"/>
        </w:rPr>
        <w:t>终端电脑</w:t>
      </w:r>
      <w:bookmarkEnd w:id="0"/>
      <w:bookmarkEnd w:id="1"/>
      <w:r>
        <w:rPr>
          <w:rFonts w:hint="eastAsia" w:ascii="宋体" w:hAnsi="宋体" w:cs="宋体"/>
          <w:color w:val="000000"/>
          <w:kern w:val="0"/>
          <w:sz w:val="24"/>
          <w:szCs w:val="24"/>
        </w:rPr>
        <w:t>（</w:t>
      </w:r>
      <w:r>
        <w:rPr>
          <w:rFonts w:ascii="宋体" w:hAnsi="宋体" w:cs="宋体"/>
          <w:color w:val="000000"/>
          <w:kern w:val="0"/>
          <w:sz w:val="24"/>
          <w:szCs w:val="24"/>
        </w:rPr>
        <w:t>130</w:t>
      </w:r>
      <w:r>
        <w:rPr>
          <w:rFonts w:hint="eastAsia" w:ascii="宋体" w:hAnsi="宋体" w:cs="宋体"/>
          <w:color w:val="000000"/>
          <w:kern w:val="0"/>
          <w:sz w:val="24"/>
          <w:szCs w:val="24"/>
        </w:rPr>
        <w:t>套）</w:t>
      </w:r>
    </w:p>
    <w:tbl>
      <w:tblPr>
        <w:tblStyle w:val="32"/>
        <w:tblW w:w="8795" w:type="dxa"/>
        <w:tblInd w:w="10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
      <w:tblGrid>
        <w:gridCol w:w="633"/>
        <w:gridCol w:w="1130"/>
        <w:gridCol w:w="1150"/>
        <w:gridCol w:w="1315"/>
        <w:gridCol w:w="4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936" w:hRule="atLeast"/>
        </w:trPr>
        <w:tc>
          <w:tcPr>
            <w:tcW w:w="633" w:type="dxa"/>
            <w:shd w:val="clear" w:color="auto" w:fill="FFFFFF" w:themeFill="background1"/>
            <w:textDirection w:val="tbRlV"/>
          </w:tcPr>
          <w:p>
            <w:pPr>
              <w:widowControl/>
              <w:jc w:val="center"/>
              <w:textAlignment w:val="top"/>
              <w:rPr>
                <w:rFonts w:ascii="宋体" w:hAnsi="宋体" w:cs="宋体"/>
                <w:b/>
                <w:bCs/>
                <w:color w:val="000000"/>
                <w:sz w:val="20"/>
              </w:rPr>
            </w:pPr>
            <w:r>
              <w:rPr>
                <w:rFonts w:hint="eastAsia" w:ascii="宋体" w:hAnsi="宋体" w:cs="宋体"/>
                <w:b/>
                <w:bCs/>
                <w:color w:val="000000"/>
                <w:kern w:val="0"/>
                <w:sz w:val="20"/>
                <w:lang w:bidi="ar"/>
              </w:rPr>
              <w:t>序号</w:t>
            </w:r>
          </w:p>
        </w:tc>
        <w:tc>
          <w:tcPr>
            <w:tcW w:w="1130" w:type="dxa"/>
            <w:shd w:val="clear" w:color="auto" w:fill="FFFFFF" w:themeFill="background1"/>
            <w:vAlign w:val="center"/>
          </w:tcPr>
          <w:p>
            <w:pPr>
              <w:widowControl/>
              <w:jc w:val="center"/>
              <w:textAlignment w:val="center"/>
              <w:rPr>
                <w:rFonts w:ascii="宋体" w:hAnsi="宋体" w:cs="宋体"/>
                <w:b/>
                <w:bCs/>
                <w:color w:val="000000"/>
                <w:sz w:val="20"/>
              </w:rPr>
            </w:pPr>
            <w:r>
              <w:rPr>
                <w:rFonts w:hint="eastAsia" w:ascii="宋体" w:hAnsi="宋体" w:cs="宋体"/>
                <w:b/>
                <w:bCs/>
                <w:color w:val="000000"/>
                <w:kern w:val="0"/>
                <w:sz w:val="20"/>
                <w:lang w:bidi="ar"/>
              </w:rPr>
              <w:t>指标分类</w:t>
            </w:r>
          </w:p>
        </w:tc>
        <w:tc>
          <w:tcPr>
            <w:tcW w:w="1150" w:type="dxa"/>
            <w:shd w:val="clear" w:color="auto" w:fill="FFFFFF" w:themeFill="background1"/>
            <w:vAlign w:val="center"/>
          </w:tcPr>
          <w:p>
            <w:pPr>
              <w:widowControl/>
              <w:jc w:val="center"/>
              <w:textAlignment w:val="center"/>
              <w:rPr>
                <w:rFonts w:ascii="宋体" w:hAnsi="宋体" w:cs="宋体"/>
                <w:b/>
                <w:bCs/>
                <w:color w:val="000000"/>
                <w:kern w:val="0"/>
                <w:sz w:val="20"/>
                <w:lang w:bidi="ar"/>
              </w:rPr>
            </w:pPr>
            <w:r>
              <w:fldChar w:fldCharType="begin"/>
            </w:r>
            <w:r>
              <w:instrText xml:space="preserve"> HYPERLINK \l "Table2!A1" </w:instrText>
            </w:r>
            <w:r>
              <w:fldChar w:fldCharType="separate"/>
            </w:r>
            <w:r>
              <w:rPr>
                <w:rFonts w:hint="eastAsia" w:ascii="宋体" w:hAnsi="宋体" w:cs="宋体"/>
                <w:b/>
                <w:bCs/>
                <w:color w:val="000000"/>
                <w:kern w:val="0"/>
                <w:sz w:val="20"/>
                <w:lang w:bidi="ar"/>
              </w:rPr>
              <w:t>一级指标1</w:t>
            </w:r>
            <w:r>
              <w:rPr>
                <w:rFonts w:hint="eastAsia" w:ascii="宋体" w:hAnsi="宋体" w:cs="宋体"/>
                <w:b/>
                <w:bCs/>
                <w:color w:val="000000"/>
                <w:kern w:val="0"/>
                <w:sz w:val="20"/>
                <w:lang w:bidi="ar"/>
              </w:rPr>
              <w:fldChar w:fldCharType="end"/>
            </w:r>
          </w:p>
        </w:tc>
        <w:tc>
          <w:tcPr>
            <w:tcW w:w="1315" w:type="dxa"/>
            <w:shd w:val="clear" w:color="auto" w:fill="FFFFFF" w:themeFill="background1"/>
            <w:vAlign w:val="center"/>
          </w:tcPr>
          <w:p>
            <w:pPr>
              <w:widowControl/>
              <w:jc w:val="center"/>
              <w:textAlignment w:val="center"/>
              <w:rPr>
                <w:rFonts w:ascii="宋体" w:hAnsi="宋体" w:cs="宋体"/>
                <w:b/>
                <w:bCs/>
                <w:color w:val="000000"/>
                <w:sz w:val="20"/>
              </w:rPr>
            </w:pPr>
            <w:r>
              <w:rPr>
                <w:rFonts w:ascii="宋体" w:hAnsi="宋体" w:cs="宋体"/>
                <w:b/>
                <w:bCs/>
                <w:color w:val="000000"/>
                <w:sz w:val="20"/>
                <w:lang w:bidi="ar"/>
              </w:rPr>
              <w:t>二级指标</w:t>
            </w:r>
            <w:r>
              <w:rPr>
                <w:rFonts w:ascii="宋体" w:hAnsi="宋体" w:cs="宋体"/>
                <w:color w:val="000000"/>
                <w:sz w:val="20"/>
                <w:lang w:bidi="ar"/>
              </w:rPr>
              <w:t xml:space="preserve"> </w:t>
            </w:r>
            <w:r>
              <w:rPr>
                <w:rFonts w:ascii="宋体" w:hAnsi="宋体" w:cs="宋体"/>
                <w:b/>
                <w:bCs/>
                <w:color w:val="000000"/>
                <w:sz w:val="20"/>
                <w:lang w:bidi="ar"/>
              </w:rPr>
              <w:t>1</w:t>
            </w:r>
          </w:p>
        </w:tc>
        <w:tc>
          <w:tcPr>
            <w:tcW w:w="4567" w:type="dxa"/>
            <w:shd w:val="clear" w:color="auto" w:fill="FFFFFF" w:themeFill="background1"/>
            <w:vAlign w:val="center"/>
          </w:tcPr>
          <w:p>
            <w:pPr>
              <w:widowControl/>
              <w:jc w:val="left"/>
              <w:textAlignment w:val="center"/>
              <w:rPr>
                <w:rFonts w:ascii="宋体" w:hAnsi="宋体" w:cs="宋体"/>
                <w:b/>
                <w:bCs/>
                <w:color w:val="000000"/>
                <w:sz w:val="20"/>
              </w:rPr>
            </w:pPr>
            <w:r>
              <w:rPr>
                <w:rFonts w:hint="eastAsia" w:ascii="宋体" w:hAnsi="宋体" w:cs="宋体"/>
                <w:b/>
                <w:bCs/>
                <w:color w:val="000000"/>
                <w:kern w:val="0"/>
                <w:sz w:val="20"/>
                <w:lang w:bidi="ar"/>
              </w:rPr>
              <w:t>推荐标底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★CPU规格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★CPU 信息</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C86架构,核数≥8核，单核主频≥3.0Ghz，CPU符合国家安全可靠测评要求，安全可靠等级≥I级，在中国信息安全测评中心和国家保密科技测评中心网站等官方渠道可查看安全可靠测评结果。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★内存规格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★内存配置容量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≥16GB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★内存类型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支持DDR4及以上内存类型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★内存条配置数量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★主板规格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★主板集成模块</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★主板支持的 CPU和内存情况</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1颗海光C86-3G 3350 处理器，4个DDR4内存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主板内置PCIe 插槽数量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主板提供PCIe 插槽数量不少于3个，1个PCIe x16，1个PCIe x8，1个PCIe x1扩展槽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特殊孔位及接口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★主板其他内置接口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≥1个M.2 SSD接口≥4个SATA3.0接口≥8个USB 3.0接口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548"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★单内存插槽最大可支持容量（板载内存不涉及）</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≥16GB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290"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★内存插槽满配时提供的最高内存总容量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≥64GB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★存储设备规格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★固态盘数量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★固态存储容量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w:t>
            </w:r>
            <w:r>
              <w:rPr>
                <w:rFonts w:ascii="宋体" w:hAnsi="宋体" w:cs="宋体"/>
                <w:color w:val="000000"/>
                <w:kern w:val="0"/>
                <w:sz w:val="20"/>
                <w:lang w:bidi="ar"/>
              </w:rPr>
              <w:t>512G</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★机械硬盘数量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★机械硬盘总容量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w:t>
            </w:r>
            <w:r>
              <w:rPr>
                <w:rFonts w:ascii="宋体" w:hAnsi="宋体" w:cs="宋体"/>
                <w:color w:val="000000"/>
                <w:kern w:val="0"/>
                <w:sz w:val="20"/>
                <w:lang w:bidi="ar"/>
              </w:rPr>
              <w:t>1T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★机械硬盘转速</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kern w:val="0"/>
                <w:sz w:val="20"/>
                <w:lang w:bidi="ar"/>
              </w:rPr>
              <w:t>≥</w:t>
            </w:r>
            <w:r>
              <w:rPr>
                <w:rFonts w:ascii="宋体" w:hAnsi="宋体" w:cs="宋体"/>
                <w:kern w:val="0"/>
                <w:sz w:val="20"/>
                <w:lang w:bidi="ar"/>
              </w:rPr>
              <w:t>5400</w:t>
            </w:r>
            <w:r>
              <w:rPr>
                <w:rFonts w:hint="eastAsia" w:ascii="宋体" w:hAnsi="宋体" w:cs="宋体"/>
                <w:kern w:val="0"/>
                <w:sz w:val="20"/>
                <w:lang w:bidi="ar"/>
              </w:rPr>
              <w:t>rpm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机械硬盘接口协议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kern w:val="0"/>
                <w:sz w:val="20"/>
                <w:lang w:bidi="ar"/>
              </w:rPr>
              <w:t>支持SATA3.0及以上或SAS3.0及以上接口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★机械硬盘形态</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kern w:val="0"/>
                <w:sz w:val="20"/>
                <w:lang w:bidi="ar"/>
              </w:rPr>
              <w:t>2.5英寸或3.5英寸等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固态存储接口协议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SATA/PCIe/NVMe 等类型接口协议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★固态存储形态</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采用插卡或板载等形态，可选用符合M.2 或 2.5 寸 SATA 或 mSATA 等标准的插卡形态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存储设备扩展盘位</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★存储设备其他参数要求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kern w:val="0"/>
                <w:sz w:val="20"/>
                <w:lang w:bidi="ar"/>
              </w:rPr>
              <w:t>a)固态盘应符合SJ/T11654相关规定；b)机械硬盘准备时间应不大于30s；侧面固定螺丝孔数量可为4孔或6孔；工作状态环境温度应满足5℃~55℃;其它参数应符合GB/T12628相关规定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★显卡规格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★显卡类型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独立显卡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★独立显卡显存类型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配置独立显卡，显存类型应为DDR3/DDR4/GDDR5/GDDR6/LPDDR4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★独立显卡显存位宽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配置独立显卡，显存位宽≥64 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★独立显卡显存容量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配置独立显卡，显存容量≥2GB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独立显卡接口协议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 PCIe 协议版本大于等于 2.0 或 HT（HyperTransport）协议版本大于等于 3.0 的独立显卡接口协议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★显示设备规格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★显示屏屏占比</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★显示屏分辨率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≥1920x1080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显示屏像素密度</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显示屏可视角度</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水平≥178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★显示屏尺寸</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≥23 英寸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★显示屏屏幕比例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★显示器外观颜色</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黑色商务色系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★显示屏防蓝光</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支持防蓝光模式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★显示屏低频闪</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显示屏应支持低频闪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★显示屏防炫目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★外设规格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传声器数量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扬声器数量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★鼠标数量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摄像头数量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光驱数量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★键盘按键数目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61 键/86 键/101 键/104 键等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摄像头像素</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摄像头分辨率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扬声器功率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扬声器频率范围</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49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扬声器总谐波失真</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扬声器最大声压级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★键盘连接方式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有线或无线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★键盘键程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2.3mm ~ 4.0mm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★键盘按键压力</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按键压力应在 0.54 N±0.14N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★有线键盘连接线</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 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★键盘颜色</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黑色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键盘其他要求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★鼠标连接方式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有线或无线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★有线鼠标连接线</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 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59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★鼠标 DPI分辨率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~800 1600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★鼠标颜色</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黑色</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★鼠标其他要求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内置光驱</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★网络设备规格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★有线网卡数量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无线网卡及天线数量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单无线网卡天线数量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★外部接口规格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★USB 接口数量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机箱提供不少于8个主板原生USB 3.0接口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USB 母座接口要求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★视频接口数量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69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★音频接口数量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提供前置2个音频接口，后置3个音频接口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存储卡接口数量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90"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★整机基础规格</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★整机外观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a) 产品表面不应有凹痕、划伤、裂缝、变形和污染等。表面涂层均匀，不应起泡、龟裂、脱落和磨损，金属零部件无锈蚀及其它机械损伤；b) 产品表面说明功能的文字、符号、标志，应清晰、端正、牢固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★状态指示灯</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在产品显著位置提供状态指示功能，如运行状态，并由供应商提供详细参数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★整机结构</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★机箱防护要求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★整机噪音</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★整机散热</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★整机能效限定值</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★机身材质</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塑料/金属等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79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★机身颜色</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灰色/黑色等商务色系</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产品规格</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★机箱尺寸容量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12.4L≤机箱体积应≤14L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★CPU性能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★CPU 物理核数</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★CPU 主频</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≥3.0GHz</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★CPU 末级缓存容量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≥16MB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★CPU 支持的内存最高速率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≥3200MT/s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★内存性能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★内存读写速率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≥3200MT/s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★显卡性能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★显示分辨率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≥1920x1080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★显卡显示芯片核心频率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≥1300MHz</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★显存等效频率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≥2666MT/s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★显卡可支持多屏同时显示数量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显卡应支持 2 块屏幕同时显示，分辨率应不低于 1920×1080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★显示设备性能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★显示屏刷新率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≥100Hz</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★显示屏位深</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★显示屏色域</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≥99% sRGB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★显示屏色准</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★显示屏响应时间</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≤8ms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★显示屏亮度</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w:t>
            </w:r>
            <w:r>
              <w:rPr>
                <w:rFonts w:ascii="宋体" w:hAnsi="宋体" w:cs="宋体"/>
                <w:color w:val="000000"/>
                <w:kern w:val="0"/>
                <w:sz w:val="20"/>
                <w:lang w:bidi="ar"/>
              </w:rPr>
              <w:t xml:space="preserve">250 </w:t>
            </w:r>
            <w:r>
              <w:rPr>
                <w:rFonts w:hint="eastAsia" w:ascii="宋体" w:hAnsi="宋体" w:cs="宋体"/>
                <w:color w:val="000000"/>
                <w:kern w:val="0"/>
                <w:sz w:val="20"/>
                <w:lang w:bidi="ar"/>
              </w:rPr>
              <w:t>尼特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★显示屏亮度一致性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★显示屏对比度</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≥1500：1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★显示屏其他参数</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99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★网络设备性能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★有线网卡速率</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最高速率应不低于 1000Mbps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支持无线网络通信技术协议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性能要求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无线网卡频宽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★主板功能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★内存扩展接口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≥2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存储扩展接口(板载存储不涉及)</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 个</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 USB瞬间过流保护</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★主板防静电保护</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★I/O 接口功能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≥8个USB 3.0接口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★显卡功能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★显卡外接显示接口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≥1个HDMI，≥1个VGA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独立显卡数量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109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★显示设备功能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★显示器接口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显示器应与显卡外接显示接口匹配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★显示器支架</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显示器应提供显示器支架，支持俯仰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★显示器参数调节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外设功能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摄像头物理隐私保护开关</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传声器降噪</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键盘背光</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光驱功能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★存储功能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★存储功能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通过 SATA 固态存储/PCIe 固态存储/SATA 硬磁盘等存储部件提供存储功能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内置控制器固态存储加密</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★网络设备功能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★网络功能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119</w:t>
            </w:r>
          </w:p>
        </w:tc>
        <w:tc>
          <w:tcPr>
            <w:tcW w:w="1130" w:type="dxa"/>
            <w:shd w:val="clear" w:color="auto" w:fill="FFFFFF" w:themeFill="background1"/>
          </w:tcPr>
          <w:p>
            <w:pPr>
              <w:jc w:val="left"/>
              <w:rPr>
                <w:rFonts w:ascii="宋体" w:hAnsi="宋体" w:cs="宋体"/>
                <w:color w:val="000000"/>
                <w:sz w:val="20"/>
              </w:rPr>
            </w:pP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无线网卡频段</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物理开关</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★数据传输</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蓝牙协议</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★有线网卡接口类型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 RJ45 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无线网卡标准</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★网络设备拆装</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★外部接口功能电源功率</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★音频接口类型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 3.5mm 孔径 3 段式或 4 段式接口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★视频接口类型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至少支持 VGA、HDMI接口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290"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★HDMI、DP、Type-C 显示接口要求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若提供 HDMI 或 DP 或 Type-C 作为显示接口，应支持音频和视频同步输出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129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其他接口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存储卡接口类型</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★电源功能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★电源线适配能力</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color w:val="000000"/>
                <w:spacing w:val="-11"/>
                <w:sz w:val="20"/>
              </w:rPr>
              <w:t>电源功率≤180W，且电源通过80PLUS认证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★操作系统及软件功能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★中文信息处理要求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★操作系统备份及还原功能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★固件备份还原能力</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★操作系统及驱动升级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支持通过网络、闪存盘等方式对操作系统、驱动进行升级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★固件升级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支持通过网络、闪存盘等方式对固件进行升级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★BIOS 支持关闭通讯接口</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支持BIOS关闭以太网及USB接口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★固件查看信息</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139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★固件设置启动顺序</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★固件设置口令</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★固件设置网络引导</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生物识别功能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指纹识别</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人脸识别</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8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静脉识别</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硬件加速功能</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NPU/GPU等A I 加速模块</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视频编解码加速模块</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功能要求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影像处理加速模块</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★存储设备可靠性</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★固态存储寿命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TBW ≥ 80TB（条件：240GB 硬盘容量）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149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★机械硬盘寿命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★显示设备可靠性</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★显示屏屏幕失效点</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★外设可靠性</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★键盘按键寿命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★鼠标按键寿命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★键盘鼠标线材寿命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★风扇寿命</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★整机可靠性要求</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★电磁兼容性要求的抗扰度</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★环境条件要求的气候环境适应性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★环境条件要求的振动适应性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★环境条件要求的冲击适应性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159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★环境条件要求的碰撞适应性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90"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★环境条件要求的运输包装件跌落适应性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可靠性要求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★MTBF 测试</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MTBF≥100万小时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兼容要求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★兼容要求</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★常用软件兼容</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支持流式软件、版式软件、浏览器、邮件采购人端、解压软件、多媒体、图形图像处理等常用软件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兼容要求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★数据库兼容</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兼容要求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★中间件兼容</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兼容要求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★平台软件兼容</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包装及运输要求</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★包装及运输要求</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★标志、包装、运输和贮存</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★配置检查工具</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09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★服务响应</w:t>
            </w:r>
          </w:p>
        </w:tc>
        <w:tc>
          <w:tcPr>
            <w:tcW w:w="4567" w:type="dxa"/>
            <w:shd w:val="clear" w:color="auto" w:fill="FFFFFF" w:themeFill="background1"/>
            <w:vAlign w:val="center"/>
          </w:tcPr>
          <w:p>
            <w:pPr>
              <w:widowControl/>
              <w:jc w:val="left"/>
              <w:textAlignment w:val="center"/>
              <w:rPr>
                <w:rFonts w:ascii="宋体" w:hAnsi="宋体" w:cs="宋体"/>
                <w:color w:val="000000"/>
                <w:kern w:val="0"/>
                <w:sz w:val="20"/>
                <w:lang w:bidi="ar"/>
              </w:rPr>
            </w:pPr>
            <w:r>
              <w:rPr>
                <w:rFonts w:hint="eastAsia" w:ascii="宋体" w:hAnsi="宋体" w:cs="宋体"/>
                <w:color w:val="000000"/>
                <w:kern w:val="0"/>
                <w:sz w:val="20"/>
                <w:lang w:bidi="ar"/>
              </w:rPr>
              <w:t>a)供应商提供电话、电子邮件、远程连接等多种形式服务；b)供应商提供同城 4h、异地 12h 技术响应服务，2 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e）产品生命周期结束后，原厂需提供符合工信部要求的IT资产环保处置服务，包括上门回收、数据销毁、环保拆解，并提供《资产环保处置证明》，服务可通过电话或官方网站查询；</w:t>
            </w:r>
          </w:p>
          <w:p>
            <w:pPr>
              <w:widowControl/>
              <w:jc w:val="left"/>
              <w:textAlignment w:val="center"/>
              <w:rPr>
                <w:rFonts w:ascii="宋体" w:hAnsi="宋体" w:cs="宋体"/>
                <w:color w:val="000000"/>
                <w:sz w:val="20"/>
              </w:rPr>
            </w:pPr>
            <w:r>
              <w:rPr>
                <w:rFonts w:hint="eastAsia" w:ascii="宋体" w:hAnsi="宋体" w:cs="宋体"/>
                <w:sz w:val="20"/>
              </w:rPr>
              <w:t>f）供应商需提供1年5×8小时的一人驻场服务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169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★服务周期</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原厂保修服务不低于五年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★预装操作系统</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预装桌面操作系统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★培训服务</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供应商提供培训材料、产品手册、培训视频等培训相关内容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★典型问题解决手册</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供应商提供典型问题解决说明文档或视频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★厂家升级软件与扩容服务</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★整机质量服务要求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免费服务周期（含换件和维修）应不小于五年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★合格证书要求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供应商提供产品合格证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★开箱组装/使用指导要求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供应商提供开箱组装/使用指导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★驱动下载服务要求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供应商提供驱动光盘或下载方式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★兼容适配软件下载服务要求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179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服务要求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跨架构平台应用兼容</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180</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供应保障要求</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★供应链合规性</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★产品部件保障</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供应商保障产品主要部件，提供八年的备件服务能力（自购买之日起），或提供可兼容原设备的升级换代产品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181</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供应保障要求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★供应链质量</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★抗干扰性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当产品部件出现供应风险时，供应商应通知采购人并提供风险应对方案确保产品的服务保障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182</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供应保障要求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★供应能力证明</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供应商提供供应链稳定承诺书，确保产品的部件在产品服务周期内稳定供货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032"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183</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★关键部件安全要求</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★关键部件安全要求3</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CPU 和操作系统等关键部件应当符合安全可靠测评要求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184</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vMerge w:val="restart"/>
            <w:shd w:val="clear" w:color="auto" w:fill="FFFFFF" w:themeFill="background1"/>
            <w:vAlign w:val="center"/>
          </w:tcPr>
          <w:p>
            <w:pPr>
              <w:widowControl/>
              <w:jc w:val="center"/>
              <w:textAlignment w:val="center"/>
              <w:rPr>
                <w:rFonts w:ascii="宋体" w:hAnsi="宋体" w:cs="宋体"/>
                <w:color w:val="000000"/>
                <w:sz w:val="20"/>
              </w:rPr>
            </w:pPr>
            <w:r>
              <w:rPr>
                <w:rFonts w:hint="eastAsia" w:ascii="宋体" w:hAnsi="宋体" w:cs="宋体"/>
                <w:color w:val="000000"/>
                <w:kern w:val="0"/>
                <w:sz w:val="20"/>
                <w:lang w:bidi="ar"/>
              </w:rPr>
              <w:t>★整机安全性要求</w:t>
            </w: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★密码算法实现</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185</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vMerge w:val="continue"/>
            <w:shd w:val="clear" w:color="auto" w:fill="FFFFFF" w:themeFill="background1"/>
            <w:vAlign w:val="center"/>
          </w:tcPr>
          <w:p>
            <w:pPr>
              <w:jc w:val="center"/>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USB 端口管控</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支持USB端口管控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186</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vMerge w:val="restart"/>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安全物理锁</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支持安全物理锁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187</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★信息安全基本要求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516"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188</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★固件安全启动</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FFFFFF" w:themeFill="background1"/>
          <w:tblLayout w:type="fixed"/>
          <w:tblCellMar>
            <w:top w:w="0" w:type="dxa"/>
            <w:left w:w="108" w:type="dxa"/>
            <w:bottom w:w="0" w:type="dxa"/>
            <w:right w:w="108" w:type="dxa"/>
          </w:tblCellMar>
        </w:tblPrEx>
        <w:trPr>
          <w:trHeight w:val="774" w:hRule="atLeast"/>
        </w:trPr>
        <w:tc>
          <w:tcPr>
            <w:tcW w:w="633"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189</w:t>
            </w:r>
          </w:p>
        </w:tc>
        <w:tc>
          <w:tcPr>
            <w:tcW w:w="1130"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安全要求</w:t>
            </w:r>
          </w:p>
        </w:tc>
        <w:tc>
          <w:tcPr>
            <w:tcW w:w="1150" w:type="dxa"/>
            <w:vMerge w:val="continue"/>
            <w:shd w:val="clear" w:color="auto" w:fill="FFFFFF" w:themeFill="background1"/>
          </w:tcPr>
          <w:p>
            <w:pPr>
              <w:jc w:val="left"/>
              <w:rPr>
                <w:rFonts w:ascii="宋体" w:hAnsi="宋体" w:cs="宋体"/>
                <w:color w:val="000000"/>
                <w:sz w:val="20"/>
              </w:rPr>
            </w:pPr>
          </w:p>
        </w:tc>
        <w:tc>
          <w:tcPr>
            <w:tcW w:w="1315"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★限用物质的限量要求</w:t>
            </w:r>
          </w:p>
        </w:tc>
        <w:tc>
          <w:tcPr>
            <w:tcW w:w="4567" w:type="dxa"/>
            <w:shd w:val="clear" w:color="auto" w:fill="FFFFFF" w:themeFill="background1"/>
            <w:vAlign w:val="center"/>
          </w:tcPr>
          <w:p>
            <w:pPr>
              <w:widowControl/>
              <w:jc w:val="left"/>
              <w:textAlignment w:val="center"/>
              <w:rPr>
                <w:rFonts w:ascii="宋体" w:hAnsi="宋体" w:cs="宋体"/>
                <w:color w:val="000000"/>
                <w:sz w:val="20"/>
              </w:rPr>
            </w:pPr>
            <w:r>
              <w:rPr>
                <w:rFonts w:hint="eastAsia" w:ascii="宋体" w:hAnsi="宋体" w:cs="宋体"/>
                <w:color w:val="000000"/>
                <w:kern w:val="0"/>
                <w:sz w:val="20"/>
                <w:lang w:bidi="ar"/>
              </w:rPr>
              <w:t>不涉及</w:t>
            </w:r>
          </w:p>
        </w:tc>
      </w:tr>
    </w:tbl>
    <w:p>
      <w:pPr>
        <w:spacing w:line="360" w:lineRule="auto"/>
        <w:ind w:firstLine="480" w:firstLineChars="200"/>
        <w:outlineLvl w:val="0"/>
        <w:rPr>
          <w:sz w:val="24"/>
        </w:rPr>
      </w:pPr>
      <w:r>
        <w:rPr>
          <w:rFonts w:hint="eastAsia" w:hAnsiTheme="minorEastAsia"/>
          <w:sz w:val="24"/>
        </w:rPr>
        <w:t>注：</w:t>
      </w:r>
    </w:p>
    <w:p>
      <w:pPr>
        <w:spacing w:line="360" w:lineRule="auto"/>
        <w:ind w:firstLine="480"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pPr>
        <w:spacing w:line="360" w:lineRule="auto"/>
        <w:ind w:firstLine="480" w:firstLineChars="200"/>
        <w:outlineLvl w:val="0"/>
        <w:rPr>
          <w:sz w:val="24"/>
        </w:rPr>
      </w:pPr>
      <w:r>
        <w:rPr>
          <w:rFonts w:hint="eastAsia" w:hAnsiTheme="minorEastAsia"/>
          <w:sz w:val="24"/>
        </w:rPr>
        <w:t>加注</w:t>
      </w:r>
      <w:r>
        <w:rPr>
          <w:rFonts w:hint="eastAsia"/>
          <w:sz w:val="24"/>
        </w:rPr>
        <w:t>“▲”</w:t>
      </w:r>
      <w:r>
        <w:rPr>
          <w:rFonts w:hint="eastAsia" w:hAnsiTheme="minorEastAsia"/>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Theme="minorEastAsia"/>
          <w:sz w:val="24"/>
        </w:rPr>
        <w:t>条款执行。</w:t>
      </w:r>
    </w:p>
    <w:p>
      <w:pPr>
        <w:widowControl/>
        <w:spacing w:line="460" w:lineRule="exact"/>
        <w:outlineLvl w:val="1"/>
        <w:rPr>
          <w:rFonts w:ascii="宋体" w:hAnsi="宋体" w:cs="宋体"/>
          <w:b/>
          <w:bCs/>
          <w:kern w:val="0"/>
          <w:szCs w:val="21"/>
        </w:rPr>
      </w:pPr>
      <w:r>
        <w:rPr>
          <w:rFonts w:hint="eastAsia" w:hAnsiTheme="minorEastAsia"/>
          <w:sz w:val="24"/>
        </w:rPr>
        <w:t>加注</w:t>
      </w:r>
      <w:r>
        <w:rPr>
          <w:rFonts w:hint="eastAsia"/>
          <w:sz w:val="24"/>
        </w:rPr>
        <w:t>“■”</w:t>
      </w:r>
      <w:r>
        <w:rPr>
          <w:rFonts w:hint="eastAsia" w:hAnsiTheme="minor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hAnsiTheme="minorEastAsia"/>
          <w:sz w:val="24"/>
        </w:rPr>
        <w:t>〕</w:t>
      </w:r>
      <w:r>
        <w:rPr>
          <w:rFonts w:hint="eastAsia"/>
          <w:sz w:val="24"/>
        </w:rPr>
        <w:t>9</w:t>
      </w:r>
      <w:r>
        <w:rPr>
          <w:rFonts w:hint="eastAsia" w:hAnsiTheme="minorEastAsia"/>
          <w:sz w:val="24"/>
        </w:rPr>
        <w:t>号）、《关于印发环境标志产品政府采购品目清单的通知》（财库〔</w:t>
      </w:r>
      <w:r>
        <w:rPr>
          <w:rFonts w:hint="eastAsia"/>
          <w:sz w:val="24"/>
        </w:rPr>
        <w:t>2019</w:t>
      </w:r>
      <w:r>
        <w:rPr>
          <w:rFonts w:hint="eastAsia" w:hAnsiTheme="minorEastAsia"/>
          <w:sz w:val="24"/>
        </w:rPr>
        <w:t>〕</w:t>
      </w:r>
      <w:r>
        <w:rPr>
          <w:rFonts w:hint="eastAsia"/>
          <w:sz w:val="24"/>
        </w:rPr>
        <w:t>18</w:t>
      </w:r>
      <w:r>
        <w:rPr>
          <w:rFonts w:hint="eastAsia" w:hAnsiTheme="minorEastAsia"/>
          <w:sz w:val="24"/>
        </w:rPr>
        <w:t>号）、《关于印发节能产品政府采购品目清单的通知》（财库〔</w:t>
      </w:r>
      <w:r>
        <w:rPr>
          <w:rFonts w:hint="eastAsia"/>
          <w:sz w:val="24"/>
        </w:rPr>
        <w:t>2019</w:t>
      </w:r>
      <w:r>
        <w:rPr>
          <w:rFonts w:hint="eastAsia" w:hAnsiTheme="minorEastAsia"/>
          <w:sz w:val="24"/>
        </w:rPr>
        <w:t>〕</w:t>
      </w:r>
      <w:r>
        <w:rPr>
          <w:rFonts w:hint="eastAsia"/>
          <w:sz w:val="24"/>
        </w:rPr>
        <w:t>19</w:t>
      </w:r>
      <w:r>
        <w:rPr>
          <w:rFonts w:hint="eastAsia" w:hAnsiTheme="minorEastAsia"/>
          <w:sz w:val="24"/>
        </w:rPr>
        <w:t>号）、《市场监管总局关于发布参与实施政府采购节能产品、环境标志产品认证机构名录的公告》（</w:t>
      </w:r>
      <w:r>
        <w:rPr>
          <w:rFonts w:hint="eastAsia"/>
          <w:sz w:val="24"/>
        </w:rPr>
        <w:t>2019</w:t>
      </w:r>
      <w:r>
        <w:rPr>
          <w:rFonts w:hint="eastAsia" w:hAnsiTheme="minorEastAsia"/>
          <w:sz w:val="24"/>
        </w:rPr>
        <w:t>年第</w:t>
      </w:r>
      <w:r>
        <w:rPr>
          <w:rFonts w:hint="eastAsia"/>
          <w:sz w:val="24"/>
        </w:rPr>
        <w:t>16</w:t>
      </w:r>
      <w:r>
        <w:rPr>
          <w:rFonts w:hint="eastAsia" w:hAnsiTheme="minorEastAsia"/>
          <w:sz w:val="24"/>
        </w:rPr>
        <w:t>号）等文件要求的强制采购的节能产品进行投标，并提供相关认证证书扫描件，否则不予认定。未加注</w:t>
      </w:r>
      <w:r>
        <w:rPr>
          <w:rFonts w:hint="eastAsia"/>
          <w:sz w:val="24"/>
        </w:rPr>
        <w:t>“■”</w:t>
      </w:r>
      <w:r>
        <w:rPr>
          <w:rFonts w:hint="eastAsia" w:hAnsiTheme="minorEastAsia"/>
          <w:sz w:val="24"/>
        </w:rPr>
        <w:t>号的产品均不属于节能产品政府采购强制采购的产品。如供应商对此有异议，请按照招标文件第三部分《投标须知》</w:t>
      </w:r>
      <w:r>
        <w:rPr>
          <w:rFonts w:hint="eastAsia"/>
          <w:sz w:val="24"/>
        </w:rPr>
        <w:t xml:space="preserve">“8. </w:t>
      </w:r>
      <w:r>
        <w:rPr>
          <w:rFonts w:hint="eastAsia" w:hAnsiTheme="minorEastAsia"/>
          <w:sz w:val="24"/>
        </w:rPr>
        <w:t>询问与质疑</w:t>
      </w:r>
      <w:r>
        <w:rPr>
          <w:rFonts w:hint="eastAsia"/>
          <w:sz w:val="24"/>
        </w:rPr>
        <w:t>”</w:t>
      </w:r>
      <w:r>
        <w:rPr>
          <w:rFonts w:hint="eastAsia" w:hAnsiTheme="minorEastAsia"/>
          <w:sz w:val="24"/>
        </w:rPr>
        <w:t>的相关规定，以书面形式向采购人提出质疑，否则视为认同招标文件中关于节能产品政府采购强制采购产品范围的划定。</w:t>
      </w:r>
    </w:p>
    <w:p>
      <w:pPr>
        <w:widowControl/>
        <w:spacing w:line="460" w:lineRule="exact"/>
        <w:outlineLvl w:val="1"/>
        <w:rPr>
          <w:rFonts w:ascii="宋体" w:hAnsi="宋体" w:cs="宋体"/>
          <w:b/>
          <w:bCs/>
          <w:kern w:val="0"/>
          <w:szCs w:val="21"/>
        </w:rPr>
      </w:pPr>
    </w:p>
    <w:p>
      <w:pPr>
        <w:widowControl/>
        <w:spacing w:line="460" w:lineRule="exact"/>
        <w:outlineLvl w:val="1"/>
        <w:rPr>
          <w:rFonts w:ascii="宋体" w:hAnsi="宋体" w:cs="宋体"/>
          <w:b/>
          <w:bCs/>
          <w:kern w:val="0"/>
          <w:szCs w:val="21"/>
        </w:rPr>
      </w:pPr>
      <w:r>
        <w:rPr>
          <w:rFonts w:hint="eastAsia" w:ascii="宋体" w:hAnsi="宋体" w:cs="宋体"/>
          <w:b/>
          <w:bCs/>
          <w:kern w:val="0"/>
          <w:szCs w:val="21"/>
        </w:rPr>
        <w:t>耳麦（5套）</w:t>
      </w:r>
    </w:p>
    <w:tbl>
      <w:tblPr>
        <w:tblStyle w:val="103"/>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7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序号</w:t>
            </w:r>
          </w:p>
        </w:tc>
        <w:tc>
          <w:tcPr>
            <w:tcW w:w="7939" w:type="dxa"/>
          </w:tcPr>
          <w:p>
            <w:pPr>
              <w:spacing w:line="460" w:lineRule="exact"/>
              <w:outlineLvl w:val="1"/>
              <w:rPr>
                <w:rFonts w:ascii="宋体" w:hAnsi="宋体" w:cs="宋体"/>
                <w:bCs/>
                <w:kern w:val="0"/>
                <w:sz w:val="24"/>
                <w:szCs w:val="24"/>
              </w:rPr>
            </w:pPr>
            <w:r>
              <w:rPr>
                <w:rFonts w:hint="eastAsia" w:ascii="宋体" w:hAnsi="宋体" w:cs="宋体"/>
                <w:kern w:val="0"/>
                <w:sz w:val="24"/>
                <w:szCs w:val="24"/>
              </w:rPr>
              <w:t>采购需求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1</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耳麦多麦克风降噪设计，在麦克风端应具有滤除环境噪音功能，ANR(Ambient Noise Rejection)环境噪声抑制效果≥40dB。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2</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耳麦听筒喇叭：尺寸φ40mm，阻抗32Ω，频响范围20Hz~20KHz</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3</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耳麦采用USB连接口，内置独立声卡，即插即用，无需安装多余驱动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4</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耳麦应具有工作状态指示灯，以方便观察耳麦使用状态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5</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耳麦的耳罩外套采用优质材质，应具有亲肤透气、柔软舒适的特点，适合长时间佩戴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6</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耳麦线材应抗拉扯、耐磨，线长至少大≥1.5m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7</w:t>
            </w:r>
          </w:p>
        </w:tc>
        <w:tc>
          <w:tcPr>
            <w:tcW w:w="7939"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耳麦一年保修，出现非人为损坏的故障直接更换新耳麦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16" w:type="dxa"/>
          </w:tcPr>
          <w:p>
            <w:pPr>
              <w:spacing w:line="460" w:lineRule="exact"/>
              <w:outlineLvl w:val="1"/>
              <w:rPr>
                <w:rFonts w:ascii="宋体" w:hAnsi="宋体" w:cs="宋体"/>
                <w:bCs/>
                <w:kern w:val="0"/>
                <w:sz w:val="24"/>
                <w:szCs w:val="24"/>
              </w:rPr>
            </w:pPr>
            <w:r>
              <w:rPr>
                <w:rFonts w:hint="eastAsia" w:ascii="宋体" w:hAnsi="宋体" w:cs="宋体"/>
                <w:bCs/>
                <w:kern w:val="0"/>
                <w:sz w:val="24"/>
                <w:szCs w:val="24"/>
              </w:rPr>
              <w:t>8</w:t>
            </w:r>
          </w:p>
        </w:tc>
        <w:tc>
          <w:tcPr>
            <w:tcW w:w="7939" w:type="dxa"/>
          </w:tcPr>
          <w:p>
            <w:pPr>
              <w:spacing w:line="460" w:lineRule="exact"/>
              <w:outlineLvl w:val="1"/>
              <w:rPr>
                <w:rFonts w:ascii="宋体" w:hAnsi="宋体" w:cs="宋体"/>
                <w:bCs/>
                <w:color w:val="FF0000"/>
                <w:kern w:val="0"/>
                <w:sz w:val="24"/>
                <w:szCs w:val="24"/>
              </w:rPr>
            </w:pPr>
            <w:r>
              <w:rPr>
                <w:rFonts w:hint="eastAsia" w:ascii="宋体" w:hAnsi="宋体" w:cs="宋体"/>
                <w:bCs/>
                <w:kern w:val="0"/>
                <w:sz w:val="24"/>
                <w:szCs w:val="24"/>
              </w:rPr>
              <w:t>承诺通过电磁兼容性测试认证，可靠性测试认证，质量检测，环保认证</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
    <w:altName w:val="宋体"/>
    <w:panose1 w:val="020B0604020202020204"/>
    <w:charset w:val="00"/>
    <w:family w:val="auto"/>
    <w:pitch w:val="default"/>
    <w:sig w:usb0="00000000" w:usb1="00000000" w:usb2="00000000" w:usb3="00000000" w:csb0="0000019F" w:csb1="00000000"/>
  </w:font>
  <w:font w:name="PingFang SC">
    <w:altName w:val="微软雅黑"/>
    <w:panose1 w:val="020B0400000000000000"/>
    <w:charset w:val="86"/>
    <w:family w:val="swiss"/>
    <w:pitch w:val="default"/>
    <w:sig w:usb0="00000000" w:usb1="00000000" w:usb2="00000017"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D18"/>
    <w:rsid w:val="0035444E"/>
    <w:rsid w:val="008B02A6"/>
    <w:rsid w:val="00EF1D18"/>
    <w:rsid w:val="0C4978D9"/>
    <w:rsid w:val="138B5F68"/>
    <w:rsid w:val="20A257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34"/>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35"/>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36"/>
    <w:unhideWhenUsed/>
    <w:qFormat/>
    <w:uiPriority w:val="0"/>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37"/>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38"/>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39"/>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40"/>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41"/>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42"/>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29">
    <w:name w:val="Default Paragraph Font"/>
    <w:semiHidden/>
    <w:unhideWhenUsed/>
    <w:qFormat/>
    <w:uiPriority w:val="1"/>
  </w:style>
  <w:style w:type="table" w:default="1" w:styleId="32">
    <w:name w:val="Normal Table"/>
    <w:semiHidden/>
    <w:unhideWhenUsed/>
    <w:qFormat/>
    <w:uiPriority w:val="99"/>
    <w:tblPr>
      <w:tblLayout w:type="fixed"/>
      <w:tblCellMar>
        <w:top w:w="0" w:type="dxa"/>
        <w:left w:w="108" w:type="dxa"/>
        <w:bottom w:w="0" w:type="dxa"/>
        <w:right w:w="108" w:type="dxa"/>
      </w:tblCellMar>
    </w:tblPr>
  </w:style>
  <w:style w:type="paragraph" w:styleId="11">
    <w:name w:val="List Number 2"/>
    <w:basedOn w:val="1"/>
    <w:unhideWhenUsed/>
    <w:qFormat/>
    <w:uiPriority w:val="1"/>
    <w:pPr>
      <w:widowControl/>
      <w:tabs>
        <w:tab w:val="left" w:pos="432"/>
      </w:tabs>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List Number"/>
    <w:basedOn w:val="1"/>
    <w:unhideWhenUsed/>
    <w:qFormat/>
    <w:uiPriority w:val="1"/>
    <w:pPr>
      <w:widowControl/>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Document Map"/>
    <w:basedOn w:val="1"/>
    <w:link w:val="52"/>
    <w:semiHidden/>
    <w:qFormat/>
    <w:uiPriority w:val="0"/>
    <w:pPr>
      <w:shd w:val="clear" w:color="auto" w:fill="000080"/>
    </w:pPr>
  </w:style>
  <w:style w:type="paragraph" w:styleId="14">
    <w:name w:val="annotation text"/>
    <w:basedOn w:val="1"/>
    <w:link w:val="53"/>
    <w:semiHidden/>
    <w:unhideWhenUsed/>
    <w:qFormat/>
    <w:uiPriority w:val="99"/>
    <w:pPr>
      <w:jc w:val="left"/>
    </w:pPr>
    <w:rPr>
      <w:rFonts w:ascii="Calibri" w:hAnsi="Calibri" w:cs="Calibri"/>
      <w:szCs w:val="21"/>
    </w:rPr>
  </w:style>
  <w:style w:type="paragraph" w:styleId="15">
    <w:name w:val="Body Text Indent"/>
    <w:basedOn w:val="1"/>
    <w:link w:val="54"/>
    <w:qFormat/>
    <w:uiPriority w:val="0"/>
    <w:pPr>
      <w:tabs>
        <w:tab w:val="left" w:pos="480"/>
      </w:tabs>
      <w:spacing w:line="560" w:lineRule="exact"/>
      <w:ind w:firstLine="480"/>
      <w:jc w:val="left"/>
    </w:pPr>
    <w:rPr>
      <w:rFonts w:ascii="宋体" w:hAnsi="宋体"/>
      <w:sz w:val="24"/>
    </w:rPr>
  </w:style>
  <w:style w:type="paragraph" w:styleId="16">
    <w:name w:val="List Number 3"/>
    <w:basedOn w:val="1"/>
    <w:unhideWhenUsed/>
    <w:qFormat/>
    <w:uiPriority w:val="18"/>
    <w:pPr>
      <w:widowControl/>
      <w:spacing w:before="40" w:after="160"/>
      <w:ind w:left="792" w:hanging="3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7">
    <w:name w:val="Plain Text"/>
    <w:basedOn w:val="1"/>
    <w:link w:val="55"/>
    <w:qFormat/>
    <w:uiPriority w:val="0"/>
    <w:rPr>
      <w:rFonts w:ascii="宋体" w:hAnsi="Courier New"/>
    </w:rPr>
  </w:style>
  <w:style w:type="paragraph" w:styleId="18">
    <w:name w:val="List Number 4"/>
    <w:basedOn w:val="1"/>
    <w:unhideWhenUsed/>
    <w:qFormat/>
    <w:uiPriority w:val="18"/>
    <w:pPr>
      <w:widowControl/>
      <w:spacing w:before="40" w:after="160"/>
      <w:ind w:left="1152" w:hanging="3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9">
    <w:name w:val="Date"/>
    <w:basedOn w:val="1"/>
    <w:next w:val="1"/>
    <w:link w:val="56"/>
    <w:qFormat/>
    <w:uiPriority w:val="0"/>
    <w:pPr>
      <w:adjustRightInd w:val="0"/>
      <w:spacing w:line="360" w:lineRule="atLeast"/>
      <w:textAlignment w:val="baseline"/>
    </w:pPr>
    <w:rPr>
      <w:sz w:val="32"/>
    </w:rPr>
  </w:style>
  <w:style w:type="paragraph" w:styleId="20">
    <w:name w:val="Body Text Indent 2"/>
    <w:basedOn w:val="1"/>
    <w:link w:val="57"/>
    <w:semiHidden/>
    <w:unhideWhenUsed/>
    <w:qFormat/>
    <w:uiPriority w:val="99"/>
    <w:pPr>
      <w:spacing w:after="120" w:line="480" w:lineRule="auto"/>
      <w:ind w:left="420" w:leftChars="200"/>
    </w:pPr>
  </w:style>
  <w:style w:type="paragraph" w:styleId="21">
    <w:name w:val="Balloon Text"/>
    <w:basedOn w:val="1"/>
    <w:link w:val="58"/>
    <w:semiHidden/>
    <w:unhideWhenUsed/>
    <w:qFormat/>
    <w:uiPriority w:val="99"/>
    <w:rPr>
      <w:sz w:val="18"/>
      <w:szCs w:val="18"/>
    </w:rPr>
  </w:style>
  <w:style w:type="paragraph" w:styleId="22">
    <w:name w:val="footer"/>
    <w:basedOn w:val="1"/>
    <w:link w:val="59"/>
    <w:unhideWhenUsed/>
    <w:qFormat/>
    <w:uiPriority w:val="99"/>
    <w:pPr>
      <w:tabs>
        <w:tab w:val="center" w:pos="4153"/>
        <w:tab w:val="right" w:pos="8306"/>
      </w:tabs>
      <w:snapToGrid w:val="0"/>
      <w:jc w:val="left"/>
    </w:pPr>
    <w:rPr>
      <w:sz w:val="18"/>
      <w:szCs w:val="18"/>
    </w:rPr>
  </w:style>
  <w:style w:type="paragraph" w:styleId="23">
    <w:name w:val="header"/>
    <w:basedOn w:val="1"/>
    <w:link w:val="60"/>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Subtitle"/>
    <w:basedOn w:val="1"/>
    <w:next w:val="1"/>
    <w:link w:val="44"/>
    <w:qFormat/>
    <w:uiPriority w:val="0"/>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5">
    <w:name w:val="List Number 5"/>
    <w:basedOn w:val="1"/>
    <w:unhideWhenUsed/>
    <w:qFormat/>
    <w:uiPriority w:val="18"/>
    <w:pPr>
      <w:widowControl/>
      <w:spacing w:before="40" w:after="160"/>
      <w:ind w:left="1512" w:hanging="3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6">
    <w:name w:val="Body Text Indent 3"/>
    <w:basedOn w:val="1"/>
    <w:link w:val="61"/>
    <w:semiHidden/>
    <w:unhideWhenUsed/>
    <w:qFormat/>
    <w:uiPriority w:val="99"/>
    <w:pPr>
      <w:spacing w:after="120"/>
      <w:ind w:left="420" w:leftChars="200"/>
    </w:pPr>
    <w:rPr>
      <w:sz w:val="16"/>
      <w:szCs w:val="16"/>
    </w:rPr>
  </w:style>
  <w:style w:type="paragraph" w:styleId="27">
    <w:name w:val="Body Text 2"/>
    <w:basedOn w:val="1"/>
    <w:link w:val="62"/>
    <w:semiHidden/>
    <w:unhideWhenUsed/>
    <w:qFormat/>
    <w:uiPriority w:val="99"/>
    <w:pPr>
      <w:spacing w:after="120" w:line="480" w:lineRule="auto"/>
    </w:pPr>
  </w:style>
  <w:style w:type="paragraph" w:styleId="28">
    <w:name w:val="Title"/>
    <w:basedOn w:val="1"/>
    <w:next w:val="1"/>
    <w:link w:val="43"/>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styleId="30">
    <w:name w:val="FollowedHyperlink"/>
    <w:basedOn w:val="29"/>
    <w:semiHidden/>
    <w:unhideWhenUsed/>
    <w:qFormat/>
    <w:uiPriority w:val="99"/>
    <w:rPr>
      <w:color w:val="96607D" w:themeColor="followedHyperlink"/>
      <w:u w:val="single"/>
      <w14:textFill>
        <w14:solidFill>
          <w14:schemeClr w14:val="folHlink"/>
        </w14:solidFill>
      </w14:textFill>
    </w:rPr>
  </w:style>
  <w:style w:type="character" w:styleId="31">
    <w:name w:val="Hyperlink"/>
    <w:basedOn w:val="29"/>
    <w:unhideWhenUsed/>
    <w:qFormat/>
    <w:uiPriority w:val="99"/>
    <w:rPr>
      <w:color w:val="467886" w:themeColor="hyperlink"/>
      <w:u w:val="single"/>
      <w14:textFill>
        <w14:solidFill>
          <w14:schemeClr w14:val="hlink"/>
        </w14:solidFill>
      </w14:textFill>
    </w:rPr>
  </w:style>
  <w:style w:type="table" w:styleId="33">
    <w:name w:val="Table Grid"/>
    <w:basedOn w:val="32"/>
    <w:qFormat/>
    <w:uiPriority w:val="5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34">
    <w:name w:val="标题 1 字符"/>
    <w:basedOn w:val="29"/>
    <w:link w:val="2"/>
    <w:qFormat/>
    <w:uiPriority w:val="9"/>
    <w:rPr>
      <w:rFonts w:asciiTheme="majorHAnsi" w:hAnsiTheme="majorHAnsi" w:eastAsiaTheme="majorEastAsia" w:cstheme="majorBidi"/>
      <w:color w:val="104862" w:themeColor="accent1" w:themeShade="BF"/>
      <w:sz w:val="48"/>
      <w:szCs w:val="48"/>
    </w:rPr>
  </w:style>
  <w:style w:type="character" w:customStyle="1" w:styleId="35">
    <w:name w:val="标题 2 字符"/>
    <w:basedOn w:val="29"/>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36">
    <w:name w:val="标题 3 字符"/>
    <w:basedOn w:val="29"/>
    <w:link w:val="4"/>
    <w:qFormat/>
    <w:uiPriority w:val="0"/>
    <w:rPr>
      <w:rFonts w:asciiTheme="majorHAnsi" w:hAnsiTheme="majorHAnsi" w:eastAsiaTheme="majorEastAsia" w:cstheme="majorBidi"/>
      <w:color w:val="104862" w:themeColor="accent1" w:themeShade="BF"/>
      <w:sz w:val="32"/>
      <w:szCs w:val="32"/>
    </w:rPr>
  </w:style>
  <w:style w:type="character" w:customStyle="1" w:styleId="37">
    <w:name w:val="标题 4 字符"/>
    <w:basedOn w:val="29"/>
    <w:link w:val="5"/>
    <w:semiHidden/>
    <w:qFormat/>
    <w:uiPriority w:val="9"/>
    <w:rPr>
      <w:rFonts w:cstheme="majorBidi"/>
      <w:color w:val="104862" w:themeColor="accent1" w:themeShade="BF"/>
      <w:sz w:val="28"/>
      <w:szCs w:val="28"/>
    </w:rPr>
  </w:style>
  <w:style w:type="character" w:customStyle="1" w:styleId="38">
    <w:name w:val="标题 5 字符"/>
    <w:basedOn w:val="29"/>
    <w:link w:val="6"/>
    <w:semiHidden/>
    <w:qFormat/>
    <w:uiPriority w:val="9"/>
    <w:rPr>
      <w:rFonts w:cstheme="majorBidi"/>
      <w:color w:val="104862" w:themeColor="accent1" w:themeShade="BF"/>
      <w:sz w:val="24"/>
    </w:rPr>
  </w:style>
  <w:style w:type="character" w:customStyle="1" w:styleId="39">
    <w:name w:val="标题 6 字符"/>
    <w:basedOn w:val="29"/>
    <w:link w:val="7"/>
    <w:semiHidden/>
    <w:qFormat/>
    <w:uiPriority w:val="9"/>
    <w:rPr>
      <w:rFonts w:cstheme="majorBidi"/>
      <w:b/>
      <w:bCs/>
      <w:color w:val="104862" w:themeColor="accent1" w:themeShade="BF"/>
    </w:rPr>
  </w:style>
  <w:style w:type="character" w:customStyle="1" w:styleId="40">
    <w:name w:val="标题 7 字符"/>
    <w:basedOn w:val="29"/>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41">
    <w:name w:val="标题 8 字符"/>
    <w:basedOn w:val="29"/>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42">
    <w:name w:val="标题 9 字符"/>
    <w:basedOn w:val="29"/>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43">
    <w:name w:val="标题 字符"/>
    <w:basedOn w:val="29"/>
    <w:link w:val="28"/>
    <w:qFormat/>
    <w:uiPriority w:val="10"/>
    <w:rPr>
      <w:rFonts w:asciiTheme="majorHAnsi" w:hAnsiTheme="majorHAnsi" w:eastAsiaTheme="majorEastAsia" w:cstheme="majorBidi"/>
      <w:spacing w:val="-10"/>
      <w:kern w:val="28"/>
      <w:sz w:val="56"/>
      <w:szCs w:val="56"/>
    </w:rPr>
  </w:style>
  <w:style w:type="character" w:customStyle="1" w:styleId="44">
    <w:name w:val="副标题 字符"/>
    <w:basedOn w:val="29"/>
    <w:link w:val="24"/>
    <w:qFormat/>
    <w:uiPriority w:val="0"/>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45">
    <w:name w:val="Quote"/>
    <w:basedOn w:val="1"/>
    <w:next w:val="1"/>
    <w:link w:val="46"/>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46">
    <w:name w:val="引用 字符"/>
    <w:basedOn w:val="29"/>
    <w:link w:val="45"/>
    <w:qFormat/>
    <w:uiPriority w:val="29"/>
    <w:rPr>
      <w:i/>
      <w:iCs/>
      <w:color w:val="404040" w:themeColor="text1" w:themeTint="BF"/>
      <w14:textFill>
        <w14:solidFill>
          <w14:schemeClr w14:val="tx1">
            <w14:lumMod w14:val="75000"/>
            <w14:lumOff w14:val="25000"/>
          </w14:schemeClr>
        </w14:solidFill>
      </w14:textFill>
    </w:rPr>
  </w:style>
  <w:style w:type="paragraph" w:styleId="47">
    <w:name w:val="List Paragraph"/>
    <w:basedOn w:val="1"/>
    <w:link w:val="65"/>
    <w:qFormat/>
    <w:uiPriority w:val="99"/>
    <w:pPr>
      <w:ind w:left="720"/>
      <w:contextualSpacing/>
    </w:pPr>
  </w:style>
  <w:style w:type="character" w:customStyle="1" w:styleId="48">
    <w:name w:val="Intense Emphasis"/>
    <w:basedOn w:val="29"/>
    <w:qFormat/>
    <w:uiPriority w:val="21"/>
    <w:rPr>
      <w:i/>
      <w:iCs/>
      <w:color w:val="104862" w:themeColor="accent1" w:themeShade="BF"/>
    </w:rPr>
  </w:style>
  <w:style w:type="paragraph" w:styleId="49">
    <w:name w:val="Intense Quote"/>
    <w:basedOn w:val="1"/>
    <w:next w:val="1"/>
    <w:link w:val="50"/>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50">
    <w:name w:val="明显引用 字符"/>
    <w:basedOn w:val="29"/>
    <w:link w:val="49"/>
    <w:qFormat/>
    <w:uiPriority w:val="30"/>
    <w:rPr>
      <w:i/>
      <w:iCs/>
      <w:color w:val="104862" w:themeColor="accent1" w:themeShade="BF"/>
    </w:rPr>
  </w:style>
  <w:style w:type="character" w:customStyle="1" w:styleId="51">
    <w:name w:val="Intense Reference"/>
    <w:basedOn w:val="29"/>
    <w:qFormat/>
    <w:uiPriority w:val="32"/>
    <w:rPr>
      <w:b/>
      <w:bCs/>
      <w:smallCaps/>
      <w:color w:val="104862" w:themeColor="accent1" w:themeShade="BF"/>
      <w:spacing w:val="5"/>
    </w:rPr>
  </w:style>
  <w:style w:type="character" w:customStyle="1" w:styleId="52">
    <w:name w:val="文档结构图 字符"/>
    <w:basedOn w:val="29"/>
    <w:link w:val="13"/>
    <w:semiHidden/>
    <w:qFormat/>
    <w:uiPriority w:val="0"/>
    <w:rPr>
      <w:rFonts w:ascii="Times New Roman" w:hAnsi="Times New Roman" w:eastAsia="宋体" w:cs="Times New Roman"/>
      <w:szCs w:val="20"/>
      <w:shd w:val="clear" w:color="auto" w:fill="000080"/>
    </w:rPr>
  </w:style>
  <w:style w:type="character" w:customStyle="1" w:styleId="53">
    <w:name w:val="批注文字 字符"/>
    <w:basedOn w:val="29"/>
    <w:link w:val="14"/>
    <w:semiHidden/>
    <w:qFormat/>
    <w:uiPriority w:val="99"/>
    <w:rPr>
      <w:rFonts w:ascii="Calibri" w:hAnsi="Calibri" w:eastAsia="宋体" w:cs="Calibri"/>
      <w:szCs w:val="21"/>
    </w:rPr>
  </w:style>
  <w:style w:type="character" w:customStyle="1" w:styleId="54">
    <w:name w:val="正文文本缩进 字符"/>
    <w:basedOn w:val="29"/>
    <w:link w:val="15"/>
    <w:qFormat/>
    <w:uiPriority w:val="0"/>
    <w:rPr>
      <w:rFonts w:ascii="宋体" w:hAnsi="宋体" w:eastAsia="宋体" w:cs="Times New Roman"/>
      <w:sz w:val="24"/>
      <w:szCs w:val="20"/>
    </w:rPr>
  </w:style>
  <w:style w:type="character" w:customStyle="1" w:styleId="55">
    <w:name w:val="纯文本 字符"/>
    <w:basedOn w:val="29"/>
    <w:link w:val="17"/>
    <w:qFormat/>
    <w:uiPriority w:val="0"/>
    <w:rPr>
      <w:rFonts w:ascii="宋体" w:hAnsi="Courier New" w:eastAsia="宋体" w:cs="Times New Roman"/>
      <w:szCs w:val="20"/>
    </w:rPr>
  </w:style>
  <w:style w:type="character" w:customStyle="1" w:styleId="56">
    <w:name w:val="日期 字符"/>
    <w:basedOn w:val="29"/>
    <w:link w:val="19"/>
    <w:qFormat/>
    <w:uiPriority w:val="0"/>
    <w:rPr>
      <w:rFonts w:ascii="Times New Roman" w:hAnsi="Times New Roman" w:eastAsia="宋体" w:cs="Times New Roman"/>
      <w:sz w:val="32"/>
      <w:szCs w:val="20"/>
    </w:rPr>
  </w:style>
  <w:style w:type="character" w:customStyle="1" w:styleId="57">
    <w:name w:val="正文文本缩进 2 字符"/>
    <w:basedOn w:val="29"/>
    <w:link w:val="20"/>
    <w:semiHidden/>
    <w:qFormat/>
    <w:uiPriority w:val="99"/>
    <w:rPr>
      <w:rFonts w:ascii="Times New Roman" w:hAnsi="Times New Roman" w:eastAsia="宋体" w:cs="Times New Roman"/>
      <w:szCs w:val="20"/>
    </w:rPr>
  </w:style>
  <w:style w:type="character" w:customStyle="1" w:styleId="58">
    <w:name w:val="批注框文本 字符"/>
    <w:basedOn w:val="29"/>
    <w:link w:val="21"/>
    <w:semiHidden/>
    <w:qFormat/>
    <w:uiPriority w:val="99"/>
    <w:rPr>
      <w:rFonts w:ascii="Times New Roman" w:hAnsi="Times New Roman" w:eastAsia="宋体" w:cs="Times New Roman"/>
      <w:sz w:val="18"/>
      <w:szCs w:val="18"/>
    </w:rPr>
  </w:style>
  <w:style w:type="character" w:customStyle="1" w:styleId="59">
    <w:name w:val="页脚 字符"/>
    <w:basedOn w:val="29"/>
    <w:link w:val="22"/>
    <w:qFormat/>
    <w:uiPriority w:val="99"/>
    <w:rPr>
      <w:rFonts w:ascii="Times New Roman" w:hAnsi="Times New Roman" w:eastAsia="宋体" w:cs="Times New Roman"/>
      <w:sz w:val="18"/>
      <w:szCs w:val="18"/>
    </w:rPr>
  </w:style>
  <w:style w:type="character" w:customStyle="1" w:styleId="60">
    <w:name w:val="页眉 字符"/>
    <w:basedOn w:val="29"/>
    <w:link w:val="23"/>
    <w:qFormat/>
    <w:uiPriority w:val="0"/>
    <w:rPr>
      <w:rFonts w:ascii="Times New Roman" w:hAnsi="Times New Roman" w:eastAsia="宋体" w:cs="Times New Roman"/>
      <w:sz w:val="18"/>
      <w:szCs w:val="18"/>
    </w:rPr>
  </w:style>
  <w:style w:type="character" w:customStyle="1" w:styleId="61">
    <w:name w:val="正文文本缩进 3 字符"/>
    <w:basedOn w:val="29"/>
    <w:link w:val="26"/>
    <w:semiHidden/>
    <w:qFormat/>
    <w:uiPriority w:val="99"/>
    <w:rPr>
      <w:rFonts w:ascii="Times New Roman" w:hAnsi="Times New Roman" w:eastAsia="宋体" w:cs="Times New Roman"/>
      <w:sz w:val="16"/>
      <w:szCs w:val="16"/>
    </w:rPr>
  </w:style>
  <w:style w:type="character" w:customStyle="1" w:styleId="62">
    <w:name w:val="正文文本 2 字符"/>
    <w:basedOn w:val="29"/>
    <w:link w:val="27"/>
    <w:semiHidden/>
    <w:qFormat/>
    <w:uiPriority w:val="99"/>
    <w:rPr>
      <w:rFonts w:ascii="Times New Roman" w:hAnsi="Times New Roman" w:eastAsia="宋体" w:cs="Times New Roman"/>
      <w:szCs w:val="20"/>
    </w:rPr>
  </w:style>
  <w:style w:type="paragraph" w:customStyle="1" w:styleId="63">
    <w:name w:val="Default"/>
    <w:link w:val="64"/>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64">
    <w:name w:val="Default Char"/>
    <w:link w:val="63"/>
    <w:qFormat/>
    <w:locked/>
    <w:uiPriority w:val="0"/>
    <w:rPr>
      <w:rFonts w:ascii="......." w:hAnsi="Calibri" w:eastAsia="......." w:cs="......."/>
      <w:color w:val="000000"/>
      <w:kern w:val="0"/>
      <w:sz w:val="24"/>
    </w:rPr>
  </w:style>
  <w:style w:type="character" w:customStyle="1" w:styleId="65">
    <w:name w:val="列表段落 字符"/>
    <w:link w:val="47"/>
    <w:qFormat/>
    <w:uiPriority w:val="99"/>
  </w:style>
  <w:style w:type="paragraph" w:customStyle="1" w:styleId="66">
    <w:name w:val="Char"/>
    <w:basedOn w:val="1"/>
    <w:qFormat/>
    <w:uiPriority w:val="0"/>
    <w:pPr>
      <w:tabs>
        <w:tab w:val="left" w:pos="360"/>
      </w:tabs>
    </w:pPr>
    <w:rPr>
      <w:sz w:val="24"/>
      <w:szCs w:val="24"/>
    </w:rPr>
  </w:style>
  <w:style w:type="character" w:customStyle="1" w:styleId="67">
    <w:name w:val="纯文本 Char"/>
    <w:basedOn w:val="29"/>
    <w:semiHidden/>
    <w:qFormat/>
    <w:uiPriority w:val="99"/>
    <w:rPr>
      <w:rFonts w:ascii="宋体" w:hAnsi="Courier New" w:eastAsia="宋体" w:cs="Courier New"/>
      <w:szCs w:val="21"/>
    </w:rPr>
  </w:style>
  <w:style w:type="paragraph" w:customStyle="1" w:styleId="6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72">
    <w:name w:val="No Spacing"/>
    <w:qFormat/>
    <w:uiPriority w:val="1"/>
    <w:pPr>
      <w:widowControl w:val="0"/>
      <w:jc w:val="both"/>
    </w:pPr>
    <w:rPr>
      <w:rFonts w:ascii="Times New Roman" w:hAnsi="Times New Roman" w:eastAsia="宋体" w:cs="Times New Roman"/>
      <w:kern w:val="2"/>
      <w:sz w:val="21"/>
      <w:szCs w:val="20"/>
      <w:lang w:val="en-US" w:eastAsia="zh-CN" w:bidi="ar-SA"/>
    </w:rPr>
  </w:style>
  <w:style w:type="paragraph" w:customStyle="1" w:styleId="73">
    <w:name w:val="Char2"/>
    <w:basedOn w:val="1"/>
    <w:qFormat/>
    <w:uiPriority w:val="0"/>
    <w:pPr>
      <w:tabs>
        <w:tab w:val="left" w:pos="360"/>
      </w:tabs>
    </w:pPr>
    <w:rPr>
      <w:sz w:val="24"/>
      <w:szCs w:val="24"/>
    </w:rPr>
  </w:style>
  <w:style w:type="paragraph" w:customStyle="1" w:styleId="74">
    <w:name w:val="font5"/>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75">
    <w:name w:val="font6"/>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76">
    <w:name w:val="font7"/>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77">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78">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79">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80">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hAnsi="宋体" w:cs="宋体"/>
      <w:color w:val="000000"/>
      <w:kern w:val="0"/>
      <w:sz w:val="24"/>
      <w:szCs w:val="24"/>
    </w:rPr>
  </w:style>
  <w:style w:type="paragraph" w:customStyle="1" w:styleId="81">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82">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textAlignment w:val="center"/>
    </w:pPr>
    <w:rPr>
      <w:rFonts w:ascii="宋体" w:hAnsi="宋体" w:cs="宋体"/>
      <w:kern w:val="0"/>
      <w:sz w:val="24"/>
      <w:szCs w:val="24"/>
    </w:rPr>
  </w:style>
  <w:style w:type="paragraph" w:customStyle="1" w:styleId="83">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4"/>
      <w:szCs w:val="24"/>
    </w:rPr>
  </w:style>
  <w:style w:type="paragraph" w:customStyle="1" w:styleId="84">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85">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86">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7">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88">
    <w:name w:val="xl7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89">
    <w:name w:val="xl75"/>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90">
    <w:name w:val="xl76"/>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91">
    <w:name w:val="xl7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92">
    <w:name w:val="xl78"/>
    <w:basedOn w:val="1"/>
    <w:qFormat/>
    <w:uiPriority w:val="0"/>
    <w:pPr>
      <w:widowControl/>
      <w:pBdr>
        <w:top w:val="single" w:color="auto" w:sz="4" w:space="0"/>
        <w:left w:val="single" w:color="auto" w:sz="4" w:space="0"/>
        <w:right w:val="single" w:color="auto" w:sz="4" w:space="0"/>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93">
    <w:name w:val="xl79"/>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94">
    <w:name w:val="xl80"/>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4"/>
      <w:szCs w:val="24"/>
    </w:rPr>
  </w:style>
  <w:style w:type="paragraph" w:customStyle="1" w:styleId="95">
    <w:name w:val="xl81"/>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96">
    <w:name w:val="xl82"/>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97">
    <w:name w:val="xl83"/>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4"/>
      <w:szCs w:val="24"/>
    </w:rPr>
  </w:style>
  <w:style w:type="paragraph" w:customStyle="1" w:styleId="98">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4"/>
      <w:szCs w:val="24"/>
    </w:rPr>
  </w:style>
  <w:style w:type="paragraph" w:customStyle="1" w:styleId="99">
    <w:name w:val="font8"/>
    <w:basedOn w:val="1"/>
    <w:qFormat/>
    <w:uiPriority w:val="0"/>
    <w:pPr>
      <w:widowControl/>
      <w:spacing w:before="100" w:beforeAutospacing="1" w:after="100" w:afterAutospacing="1"/>
      <w:jc w:val="left"/>
    </w:pPr>
    <w:rPr>
      <w:color w:val="000000"/>
      <w:kern w:val="0"/>
      <w:sz w:val="20"/>
    </w:rPr>
  </w:style>
  <w:style w:type="paragraph" w:customStyle="1" w:styleId="100">
    <w:name w:val="font9"/>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01">
    <w:name w:val="font10"/>
    <w:basedOn w:val="1"/>
    <w:qFormat/>
    <w:uiPriority w:val="0"/>
    <w:pPr>
      <w:widowControl/>
      <w:spacing w:before="100" w:beforeAutospacing="1" w:after="100" w:afterAutospacing="1"/>
      <w:jc w:val="left"/>
    </w:pPr>
    <w:rPr>
      <w:rFonts w:ascii="宋体" w:hAnsi="宋体" w:cs="宋体"/>
      <w:color w:val="000000"/>
      <w:kern w:val="0"/>
      <w:sz w:val="9"/>
      <w:szCs w:val="9"/>
    </w:rPr>
  </w:style>
  <w:style w:type="paragraph" w:customStyle="1" w:styleId="102">
    <w:name w:val="BodyText"/>
    <w:basedOn w:val="1"/>
    <w:qFormat/>
    <w:uiPriority w:val="0"/>
    <w:pPr>
      <w:spacing w:line="440" w:lineRule="exact"/>
      <w:textAlignment w:val="baseline"/>
    </w:pPr>
    <w:rPr>
      <w:rFonts w:ascii="Calibri" w:hAnsi="Calibri" w:cs="Calibri"/>
      <w:color w:val="000000"/>
      <w:sz w:val="24"/>
      <w:szCs w:val="72"/>
    </w:rPr>
  </w:style>
  <w:style w:type="table" w:customStyle="1" w:styleId="103">
    <w:name w:val="网格型1"/>
    <w:basedOn w:val="32"/>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4">
    <w:name w:val="段"/>
    <w:qFormat/>
    <w:uiPriority w:val="0"/>
    <w:pPr>
      <w:ind w:firstLine="200" w:firstLineChars="200"/>
      <w:jc w:val="both"/>
    </w:pPr>
    <w:rPr>
      <w:rFonts w:ascii="宋体" w:hAnsi="Times New Roman" w:eastAsia="宋体" w:cs="Times New Roman"/>
      <w:kern w:val="0"/>
      <w:sz w:val="21"/>
      <w:szCs w:val="20"/>
      <w:lang w:val="en-US" w:eastAsia="zh-CN" w:bidi="ar-SA"/>
    </w:rPr>
  </w:style>
  <w:style w:type="character" w:customStyle="1" w:styleId="105">
    <w:name w:val="font11"/>
    <w:basedOn w:val="29"/>
    <w:qFormat/>
    <w:uiPriority w:val="0"/>
    <w:rPr>
      <w:rFonts w:hint="eastAsia" w:ascii="宋体" w:hAnsi="宋体" w:eastAsia="宋体" w:cs="宋体"/>
      <w:b/>
      <w:bCs/>
      <w:color w:val="000000"/>
      <w:sz w:val="20"/>
      <w:szCs w:val="20"/>
      <w:u w:val="none"/>
    </w:rPr>
  </w:style>
  <w:style w:type="character" w:customStyle="1" w:styleId="106">
    <w:name w:val="font31"/>
    <w:basedOn w:val="29"/>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3289</Words>
  <Characters>3437</Characters>
  <Lines>76</Lines>
  <Paragraphs>21</Paragraphs>
  <TotalTime>41</TotalTime>
  <ScaleCrop>false</ScaleCrop>
  <LinksUpToDate>false</LinksUpToDate>
  <CharactersWithSpaces>3456</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2025-08-28T02:59:00Z</dcterms:created>
  <dc:creator>刘 阳</dc:creator>
  <cp:lastModifiedBy>jgkxhq</cp:lastModifiedBy>
  <dcterms:modified xsi:type="dcterms:W3CDTF">2025-10-11T08:14:49Z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eyJoZGlkIjoiMDAzODkyYzU5MGIzOTQ1YjNhZDc4NzA1NGQ1NzdiZGUiLCJ1c2VySWQiOiIyMTQ1Njc3NTkifQ==</vt:lpwstr>
  </property>
  <property fmtid="{D5CDD505-2E9C-101B-9397-08002B2CF9AE}" pid="3" name="KSOProductBuildVer">
    <vt:lpwstr>2052-10.8.2.7090</vt:lpwstr>
  </property>
  <property fmtid="{D5CDD505-2E9C-101B-9397-08002B2CF9AE}" pid="4" name="ICV">
    <vt:lpwstr>BDD2FCCC753B405485CBD9BF216D2855_13</vt:lpwstr>
  </property>
</Properties>
</file>