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36" w:lineRule="auto"/>
        <w:rPr>
          <w:rFonts w:hint="eastAsia" w:ascii="宋体" w:hAnsi="宋体" w:eastAsia="宋体"/>
          <w:b/>
          <w:bCs/>
          <w:color w:val="auto"/>
          <w:sz w:val="28"/>
          <w:szCs w:val="28"/>
        </w:rPr>
      </w:pPr>
      <w:r>
        <w:rPr>
          <w:rFonts w:hint="eastAsia" w:ascii="宋体" w:hAnsi="宋体" w:eastAsia="宋体"/>
          <w:b/>
          <w:bCs/>
          <w:color w:val="auto"/>
          <w:sz w:val="28"/>
          <w:szCs w:val="28"/>
        </w:rPr>
        <w:t>资格要求</w:t>
      </w:r>
    </w:p>
    <w:p>
      <w:pPr>
        <w:spacing w:line="336" w:lineRule="auto"/>
        <w:rPr>
          <w:rFonts w:hint="eastAsia" w:ascii="宋体" w:hAnsi="宋体" w:eastAsia="宋体"/>
          <w:color w:val="auto"/>
          <w:sz w:val="24"/>
          <w:szCs w:val="24"/>
        </w:rPr>
      </w:pPr>
      <w:r>
        <w:rPr>
          <w:rFonts w:hint="eastAsia" w:ascii="宋体" w:hAnsi="宋体" w:eastAsia="宋体"/>
          <w:color w:val="auto"/>
          <w:sz w:val="24"/>
          <w:szCs w:val="24"/>
        </w:rPr>
        <w:t>（一）根据现行法律法规的要求，设置供应商投标的特定资格条件。</w:t>
      </w:r>
    </w:p>
    <w:p>
      <w:pPr>
        <w:spacing w:line="336" w:lineRule="auto"/>
        <w:rPr>
          <w:rFonts w:hint="eastAsia" w:ascii="宋体" w:hAnsi="宋体" w:eastAsia="宋体"/>
          <w:color w:val="auto"/>
          <w:sz w:val="24"/>
          <w:szCs w:val="24"/>
        </w:rPr>
      </w:pPr>
      <w:r>
        <w:rPr>
          <w:rFonts w:hint="eastAsia" w:ascii="宋体" w:hAnsi="宋体" w:eastAsia="宋体"/>
          <w:color w:val="auto"/>
          <w:sz w:val="24"/>
          <w:szCs w:val="24"/>
        </w:rPr>
        <w:t>（二）投标人须具备《中华人民共和国政府采购法》第二十二条第一款规定的条件。</w:t>
      </w:r>
    </w:p>
    <w:p>
      <w:pPr>
        <w:spacing w:line="336" w:lineRule="auto"/>
        <w:rPr>
          <w:rFonts w:hint="eastAsia" w:ascii="宋体" w:hAnsi="宋体" w:eastAsia="宋体"/>
          <w:color w:val="auto"/>
          <w:sz w:val="24"/>
          <w:szCs w:val="24"/>
        </w:rPr>
      </w:pPr>
      <w:r>
        <w:rPr>
          <w:rFonts w:hint="eastAsia" w:ascii="宋体" w:hAnsi="宋体" w:eastAsia="宋体"/>
          <w:color w:val="auto"/>
          <w:sz w:val="24"/>
          <w:szCs w:val="24"/>
        </w:rPr>
        <w:t>（三）本项目不接受联合体。</w:t>
      </w:r>
    </w:p>
    <w:p>
      <w:pPr>
        <w:spacing w:line="336" w:lineRule="auto"/>
        <w:rPr>
          <w:rFonts w:hint="eastAsia" w:ascii="宋体" w:hAnsi="宋体" w:eastAsia="宋体"/>
          <w:b/>
          <w:bCs/>
          <w:color w:val="auto"/>
          <w:sz w:val="28"/>
          <w:szCs w:val="28"/>
        </w:rPr>
      </w:pPr>
      <w:r>
        <w:rPr>
          <w:rFonts w:hint="eastAsia" w:ascii="宋体" w:hAnsi="宋体" w:eastAsia="宋体"/>
          <w:b/>
          <w:bCs/>
          <w:color w:val="auto"/>
          <w:sz w:val="28"/>
          <w:szCs w:val="28"/>
        </w:rPr>
        <w:t>技术要求</w:t>
      </w:r>
    </w:p>
    <w:p>
      <w:pPr>
        <w:spacing w:line="336" w:lineRule="auto"/>
        <w:rPr>
          <w:rFonts w:hint="eastAsia" w:ascii="宋体" w:hAnsi="宋体" w:eastAsia="宋体"/>
          <w:color w:val="auto"/>
          <w:sz w:val="24"/>
          <w:szCs w:val="24"/>
        </w:rPr>
      </w:pPr>
      <w:r>
        <w:rPr>
          <w:rFonts w:hint="eastAsia" w:ascii="宋体" w:hAnsi="宋体" w:eastAsia="宋体"/>
          <w:color w:val="auto"/>
          <w:sz w:val="24"/>
          <w:szCs w:val="24"/>
        </w:rPr>
        <w:t>第一包：</w:t>
      </w:r>
      <w:r>
        <w:rPr>
          <w:rFonts w:hint="eastAsia" w:ascii="宋体" w:hAnsi="宋体" w:eastAsia="宋体"/>
          <w:bCs/>
          <w:color w:val="auto"/>
          <w:sz w:val="24"/>
          <w:szCs w:val="24"/>
        </w:rPr>
        <w:t>数字化电商运营实训室</w:t>
      </w:r>
      <w:r>
        <w:rPr>
          <w:rFonts w:hint="eastAsia" w:ascii="宋体" w:hAnsi="宋体" w:eastAsia="宋体"/>
          <w:bCs/>
          <w:color w:val="auto"/>
          <w:sz w:val="24"/>
          <w:szCs w:val="24"/>
          <w:lang w:val="en-US" w:eastAsia="zh-CN"/>
        </w:rPr>
        <w:t>计算机设备硬件</w:t>
      </w:r>
      <w:r>
        <w:rPr>
          <w:rFonts w:hint="eastAsia" w:ascii="宋体" w:hAnsi="宋体" w:eastAsia="宋体"/>
          <w:bCs/>
          <w:color w:val="auto"/>
          <w:sz w:val="24"/>
          <w:szCs w:val="24"/>
        </w:rPr>
        <w:t>包</w:t>
      </w:r>
    </w:p>
    <w:p>
      <w:pPr>
        <w:spacing w:line="336" w:lineRule="auto"/>
        <w:rPr>
          <w:rFonts w:hint="eastAsia" w:ascii="宋体" w:hAnsi="宋体" w:eastAsia="宋体"/>
          <w:color w:val="auto"/>
          <w:sz w:val="24"/>
          <w:szCs w:val="24"/>
          <w:lang w:eastAsia="zh-CN"/>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一</w:t>
      </w:r>
      <w:r>
        <w:rPr>
          <w:rFonts w:hint="eastAsia" w:ascii="宋体" w:hAnsi="宋体" w:eastAsia="宋体"/>
          <w:color w:val="auto"/>
          <w:sz w:val="24"/>
          <w:szCs w:val="24"/>
          <w:lang w:eastAsia="zh-CN"/>
        </w:rPr>
        <w:t>）资源技术参数</w:t>
      </w:r>
    </w:p>
    <w:tbl>
      <w:tblPr>
        <w:tblStyle w:val="11"/>
        <w:tblW w:w="10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
        <w:gridCol w:w="1480"/>
        <w:gridCol w:w="5558"/>
        <w:gridCol w:w="394"/>
        <w:gridCol w:w="465"/>
        <w:gridCol w:w="1246"/>
        <w:gridCol w:w="1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标的名称</w:t>
            </w:r>
          </w:p>
        </w:tc>
        <w:tc>
          <w:tcPr>
            <w:tcW w:w="5558"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技术要求</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是否属于现行节能产品政府采购清单强制采购范围</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是否属于集采目录内产品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80" w:type="dxa"/>
            <w:shd w:val="clear" w:color="auto" w:fill="auto"/>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▲台式计算机</w:t>
            </w:r>
          </w:p>
        </w:tc>
        <w:tc>
          <w:tcPr>
            <w:tcW w:w="5558"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见下表1</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87</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显示器</w:t>
            </w:r>
          </w:p>
        </w:tc>
        <w:tc>
          <w:tcPr>
            <w:tcW w:w="5558"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见下表2</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87</w:t>
            </w:r>
          </w:p>
        </w:tc>
        <w:tc>
          <w:tcPr>
            <w:tcW w:w="1246" w:type="dxa"/>
            <w:vAlign w:val="center"/>
          </w:tcPr>
          <w:p>
            <w:pPr>
              <w:jc w:val="center"/>
              <w:rPr>
                <w:rFonts w:hint="eastAsia" w:ascii="宋体" w:hAnsi="宋体" w:eastAsia="宋体" w:cs="宋体"/>
                <w:color w:val="auto"/>
                <w:sz w:val="24"/>
                <w:szCs w:val="24"/>
              </w:rPr>
            </w:pPr>
            <w:bookmarkStart w:id="0" w:name="OLE_LINK5"/>
            <w:r>
              <w:rPr>
                <w:rFonts w:hint="eastAsia" w:ascii="宋体" w:hAnsi="宋体" w:eastAsia="宋体" w:cs="宋体"/>
                <w:color w:val="auto"/>
                <w:sz w:val="24"/>
                <w:szCs w:val="24"/>
              </w:rPr>
              <w:t>是</w:t>
            </w:r>
            <w:bookmarkEnd w:id="0"/>
          </w:p>
        </w:tc>
        <w:tc>
          <w:tcPr>
            <w:tcW w:w="1210" w:type="dxa"/>
            <w:vAlign w:val="center"/>
          </w:tcPr>
          <w:p>
            <w:pPr>
              <w:jc w:val="center"/>
              <w:rPr>
                <w:rFonts w:hint="eastAsia" w:ascii="宋体" w:hAnsi="宋体" w:eastAsia="宋体" w:cs="宋体"/>
                <w:color w:val="auto"/>
                <w:sz w:val="24"/>
                <w:szCs w:val="24"/>
              </w:rPr>
            </w:pPr>
            <w:bookmarkStart w:id="1" w:name="OLE_LINK10"/>
            <w:bookmarkStart w:id="2" w:name="OLE_LINK9"/>
            <w:r>
              <w:rPr>
                <w:rFonts w:hint="eastAsia" w:ascii="宋体" w:hAnsi="宋体" w:eastAsia="宋体" w:cs="宋体"/>
                <w:color w:val="auto"/>
                <w:sz w:val="24"/>
                <w:szCs w:val="24"/>
              </w:rPr>
              <w:t>是</w:t>
            </w:r>
            <w:bookmarkEnd w:id="1"/>
            <w:bookmarkEnd w:id="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0"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笔记本电脑</w:t>
            </w:r>
          </w:p>
        </w:tc>
        <w:tc>
          <w:tcPr>
            <w:tcW w:w="5558" w:type="dxa"/>
            <w:shd w:val="clear" w:color="auto" w:fill="auto"/>
            <w:vAlign w:val="center"/>
          </w:tcPr>
          <w:p>
            <w:pPr>
              <w:jc w:val="center"/>
              <w:rPr>
                <w:rFonts w:hint="eastAsia" w:ascii="宋体" w:hAnsi="宋体" w:eastAsia="宋体" w:cs="宋体"/>
                <w:color w:val="auto"/>
                <w:sz w:val="24"/>
                <w:szCs w:val="24"/>
              </w:rPr>
            </w:pPr>
            <w:bookmarkStart w:id="3" w:name="OLE_LINK18"/>
            <w:r>
              <w:rPr>
                <w:rFonts w:hint="eastAsia" w:ascii="宋体" w:hAnsi="宋体" w:eastAsia="宋体" w:cs="宋体"/>
                <w:color w:val="auto"/>
                <w:sz w:val="24"/>
                <w:szCs w:val="24"/>
              </w:rPr>
              <w:t>见下表3</w:t>
            </w:r>
            <w:bookmarkEnd w:id="3"/>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bookmarkStart w:id="4" w:name="_Hlk201045415"/>
            <w:r>
              <w:rPr>
                <w:rFonts w:hint="eastAsia" w:ascii="宋体" w:hAnsi="宋体" w:eastAsia="宋体" w:cs="宋体"/>
                <w:color w:val="auto"/>
                <w:sz w:val="24"/>
                <w:szCs w:val="24"/>
              </w:rPr>
              <w:t>4</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防病毒系统</w:t>
            </w:r>
          </w:p>
        </w:tc>
        <w:tc>
          <w:tcPr>
            <w:tcW w:w="5558" w:type="dxa"/>
            <w:shd w:val="clear" w:color="auto" w:fill="auto"/>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Linux客户端国产系统可支持国产CPU芯片架构（X86、兆芯、海光、龙芯MIPS、龙芯LoongArch、飞腾、鲲鹏、申威），操作系统支持中标麒麟V7.0、银河麒麟V4、麒麟软件V10、统信桌面和服务器V20、中科方德、麒麟信安V3、凝思磐石（6.0.80、6.0.100）；</w:t>
            </w:r>
          </w:p>
          <w:p>
            <w:pPr>
              <w:rPr>
                <w:rFonts w:hint="eastAsia" w:ascii="宋体" w:hAnsi="宋体" w:eastAsia="宋体" w:cs="宋体"/>
                <w:color w:val="auto"/>
                <w:sz w:val="24"/>
                <w:szCs w:val="24"/>
              </w:rPr>
            </w:pPr>
            <w:r>
              <w:rPr>
                <w:rFonts w:hint="eastAsia" w:ascii="宋体" w:hAnsi="宋体" w:eastAsia="宋体" w:cs="宋体"/>
                <w:color w:val="auto"/>
                <w:sz w:val="24"/>
                <w:szCs w:val="24"/>
              </w:rPr>
              <w:t>2、产品采用同源代码构建，可平滑支持当前四大技术路线的6大国产芯片（海光、兆芯、飞腾、龙芯、申威、鲲鹏）+国产操作系统构建的计算机平台；支持在不同芯片和系统上均使用同一安装包，简化缩短客户端部署安装时间；</w:t>
            </w:r>
          </w:p>
          <w:p>
            <w:pPr>
              <w:rPr>
                <w:rFonts w:hint="eastAsia" w:ascii="宋体" w:hAnsi="宋体" w:eastAsia="宋体" w:cs="宋体"/>
                <w:color w:val="auto"/>
                <w:sz w:val="24"/>
                <w:szCs w:val="24"/>
              </w:rPr>
            </w:pPr>
            <w:r>
              <w:rPr>
                <w:rFonts w:hint="eastAsia" w:ascii="宋体" w:hAnsi="宋体" w:eastAsia="宋体" w:cs="宋体"/>
                <w:color w:val="auto"/>
                <w:sz w:val="24"/>
                <w:szCs w:val="24"/>
              </w:rPr>
              <w:t>3、反病毒引擎需完全自主研发，产品集成基础引擎、决策引擎、云查杀引擎、基因引擎、威胁响应处置引擎等多引擎； （需提供自主引擎证明文件）</w:t>
            </w:r>
          </w:p>
          <w:p>
            <w:pPr>
              <w:rPr>
                <w:rFonts w:hint="eastAsia" w:ascii="宋体" w:hAnsi="宋体" w:eastAsia="宋体" w:cs="宋体"/>
                <w:color w:val="auto"/>
                <w:sz w:val="24"/>
                <w:szCs w:val="24"/>
              </w:rPr>
            </w:pPr>
            <w:r>
              <w:rPr>
                <w:rFonts w:hint="eastAsia" w:ascii="宋体" w:hAnsi="宋体" w:eastAsia="宋体" w:cs="宋体"/>
                <w:color w:val="auto"/>
                <w:sz w:val="24"/>
                <w:szCs w:val="24"/>
              </w:rPr>
              <w:t>4、采用智能多模匹配技术，高效地搜索文件中存在的病毒特征，“模式+内容”特征的匹配，无论病毒处于文件的任何位置，都可以快速匹配，解决了恶意软件采用变型手段对抗特征码的问题；</w:t>
            </w:r>
          </w:p>
          <w:p>
            <w:pPr>
              <w:rPr>
                <w:rFonts w:hint="eastAsia" w:ascii="宋体" w:hAnsi="宋体" w:eastAsia="宋体" w:cs="宋体"/>
                <w:color w:val="auto"/>
                <w:sz w:val="24"/>
                <w:szCs w:val="24"/>
              </w:rPr>
            </w:pPr>
            <w:r>
              <w:rPr>
                <w:rFonts w:hint="eastAsia" w:ascii="宋体" w:hAnsi="宋体" w:eastAsia="宋体" w:cs="宋体"/>
                <w:color w:val="auto"/>
                <w:sz w:val="24"/>
                <w:szCs w:val="24"/>
              </w:rPr>
              <w:t>5、采用模糊哈希技术，恶意代码深度定位技术发现的包含恶意代码的最小单元，通过模糊哈希标记，即使该单元内的内容发生轻微的改变和刻意的变型也可瞬间识别；</w:t>
            </w:r>
          </w:p>
          <w:p>
            <w:pPr>
              <w:rPr>
                <w:rFonts w:hint="eastAsia" w:ascii="宋体" w:hAnsi="宋体" w:eastAsia="宋体" w:cs="宋体"/>
                <w:color w:val="auto"/>
                <w:sz w:val="24"/>
                <w:szCs w:val="24"/>
              </w:rPr>
            </w:pPr>
            <w:r>
              <w:rPr>
                <w:rFonts w:hint="eastAsia" w:ascii="宋体" w:hAnsi="宋体" w:eastAsia="宋体" w:cs="宋体"/>
                <w:color w:val="auto"/>
                <w:sz w:val="24"/>
                <w:szCs w:val="24"/>
              </w:rPr>
              <w:t>6、反病毒引擎和病毒库需支持10亿以上的病毒类型查杀检测；</w:t>
            </w:r>
          </w:p>
          <w:p>
            <w:pPr>
              <w:rPr>
                <w:rFonts w:hint="eastAsia" w:ascii="宋体" w:hAnsi="宋体" w:eastAsia="宋体" w:cs="宋体"/>
                <w:color w:val="auto"/>
                <w:sz w:val="24"/>
                <w:szCs w:val="24"/>
              </w:rPr>
            </w:pPr>
            <w:r>
              <w:rPr>
                <w:rFonts w:hint="eastAsia" w:ascii="宋体" w:hAnsi="宋体" w:eastAsia="宋体" w:cs="宋体"/>
                <w:color w:val="auto"/>
                <w:sz w:val="24"/>
                <w:szCs w:val="24"/>
              </w:rPr>
              <w:t>7、反病毒引擎及威胁响应处置引擎需支持跨平台X86、amd64、mips64、arm64、sw64的CPU架构，所有架构病毒查杀能力、查杀性能要保持一致、稳定；</w:t>
            </w:r>
          </w:p>
          <w:p>
            <w:pPr>
              <w:rPr>
                <w:rFonts w:hint="eastAsia" w:ascii="宋体" w:hAnsi="宋体" w:eastAsia="宋体" w:cs="宋体"/>
                <w:color w:val="auto"/>
                <w:sz w:val="24"/>
                <w:szCs w:val="24"/>
              </w:rPr>
            </w:pPr>
            <w:r>
              <w:rPr>
                <w:rFonts w:hint="eastAsia" w:ascii="宋体" w:hAnsi="宋体" w:eastAsia="宋体" w:cs="宋体"/>
                <w:color w:val="auto"/>
                <w:sz w:val="24"/>
                <w:szCs w:val="24"/>
              </w:rPr>
              <w:t>8、支持多压缩格式文件的查杀，如7z、jar、tar、tar.bz2、tar.gz、tar.lz、tar.lzma、tar.lzo、tar.xz、tar.Z、tar.7z、zip等，并且支持多重压缩以及对7z、jar、tar、tar.bz2、tar.gz、tar.lz、tar.lzma、tar.lzo、tar.xz、tar.Z、tar.7z、zip等多种压缩包内文件的杀毒；</w:t>
            </w:r>
          </w:p>
          <w:p>
            <w:pPr>
              <w:rPr>
                <w:rFonts w:hint="eastAsia" w:ascii="宋体" w:hAnsi="宋体" w:eastAsia="宋体" w:cs="宋体"/>
                <w:color w:val="auto"/>
                <w:sz w:val="24"/>
                <w:szCs w:val="24"/>
              </w:rPr>
            </w:pPr>
            <w:r>
              <w:rPr>
                <w:rFonts w:hint="eastAsia" w:ascii="宋体" w:hAnsi="宋体" w:eastAsia="宋体" w:cs="宋体"/>
                <w:color w:val="auto"/>
                <w:sz w:val="24"/>
                <w:szCs w:val="24"/>
              </w:rPr>
              <w:t>9、支持龙芯、兆芯、申威、海光、飞腾、鲲鹏下的银河麒麟、统信UOS、中标麒麟、中科方德、深度等几乎所有主流架构芯片和操作系统的组合。</w:t>
            </w:r>
          </w:p>
          <w:p>
            <w:pPr>
              <w:rPr>
                <w:rFonts w:hint="eastAsia" w:ascii="宋体" w:hAnsi="宋体" w:eastAsia="宋体" w:cs="宋体"/>
                <w:color w:val="auto"/>
                <w:sz w:val="24"/>
                <w:szCs w:val="24"/>
              </w:rPr>
            </w:pPr>
            <w:r>
              <w:rPr>
                <w:rFonts w:hint="eastAsia" w:ascii="宋体" w:hAnsi="宋体" w:eastAsia="宋体" w:cs="宋体"/>
                <w:color w:val="auto"/>
                <w:sz w:val="24"/>
                <w:szCs w:val="24"/>
              </w:rPr>
              <w:t>10、支持多核cpu的并行计算，提高文件扫描速度；支持无GUI界面操作；可支持全面查杀国产操作系统内文件中的恶意代码，包含跨平台存储的windows病毒。</w:t>
            </w:r>
          </w:p>
          <w:p>
            <w:pPr>
              <w:rPr>
                <w:rFonts w:hint="eastAsia" w:ascii="宋体" w:hAnsi="宋体" w:eastAsia="宋体" w:cs="宋体"/>
                <w:color w:val="auto"/>
                <w:sz w:val="24"/>
                <w:szCs w:val="24"/>
              </w:rPr>
            </w:pPr>
            <w:r>
              <w:rPr>
                <w:rFonts w:hint="eastAsia" w:ascii="宋体" w:hAnsi="宋体" w:eastAsia="宋体" w:cs="宋体"/>
                <w:color w:val="auto"/>
                <w:sz w:val="24"/>
                <w:szCs w:val="24"/>
              </w:rPr>
              <w:t>11、支持二次扫描加速，支持正规签名文件快速放过设置；扫描模式包括快速扫描、全盘扫描、自定义扫描；可根据文件、文件目录、文件后缀等方式设置白名单或排除列表，提高企业内部防护效率；拥有U盘监控功能，可自动对插入U盘设备进行扫描</w:t>
            </w:r>
          </w:p>
          <w:p>
            <w:pPr>
              <w:rPr>
                <w:rFonts w:hint="eastAsia" w:ascii="宋体" w:hAnsi="宋体" w:eastAsia="宋体" w:cs="宋体"/>
                <w:color w:val="auto"/>
                <w:sz w:val="24"/>
                <w:szCs w:val="24"/>
              </w:rPr>
            </w:pPr>
            <w:r>
              <w:rPr>
                <w:rFonts w:hint="eastAsia" w:ascii="宋体" w:hAnsi="宋体" w:eastAsia="宋体" w:cs="宋体"/>
                <w:color w:val="auto"/>
                <w:sz w:val="24"/>
                <w:szCs w:val="24"/>
              </w:rPr>
              <w:t>12、智能的变频杀毒，支持办公模式、自动模式、高速模式三种模式。可按需配置查杀毒时对CPU的使用情况，最大程度减少查杀毒时对用户使用计算机的影响。</w:t>
            </w:r>
          </w:p>
          <w:p>
            <w:pPr>
              <w:rPr>
                <w:rFonts w:hint="eastAsia" w:ascii="宋体" w:hAnsi="宋体" w:eastAsia="宋体" w:cs="宋体"/>
                <w:color w:val="auto"/>
                <w:sz w:val="24"/>
                <w:szCs w:val="24"/>
              </w:rPr>
            </w:pPr>
            <w:r>
              <w:rPr>
                <w:rFonts w:hint="eastAsia" w:ascii="宋体" w:hAnsi="宋体" w:eastAsia="宋体" w:cs="宋体"/>
                <w:color w:val="auto"/>
                <w:sz w:val="24"/>
                <w:szCs w:val="24"/>
              </w:rPr>
              <w:t>13、支持在线定时升级、在线手动升级、离线升级、命令行界面升级等多种升级方式。</w:t>
            </w:r>
          </w:p>
          <w:p>
            <w:pPr>
              <w:jc w:val="left"/>
              <w:rPr>
                <w:rFonts w:hint="eastAsia" w:ascii="宋体" w:hAnsi="宋体" w:eastAsia="宋体" w:cs="宋体"/>
                <w:color w:val="auto"/>
                <w:sz w:val="24"/>
                <w:szCs w:val="24"/>
              </w:rPr>
            </w:pPr>
            <w:r>
              <w:rPr>
                <w:rFonts w:hint="eastAsia" w:ascii="宋体" w:hAnsi="宋体" w:eastAsia="宋体" w:cs="宋体"/>
                <w:color w:val="auto"/>
                <w:sz w:val="24"/>
                <w:szCs w:val="24"/>
              </w:rPr>
              <w:t>14、拥有主动防御功能，可对指定目录的活跃文件实现实施监控</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bookmarkStart w:id="5" w:name="OLE_LINK8"/>
            <w:r>
              <w:rPr>
                <w:rFonts w:hint="eastAsia" w:ascii="宋体" w:hAnsi="宋体" w:eastAsia="宋体" w:cs="宋体"/>
                <w:color w:val="auto"/>
                <w:sz w:val="24"/>
                <w:szCs w:val="24"/>
              </w:rPr>
              <w:t>否</w:t>
            </w:r>
            <w:bookmarkEnd w:id="5"/>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bookmarkEnd w:id="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办公软件</w:t>
            </w:r>
          </w:p>
        </w:tc>
        <w:tc>
          <w:tcPr>
            <w:tcW w:w="5558" w:type="dxa"/>
            <w:shd w:val="clear" w:color="auto" w:fill="auto"/>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1、品牌：自主品牌</w:t>
            </w:r>
          </w:p>
          <w:p>
            <w:pPr>
              <w:rPr>
                <w:rFonts w:hint="eastAsia" w:ascii="宋体" w:hAnsi="宋体" w:eastAsia="宋体" w:cs="宋体"/>
                <w:color w:val="auto"/>
                <w:sz w:val="24"/>
                <w:szCs w:val="24"/>
              </w:rPr>
            </w:pPr>
            <w:r>
              <w:rPr>
                <w:rFonts w:hint="eastAsia" w:ascii="宋体" w:hAnsi="宋体" w:eastAsia="宋体" w:cs="宋体"/>
                <w:color w:val="auto"/>
                <w:sz w:val="24"/>
                <w:szCs w:val="24"/>
              </w:rPr>
              <w:t>2、基础平台兼容性：基础平台兼容性：支持统信UOS、中科方德、麒麟等；支持龙芯、申威、飞腾、兆芯等自主可控硬件平台。</w:t>
            </w:r>
          </w:p>
          <w:p>
            <w:pPr>
              <w:rPr>
                <w:rFonts w:hint="eastAsia" w:ascii="宋体" w:hAnsi="宋体" w:eastAsia="宋体" w:cs="宋体"/>
                <w:color w:val="auto"/>
                <w:sz w:val="24"/>
                <w:szCs w:val="24"/>
              </w:rPr>
            </w:pPr>
            <w:r>
              <w:rPr>
                <w:rFonts w:hint="eastAsia" w:ascii="宋体" w:hAnsi="宋体" w:eastAsia="宋体" w:cs="宋体"/>
                <w:color w:val="auto"/>
                <w:sz w:val="24"/>
                <w:szCs w:val="24"/>
              </w:rPr>
              <w:t>3、支持预览和编辑不同类型文档格式，包括：wps、doc、docx、ppt、pptx、xls、xlsx。</w:t>
            </w:r>
          </w:p>
          <w:p>
            <w:pPr>
              <w:rPr>
                <w:rFonts w:hint="eastAsia" w:ascii="宋体" w:hAnsi="宋体" w:eastAsia="宋体" w:cs="宋体"/>
                <w:color w:val="auto"/>
                <w:sz w:val="24"/>
                <w:szCs w:val="24"/>
              </w:rPr>
            </w:pPr>
            <w:r>
              <w:rPr>
                <w:rFonts w:hint="eastAsia" w:ascii="宋体" w:hAnsi="宋体" w:eastAsia="宋体" w:cs="宋体"/>
                <w:color w:val="auto"/>
                <w:sz w:val="24"/>
                <w:szCs w:val="24"/>
              </w:rPr>
              <w:t>4、文件打开时长要求，以10MB大小的文件为基准，文字模块打开时长不超过1秒；表格模块打开时长不超过1秒；幻灯片模块打开时长不超过2秒。</w:t>
            </w:r>
          </w:p>
          <w:p>
            <w:pPr>
              <w:rPr>
                <w:rFonts w:hint="eastAsia" w:ascii="宋体" w:hAnsi="宋体" w:eastAsia="宋体" w:cs="宋体"/>
                <w:color w:val="auto"/>
                <w:sz w:val="24"/>
                <w:szCs w:val="24"/>
              </w:rPr>
            </w:pPr>
            <w:r>
              <w:rPr>
                <w:rFonts w:hint="eastAsia" w:ascii="宋体" w:hAnsi="宋体" w:eastAsia="宋体" w:cs="宋体"/>
                <w:color w:val="auto"/>
                <w:sz w:val="24"/>
                <w:szCs w:val="24"/>
              </w:rPr>
              <w:t>5、模块：包含文字处理、电子表格和演示文稿三大功能模块，各模块分别在独立窗口中运行。</w:t>
            </w:r>
          </w:p>
          <w:p>
            <w:pPr>
              <w:rPr>
                <w:rFonts w:hint="eastAsia" w:ascii="宋体" w:hAnsi="宋体" w:eastAsia="宋体" w:cs="宋体"/>
                <w:color w:val="auto"/>
                <w:sz w:val="24"/>
                <w:szCs w:val="24"/>
              </w:rPr>
            </w:pPr>
            <w:r>
              <w:rPr>
                <w:rFonts w:hint="eastAsia" w:ascii="宋体" w:hAnsi="宋体" w:eastAsia="宋体" w:cs="宋体"/>
                <w:color w:val="auto"/>
                <w:sz w:val="24"/>
                <w:szCs w:val="24"/>
              </w:rPr>
              <w:t>6、所投产品需要满足天津市基础教育阶段《信息技术》相关教材教学内容，满足授课和教学使用要求。</w:t>
            </w:r>
          </w:p>
          <w:p>
            <w:pPr>
              <w:rPr>
                <w:rFonts w:hint="eastAsia" w:ascii="宋体" w:hAnsi="宋体" w:eastAsia="宋体" w:cs="宋体"/>
                <w:color w:val="auto"/>
                <w:sz w:val="24"/>
                <w:szCs w:val="24"/>
              </w:rPr>
            </w:pPr>
            <w:r>
              <w:rPr>
                <w:rFonts w:hint="eastAsia" w:ascii="宋体" w:hAnsi="宋体" w:eastAsia="宋体" w:cs="宋体"/>
                <w:color w:val="auto"/>
                <w:sz w:val="24"/>
                <w:szCs w:val="24"/>
              </w:rPr>
              <w:t>7、支持本地磁盘文件搜索。可以根据文档名称，文档内容，按照时间及文件类型搜索出符合条件的文档素材，搜索出来的文档支持直接查看和引用，通过引用将文档内容直接插入到需要的文档中。</w:t>
            </w:r>
          </w:p>
          <w:p>
            <w:pPr>
              <w:rPr>
                <w:rFonts w:hint="eastAsia" w:ascii="宋体" w:hAnsi="宋体" w:eastAsia="宋体" w:cs="宋体"/>
                <w:color w:val="auto"/>
                <w:sz w:val="24"/>
                <w:szCs w:val="24"/>
              </w:rPr>
            </w:pPr>
            <w:r>
              <w:rPr>
                <w:rFonts w:hint="eastAsia" w:ascii="宋体" w:hAnsi="宋体" w:eastAsia="宋体" w:cs="宋体"/>
                <w:color w:val="auto"/>
                <w:sz w:val="24"/>
                <w:szCs w:val="24"/>
              </w:rPr>
              <w:t>8、支持专用于阅读的视图模式（阅读版式），该模式下支持目录导航、显示批注、突出显示、查找等功能，便于阅读和标记。</w:t>
            </w:r>
          </w:p>
          <w:p>
            <w:pPr>
              <w:rPr>
                <w:rFonts w:hint="eastAsia" w:ascii="宋体" w:hAnsi="宋体" w:eastAsia="宋体" w:cs="宋体"/>
                <w:color w:val="auto"/>
                <w:sz w:val="24"/>
                <w:szCs w:val="24"/>
              </w:rPr>
            </w:pPr>
            <w:r>
              <w:rPr>
                <w:rFonts w:hint="eastAsia" w:ascii="宋体" w:hAnsi="宋体" w:eastAsia="宋体" w:cs="宋体"/>
                <w:color w:val="auto"/>
                <w:sz w:val="24"/>
                <w:szCs w:val="24"/>
              </w:rPr>
              <w:t>9、所投产品需满足教育部考试中心全国计算机等级考试（NCRE）一级/二级考试中的有关考试内容。</w:t>
            </w:r>
          </w:p>
          <w:p>
            <w:pPr>
              <w:rPr>
                <w:rFonts w:hint="eastAsia" w:ascii="宋体" w:hAnsi="宋体" w:eastAsia="宋体" w:cs="宋体"/>
                <w:color w:val="auto"/>
                <w:sz w:val="24"/>
                <w:szCs w:val="24"/>
              </w:rPr>
            </w:pPr>
            <w:r>
              <w:rPr>
                <w:rFonts w:hint="eastAsia" w:ascii="宋体" w:hAnsi="宋体" w:eastAsia="宋体" w:cs="宋体"/>
                <w:color w:val="auto"/>
                <w:sz w:val="24"/>
                <w:szCs w:val="24"/>
              </w:rPr>
              <w:t>10、支持自动筛选高级模式。支持显示计数、导出计数、按计数排序、反选、筛选唯一/重复值等高级功能。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11、表格模块支持在表格中一键插入求和、计数、平均值等常用公式。支持多列数据合并操作。支持单元格数据的循环引用。</w:t>
            </w:r>
          </w:p>
          <w:p>
            <w:pPr>
              <w:rPr>
                <w:rFonts w:hint="eastAsia" w:ascii="宋体" w:hAnsi="宋体" w:eastAsia="宋体" w:cs="宋体"/>
                <w:color w:val="auto"/>
                <w:sz w:val="24"/>
                <w:szCs w:val="24"/>
              </w:rPr>
            </w:pPr>
            <w:r>
              <w:rPr>
                <w:rFonts w:hint="eastAsia" w:ascii="宋体" w:hAnsi="宋体" w:eastAsia="宋体" w:cs="宋体"/>
                <w:color w:val="auto"/>
                <w:sz w:val="24"/>
                <w:szCs w:val="24"/>
              </w:rPr>
              <w:t>12、支持将演示文件及相关媒体文件直接打包成文件夹/压缩文件，方便用户携带及使用，避免文档流转时媒体文件无法播放。</w:t>
            </w:r>
          </w:p>
          <w:p>
            <w:pPr>
              <w:rPr>
                <w:rFonts w:hint="eastAsia" w:ascii="宋体" w:hAnsi="宋体" w:eastAsia="宋体" w:cs="宋体"/>
                <w:color w:val="auto"/>
                <w:sz w:val="24"/>
                <w:szCs w:val="24"/>
              </w:rPr>
            </w:pPr>
            <w:r>
              <w:rPr>
                <w:rFonts w:hint="eastAsia" w:ascii="宋体" w:hAnsi="宋体" w:eastAsia="宋体" w:cs="宋体"/>
                <w:color w:val="auto"/>
                <w:sz w:val="24"/>
                <w:szCs w:val="24"/>
              </w:rPr>
              <w:t>13、支持将演示文件及相关媒体文件直接打包成文件夹/压缩文件，方便用户携带及使用，避免文档流转时媒体文件无法播放。</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OFD版式软件</w:t>
            </w:r>
          </w:p>
        </w:tc>
        <w:tc>
          <w:tcPr>
            <w:tcW w:w="5558" w:type="dxa"/>
            <w:shd w:val="clear" w:color="auto" w:fill="auto"/>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1、安全可靠：软件代码自主率应在95%以上，并提供代码自主率测试报告。</w:t>
            </w:r>
          </w:p>
          <w:p>
            <w:pPr>
              <w:rPr>
                <w:rFonts w:hint="eastAsia" w:ascii="宋体" w:hAnsi="宋体" w:eastAsia="宋体" w:cs="宋体"/>
                <w:color w:val="auto"/>
                <w:sz w:val="24"/>
                <w:szCs w:val="24"/>
              </w:rPr>
            </w:pPr>
            <w:r>
              <w:rPr>
                <w:rFonts w:hint="eastAsia" w:ascii="宋体" w:hAnsi="宋体" w:eastAsia="宋体" w:cs="宋体"/>
                <w:color w:val="auto"/>
                <w:sz w:val="24"/>
                <w:szCs w:val="24"/>
              </w:rPr>
              <w:t>2、文件操作：提供OFD/PDF版式文档打开、保存、另存功能，可将打开文档导出为图片、PDF或TXT格式文档，导出为图片时自动分页保存。</w:t>
            </w:r>
          </w:p>
          <w:p>
            <w:pPr>
              <w:rPr>
                <w:rFonts w:hint="eastAsia" w:ascii="宋体" w:hAnsi="宋体" w:eastAsia="宋体" w:cs="宋体"/>
                <w:color w:val="auto"/>
                <w:sz w:val="24"/>
                <w:szCs w:val="24"/>
              </w:rPr>
            </w:pPr>
            <w:r>
              <w:rPr>
                <w:rFonts w:hint="eastAsia" w:ascii="宋体" w:hAnsi="宋体" w:eastAsia="宋体" w:cs="宋体"/>
                <w:color w:val="auto"/>
                <w:sz w:val="24"/>
                <w:szCs w:val="24"/>
              </w:rPr>
              <w:t>3、多文档支持：可打开SFD、SEP、GW、GD、PS、S2/S72/S92、CEB、流式、图片等格式文档直接阅览。</w:t>
            </w:r>
          </w:p>
          <w:p>
            <w:pPr>
              <w:rPr>
                <w:rFonts w:hint="eastAsia" w:ascii="宋体" w:hAnsi="宋体" w:eastAsia="宋体" w:cs="宋体"/>
                <w:color w:val="auto"/>
                <w:sz w:val="24"/>
                <w:szCs w:val="24"/>
              </w:rPr>
            </w:pPr>
            <w:r>
              <w:rPr>
                <w:rFonts w:hint="eastAsia" w:ascii="宋体" w:hAnsi="宋体" w:eastAsia="宋体" w:cs="宋体"/>
                <w:color w:val="auto"/>
                <w:sz w:val="24"/>
                <w:szCs w:val="24"/>
              </w:rPr>
              <w:t>4、阅读操作：支持翻页、跳转、缩放功能，支持缩略图、大纲、语义、书签、签章、注释、附件的导览功能，支持两个文档同屏比对功能。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5、文档打印：支持打印预览功能，支持打印复印件功能，支持装订成册打印功能，可设置打印属性。</w:t>
            </w:r>
          </w:p>
          <w:p>
            <w:pPr>
              <w:rPr>
                <w:rFonts w:hint="eastAsia" w:ascii="宋体" w:hAnsi="宋体" w:eastAsia="宋体" w:cs="宋体"/>
                <w:color w:val="auto"/>
                <w:sz w:val="24"/>
                <w:szCs w:val="24"/>
              </w:rPr>
            </w:pPr>
            <w:r>
              <w:rPr>
                <w:rFonts w:hint="eastAsia" w:ascii="宋体" w:hAnsi="宋体" w:eastAsia="宋体" w:cs="宋体"/>
                <w:color w:val="auto"/>
                <w:sz w:val="24"/>
                <w:szCs w:val="24"/>
              </w:rPr>
              <w:t>6、内容操作：支持选择与复制功能，可将复制内容的字体、段落格式、行间距等属性带入WPS文档中。</w:t>
            </w:r>
          </w:p>
          <w:p>
            <w:pPr>
              <w:rPr>
                <w:rFonts w:hint="eastAsia" w:ascii="宋体" w:hAnsi="宋体" w:eastAsia="宋体" w:cs="宋体"/>
                <w:color w:val="auto"/>
                <w:sz w:val="24"/>
                <w:szCs w:val="24"/>
              </w:rPr>
            </w:pPr>
            <w:r>
              <w:rPr>
                <w:rFonts w:hint="eastAsia" w:ascii="宋体" w:hAnsi="宋体" w:eastAsia="宋体" w:cs="宋体"/>
                <w:color w:val="auto"/>
                <w:sz w:val="24"/>
                <w:szCs w:val="24"/>
              </w:rPr>
              <w:t>7、电子签章：支持签章、骑缝章、署名章、预盖章、日期章、文字定位盖章、批量盖章等盖章功能，可脱离第三方签章库直接验证签章。支持自动加盖国密时间戳。</w:t>
            </w:r>
          </w:p>
          <w:p>
            <w:pPr>
              <w:rPr>
                <w:rFonts w:hint="eastAsia" w:ascii="宋体" w:hAnsi="宋体" w:eastAsia="宋体" w:cs="宋体"/>
                <w:color w:val="auto"/>
                <w:sz w:val="24"/>
                <w:szCs w:val="24"/>
              </w:rPr>
            </w:pPr>
            <w:r>
              <w:rPr>
                <w:rFonts w:hint="eastAsia" w:ascii="宋体" w:hAnsi="宋体" w:eastAsia="宋体" w:cs="宋体"/>
                <w:color w:val="auto"/>
                <w:sz w:val="24"/>
                <w:szCs w:val="24"/>
              </w:rPr>
              <w:t>8、注释功能：提供箭头、直线、圆形等图形注释功能，提供高亮、下划线、删除线、波浪线等文本注释功能。提供注释导入导出功能。提供文本框注释功能。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9、文档水印：提供图文水印功能，可设置水印的字体、字号、角度等属性；提供动态水印功能，可将当前用户、时间等信息作为水印内容叠加到文档中。</w:t>
            </w:r>
          </w:p>
          <w:p>
            <w:pPr>
              <w:rPr>
                <w:rFonts w:hint="eastAsia" w:ascii="宋体" w:hAnsi="宋体" w:eastAsia="宋体" w:cs="宋体"/>
                <w:color w:val="auto"/>
                <w:sz w:val="24"/>
                <w:szCs w:val="24"/>
              </w:rPr>
            </w:pPr>
            <w:r>
              <w:rPr>
                <w:rFonts w:hint="eastAsia" w:ascii="宋体" w:hAnsi="宋体" w:eastAsia="宋体" w:cs="宋体"/>
                <w:color w:val="auto"/>
                <w:sz w:val="24"/>
                <w:szCs w:val="24"/>
              </w:rPr>
              <w:t>10、版式修订：提供版式修订功能，包括删除、插入、替换、移动、修改、增加间距、缩小间距、前移、后移、切换字体等。</w:t>
            </w:r>
          </w:p>
          <w:p>
            <w:pPr>
              <w:rPr>
                <w:rFonts w:hint="eastAsia" w:ascii="宋体" w:hAnsi="宋体" w:eastAsia="宋体" w:cs="宋体"/>
                <w:color w:val="auto"/>
                <w:sz w:val="24"/>
                <w:szCs w:val="24"/>
              </w:rPr>
            </w:pPr>
            <w:r>
              <w:rPr>
                <w:rFonts w:hint="eastAsia" w:ascii="宋体" w:hAnsi="宋体" w:eastAsia="宋体" w:cs="宋体"/>
                <w:color w:val="auto"/>
                <w:sz w:val="24"/>
                <w:szCs w:val="24"/>
              </w:rPr>
              <w:t>11、手写签批：支持手写签批，实现铅笔、签字笔（粗、细）、软笔签批用笔选择，支持压感笔锋功能，支持跨页签批，提供橡皮檫功能。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12、页面处理：支持拆分OFD；提供插入、删除、替换、提取、交换、移动、裁切等页面处理功能。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13、安全性：提供保存、另存、打印、复制、截屏等禁用控制功能，支持国密https打开远程文件，可为文档添加阅读有效期和操作权限，提供加密保护功能。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14、应用集成：支持B/S和C/S集成模式，具有完善的二次开发接口。</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bookmarkStart w:id="6" w:name="OLE_LINK17"/>
            <w:bookmarkStart w:id="7" w:name="OLE_LINK11"/>
            <w:bookmarkStart w:id="8" w:name="OLE_LINK37"/>
            <w:r>
              <w:rPr>
                <w:rFonts w:hint="eastAsia" w:ascii="宋体" w:hAnsi="宋体" w:eastAsia="宋体" w:cs="宋体"/>
                <w:color w:val="auto"/>
                <w:kern w:val="0"/>
                <w:sz w:val="24"/>
                <w:szCs w:val="24"/>
              </w:rPr>
              <w:t>机房运维管理教学系统</w:t>
            </w:r>
            <w:bookmarkEnd w:id="6"/>
            <w:bookmarkEnd w:id="7"/>
            <w:bookmarkEnd w:id="8"/>
          </w:p>
        </w:tc>
        <w:tc>
          <w:tcPr>
            <w:tcW w:w="5558" w:type="dxa"/>
            <w:shd w:val="clear" w:color="auto" w:fill="auto"/>
            <w:vAlign w:val="center"/>
          </w:tcPr>
          <w:p>
            <w:pPr>
              <w:rPr>
                <w:rFonts w:hint="eastAsia" w:ascii="宋体" w:hAnsi="宋体" w:eastAsia="宋体" w:cs="宋体"/>
                <w:color w:val="auto"/>
                <w:sz w:val="24"/>
                <w:szCs w:val="24"/>
              </w:rPr>
            </w:pPr>
            <w:bookmarkStart w:id="9" w:name="OLE_LINK47"/>
            <w:bookmarkStart w:id="10" w:name="OLE_LINK46"/>
            <w:r>
              <w:rPr>
                <w:rFonts w:hint="eastAsia" w:ascii="宋体" w:hAnsi="宋体" w:eastAsia="宋体" w:cs="宋体"/>
                <w:color w:val="auto"/>
                <w:sz w:val="24"/>
                <w:szCs w:val="24"/>
              </w:rPr>
              <w:t>（1）</w:t>
            </w:r>
            <w:bookmarkStart w:id="11" w:name="OLE_LINK49"/>
            <w:bookmarkStart w:id="12" w:name="OLE_LINK48"/>
            <w:r>
              <w:rPr>
                <w:rFonts w:hint="eastAsia" w:ascii="宋体" w:hAnsi="宋体" w:eastAsia="宋体" w:cs="宋体"/>
                <w:color w:val="auto"/>
                <w:sz w:val="24"/>
                <w:szCs w:val="24"/>
              </w:rPr>
              <w:t>数据保护：支持BIOS底层对终端进行还原类型设置，支持每次开机还原、手动还原、每天特定时间还原、每周特定时间还原、每月特定时间还原、以及不还原等多种数据还原方式，同时也可在系统下通过主控端对被控端批量远程设置相同的还原参数</w:t>
            </w:r>
          </w:p>
          <w:bookmarkEnd w:id="11"/>
          <w:bookmarkEnd w:id="12"/>
          <w:p>
            <w:pPr>
              <w:rPr>
                <w:rFonts w:hint="eastAsia" w:ascii="宋体" w:hAnsi="宋体" w:eastAsia="宋体" w:cs="宋体"/>
                <w:color w:val="auto"/>
                <w:sz w:val="24"/>
                <w:szCs w:val="24"/>
              </w:rPr>
            </w:pPr>
            <w:r>
              <w:rPr>
                <w:rFonts w:hint="eastAsia" w:ascii="宋体" w:hAnsi="宋体" w:eastAsia="宋体" w:cs="宋体"/>
                <w:color w:val="auto"/>
                <w:sz w:val="24"/>
                <w:szCs w:val="24"/>
              </w:rPr>
              <w:t>（2）</w:t>
            </w:r>
            <w:bookmarkStart w:id="13" w:name="OLE_LINK58"/>
            <w:bookmarkStart w:id="14" w:name="OLE_LINK59"/>
            <w:r>
              <w:rPr>
                <w:rFonts w:hint="eastAsia" w:ascii="宋体" w:hAnsi="宋体" w:eastAsia="宋体" w:cs="宋体"/>
                <w:color w:val="auto"/>
                <w:sz w:val="24"/>
                <w:szCs w:val="24"/>
              </w:rPr>
              <w:t>模式管理：支持BIOS底层和操作系统两种方式下，对管理员模式、还原模式、考试模式一键自由切换</w:t>
            </w:r>
          </w:p>
          <w:bookmarkEnd w:id="9"/>
          <w:bookmarkEnd w:id="10"/>
          <w:bookmarkEnd w:id="13"/>
          <w:bookmarkEnd w:id="14"/>
          <w:p>
            <w:pPr>
              <w:rPr>
                <w:rFonts w:hint="eastAsia" w:ascii="宋体" w:hAnsi="宋体" w:eastAsia="宋体" w:cs="宋体"/>
                <w:color w:val="auto"/>
                <w:sz w:val="24"/>
                <w:szCs w:val="24"/>
              </w:rPr>
            </w:pPr>
            <w:r>
              <w:rPr>
                <w:rFonts w:hint="eastAsia" w:ascii="宋体" w:hAnsi="宋体" w:eastAsia="宋体" w:cs="宋体"/>
                <w:color w:val="auto"/>
                <w:sz w:val="24"/>
                <w:szCs w:val="24"/>
              </w:rPr>
              <w:t>（3）</w:t>
            </w:r>
            <w:bookmarkStart w:id="15" w:name="OLE_LINK55"/>
            <w:bookmarkStart w:id="16" w:name="OLE_LINK50"/>
            <w:r>
              <w:rPr>
                <w:rFonts w:hint="eastAsia" w:ascii="宋体" w:hAnsi="宋体" w:eastAsia="宋体" w:cs="宋体"/>
                <w:color w:val="auto"/>
                <w:sz w:val="24"/>
                <w:szCs w:val="24"/>
              </w:rPr>
              <w:t>智慧对拷：可进行硬盘智慧对拷操作，支持UEFI PXE和Legacy PXE双模式自动连线的智能对拷功能，可设置广播、组播、单播三种不同的智能对拷模式，以及根据实际网络情况设置全速、高速、快速、流畅四种延时类型，对拷过程中用户可查看当前对拷速度、当前对拷分区、延时、总剩余数据量、已用时间，剩余时间、克隆速率等相关对拷信息，实时掌握对拷进度和状态。</w:t>
            </w:r>
          </w:p>
          <w:bookmarkEnd w:id="15"/>
          <w:bookmarkEnd w:id="16"/>
          <w:p>
            <w:pPr>
              <w:rPr>
                <w:rFonts w:hint="eastAsia" w:ascii="宋体" w:hAnsi="宋体" w:eastAsia="宋体" w:cs="宋体"/>
                <w:color w:val="auto"/>
                <w:sz w:val="24"/>
                <w:szCs w:val="24"/>
              </w:rPr>
            </w:pPr>
            <w:r>
              <w:rPr>
                <w:rFonts w:hint="eastAsia" w:ascii="宋体" w:hAnsi="宋体" w:eastAsia="宋体" w:cs="宋体"/>
                <w:color w:val="auto"/>
                <w:sz w:val="24"/>
                <w:szCs w:val="24"/>
              </w:rPr>
              <w:t>（4）</w:t>
            </w:r>
            <w:bookmarkStart w:id="17" w:name="OLE_LINK56"/>
            <w:bookmarkStart w:id="18" w:name="OLE_LINK57"/>
            <w:r>
              <w:rPr>
                <w:rFonts w:hint="eastAsia" w:ascii="宋体" w:hAnsi="宋体" w:eastAsia="宋体" w:cs="宋体"/>
                <w:color w:val="auto"/>
                <w:sz w:val="24"/>
                <w:szCs w:val="24"/>
              </w:rPr>
              <w:t>虚拟系统：支持虚拟系统快速建立功能，每个虚拟系统在BIOS底层开机启动菜单可显示到对应真实系统下，方便用户分辨虚拟系统和真实系统的所属关系，避免用户误操作。</w:t>
            </w:r>
          </w:p>
          <w:bookmarkEnd w:id="17"/>
          <w:bookmarkEnd w:id="18"/>
          <w:p>
            <w:pPr>
              <w:rPr>
                <w:rFonts w:hint="eastAsia" w:ascii="宋体" w:hAnsi="宋体" w:eastAsia="宋体" w:cs="宋体"/>
                <w:color w:val="auto"/>
                <w:sz w:val="24"/>
                <w:szCs w:val="24"/>
              </w:rPr>
            </w:pPr>
            <w:r>
              <w:rPr>
                <w:rFonts w:hint="eastAsia" w:ascii="宋体" w:hAnsi="宋体" w:eastAsia="宋体" w:cs="宋体"/>
                <w:color w:val="auto"/>
                <w:sz w:val="24"/>
                <w:szCs w:val="24"/>
              </w:rPr>
              <w:t>（5）支持管理端登录超时机制，可设置从不、30分钟、1小时、3小时、6小时等不同超时时长。</w:t>
            </w:r>
          </w:p>
          <w:p>
            <w:pPr>
              <w:rPr>
                <w:rFonts w:hint="eastAsia" w:ascii="宋体" w:hAnsi="宋体" w:eastAsia="宋体" w:cs="宋体"/>
                <w:color w:val="auto"/>
                <w:sz w:val="24"/>
                <w:szCs w:val="24"/>
              </w:rPr>
            </w:pPr>
            <w:r>
              <w:rPr>
                <w:rFonts w:hint="eastAsia" w:ascii="宋体" w:hAnsi="宋体" w:eastAsia="宋体" w:cs="宋体"/>
                <w:color w:val="auto"/>
                <w:sz w:val="24"/>
                <w:szCs w:val="24"/>
              </w:rPr>
              <w:t>（6）</w:t>
            </w:r>
            <w:bookmarkStart w:id="19" w:name="OLE_LINK65"/>
            <w:bookmarkStart w:id="20" w:name="OLE_LINK64"/>
            <w:r>
              <w:rPr>
                <w:rFonts w:hint="eastAsia" w:ascii="宋体" w:hAnsi="宋体" w:eastAsia="宋体" w:cs="宋体"/>
                <w:color w:val="auto"/>
                <w:sz w:val="24"/>
                <w:szCs w:val="24"/>
              </w:rPr>
              <w:t>系统克隆：支持系统克隆功能，当需要安装多个相同系统时，无需重复多次安装操作，只需要在BIOS底层通过系统克隆功能即可完成多个系统的建立，同时可预设新克隆的系统数据还原方式。</w:t>
            </w:r>
          </w:p>
          <w:bookmarkEnd w:id="19"/>
          <w:bookmarkEnd w:id="20"/>
          <w:p>
            <w:pPr>
              <w:rPr>
                <w:rFonts w:hint="eastAsia" w:ascii="宋体" w:hAnsi="宋体" w:eastAsia="宋体" w:cs="宋体"/>
                <w:color w:val="auto"/>
                <w:sz w:val="24"/>
                <w:szCs w:val="24"/>
              </w:rPr>
            </w:pPr>
            <w:r>
              <w:rPr>
                <w:rFonts w:hint="eastAsia" w:ascii="宋体" w:hAnsi="宋体" w:eastAsia="宋体" w:cs="宋体"/>
                <w:color w:val="auto"/>
                <w:sz w:val="24"/>
                <w:szCs w:val="24"/>
              </w:rPr>
              <w:t>（7）</w:t>
            </w:r>
            <w:bookmarkStart w:id="21" w:name="OLE_LINK62"/>
            <w:bookmarkStart w:id="22" w:name="OLE_LINK63"/>
            <w:r>
              <w:rPr>
                <w:rFonts w:hint="eastAsia" w:ascii="宋体" w:hAnsi="宋体" w:eastAsia="宋体" w:cs="宋体"/>
                <w:color w:val="auto"/>
                <w:sz w:val="24"/>
                <w:szCs w:val="24"/>
              </w:rPr>
              <w:t>在线考试：支持系统下的在线考试功能，支持试卷编辑、试卷保存、下发试卷并进行在线考试、开始考试、试卷查看、统计分数、发送答案、试卷导出、停止考试等操作。</w:t>
            </w:r>
          </w:p>
          <w:bookmarkEnd w:id="21"/>
          <w:bookmarkEnd w:id="22"/>
          <w:p>
            <w:pPr>
              <w:rPr>
                <w:rFonts w:hint="eastAsia" w:ascii="宋体" w:hAnsi="宋体" w:eastAsia="宋体" w:cs="宋体"/>
                <w:color w:val="auto"/>
                <w:sz w:val="24"/>
                <w:szCs w:val="24"/>
              </w:rPr>
            </w:pPr>
            <w:r>
              <w:rPr>
                <w:rFonts w:hint="eastAsia" w:ascii="宋体" w:hAnsi="宋体" w:eastAsia="宋体" w:cs="宋体"/>
                <w:color w:val="auto"/>
                <w:sz w:val="24"/>
                <w:szCs w:val="24"/>
              </w:rPr>
              <w:t>（8）随堂点名：支持系统下的随堂点名功能，支持出勤统计，并将点名信息以水印方式显示在学生端桌面，点名过程中，学生端可输入班级、学号、姓名等信息，提交后教师端列表会显示当前点名的计算机名、学生名、班级、学号、在线状态、出勤状态、IP地址，学生总数、已签到人数、未签到人数等信息，也可将点名信息导出保存。</w:t>
            </w:r>
          </w:p>
          <w:p>
            <w:pPr>
              <w:rPr>
                <w:rFonts w:hint="eastAsia" w:ascii="宋体" w:hAnsi="宋体" w:eastAsia="宋体" w:cs="宋体"/>
                <w:color w:val="auto"/>
                <w:sz w:val="24"/>
                <w:szCs w:val="24"/>
              </w:rPr>
            </w:pPr>
            <w:r>
              <w:rPr>
                <w:rFonts w:hint="eastAsia" w:ascii="宋体" w:hAnsi="宋体" w:eastAsia="宋体" w:cs="宋体"/>
                <w:color w:val="auto"/>
                <w:sz w:val="24"/>
                <w:szCs w:val="24"/>
              </w:rPr>
              <w:t>（9）发送消息：支持系统下的发送消息功能，教师端对学生端可批量发送消息或通知，通知的内容会以滚动字幕的方式显示，滚动播放，时刻提醒用户注意查看重要信息。</w:t>
            </w:r>
          </w:p>
          <w:p>
            <w:pPr>
              <w:rPr>
                <w:rFonts w:hint="eastAsia" w:ascii="宋体" w:hAnsi="宋体" w:eastAsia="宋体" w:cs="宋体"/>
                <w:color w:val="auto"/>
                <w:sz w:val="24"/>
                <w:szCs w:val="24"/>
              </w:rPr>
            </w:pPr>
            <w:r>
              <w:rPr>
                <w:rFonts w:hint="eastAsia" w:ascii="宋体" w:hAnsi="宋体" w:eastAsia="宋体" w:cs="宋体"/>
                <w:color w:val="auto"/>
                <w:sz w:val="24"/>
                <w:szCs w:val="24"/>
              </w:rPr>
              <w:t>（10）支持系统下的本机操作功能，提供网络设置、快速保存、快速还原、分区设置、模式管理、系统切换、系统更新、智能USB、文件粉碎等多种本机管理功能。</w:t>
            </w:r>
          </w:p>
          <w:p>
            <w:pPr>
              <w:rPr>
                <w:rFonts w:hint="eastAsia" w:ascii="宋体" w:hAnsi="宋体" w:eastAsia="宋体" w:cs="宋体"/>
                <w:color w:val="auto"/>
                <w:sz w:val="24"/>
                <w:szCs w:val="24"/>
              </w:rPr>
            </w:pPr>
            <w:r>
              <w:rPr>
                <w:rFonts w:hint="eastAsia" w:ascii="宋体" w:hAnsi="宋体" w:eastAsia="宋体" w:cs="宋体"/>
                <w:color w:val="auto"/>
                <w:sz w:val="24"/>
                <w:szCs w:val="24"/>
              </w:rPr>
              <w:t>（11）</w:t>
            </w:r>
            <w:bookmarkStart w:id="23" w:name="OLE_LINK60"/>
            <w:bookmarkStart w:id="24" w:name="OLE_LINK61"/>
            <w:r>
              <w:rPr>
                <w:rFonts w:hint="eastAsia" w:ascii="宋体" w:hAnsi="宋体" w:eastAsia="宋体" w:cs="宋体"/>
                <w:color w:val="auto"/>
                <w:sz w:val="24"/>
                <w:szCs w:val="24"/>
              </w:rPr>
              <w:t>权限管理：支持系统下设置用户权限，组策略功能，教师端可对学生端批量禁止修改壁纸、禁止修改颜色外观和分辨率、禁止访问控制面板和设置、禁止访问注册表编辑器（Regedit.exe）、禁止访问关机、重启、睡眠和休眠命令、禁止访问设备管理器、禁止访问磁盘管理、禁止访问组策略编辑器、禁止访问计算机管理、禁止访问服务等多种管控机制，确保学生机教学环境不被损坏。</w:t>
            </w:r>
          </w:p>
          <w:bookmarkEnd w:id="23"/>
          <w:bookmarkEnd w:id="24"/>
          <w:p>
            <w:pPr>
              <w:rPr>
                <w:rFonts w:hint="eastAsia" w:ascii="宋体" w:hAnsi="宋体" w:eastAsia="宋体" w:cs="宋体"/>
                <w:color w:val="auto"/>
                <w:sz w:val="24"/>
                <w:szCs w:val="24"/>
              </w:rPr>
            </w:pPr>
            <w:r>
              <w:rPr>
                <w:rFonts w:hint="eastAsia" w:ascii="宋体" w:hAnsi="宋体" w:eastAsia="宋体" w:cs="宋体"/>
                <w:color w:val="auto"/>
                <w:sz w:val="24"/>
                <w:szCs w:val="24"/>
              </w:rPr>
              <w:t>（12）设备锁定：支持系统下的设备锁定功能，教师端可对学生端批量设置锁定键鼠、解锁键鼠、锁定屏幕、解锁屏幕、锁定USB、解锁USB、锁定光驱、解锁光驱、开启黑屏肃静、关闭黑屏肃静、禁用网络、启用网络、禁用扬声器、启用扬声器等多种操作。</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（13）支持广播教学功能，可将教师机画面以全屏广播或窗口广播的方式同步到学生机桌面，可设置广播过程中锁定学生端、将教师机主窗口最小化、学生端以窗口模式显示等个性化选项。</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（14）支持网络影院功能，可进行全屏或窗口广播，支持mp4、avi、wmv等多种不同格式视频文件播放，实现多媒体高清教学，确保广播效果。</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15）支持学生演示功能，将任意某个学生的屏幕广播给教师和其他学生端，全屏广播和窗口广播两种方式可供选择，现多媒体高清教学示范演示，当某个学生的操作比较规范典型时，教师可以利用此功能让其为其他学生进行示范。</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16）支持资产管理功能，学生端硬件资产实时查看，包括BIOS、CPU、内存、硬盘、显卡、声卡、网卡、键盘、鼠标等硬件信息，当资产发生变化时，教师端主界面显示学生端图标发生变化，满足对终端资产进行监控和管理的需求，确保资产安全。</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（17）支持屏幕录制功能，可将提前录制的教学画面，录制时可设置全局录制或区域录制、标清录制或高清录制、系统声音或麦克风声音、以及mp4、avi、flv、wmv等不同的文件存储格式和存储路径。</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18）支持电子白板功能，可将教师机画面以全屏或窗口的方式同步到学生机桌面，白板可选择矩形、椭圆、箭头、直线、画笔、等工具且各工具都支持选择不同颜色进行标注，支持插入图片、文字、数字等内容，同时有标注错误的内容可使用橡皮擦或马赛克工具进行抹除，方便教师对授课内容进行举例讲解。</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（19）支持打开网页功能，教师端选择一台或者多台在线学生端，输入想要打开的网址信息即可打开指定网页，同时支持记录历史网页信息方便二次使用，也可将网页记录清除。</w:t>
            </w:r>
          </w:p>
          <w:p>
            <w:pPr>
              <w:tabs>
                <w:tab w:val="left" w:pos="312"/>
              </w:tabs>
              <w:rPr>
                <w:rFonts w:hint="eastAsia" w:ascii="宋体" w:hAnsi="宋体" w:eastAsia="宋体" w:cs="宋体"/>
                <w:color w:val="auto"/>
                <w:sz w:val="24"/>
                <w:szCs w:val="24"/>
              </w:rPr>
            </w:pPr>
            <w:r>
              <w:rPr>
                <w:rFonts w:hint="eastAsia" w:ascii="宋体" w:hAnsi="宋体" w:eastAsia="宋体" w:cs="宋体"/>
                <w:color w:val="auto"/>
                <w:sz w:val="24"/>
                <w:szCs w:val="24"/>
              </w:rPr>
              <w:t>（20）为保证产品的兼容与稳定性，出具投标人软件著作权复印件并加盖投标人公章，验收时提供原件备查，否则视为虚假应标。</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点</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87</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智慧黑板</w:t>
            </w:r>
          </w:p>
        </w:tc>
        <w:tc>
          <w:tcPr>
            <w:tcW w:w="5558" w:type="dxa"/>
            <w:shd w:val="clear" w:color="auto" w:fill="auto"/>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整体外观尺寸：长不低于4000mm，高不低于1100mm。中间区域采用不低于86英寸液晶触控屏，显示比例16:9，分辨率3840×2160，电容触控技术，屏体表面采用不低于3.2mm厚度玻璃，全贴合技术工艺。下方具有粉笔槽，可用于放置触摸笔、粉笔等教学用品。</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2、整机采用全金属外壳，三拼接平面一体化设计，无推拉式结构，外部无任何可见内部功能模块连接线。主副屏过渡平滑，中间无单独边框阻隔，可采用普通粉笔、水笔、水溶性粉笔书写。</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3、智慧黑板模组采用导热性能佳的铝合金材料，热扩散系数≥55mm²/S，并具有防盐雾腐蚀性能。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为方便操作，整机需具有不少于6个前置实体按键实现高频教学应用，包括但不仅限于电源开关、进入主页、触摸锁定、音量+-等设置，均具有清晰简体中文标识，有效避免教学误操作，为简化操作，以上功能均一键直达，非多个按键组合或自定义功能实现。</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5、前置非转接接口：USB3.0≥2个，TYPEC≥1个，USB接口均支持Windows和安卓双系统下识别，无需区分。</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6、任意通道下，支持手势熄屏，并同时关闭触摸，避免误触，此功能可开启或关闭。</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7、智慧黑板触控玻璃通过玻璃防飞溅性能检验和抗磨性能检验。</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8、智慧黑板具有物理防蓝光功能，视网膜蓝光危害（蓝光加权辐射亮度LB）＜0.3，依据GB/T 20145-2006国家标准，无蓝光危害。</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9、智慧黑板通过至少IPX4级别防水测试，以确保擦拭时不会因水迹伤害智慧黑板内电子元器件。</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10、智慧黑板触控玻璃和触控膜符合环保要求，有害物含量符合《电器电子产品有害物质限制使用管理办法》或欧盟指令2011/65/EU(ROHS)及其修订指令（EU）2015/863相关检测标准。</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11、整机内置安卓嵌入式系统，采用不低于八核CPU+四核GPU配置，安卓系统版本不低于14.0，内存不低于4G，存储不低于32G。</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12、支持信号源接入跳转功能，整机处于开机使用状态并接入信号源时，可设置自动跳转。</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13、支持欢迎墙功能，可快速完成欢迎界面和会议主题设置，全屏显示，支持多种模板，可对欢迎文字的字体、大小，颜色进行编辑。</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14、内置虚拟摄像机软件应用，可接入教室网络摄像机，便于通过钉钉会议、腾讯会议或其他网课系统进行线上网课教学。</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15、安卓系统下具有云盘网盘功能，支持在安卓联网下直接点击客户端应用程序运行打开，对接Windows教学白板的云端课件，云端课件既可以在Windows下使用又可以在安卓系统下使用。</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16、任意通道下支持屏幕显示画面下移，下移后可通过手势快捷返回正常显示画面。</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17、任意通道下，通过手势上滑调出OSD菜单虚拟按键，支持信号源切换，护眼模式切换等功能。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18、OPS主机采用标准80针抽拉式设计。</w:t>
            </w:r>
          </w:p>
          <w:p>
            <w:pPr>
              <w:pStyle w:val="21"/>
              <w:spacing w:line="320" w:lineRule="exact"/>
              <w:ind w:firstLine="480" w:firstLineChars="200"/>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不低于I5 CPU，内存不低于8GB DDR4，固态硬盘不低于256GB SSD。具有不少于5个独立非外扩展的电脑USB接口。支持有线连接，支持无线连接，支持双频WIFI。</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具有视频输出接口：至少1路HDMI接口</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一、教学白板功能</w:t>
            </w:r>
          </w:p>
          <w:p>
            <w:pPr>
              <w:pStyle w:val="21"/>
              <w:spacing w:line="320" w:lineRule="exact"/>
              <w:jc w:val="left"/>
              <w:rPr>
                <w:rFonts w:hint="eastAsia" w:ascii="宋体" w:hAnsi="宋体" w:eastAsia="宋体" w:cs="宋体"/>
                <w:color w:val="auto"/>
                <w:kern w:val="2"/>
                <w:sz w:val="24"/>
                <w:szCs w:val="24"/>
              </w:rPr>
            </w:pPr>
            <w:bookmarkStart w:id="25" w:name="OLE_LINK25"/>
            <w:bookmarkStart w:id="26" w:name="OLE_LINK24"/>
            <w:r>
              <w:rPr>
                <w:rFonts w:hint="eastAsia" w:ascii="宋体" w:hAnsi="宋体" w:eastAsia="宋体" w:cs="宋体"/>
                <w:color w:val="auto"/>
                <w:kern w:val="2"/>
                <w:sz w:val="24"/>
                <w:szCs w:val="24"/>
              </w:rPr>
              <w:t>1、具备Windows教学白板软件，将老师常用的功能模块汇聚于同一界面，方便老师在各功能模块之间的切换和使用，包括备课、授课、投屏、录屏、网盘、视频展台、国家云平台、意见反馈等，意见反馈可以是文字描述或者上传故障图片。支持精简模式和标准模式切换。</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2、支持手机号码注册，无需做任何任务注册即可获取不低于50G个人云空间。支持多种登录方式：账号登录，短信登录，钉钉登录，微信登录、U盘登录。支持离线使用部分模块功能。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3、无需额外安装其他软件即可在白板软件首页一键打开录屏功能，支持选择和切换全屏录制，区域录制、应用窗口录制方式。支持选择使用录制倒计时功能，可随意设置录制时间。</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4、支持备课功能，对在线资源进行搜索，预览，打开操作；课件打开后可直接编辑，并可以直接上传保存在老师个人课件中；或者一键进入授课模式，直接进行教学</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5、PPT导入及插入：PPT导入可保留原文档中的音频、视频、图片、文字及动画，并可根据需要编辑、修改,最终生成白板格式的课件；支持以原生态的形式插入一个或多个PPT文档，并可在白板软件当中直接打开。</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6、提供图表、函数、思维导图等功能。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7、支持教师资源分享、支持从备课资源中获取已有资源；支持用户从本地上传资源至云端，教师个人资源云盘存储，同时支持教师将分享的资源、备课资源中的资源收藏至教师个人资源夹中。</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8、分享者可将课件、视频、文档等各类云资源精准推送至指定人员，可设定分享提取码，提取码可随机生成也可自定义；为确保时效性，分享资源可设定有效期。</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9、支持云资源的上传、下载，分享，删除，还原，文件重命名，移动，排序，列表显示或缩略图显示。</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10、每个账号下的云课件，可以通过列表方式直观呈现，可下载，分享，删除，还原，重命名。</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11、支持幕布，放大镜，聚光灯、时钟、日历等基础工具。</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12、具有多种书写笔，笔的大小、颜色、图案都可以自行选择；具有任意、区域、对象、清屏、手势等多种擦除方式。</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13、支持插入2D、3D图形，可选择正方形、三角形、圆形、正方体、圆柱体、圆锥体、三棱柱等图形。</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14、支持在软件内直接进入国家智慧教育公共服务平台，非通过跳转网页浏览器形式。</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二、云盘功能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1、安卓系统下具有白板教学和云盘功能。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2、白板书写提供多种书写笔，支持修改笔迹粗细度，支持多种笔颜色。</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3、支持多种擦除方式。</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4、云盘支持多种登录方式：账号登录，短信登录，钉钉登录，微信登录，不小于 50G 的个人云空间。</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可以查看个人的资源列表，新建文件夹，上传文件，删除，下载，移动，复制，预览、重新命名，分享，搜索文件等操作，支持以链接方式分享，用户可直接点击链接提取资源。支持设置无提取码、系统随机生成提取码、自定义提取码；有效期可选：30天、15天、7天、1天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6、云资源下载到本地的资源数据，在老师账号退出的时候可自动清除，以保证数据权限化管理，随账号变化自动清除之前数据及节省本地存储空间。</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7、支持查看教学白板软件中上传的课件，支持按照文件名搜索，支持按照修改时间、文件类型、文件大小等类型排序。支持对课件分享、删除或授课选择。</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8、支持查看回收站内容，可查看文件删除时间、有效时间、清空回收站。</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9、支持在云课件模块中打开对应课件，支持老师实时授课，具有白板、投图、计时、计分牌、聚光灯等，授课功能支持白板功能：选择笔、线宽、橡皮、清屏、图像、撤销、恢复、保存、更多；投图功能：支持多张图片同时显示、支持拖拽，旋转操作。已投的图片自动缓存到云盘中，避免系统异常导致图片丢失，同时方便老师当天内反复调用查看，不受硬件显示设备限制。</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10、在云课件授课模式下支持手势交互，可通过手势滑动快速回到云课件主界面。</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11、云课件在授课模式下，可支持通过按键索引，上下页翻页；不需关闭当前课件，可通过软件一键切换选择到其他云课件。</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三、集中管控功能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1、平台采用B/S架构设计，可在Windows、Android、iOS等多种不同的操作系统上通过网页浏览器登陆控制智慧黑板。</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2、支持两种管理员账号，包括学校管理员账号和老师管理员账号，老师管理员账号由学校管理员创建，并支持设置老师管理员的权限，包括可管理的设备列表权限和可管理的功能菜单权限。</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3、可远程监控黑板运行状态数据，包括开关机状态、系统运行时间、开机时间、最大不关机时间、集控软件版本、集控软件日期、异常断电情况等。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4、可远程监控黑板的设备参数，包括操作系统版本、CPU、内存大小及内存使用率、硬盘大小及剩余空间大小、显卡型号、网卡型号等。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5、支持远程指令控制，支持单台设备控制或多台设备批量控制，包括：开关机、重启、屏幕锁（支持自定义解锁密码）、打铃、启用/禁用U盘、通道切换、图像模式切换等。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6、具有屏幕锁功能，可对智慧黑板实时锁屏和解锁屏幕，也可按照周一至周日实行定时锁屏和解锁。支持平台自定义解锁密码。</w:t>
            </w:r>
          </w:p>
          <w:p>
            <w:pPr>
              <w:pStyle w:val="21"/>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7、支持下课锁屏模式设置，智慧黑板端将生成“下课锁屏”按钮，点击该按钮可立即锁屏，可通过输入密码和扫描二维码解锁。</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8、支持开机锁屏模式设置，智慧黑板端每次开机或重启后，将直接进入锁屏状态，可通过输入密码和扫描二维码解锁。</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9、支持远程打铃，具有清脆、柔和、标准三种铃声类型，支持铃声试听，可选择打铃时长，包括10s，20s和30s等，最长可选择2min。也支持按照周一至周日实行定时打铃。</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10、支持日志查看，可按照指令类型筛选查看操作日志，包括关机、信息文件推送、巡课、启用/禁用U盘、解锁/锁屏等。可按照时间筛选，按照周、月，或自定义时间。</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11、支持对智慧黑板进行文字信息推送，包括滚动和静止形式，可设置文字字体、大小、粗细、颜色，播放时间、播放速度。</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12、可推送视频、图片、ppt、word等文件到指定智慧黑板,支持单个文件上传和批量上传，支持依据文件的重要性进行状态设定，可设置是否下载后自动打开。</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13、支持图文公告推送，支持富文本，可嵌入文字、图片等富文本材料，支持设定公告开始和结束时间。</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14、具有图片展播功能，可向智慧黑板发送不低于10张图片，设备端将进行轮播展示，平台可设定轮播时长和速度。</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15、提供远程巡课功能，可以图片形式巡课，也可以动态查看智慧黑板使用界面，并支持远程操作智慧黑板。</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16、智慧黑板客户端输入所在学校管理员的账号密码进行注册绑定，支持自定义智慧黑板名称，方便管理员对应管理。</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17、智慧黑板客户端可查看任务列表，包括关机、锁屏、打铃、倒计日等任务；可查看平台已经发布的公告，未到公告结束时间前均可再次查看。</w:t>
            </w:r>
            <w:bookmarkEnd w:id="25"/>
            <w:bookmarkEnd w:id="26"/>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块</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46" w:type="dxa"/>
            <w:vAlign w:val="center"/>
          </w:tcPr>
          <w:p>
            <w:pPr>
              <w:jc w:val="center"/>
              <w:rPr>
                <w:rFonts w:hint="eastAsia" w:ascii="宋体" w:hAnsi="宋体" w:eastAsia="宋体" w:cs="宋体"/>
                <w:color w:val="auto"/>
                <w:sz w:val="24"/>
                <w:szCs w:val="24"/>
              </w:rPr>
            </w:pPr>
          </w:p>
        </w:tc>
        <w:tc>
          <w:tcPr>
            <w:tcW w:w="1210" w:type="dxa"/>
            <w:vAlign w:val="center"/>
          </w:tcPr>
          <w:p>
            <w:pPr>
              <w:jc w:val="center"/>
              <w:rPr>
                <w:rFonts w:hint="eastAsia" w:ascii="宋体" w:hAnsi="宋体" w:eastAsia="宋体" w:cs="宋体"/>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4"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bookmarkStart w:id="27" w:name="_Hlk206402783"/>
            <w:r>
              <w:rPr>
                <w:rFonts w:hint="eastAsia" w:ascii="宋体" w:hAnsi="宋体" w:eastAsia="宋体" w:cs="宋体"/>
                <w:color w:val="auto"/>
                <w:sz w:val="24"/>
                <w:szCs w:val="24"/>
              </w:rPr>
              <w:t>9</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外置摄像机</w:t>
            </w:r>
          </w:p>
        </w:tc>
        <w:tc>
          <w:tcPr>
            <w:tcW w:w="5558" w:type="dxa"/>
            <w:shd w:val="clear" w:color="auto" w:fill="auto"/>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2K高清USB外置电脑摄像头，广角双麦克风自动对焦， 台式机笔记本电脑视频通话会议考试面试直播</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个</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bookmarkEnd w:id="27"/>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音箱</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1、额定/峰值功率：≥60W/120W；</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3、额定阻抗：  8Ω；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4、特性灵敏度： ≥88dB /w/m ；</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5、输出声压级： ≥107dB/W/m(Continues)≥113dB/W/m(Peak) ；</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6、额定频率范围（-3dB）不劣于 80Hz－18KHz；</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支</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8"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功放</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1、U盘播放（优先播放，格式MP3）和蓝牙播放，LCD液晶显示屏，两路音源切换；开机默认为线路，选择线路后可自动保存；同时使用蓝牙和 U 盘时，U 盘播放优先（U 盘插上后自动播放）；</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2、不少于2路有线话筒输入(+48V幻像电源可切换）、1路无线话筒输入、一路USB可用于2.4G无线话筒供电，不少于3组立体声线路输入；不少于2组立体声线路输出；</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3、不少于1路RS232控制接口、1路一键静音控制接口；</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4、话筒和线路音量、高/低音独立可调，带功放L输出通道信号大小调节功能；</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 xml:space="preserve">5、额定功率(RMS)：≥2×200W/8Ω,≥×300W/4Ω；                              </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6、总谐波失真：≤1%；</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 xml:space="preserve">7、信噪比：≥82dB；       </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鹅颈话筒</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1、抗RF射频干扰，减少手机等信号影响；</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2、咪杆与底座采用旋转式卡侬连接，避免连接器接触噪声；</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3、换能方式：电容式；</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4、频率响应：  70Hz-12KHz</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5、灵敏度：-29dB±3 dB（@1KHz，0 dB=1v/Pa）</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6、指向性： 心形单指向</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7、最大声压级：≥ 114 dB (THD 1%@1KHz)</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8、供电:  两节五号（AA）电池或幻像48V</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支</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13</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A4彩色激光打印机</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打印速度:黑彩同速 25页/分钟</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首页输出时间小于9.4秒</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打印语言:PCL6/5E，PS3</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月负荷打印量:30000张</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256M内存。350mhz处理器。</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标机纸张容量250+1张，最大支持750+1张</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14</w:t>
            </w:r>
          </w:p>
        </w:tc>
        <w:tc>
          <w:tcPr>
            <w:tcW w:w="1480"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提词器</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广播级24英寸双屏提词器（提示器），持微单，单反摄像机拍摄，使用方式，支持pc电脑 ，手机，ipad控制提词，支持安卓版本智能语音控制提词，支持多种语言， 支持pc电脑 win系统，xp系统，mac系统提词，多种提词方式，智能语音控制，适用各种录播直播场景，广播级升级阻尼云台三角架，具有更稳定的操作性能和更大的承重能力。可旋转自检屏，高清高显，便于主持人观看自身画面和弹幕。</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材质 航空铝</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提词器框和托板采用手拧设计，安装方便，多档位安装方式，用户可根据需要，上下调整镜像屏与提词器框的角度，前后摄像机与提词器框的距离和上下调整摄像机高度等。</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提词器分光镜采用2mm专业镀膜无色分光镜，多介质膜无色差超薄增透分光镜，防眩光高亮显示技术，透过率超过85%以上，分光比2：8光损失小于3%，透反率1：0.35提示器文稿显示清晰，无虚影，拍摄不穿帮。提词器双屏幕提词器屏幕采用广视角高清分辨率LED屏幕，提供VGA、HDMI双输入接口，可直接连接PC实现播音文稿，提词屏幕视角可达水平140°和垂直130°，250cd/m2亮度标准屏。</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1、兼容性强支持:Windows xp、Windows 7、Windows10 操作系统；</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2、支持镜像、多人分色播出，不同主持人可设置字色背景色进行区分，滚动速度任意调整，字号、字体、字色、背景色任意搭配等功能；</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3、文稿编辑操作简单，自动完成排版，支持txt、rtf、word等格式文本，支持图片，word，PPT，视频等文件；</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4、采用高分辨率彩显自带镜像功能，分辨率高，视觉清晰，图象鲜艳，字符大、亮度高、画面平滑无抖动；</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5、支持英、日、韩、德、俄、法、阿拉伯文等外语，藏、蒙、傣、维、朝鲜等少数民族语言；</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6、内容实时更新，可在电脑提词软件小窗口实时编辑播放内容；</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7、支持手机或平板同屏控制提词，脱离电脑主机使用；</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8、语音控制，通过电脑端，提词文稿播放速度，随语速快慢同步变化；</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9、多种控制方式，键盘、鼠标、遥控器，有线或无线控制方式，可单、双人控制，速度任意调节，文稿一键翻页；</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10、</w:t>
            </w:r>
            <w:bookmarkStart w:id="28" w:name="OLE_LINK14"/>
            <w:bookmarkStart w:id="29" w:name="OLE_LINK13"/>
            <w:r>
              <w:rPr>
                <w:rFonts w:hint="eastAsia" w:ascii="宋体" w:hAnsi="宋体" w:eastAsia="宋体" w:cs="宋体"/>
                <w:color w:val="auto"/>
                <w:kern w:val="2"/>
                <w:sz w:val="24"/>
                <w:szCs w:val="24"/>
              </w:rPr>
              <w:t>一件镜像专利技术，可对文稿、图片、PPT等素材一键上下左右镜像翻转，操作更省心；</w:t>
            </w:r>
            <w:bookmarkEnd w:id="28"/>
            <w:bookmarkEnd w:id="29"/>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11、24寸彩色液晶平板显示器，提示器文稿显示清晰，无虚影，久看不疲劳；</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12、操作页面布局简介明了，新手可快速上手；</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13、双屏画面可旋转自检屏，用于主持人监看直播画面和弹幕评论，便于主持人随时调整自身状态。</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14、支持历史窗口，打开过的文件都会在软件历史窗口记录下来，再次打开软件的时候可以随时点击之前打开过的文稿，可直接恢复到最后一次打开文稿的状态，包括更换的颜色和编辑文稿内容等。</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15、支持安卓，ios，win三系统的语音跟读，支持人可以直接读取文稿内容，软件会自动根据主持人读搞的速度进行自动滚动，可以实现人机合一，解放双手，读到哪走到哪。</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包装清单：</w:t>
            </w:r>
            <w:r>
              <w:rPr>
                <w:rFonts w:hint="eastAsia" w:ascii="宋体" w:hAnsi="宋体" w:eastAsia="宋体" w:cs="宋体"/>
                <w:color w:val="auto"/>
                <w:kern w:val="2"/>
                <w:sz w:val="24"/>
                <w:szCs w:val="24"/>
              </w:rPr>
              <w:br w:type="textWrapping"/>
            </w:r>
            <w:r>
              <w:rPr>
                <w:rFonts w:hint="eastAsia" w:ascii="宋体" w:hAnsi="宋体" w:eastAsia="宋体" w:cs="宋体"/>
                <w:color w:val="auto"/>
                <w:kern w:val="2"/>
                <w:sz w:val="24"/>
                <w:szCs w:val="24"/>
              </w:rPr>
              <w:t>提词器支架主干</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 xml:space="preserve">提词器遮光帽 </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 xml:space="preserve">提词器分光镜 </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A11专业三脚架</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三脚架便携包</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螺丝配件包</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 xml:space="preserve">AI智能软件加密狗 </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提词器镜像屏</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高清自检屏</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110米HDMI线、连接线</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合格证</w:t>
            </w:r>
            <w:r>
              <w:rPr>
                <w:rFonts w:hint="eastAsia" w:ascii="宋体" w:hAnsi="宋体" w:eastAsia="宋体" w:cs="宋体"/>
                <w:color w:val="auto"/>
                <w:kern w:val="2"/>
                <w:sz w:val="24"/>
                <w:szCs w:val="24"/>
                <w:lang w:val="en-US" w:eastAsia="zh-CN"/>
              </w:rPr>
              <w:t>*</w:t>
            </w:r>
            <w:r>
              <w:rPr>
                <w:rFonts w:hint="eastAsia" w:ascii="宋体" w:hAnsi="宋体" w:eastAsia="宋体" w:cs="宋体"/>
                <w:color w:val="auto"/>
                <w:kern w:val="2"/>
                <w:sz w:val="24"/>
                <w:szCs w:val="24"/>
              </w:rPr>
              <w:t>1</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jc w:val="center"/>
        </w:trPr>
        <w:tc>
          <w:tcPr>
            <w:tcW w:w="492" w:type="dxa"/>
            <w:shd w:val="clear" w:color="auto" w:fill="auto"/>
            <w:vAlign w:val="center"/>
          </w:tcPr>
          <w:p>
            <w:pPr>
              <w:jc w:val="center"/>
              <w:rPr>
                <w:rFonts w:hint="eastAsia" w:ascii="宋体" w:hAnsi="宋体" w:eastAsia="宋体" w:cs="宋体"/>
                <w:color w:val="auto"/>
                <w:sz w:val="24"/>
                <w:szCs w:val="24"/>
              </w:rPr>
            </w:pPr>
            <w:bookmarkStart w:id="30" w:name="_Hlk206402909"/>
            <w:r>
              <w:rPr>
                <w:rFonts w:hint="eastAsia" w:ascii="宋体" w:hAnsi="宋体" w:eastAsia="宋体" w:cs="宋体"/>
                <w:color w:val="auto"/>
                <w:sz w:val="24"/>
                <w:szCs w:val="24"/>
              </w:rPr>
              <w:t>15</w:t>
            </w:r>
          </w:p>
        </w:tc>
        <w:tc>
          <w:tcPr>
            <w:tcW w:w="14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技术服务</w:t>
            </w:r>
          </w:p>
        </w:tc>
        <w:tc>
          <w:tcPr>
            <w:tcW w:w="5558" w:type="dxa"/>
            <w:shd w:val="clear" w:color="auto" w:fill="auto"/>
            <w:vAlign w:val="center"/>
          </w:tcPr>
          <w:p>
            <w:pPr>
              <w:pStyle w:val="21"/>
              <w:spacing w:line="32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安装调试及线材辅料</w:t>
            </w:r>
          </w:p>
        </w:tc>
        <w:tc>
          <w:tcPr>
            <w:tcW w:w="394"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项</w:t>
            </w:r>
          </w:p>
        </w:tc>
        <w:tc>
          <w:tcPr>
            <w:tcW w:w="465" w:type="dxa"/>
            <w:shd w:val="clear" w:color="auto" w:fill="auto"/>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4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10"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bookmarkEnd w:id="30"/>
    </w:tbl>
    <w:p>
      <w:pPr>
        <w:spacing w:before="240" w:line="600" w:lineRule="exact"/>
        <w:jc w:val="center"/>
        <w:rPr>
          <w:rFonts w:ascii="宋体" w:hAnsi="宋体" w:eastAsia="宋体" w:cs="宋体"/>
          <w:b/>
          <w:color w:val="auto"/>
          <w:sz w:val="24"/>
          <w:szCs w:val="24"/>
        </w:rPr>
      </w:pPr>
      <w:bookmarkStart w:id="31" w:name="OLE_LINK54"/>
      <w:bookmarkStart w:id="32" w:name="OLE_LINK53"/>
      <w:r>
        <w:rPr>
          <w:rFonts w:hint="eastAsia" w:ascii="宋体" w:hAnsi="宋体" w:eastAsia="宋体" w:cs="宋体"/>
          <w:b/>
          <w:color w:val="auto"/>
          <w:sz w:val="24"/>
          <w:szCs w:val="24"/>
        </w:rPr>
        <w:t>表1：台式计算机主机</w:t>
      </w:r>
    </w:p>
    <w:bookmarkEnd w:id="31"/>
    <w:bookmarkEnd w:id="32"/>
    <w:tbl>
      <w:tblPr>
        <w:tblStyle w:val="11"/>
        <w:tblW w:w="10692" w:type="dxa"/>
        <w:jc w:val="center"/>
        <w:tblInd w:w="0" w:type="dxa"/>
        <w:tblLayout w:type="fixed"/>
        <w:tblCellMar>
          <w:top w:w="0" w:type="dxa"/>
          <w:left w:w="108" w:type="dxa"/>
          <w:bottom w:w="0" w:type="dxa"/>
          <w:right w:w="108" w:type="dxa"/>
        </w:tblCellMar>
      </w:tblPr>
      <w:tblGrid>
        <w:gridCol w:w="1117"/>
        <w:gridCol w:w="1440"/>
        <w:gridCol w:w="780"/>
        <w:gridCol w:w="2556"/>
        <w:gridCol w:w="4799"/>
      </w:tblGrid>
      <w:tr>
        <w:tblPrEx>
          <w:tblLayout w:type="fixed"/>
          <w:tblCellMar>
            <w:top w:w="0" w:type="dxa"/>
            <w:left w:w="108" w:type="dxa"/>
            <w:bottom w:w="0" w:type="dxa"/>
            <w:right w:w="108" w:type="dxa"/>
          </w:tblCellMar>
        </w:tblPrEx>
        <w:trPr>
          <w:trHeight w:val="450" w:hRule="atLeast"/>
          <w:tblHeader/>
          <w:jc w:val="center"/>
        </w:trPr>
        <w:tc>
          <w:tcPr>
            <w:tcW w:w="11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bookmarkStart w:id="33" w:name="OLE_LINK32"/>
            <w:bookmarkStart w:id="34" w:name="OLE_LINK31"/>
            <w:r>
              <w:rPr>
                <w:rFonts w:hint="eastAsia" w:ascii="宋体" w:hAnsi="宋体" w:eastAsia="宋体" w:cs="宋体"/>
                <w:b/>
                <w:bCs/>
                <w:color w:val="auto"/>
                <w:kern w:val="0"/>
                <w:sz w:val="24"/>
                <w:szCs w:val="24"/>
              </w:rPr>
              <w:t>序号</w:t>
            </w:r>
          </w:p>
        </w:tc>
        <w:tc>
          <w:tcPr>
            <w:tcW w:w="144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指标分类</w:t>
            </w:r>
          </w:p>
        </w:tc>
        <w:tc>
          <w:tcPr>
            <w:tcW w:w="7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一级指标</w:t>
            </w:r>
          </w:p>
        </w:tc>
        <w:tc>
          <w:tcPr>
            <w:tcW w:w="255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二级指标</w:t>
            </w:r>
          </w:p>
        </w:tc>
        <w:tc>
          <w:tcPr>
            <w:tcW w:w="479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采购人技术要求</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★CPU信息</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CPU规格：处理器采用板载设计，配置1颗国产C86架构CPU，每颗CPU物理核心数≥4核，每颗CPU主频≥3.0GHz，最高加速频率智能频率可提升至≥3.3GHz，每颗CPU三级缓存≥8MB，支持超线程技术，线程数量≥8，TDP≤35W；</w:t>
            </w:r>
          </w:p>
        </w:tc>
      </w:tr>
      <w:tr>
        <w:tblPrEx>
          <w:tblLayout w:type="fixed"/>
          <w:tblCellMar>
            <w:top w:w="0" w:type="dxa"/>
            <w:left w:w="108" w:type="dxa"/>
            <w:bottom w:w="0" w:type="dxa"/>
            <w:right w:w="108" w:type="dxa"/>
          </w:tblCellMar>
        </w:tblPrEx>
        <w:trPr>
          <w:trHeight w:val="478"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★内存配置容量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单条内存≥8G，总配置内存≥1条</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支持DDR4/LPDDR4/LPDDR4X及以上内存类型</w:t>
            </w:r>
          </w:p>
        </w:tc>
      </w:tr>
      <w:tr>
        <w:tblPrEx>
          <w:tblLayout w:type="fixed"/>
          <w:tblCellMar>
            <w:top w:w="0" w:type="dxa"/>
            <w:left w:w="108" w:type="dxa"/>
            <w:bottom w:w="0" w:type="dxa"/>
            <w:right w:w="108" w:type="dxa"/>
          </w:tblCellMar>
        </w:tblPrEx>
        <w:trPr>
          <w:trHeight w:val="738"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★内存条配置数量（板载内存不涉及）</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配置内存数量≥1条，提供≥4个内存插槽</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★主板集成模块</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集成资源扩展模块、计算处理模块、音频扩展模块等，主板的互联拓扑可通过处理器或交换电路实现</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★主板支持的CPU和内存情况</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bookmarkStart w:id="35" w:name="OLE_LINK29"/>
            <w:bookmarkStart w:id="36" w:name="OLE_LINK30"/>
            <w:r>
              <w:rPr>
                <w:rFonts w:hint="eastAsia" w:ascii="宋体" w:hAnsi="宋体" w:eastAsia="宋体" w:cs="宋体"/>
                <w:color w:val="auto"/>
                <w:kern w:val="0"/>
                <w:sz w:val="24"/>
                <w:szCs w:val="24"/>
              </w:rPr>
              <w:t xml:space="preserve">单颗核心数≥4核，主频≥3.0G </w:t>
            </w:r>
            <w:bookmarkEnd w:id="35"/>
            <w:bookmarkEnd w:id="36"/>
            <w:r>
              <w:rPr>
                <w:rFonts w:hint="eastAsia" w:ascii="宋体" w:hAnsi="宋体" w:eastAsia="宋体" w:cs="宋体"/>
                <w:color w:val="auto"/>
                <w:kern w:val="0"/>
                <w:sz w:val="24"/>
                <w:szCs w:val="24"/>
              </w:rPr>
              <w:t>，数量：1</w:t>
            </w:r>
          </w:p>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内存：单条内存≥8G，单条最大支持内存容量≥64G</w:t>
            </w:r>
          </w:p>
        </w:tc>
      </w:tr>
      <w:tr>
        <w:tblPrEx>
          <w:tblLayout w:type="fixed"/>
          <w:tblCellMar>
            <w:top w:w="0" w:type="dxa"/>
            <w:left w:w="108" w:type="dxa"/>
            <w:bottom w:w="0" w:type="dxa"/>
            <w:right w:w="108" w:type="dxa"/>
          </w:tblCellMar>
        </w:tblPrEx>
        <w:trPr>
          <w:trHeight w:val="49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主板内置PCIe插槽数量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PCIe 插槽数量为≥4个（含2个PCI-E 3.0</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16）</w:t>
            </w:r>
          </w:p>
        </w:tc>
      </w:tr>
      <w:tr>
        <w:tblPrEx>
          <w:tblLayout w:type="fixed"/>
          <w:tblCellMar>
            <w:top w:w="0" w:type="dxa"/>
            <w:left w:w="108" w:type="dxa"/>
            <w:bottom w:w="0" w:type="dxa"/>
            <w:right w:w="108" w:type="dxa"/>
          </w:tblCellMar>
        </w:tblPrEx>
        <w:trPr>
          <w:trHeight w:val="501"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特殊孔位及接口</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21"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★主板其他内置接口</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SATA 3.0接口≥4个</w:t>
            </w:r>
          </w:p>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M.2接口≥1个</w:t>
            </w:r>
          </w:p>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USB接口≥10个、其中type C接口≥1（支持快充）、主板提供port 80接口，支持故障诊断功能</w:t>
            </w:r>
          </w:p>
        </w:tc>
      </w:tr>
      <w:tr>
        <w:tblPrEx>
          <w:tblLayout w:type="fixed"/>
          <w:tblCellMar>
            <w:top w:w="0" w:type="dxa"/>
            <w:left w:w="108" w:type="dxa"/>
            <w:bottom w:w="0" w:type="dxa"/>
            <w:right w:w="108" w:type="dxa"/>
          </w:tblCellMar>
        </w:tblPrEx>
        <w:trPr>
          <w:trHeight w:val="98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★单内存插槽最大可支持容量（板载内存不涉及）</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单内存插槽最大可支持不少于64G容量</w:t>
            </w:r>
          </w:p>
        </w:tc>
      </w:tr>
      <w:tr>
        <w:tblPrEx>
          <w:tblLayout w:type="fixed"/>
          <w:tblCellMar>
            <w:top w:w="0" w:type="dxa"/>
            <w:left w:w="108" w:type="dxa"/>
            <w:bottom w:w="0" w:type="dxa"/>
            <w:right w:w="108" w:type="dxa"/>
          </w:tblCellMar>
        </w:tblPrEx>
        <w:trPr>
          <w:trHeight w:val="696"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★内存插槽满配时提供的最高内存总容量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内存满配最大可支持不小于256G</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存储设备规格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★固态盘数量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固态盘数量1个</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512G NVME M.2 SSD</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≥1个</w:t>
            </w:r>
          </w:p>
        </w:tc>
      </w:tr>
      <w:tr>
        <w:tblPrEx>
          <w:tblLayout w:type="fixed"/>
          <w:tblCellMar>
            <w:top w:w="0" w:type="dxa"/>
            <w:left w:w="108" w:type="dxa"/>
            <w:bottom w:w="0" w:type="dxa"/>
            <w:right w:w="108" w:type="dxa"/>
          </w:tblCellMar>
        </w:tblPrEx>
        <w:trPr>
          <w:trHeight w:val="496"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★机械硬盘总容量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≥1T</w:t>
            </w:r>
          </w:p>
        </w:tc>
      </w:tr>
      <w:tr>
        <w:tblPrEx>
          <w:tblLayout w:type="fixed"/>
          <w:tblCellMar>
            <w:top w:w="0" w:type="dxa"/>
            <w:left w:w="108" w:type="dxa"/>
            <w:bottom w:w="0" w:type="dxa"/>
            <w:right w:w="108" w:type="dxa"/>
          </w:tblCellMar>
        </w:tblPrEx>
        <w:trPr>
          <w:trHeight w:val="46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★机械硬盘转速</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≥5400rpm</w:t>
            </w:r>
          </w:p>
        </w:tc>
      </w:tr>
      <w:tr>
        <w:tblPrEx>
          <w:tblLayout w:type="fixed"/>
          <w:tblCellMar>
            <w:top w:w="0" w:type="dxa"/>
            <w:left w:w="108" w:type="dxa"/>
            <w:bottom w:w="0" w:type="dxa"/>
            <w:right w:w="108" w:type="dxa"/>
          </w:tblCellMar>
        </w:tblPrEx>
        <w:trPr>
          <w:trHeight w:val="417"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机械硬盘接口协议</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支持SATA3.0及以上或SAS3.0及以上接口</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★机械硬盘形态</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3.5英寸</w:t>
            </w:r>
          </w:p>
        </w:tc>
      </w:tr>
      <w:tr>
        <w:tblPrEx>
          <w:tblLayout w:type="fixed"/>
          <w:tblCellMar>
            <w:top w:w="0" w:type="dxa"/>
            <w:left w:w="108" w:type="dxa"/>
            <w:bottom w:w="0" w:type="dxa"/>
            <w:right w:w="108" w:type="dxa"/>
          </w:tblCellMar>
        </w:tblPrEx>
        <w:trPr>
          <w:trHeight w:val="38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固态存储接口协议</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支持SATA/NVMe接口协议</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★固态存储形态</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支持M.2标准尺寸和接口协议</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★存储设备扩展盘位</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剩余存储扩展盘位为≥1个</w:t>
            </w:r>
          </w:p>
        </w:tc>
      </w:tr>
      <w:tr>
        <w:tblPrEx>
          <w:tblLayout w:type="fixed"/>
          <w:tblCellMar>
            <w:top w:w="0" w:type="dxa"/>
            <w:left w:w="108" w:type="dxa"/>
            <w:bottom w:w="0" w:type="dxa"/>
            <w:right w:w="108" w:type="dxa"/>
          </w:tblCellMar>
        </w:tblPrEx>
        <w:trPr>
          <w:trHeight w:val="112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★存储设备其他参数要求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a)固态盘应符合SJ/T11654相关规定；b)机械硬盘准备时间应不大于30s；侧面固定螺丝孔数量可为4孔或6孔；工作状态环境温度应满足5℃~55℃;其它参数应符合GB/T12628相关规定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w:t>
            </w:r>
          </w:p>
        </w:tc>
      </w:tr>
      <w:tr>
        <w:tblPrEx>
          <w:tblLayout w:type="fixed"/>
          <w:tblCellMar>
            <w:top w:w="0" w:type="dxa"/>
            <w:left w:w="108" w:type="dxa"/>
            <w:bottom w:w="0" w:type="dxa"/>
            <w:right w:w="108" w:type="dxa"/>
          </w:tblCellMar>
        </w:tblPrEx>
        <w:trPr>
          <w:trHeight w:val="90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显存类型应为DDR3/DDR4</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★独立显卡显存位宽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显存位宽64bit</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显存容量≥2GB</w:t>
            </w:r>
          </w:p>
        </w:tc>
      </w:tr>
      <w:tr>
        <w:tblPrEx>
          <w:tblLayout w:type="fixed"/>
          <w:tblCellMar>
            <w:top w:w="0" w:type="dxa"/>
            <w:left w:w="108" w:type="dxa"/>
            <w:bottom w:w="0" w:type="dxa"/>
            <w:right w:w="108" w:type="dxa"/>
          </w:tblCellMar>
        </w:tblPrEx>
        <w:trPr>
          <w:trHeight w:val="523"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独立显卡接口协议</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 PCIe协议版本大于等于2.0</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外设规格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传声器数量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扬声器数量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标配USB鼠标1 个</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标配USB键盘1 个</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摄像头数量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光驱数量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★键盘按键数目</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104键</w:t>
            </w:r>
          </w:p>
        </w:tc>
      </w:tr>
      <w:tr>
        <w:tblPrEx>
          <w:tblLayout w:type="fixed"/>
          <w:tblCellMar>
            <w:top w:w="0" w:type="dxa"/>
            <w:left w:w="108" w:type="dxa"/>
            <w:bottom w:w="0" w:type="dxa"/>
            <w:right w:w="108" w:type="dxa"/>
          </w:tblCellMar>
        </w:tblPrEx>
        <w:trPr>
          <w:trHeight w:val="439"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摄像头像素</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17"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摄像头分辨率</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扬声器功率</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513"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扬声器频率范围</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21"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扬声器总谐波失真</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27"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扬声器最大声压级</w:t>
            </w:r>
          </w:p>
        </w:tc>
        <w:tc>
          <w:tcPr>
            <w:tcW w:w="4799" w:type="dxa"/>
            <w:tcBorders>
              <w:top w:val="nil"/>
              <w:left w:val="nil"/>
              <w:bottom w:val="single" w:color="auto" w:sz="4" w:space="0"/>
              <w:right w:val="single" w:color="auto" w:sz="4" w:space="0"/>
            </w:tcBorders>
            <w:shd w:val="clear" w:color="auto" w:fill="auto"/>
            <w:vAlign w:val="center"/>
          </w:tcPr>
          <w:p>
            <w:pP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★键盘连接方式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有线连接</w:t>
            </w:r>
          </w:p>
        </w:tc>
      </w:tr>
      <w:tr>
        <w:tblPrEx>
          <w:tblLayout w:type="fixed"/>
          <w:tblCellMar>
            <w:top w:w="0" w:type="dxa"/>
            <w:left w:w="108" w:type="dxa"/>
            <w:bottom w:w="0" w:type="dxa"/>
            <w:right w:w="108" w:type="dxa"/>
          </w:tblCellMar>
        </w:tblPrEx>
        <w:trPr>
          <w:trHeight w:val="522"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★键盘键程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2.3mm~4.0mm</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★键盘按键压力</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键盘按键压力在 0.54 N±0.14N</w:t>
            </w:r>
          </w:p>
        </w:tc>
      </w:tr>
      <w:tr>
        <w:tblPrEx>
          <w:tblLayout w:type="fixed"/>
          <w:tblCellMar>
            <w:top w:w="0" w:type="dxa"/>
            <w:left w:w="108" w:type="dxa"/>
            <w:bottom w:w="0" w:type="dxa"/>
            <w:right w:w="108" w:type="dxa"/>
          </w:tblCellMar>
        </w:tblPrEx>
        <w:trPr>
          <w:trHeight w:val="522"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★有线键盘连接线</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≥1.5米</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★键盘颜色</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黑色商务色系</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键盘其他要求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键盘外观结构、连接方式、主要功能、安全、电磁兼容性、可靠性应符合GB/T14081的相关规定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★鼠标连接方式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有线连接</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★有线鼠标连接线</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≥1.5米</w:t>
            </w:r>
          </w:p>
        </w:tc>
      </w:tr>
      <w:tr>
        <w:tblPrEx>
          <w:tblLayout w:type="fixed"/>
          <w:tblCellMar>
            <w:top w:w="0" w:type="dxa"/>
            <w:left w:w="108" w:type="dxa"/>
            <w:bottom w:w="0" w:type="dxa"/>
            <w:right w:w="108" w:type="dxa"/>
          </w:tblCellMar>
        </w:tblPrEx>
        <w:trPr>
          <w:trHeight w:val="363"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★鼠标DPI分辨率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鼠标DPI分辨率为800~1600</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★鼠标颜色</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鼠标颜色为黑色</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★鼠标其他要求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鼠标符合 GB/T 26245 的相关规定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内置光驱</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支持内置光驱</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★有线网卡数量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无线网卡及天线数量</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387"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单无线网卡天线数量</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外部接口规格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★USB接口数量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提供usb接口≥10个，USB3.0接口数≥6</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USB母座接口要求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★视频接口数量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视频接口≥2个，HDMI接口≥1个，VGA接口≥1个</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★音频接口数量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存储卡接口数量</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112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整机基础规格</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★整机外观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a)产品表面不应有凹痕、划伤、裂缝、变形和污染等。表面涂层均匀，不应起泡、龟裂、脱落和磨损，金属零部件无锈蚀及其它机械损伤；b)产品表面说明功能的文字、符号、标志，应清晰、端正、牢固</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★状态指示灯</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前面板提供电源指示灯和硬盘指示灯，显示机器运行状态和工作状态</w:t>
            </w:r>
          </w:p>
        </w:tc>
      </w:tr>
      <w:tr>
        <w:tblPrEx>
          <w:tblLayout w:type="fixed"/>
          <w:tblCellMar>
            <w:top w:w="0" w:type="dxa"/>
            <w:left w:w="108" w:type="dxa"/>
            <w:bottom w:w="0" w:type="dxa"/>
            <w:right w:w="108" w:type="dxa"/>
          </w:tblCellMar>
        </w:tblPrEx>
        <w:trPr>
          <w:trHeight w:val="2506"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★整机结构</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★机箱防护要求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机箱符合 GB/T 4208 中 IP20 防护要求</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★整机噪音</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产品工作在空闲状态下，产品的声功率级不超过 2.783Bel</w:t>
            </w:r>
          </w:p>
        </w:tc>
      </w:tr>
      <w:tr>
        <w:tblPrEx>
          <w:tblLayout w:type="fixed"/>
          <w:tblCellMar>
            <w:top w:w="0" w:type="dxa"/>
            <w:left w:w="108" w:type="dxa"/>
            <w:bottom w:w="0" w:type="dxa"/>
            <w:right w:w="108" w:type="dxa"/>
          </w:tblCellMar>
        </w:tblPrEx>
        <w:trPr>
          <w:trHeight w:val="15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★整机散热</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★整机能效限定值</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产品能效限定值应达到GB28380-2012标准中能效等级2级及以上</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★机身材质</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机箱金属材质</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★机身颜色</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机身颜色黑色</w:t>
            </w:r>
          </w:p>
        </w:tc>
      </w:tr>
      <w:tr>
        <w:tblPrEx>
          <w:tblLayout w:type="fixed"/>
          <w:tblCellMar>
            <w:top w:w="0" w:type="dxa"/>
            <w:left w:w="108" w:type="dxa"/>
            <w:bottom w:w="0" w:type="dxa"/>
            <w:right w:w="108" w:type="dxa"/>
          </w:tblCellMar>
        </w:tblPrEx>
        <w:trPr>
          <w:trHeight w:val="363"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★机箱尺寸容量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不大于9L</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CPU性能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★CPU物理核数</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≥4核，≥8线程</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★CPU主频</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≥3.0GHz</w:t>
            </w:r>
          </w:p>
        </w:tc>
      </w:tr>
      <w:tr>
        <w:tblPrEx>
          <w:tblLayout w:type="fixed"/>
          <w:tblCellMar>
            <w:top w:w="0" w:type="dxa"/>
            <w:left w:w="108" w:type="dxa"/>
            <w:bottom w:w="0" w:type="dxa"/>
            <w:right w:w="108" w:type="dxa"/>
          </w:tblCellMar>
        </w:tblPrEx>
        <w:trPr>
          <w:trHeight w:val="48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★CPU末级缓存容量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≥8MB</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★CPU支持的内存最高速率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≥3200MT/s</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内存性能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★内存读写速率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内存读写速率≥3200MT/S</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显卡性能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★显示分辨率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最大显示分辨率≥1920x1080</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★显卡显示芯片核心频率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显卡显示芯片核心频率≥780MHz</w:t>
            </w:r>
          </w:p>
        </w:tc>
      </w:tr>
      <w:tr>
        <w:tblPrEx>
          <w:tblLayout w:type="fixed"/>
          <w:tblCellMar>
            <w:top w:w="0" w:type="dxa"/>
            <w:left w:w="108" w:type="dxa"/>
            <w:bottom w:w="0" w:type="dxa"/>
            <w:right w:w="108" w:type="dxa"/>
          </w:tblCellMar>
        </w:tblPrEx>
        <w:trPr>
          <w:trHeight w:val="392"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★显存等效频率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显存等效频率≥1000MT/s</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★显卡可支持多屏同时显示数量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显卡支持2块屏幕同时显示，分辨率不低于1920x1080</w:t>
            </w:r>
          </w:p>
        </w:tc>
      </w:tr>
      <w:tr>
        <w:tblPrEx>
          <w:tblLayout w:type="fixed"/>
          <w:tblCellMar>
            <w:top w:w="0" w:type="dxa"/>
            <w:left w:w="108" w:type="dxa"/>
            <w:bottom w:w="0" w:type="dxa"/>
            <w:right w:w="108" w:type="dxa"/>
          </w:tblCellMar>
        </w:tblPrEx>
        <w:trPr>
          <w:trHeight w:val="90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网络设备性能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★有线网卡速率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有线网卡速率最高速率1000Mbps，支持10Mbps、100Mbps、1000Mbps 速率自适应</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支持无线网络通信技术协议</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361"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无线网卡频宽</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★内存扩展接口(板载内存不涉及)</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≥4个</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存储扩展接口(板载存储不涉及)</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支持SATA3.0</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4，M.2</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1</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★主板USB瞬间过流保护</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支持瞬间过流保护功能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★主板防静电保护</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支持防静电保护功能</w:t>
            </w:r>
          </w:p>
        </w:tc>
      </w:tr>
      <w:tr>
        <w:tblPrEx>
          <w:tblLayout w:type="fixed"/>
          <w:tblCellMar>
            <w:top w:w="0" w:type="dxa"/>
            <w:left w:w="108" w:type="dxa"/>
            <w:bottom w:w="0" w:type="dxa"/>
            <w:right w:w="108" w:type="dxa"/>
          </w:tblCellMar>
        </w:tblPrEx>
        <w:trPr>
          <w:trHeight w:val="332"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★I/O接口功能</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提供基于标准 USB 接口外设连接功能、基于音频输入输出接口的音频扩展功能、基于 PCIe 接口板卡扩展功能、基于 HDMI 或 VGA 或 Type-C 或 DVI 或 DP等接口外接显示器扩展功能、基于存储接口对产品进行增容功能等。产品I/O 接口，应具备外接标准 USB 设备、显示器、音频设备等内外部设备能力</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★显卡外接显示接口</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显卡支持 VGA或HDMI，并与显示器接口相匹配</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独立显卡数量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独立显卡数量1个</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外设功能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摄像头物理隐私保护开关</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传声器降噪</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键盘背光</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13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光驱功能</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光驱应支持只读、刻录等类型；最大读取速度CD不低于24×150KB/s；最大读取速度DVD不低于8×358KB/s；最大刻录速度CD不低于24×150KB/s；最大刻录速度DVD不低于6×1358KB/s；兼容光盘类型包含只读光盘、可读写光盘、可擦写光盘等</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★存储功能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通过SATA固态存储/PCIe 固态存储/UFS 固态存储/SATA 硬磁盘等存储部件提供存储功能</w:t>
            </w:r>
          </w:p>
        </w:tc>
      </w:tr>
      <w:tr>
        <w:tblPrEx>
          <w:tblLayout w:type="fixed"/>
          <w:tblCellMar>
            <w:top w:w="0" w:type="dxa"/>
            <w:left w:w="108" w:type="dxa"/>
            <w:bottom w:w="0" w:type="dxa"/>
            <w:right w:w="108" w:type="dxa"/>
          </w:tblCellMar>
        </w:tblPrEx>
        <w:trPr>
          <w:trHeight w:val="616"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内置控制器固态存储加密</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★网络功能</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a)支持网络连接、网络开启/关闭功能；b)支持访问网络和数据交换功能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119</w:t>
            </w:r>
          </w:p>
        </w:tc>
        <w:tc>
          <w:tcPr>
            <w:tcW w:w="1440" w:type="dxa"/>
            <w:tcBorders>
              <w:top w:val="nil"/>
              <w:left w:val="nil"/>
              <w:bottom w:val="single" w:color="auto" w:sz="4" w:space="0"/>
              <w:right w:val="single" w:color="auto" w:sz="4" w:space="0"/>
            </w:tcBorders>
            <w:shd w:val="clear" w:color="auto" w:fill="auto"/>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　</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无线网卡频段</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物理开关</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★数据传输</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支持数据传输能力，并提供数据流量和异常日志记录功能</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蓝牙协议</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48"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★有线网卡接口类型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支持RJ45接口</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无线网卡标准</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★网络设备拆装</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网络设备支持物理拆装，包括无线网卡和蓝牙模块等</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外部接口功能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★音频接口类型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支持3.5mm孔径</w:t>
            </w:r>
          </w:p>
        </w:tc>
      </w:tr>
      <w:tr>
        <w:tblPrEx>
          <w:tblLayout w:type="fixed"/>
          <w:tblCellMar>
            <w:top w:w="0" w:type="dxa"/>
            <w:left w:w="108" w:type="dxa"/>
            <w:bottom w:w="0" w:type="dxa"/>
            <w:right w:w="108" w:type="dxa"/>
          </w:tblCellMar>
        </w:tblPrEx>
        <w:trPr>
          <w:trHeight w:val="479"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★视频接口类型</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显卡支持 VGA或HDMI显示接口</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★HDMI、DP、Type-C显示接口要求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若提供 HDMI 或 DP 或 Type-C 作为显示接口，应支持音频和视频同步输出</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其他接口</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a)支持串行接口，可实现GB/T6107的功能；b)支持并行接口，可实现GB/T18235.1的功能</w:t>
            </w:r>
          </w:p>
        </w:tc>
      </w:tr>
      <w:tr>
        <w:tblPrEx>
          <w:tblLayout w:type="fixed"/>
          <w:tblCellMar>
            <w:top w:w="0" w:type="dxa"/>
            <w:left w:w="108" w:type="dxa"/>
            <w:bottom w:w="0" w:type="dxa"/>
            <w:right w:w="108" w:type="dxa"/>
          </w:tblCellMar>
        </w:tblPrEx>
        <w:trPr>
          <w:trHeight w:val="434"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存储卡接口类型</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131</w:t>
            </w:r>
          </w:p>
        </w:tc>
        <w:tc>
          <w:tcPr>
            <w:tcW w:w="1440" w:type="dxa"/>
            <w:vMerge w:val="restart"/>
            <w:tcBorders>
              <w:top w:val="nil"/>
              <w:left w:val="nil"/>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nil"/>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电源功能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★电源线适配能力</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电源适配器电线组件符合GB/T 15934的要求</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132</w:t>
            </w:r>
          </w:p>
        </w:tc>
        <w:tc>
          <w:tcPr>
            <w:tcW w:w="1440" w:type="dxa"/>
            <w:vMerge w:val="continue"/>
            <w:tcBorders>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p>
        </w:tc>
        <w:tc>
          <w:tcPr>
            <w:tcW w:w="780" w:type="dxa"/>
            <w:vMerge w:val="continue"/>
            <w:tcBorders>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★电源功率</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不小于200瓦</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操作系统及软件功能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★中文信息处理要求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符合GB 18030的相关规定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★操作系统备份及还原功能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支持操作系统备份及还原功能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spacing w:line="36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★固件备份还原能力</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支持备份及还原固件的功能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★操作系统及驱动升级</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支持通过网络、闪存盘等方式对操作系统、驱动进行升级</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★固件升级</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支持通过闪存盘等方式对固件进行升级</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★BIOS支持关闭通讯接口</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支持BIOS关闭以太网及USB接口</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★固件查看信息</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支持查看固件版本、内存信息、主板信息、处理器信息和系统时间信息等功能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★固件设置启动顺序</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支持设置启动顺序功能，并按照设置的启动顺序启动</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★固件设置口令</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支持设置口令、修改口令、验证口令功能</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★固件设置网络引导</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支持网络引导启动和关闭功能</w:t>
            </w:r>
          </w:p>
        </w:tc>
      </w:tr>
      <w:tr>
        <w:tblPrEx>
          <w:tblLayout w:type="fixed"/>
          <w:tblCellMar>
            <w:top w:w="0" w:type="dxa"/>
            <w:left w:w="108" w:type="dxa"/>
            <w:bottom w:w="0" w:type="dxa"/>
            <w:right w:w="108" w:type="dxa"/>
          </w:tblCellMar>
        </w:tblPrEx>
        <w:trPr>
          <w:trHeight w:val="482"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生物识别功能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指纹识别</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38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人脸识别</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38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静脉识别</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硬件加速功能</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NPU/GPU等AI加速模块</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391"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视频编解码加速模块</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影像处理加速模块</w:t>
            </w:r>
          </w:p>
        </w:tc>
        <w:tc>
          <w:tcPr>
            <w:tcW w:w="4799" w:type="dxa"/>
            <w:tcBorders>
              <w:top w:val="nil"/>
              <w:left w:val="nil"/>
              <w:bottom w:val="single" w:color="auto" w:sz="4" w:space="0"/>
              <w:right w:val="single" w:color="auto" w:sz="4" w:space="0"/>
            </w:tcBorders>
            <w:shd w:val="clear" w:color="auto" w:fill="auto"/>
            <w:vAlign w:val="center"/>
          </w:tcPr>
          <w:p>
            <w:pPr>
              <w:rPr>
                <w:color w:val="auto"/>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存储设备可靠性</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TBW≥160TB</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通电时间≥5 万小时</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外设可靠性</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★键盘按键寿命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≥1000 万次</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★鼠标按键寿命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≥500 万次</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★键盘鼠标线材寿命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键盘鼠标所用线材经±60°弯折不低于3000次，功能、外观完好</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★风扇寿命</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≥4 万小时</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整机可靠性要求</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★电磁兼容性要求的抗扰度</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符合GB/T 9254.2的规定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★环境条件要求的气候环境适应性</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符合GB/T9813.1中规定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★环境条件要求的振动适应性</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符合GB/T 9813.1中规定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★环境条件要求的冲击适应性</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符合GB/T9813.1中规定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★环境条件要求的碰撞适应性</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符合GB/T9813.1中规定</w:t>
            </w:r>
          </w:p>
        </w:tc>
      </w:tr>
      <w:tr>
        <w:tblPrEx>
          <w:tblLayout w:type="fixed"/>
          <w:tblCellMar>
            <w:top w:w="0" w:type="dxa"/>
            <w:left w:w="108" w:type="dxa"/>
            <w:bottom w:w="0" w:type="dxa"/>
            <w:right w:w="108" w:type="dxa"/>
          </w:tblCellMar>
        </w:tblPrEx>
        <w:trPr>
          <w:trHeight w:val="677"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★环境条件要求的运输包装件跌落适应性</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符合GB/T9813.1中规定</w:t>
            </w:r>
          </w:p>
        </w:tc>
      </w:tr>
      <w:tr>
        <w:tblPrEx>
          <w:tblLayout w:type="fixed"/>
          <w:tblCellMar>
            <w:top w:w="0" w:type="dxa"/>
            <w:left w:w="108" w:type="dxa"/>
            <w:bottom w:w="0" w:type="dxa"/>
            <w:right w:w="108" w:type="dxa"/>
          </w:tblCellMar>
        </w:tblPrEx>
        <w:trPr>
          <w:trHeight w:val="334"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★MTBF测试</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MTBF(m1)≥30万小时</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★常用软件兼容</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支持流式软件、版式软件、浏览器、邮件采购人端、解压软件、多媒体、图形图像处理等常用软件</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★数据库兼容</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兼容3个及以上厂商的数据库产品</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★中间件兼容</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兼容3个及以上厂商中间件产品</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★平台软件兼容</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兼容3个及以上厂商云计算及大数据平台</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包装及运输要求</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包装及运输要求</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★标志、包装、运输和贮存</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符合GB/T9813.1和商品包装政府采购需求标准的相关规定</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★配置检查工具</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供应商提供自检测试工具</w:t>
            </w:r>
          </w:p>
        </w:tc>
      </w:tr>
      <w:tr>
        <w:tblPrEx>
          <w:tblLayout w:type="fixed"/>
          <w:tblCellMar>
            <w:top w:w="0" w:type="dxa"/>
            <w:left w:w="108" w:type="dxa"/>
            <w:bottom w:w="0" w:type="dxa"/>
            <w:right w:w="108" w:type="dxa"/>
          </w:tblCellMar>
        </w:tblPrEx>
        <w:trPr>
          <w:trHeight w:val="180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★服务响应</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tblPrEx>
          <w:tblLayout w:type="fixed"/>
          <w:tblCellMar>
            <w:top w:w="0" w:type="dxa"/>
            <w:left w:w="108" w:type="dxa"/>
            <w:bottom w:w="0" w:type="dxa"/>
            <w:right w:w="108" w:type="dxa"/>
          </w:tblCellMar>
        </w:tblPrEx>
        <w:trPr>
          <w:trHeight w:val="112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★服务周期</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a)设备停产后应继续提供质量保障服务（含备品备件），服务终止时间与最后一批设备交付时间间隔不低于6年；b)产品停止服务时间应提前1年告知；c)应明确产品发布日期</w:t>
            </w:r>
          </w:p>
        </w:tc>
      </w:tr>
      <w:tr>
        <w:tblPrEx>
          <w:tblLayout w:type="fixed"/>
          <w:tblCellMar>
            <w:top w:w="0" w:type="dxa"/>
            <w:left w:w="108" w:type="dxa"/>
            <w:bottom w:w="0" w:type="dxa"/>
            <w:right w:w="108" w:type="dxa"/>
          </w:tblCellMar>
        </w:tblPrEx>
        <w:trPr>
          <w:trHeight w:val="112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★预装操作系统</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预装符合桌面操作系统政府采购需求的激活版银河麒麟桌面操作系统V10版，可以安装双系统，配合采购人安装系统</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★培训服务</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供应商提供培训材料、产品手册、培训视频等培训相关内容</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★典型问题解决手册</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供应商提供典型问题解决说明文档或视频</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★厂家升级软件与扩容服务</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供应商提供上门升级部件/软件与扩容的增值服务</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★整机质量服务要求</w:t>
            </w:r>
          </w:p>
        </w:tc>
        <w:tc>
          <w:tcPr>
            <w:tcW w:w="4799"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免费服务周期（含换件和维修）应≥3年</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175</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★合格证书要求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供应商提供产品合格证</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176</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★开箱组装/使用指导要求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供应商提供开箱组装/使用指导</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177</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★驱动下载服务要求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供应商提供驱动光盘或下载方式</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178</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★兼容适配软件下载服务要求</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供应商提供兼容适配软件下载渠道（光盘、网站）</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179</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跨架构平台应用兼容</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180</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供应链合规性</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★产品部件保障</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供应商保障产品主要部件，提供6年的备件服务能力（自购买之日起），或提供可兼容原设备的升级换代产品</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181</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供应链质量</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★抗干扰性</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当产品部件出现供应风险时，供应商应通知采购人并提供风险应对方案确保产品的服务保障</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182</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★供应能力证明</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供应商提供供应链稳定承诺书，确保产品的部件在产品服务周期内稳定供货</w:t>
            </w:r>
          </w:p>
        </w:tc>
      </w:tr>
      <w:tr>
        <w:tblPrEx>
          <w:tblLayout w:type="fixed"/>
          <w:tblCellMar>
            <w:top w:w="0" w:type="dxa"/>
            <w:left w:w="108" w:type="dxa"/>
            <w:bottom w:w="0" w:type="dxa"/>
            <w:right w:w="108" w:type="dxa"/>
          </w:tblCellMar>
        </w:tblPrEx>
        <w:trPr>
          <w:trHeight w:val="90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183</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关键部件安全要求</w:t>
            </w:r>
          </w:p>
        </w:tc>
        <w:tc>
          <w:tcPr>
            <w:tcW w:w="2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★关键部件安全要求3</w:t>
            </w:r>
          </w:p>
        </w:tc>
        <w:tc>
          <w:tcPr>
            <w:tcW w:w="479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CPU和操作系统等关键部件应当符合安全可靠测评要求</w:t>
            </w:r>
          </w:p>
        </w:tc>
      </w:tr>
      <w:tr>
        <w:tblPrEx>
          <w:tblLayout w:type="fixed"/>
          <w:tblCellMar>
            <w:top w:w="0" w:type="dxa"/>
            <w:left w:w="108" w:type="dxa"/>
            <w:bottom w:w="0" w:type="dxa"/>
            <w:right w:w="108" w:type="dxa"/>
          </w:tblCellMar>
        </w:tblPrEx>
        <w:trPr>
          <w:trHeight w:val="67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184</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整机安全性要求</w:t>
            </w: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★密码算法实现</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CPU芯片应符合GM/T0008的相关规定，或芯片密码模块应符合GB/T37092或GM/T0028的相关规定</w:t>
            </w:r>
          </w:p>
        </w:tc>
      </w:tr>
      <w:tr>
        <w:tblPrEx>
          <w:tblLayout w:type="fixed"/>
          <w:tblCellMar>
            <w:top w:w="0" w:type="dxa"/>
            <w:left w:w="108" w:type="dxa"/>
            <w:bottom w:w="0" w:type="dxa"/>
            <w:right w:w="108" w:type="dxa"/>
          </w:tblCellMar>
        </w:tblPrEx>
        <w:trPr>
          <w:trHeight w:val="446"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185</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USB端口管控</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支持USB端口管控</w:t>
            </w:r>
          </w:p>
        </w:tc>
      </w:tr>
      <w:tr>
        <w:tblPrEx>
          <w:tblLayout w:type="fixed"/>
          <w:tblCellMar>
            <w:top w:w="0" w:type="dxa"/>
            <w:left w:w="108" w:type="dxa"/>
            <w:bottom w:w="0" w:type="dxa"/>
            <w:right w:w="108" w:type="dxa"/>
          </w:tblCellMar>
        </w:tblPrEx>
        <w:trPr>
          <w:trHeight w:val="27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186</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安全物理锁</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支持安全物理锁</w:t>
            </w:r>
          </w:p>
        </w:tc>
      </w:tr>
      <w:tr>
        <w:tblPrEx>
          <w:tblLayout w:type="fixed"/>
          <w:tblCellMar>
            <w:top w:w="0" w:type="dxa"/>
            <w:left w:w="108" w:type="dxa"/>
            <w:bottom w:w="0" w:type="dxa"/>
            <w:right w:w="108" w:type="dxa"/>
          </w:tblCellMar>
        </w:tblPrEx>
        <w:trPr>
          <w:trHeight w:val="1125"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187</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★信息安全基本要求</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a)产品应符合GB/T39276的5.2的规定；b)生产厂商应建立漏洞跟踪表，保证产品版本涉及到的漏洞(如驱动程序等)可查看；c)产品不得包含已知的恶意代码或漏洞，不存在未声明的指令、功能、接口</w:t>
            </w:r>
          </w:p>
        </w:tc>
      </w:tr>
      <w:tr>
        <w:tblPrEx>
          <w:tblLayout w:type="fixed"/>
          <w:tblCellMar>
            <w:top w:w="0" w:type="dxa"/>
            <w:left w:w="108" w:type="dxa"/>
            <w:bottom w:w="0" w:type="dxa"/>
            <w:right w:w="108" w:type="dxa"/>
          </w:tblCellMar>
        </w:tblPrEx>
        <w:trPr>
          <w:trHeight w:val="450" w:hRule="atLeast"/>
          <w:jc w:val="center"/>
        </w:trPr>
        <w:tc>
          <w:tcPr>
            <w:tcW w:w="111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188</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★固件安全启动</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支持固件安全启动功能，固件启动过程中只有通过启动校验才能正常启动</w:t>
            </w:r>
          </w:p>
        </w:tc>
      </w:tr>
      <w:tr>
        <w:tblPrEx>
          <w:tblLayout w:type="fixed"/>
          <w:tblCellMar>
            <w:top w:w="0" w:type="dxa"/>
            <w:left w:w="108" w:type="dxa"/>
            <w:bottom w:w="0" w:type="dxa"/>
            <w:right w:w="108" w:type="dxa"/>
          </w:tblCellMar>
        </w:tblPrEx>
        <w:trPr>
          <w:trHeight w:val="450" w:hRule="atLeast"/>
          <w:jc w:val="center"/>
        </w:trPr>
        <w:tc>
          <w:tcPr>
            <w:tcW w:w="11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189</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5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★限用物质的限量要求</w:t>
            </w:r>
          </w:p>
        </w:tc>
        <w:tc>
          <w:tcPr>
            <w:tcW w:w="47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符合GB/T26572中规定</w:t>
            </w:r>
          </w:p>
        </w:tc>
      </w:tr>
      <w:bookmarkEnd w:id="33"/>
      <w:bookmarkEnd w:id="34"/>
    </w:tbl>
    <w:p>
      <w:pPr>
        <w:tabs>
          <w:tab w:val="left" w:pos="4079"/>
          <w:tab w:val="center" w:pos="4875"/>
        </w:tabs>
        <w:spacing w:before="240" w:line="600" w:lineRule="exact"/>
        <w:jc w:val="left"/>
        <w:rPr>
          <w:rFonts w:hint="eastAsia" w:ascii="宋体" w:hAnsi="宋体" w:eastAsia="宋体" w:cs="宋体"/>
          <w:b/>
          <w:color w:val="auto"/>
          <w:sz w:val="24"/>
          <w:szCs w:val="24"/>
        </w:rPr>
      </w:pPr>
      <w:bookmarkStart w:id="37" w:name="OLE_LINK28"/>
      <w:bookmarkStart w:id="38" w:name="OLE_LINK27"/>
    </w:p>
    <w:p>
      <w:pPr>
        <w:rPr>
          <w:rFonts w:hint="eastAsia" w:ascii="宋体" w:hAnsi="宋体" w:eastAsia="宋体" w:cs="宋体"/>
          <w:b/>
          <w:color w:val="auto"/>
          <w:sz w:val="24"/>
          <w:szCs w:val="24"/>
        </w:rPr>
      </w:pPr>
    </w:p>
    <w:p>
      <w:pPr>
        <w:jc w:val="center"/>
        <w:rPr>
          <w:rFonts w:ascii="宋体" w:hAnsi="宋体" w:eastAsia="宋体" w:cs="宋体"/>
          <w:b/>
          <w:color w:val="auto"/>
          <w:sz w:val="24"/>
          <w:szCs w:val="24"/>
        </w:rPr>
      </w:pPr>
      <w:r>
        <w:rPr>
          <w:rFonts w:hint="eastAsia" w:ascii="宋体" w:hAnsi="宋体" w:eastAsia="宋体" w:cs="宋体"/>
          <w:b/>
          <w:color w:val="auto"/>
          <w:sz w:val="24"/>
          <w:szCs w:val="24"/>
        </w:rPr>
        <w:t>表2：显示器</w:t>
      </w:r>
    </w:p>
    <w:bookmarkEnd w:id="37"/>
    <w:bookmarkEnd w:id="38"/>
    <w:tbl>
      <w:tblPr>
        <w:tblStyle w:val="11"/>
        <w:tblW w:w="10474" w:type="dxa"/>
        <w:jc w:val="center"/>
        <w:tblInd w:w="0" w:type="dxa"/>
        <w:tblLayout w:type="fixed"/>
        <w:tblCellMar>
          <w:top w:w="0" w:type="dxa"/>
          <w:left w:w="108" w:type="dxa"/>
          <w:bottom w:w="0" w:type="dxa"/>
          <w:right w:w="108" w:type="dxa"/>
        </w:tblCellMar>
      </w:tblPr>
      <w:tblGrid>
        <w:gridCol w:w="1148"/>
        <w:gridCol w:w="1236"/>
        <w:gridCol w:w="1218"/>
        <w:gridCol w:w="2418"/>
        <w:gridCol w:w="4454"/>
      </w:tblGrid>
      <w:tr>
        <w:tblPrEx>
          <w:tblLayout w:type="fixed"/>
          <w:tblCellMar>
            <w:top w:w="0" w:type="dxa"/>
            <w:left w:w="108" w:type="dxa"/>
            <w:bottom w:w="0" w:type="dxa"/>
            <w:right w:w="108" w:type="dxa"/>
          </w:tblCellMar>
        </w:tblPrEx>
        <w:trPr>
          <w:trHeight w:val="450" w:hRule="atLeast"/>
          <w:tblHeader/>
          <w:jc w:val="center"/>
        </w:trPr>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序号</w:t>
            </w:r>
          </w:p>
        </w:tc>
        <w:tc>
          <w:tcPr>
            <w:tcW w:w="123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指标分类</w:t>
            </w:r>
          </w:p>
        </w:tc>
        <w:tc>
          <w:tcPr>
            <w:tcW w:w="121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一级指标</w:t>
            </w:r>
          </w:p>
        </w:tc>
        <w:tc>
          <w:tcPr>
            <w:tcW w:w="241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二级指标</w:t>
            </w:r>
          </w:p>
        </w:tc>
        <w:tc>
          <w:tcPr>
            <w:tcW w:w="44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rPr>
              <w:t>采购人技术要求</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bookmarkStart w:id="39" w:name="_Hlk205286142"/>
            <w:r>
              <w:rPr>
                <w:rFonts w:hint="eastAsia" w:ascii="宋体" w:hAnsi="宋体" w:eastAsia="宋体" w:cs="宋体"/>
                <w:color w:val="auto"/>
                <w:kern w:val="0"/>
                <w:sz w:val="24"/>
                <w:szCs w:val="24"/>
              </w:rPr>
              <w:t>1</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显示设备规格</w:t>
            </w: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★显示屏屏占比</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≥80%</w:t>
            </w:r>
          </w:p>
        </w:tc>
      </w:tr>
      <w:tr>
        <w:tblPrEx>
          <w:tblLayout w:type="fixed"/>
          <w:tblCellMar>
            <w:top w:w="0" w:type="dxa"/>
            <w:left w:w="108" w:type="dxa"/>
            <w:bottom w:w="0" w:type="dxa"/>
            <w:right w:w="108" w:type="dxa"/>
          </w:tblCellMar>
        </w:tblPrEx>
        <w:trPr>
          <w:trHeight w:val="383"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★显示屏分辨率</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≥1920x1080</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显示屏像素密度</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≥85像素/英寸</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显示屏可视角度</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水平≥170°</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★显示屏尺寸</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≥23.8英寸</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★显示屏屏幕比例</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16:09</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★显示器外观颜色</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显示器外观黑色、IPS屏幕</w:t>
            </w:r>
          </w:p>
        </w:tc>
      </w:tr>
      <w:tr>
        <w:tblPrEx>
          <w:tblLayout w:type="fixed"/>
          <w:tblCellMar>
            <w:top w:w="0" w:type="dxa"/>
            <w:left w:w="108" w:type="dxa"/>
            <w:bottom w:w="0" w:type="dxa"/>
            <w:right w:w="108" w:type="dxa"/>
          </w:tblCellMar>
        </w:tblPrEx>
        <w:trPr>
          <w:trHeight w:val="90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★显示屏防蓝光</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支持防蓝光模式，蓝光加权辐射亮度比应≤0.0012W/(·cd·sr)（瓦每坎特拉每球面度）</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★显示屏低频闪</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显示屏应支持低频闪≤-35dB</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★显示屏防炫目</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显示屏镜面反射率≤10%</w:t>
            </w:r>
          </w:p>
        </w:tc>
      </w:tr>
      <w:tr>
        <w:tblPrEx>
          <w:tblLayout w:type="fixed"/>
          <w:tblCellMar>
            <w:top w:w="0" w:type="dxa"/>
            <w:left w:w="108" w:type="dxa"/>
            <w:bottom w:w="0" w:type="dxa"/>
            <w:right w:w="108" w:type="dxa"/>
          </w:tblCellMar>
        </w:tblPrEx>
        <w:trPr>
          <w:trHeight w:val="50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显示设备性能</w:t>
            </w: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★显示屏刷新率</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显示屏刷新率≥100Hz</w:t>
            </w:r>
          </w:p>
        </w:tc>
      </w:tr>
      <w:tr>
        <w:tblPrEx>
          <w:tblLayout w:type="fixed"/>
          <w:tblCellMar>
            <w:top w:w="0" w:type="dxa"/>
            <w:left w:w="108" w:type="dxa"/>
            <w:bottom w:w="0" w:type="dxa"/>
            <w:right w:w="108" w:type="dxa"/>
          </w:tblCellMar>
        </w:tblPrEx>
        <w:trPr>
          <w:trHeight w:val="367"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★显示屏位深</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显示屏位深≥8位</w:t>
            </w:r>
          </w:p>
        </w:tc>
      </w:tr>
      <w:tr>
        <w:tblPrEx>
          <w:tblLayout w:type="fixed"/>
          <w:tblCellMar>
            <w:top w:w="0" w:type="dxa"/>
            <w:left w:w="108" w:type="dxa"/>
            <w:bottom w:w="0" w:type="dxa"/>
            <w:right w:w="108" w:type="dxa"/>
          </w:tblCellMar>
        </w:tblPrEx>
        <w:trPr>
          <w:trHeight w:val="455"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★显示屏色域</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显示屏色域≥99% sRGB</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★显示屏色准</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显示屏色准△E ≤ 4</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★显示屏响应时间</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显示屏响应时间≤5ms</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★显示屏亮度</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显示屏亮度≥300 尼特</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★显示屏亮度一致性</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显示屏亮度一致性≥70%</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★显示屏对比度</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显示屏对比度≥1000：1</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★显示屏其他参数</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显示屏其他参数符合SJ/T 11292的相关规定</w:t>
            </w:r>
          </w:p>
        </w:tc>
      </w:tr>
      <w:tr>
        <w:tblPrEx>
          <w:tblLayout w:type="fixed"/>
          <w:tblCellMar>
            <w:top w:w="0" w:type="dxa"/>
            <w:left w:w="108" w:type="dxa"/>
            <w:bottom w:w="0" w:type="dxa"/>
            <w:right w:w="108" w:type="dxa"/>
          </w:tblCellMar>
        </w:tblPrEx>
        <w:trPr>
          <w:trHeight w:val="450"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21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显示设备功能</w:t>
            </w: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★显示器接口</w:t>
            </w:r>
          </w:p>
        </w:tc>
        <w:tc>
          <w:tcPr>
            <w:tcW w:w="4454" w:type="dxa"/>
            <w:tcBorders>
              <w:top w:val="nil"/>
              <w:left w:val="nil"/>
              <w:bottom w:val="single" w:color="auto" w:sz="4" w:space="0"/>
              <w:right w:val="single" w:color="auto" w:sz="4" w:space="0"/>
            </w:tcBorders>
            <w:shd w:val="clear" w:color="auto" w:fill="auto"/>
            <w:vAlign w:val="center"/>
          </w:tcPr>
          <w:p>
            <w:pPr>
              <w:widowControl/>
              <w:rPr>
                <w:rFonts w:ascii="宋体" w:hAnsi="宋体" w:eastAsia="宋体" w:cs="宋体"/>
                <w:color w:val="auto"/>
                <w:kern w:val="0"/>
                <w:sz w:val="24"/>
                <w:szCs w:val="24"/>
              </w:rPr>
            </w:pPr>
            <w:r>
              <w:rPr>
                <w:rFonts w:hint="eastAsia" w:ascii="宋体" w:hAnsi="宋体" w:eastAsia="宋体" w:cs="宋体"/>
                <w:color w:val="auto"/>
                <w:kern w:val="0"/>
                <w:sz w:val="24"/>
                <w:szCs w:val="24"/>
              </w:rPr>
              <w:t>显示器应与显卡外接显示接口匹配</w:t>
            </w:r>
          </w:p>
        </w:tc>
      </w:tr>
      <w:tr>
        <w:tblPrEx>
          <w:tblLayout w:type="fixed"/>
          <w:tblCellMar>
            <w:top w:w="0" w:type="dxa"/>
            <w:left w:w="108" w:type="dxa"/>
            <w:bottom w:w="0" w:type="dxa"/>
            <w:right w:w="108" w:type="dxa"/>
          </w:tblCellMar>
        </w:tblPrEx>
        <w:trPr>
          <w:trHeight w:val="675"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21</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★显示器支架</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显示器应提供显示器支架，根据采购人需求支持屏幕旋转、升降等</w:t>
            </w:r>
          </w:p>
        </w:tc>
      </w:tr>
      <w:tr>
        <w:tblPrEx>
          <w:tblLayout w:type="fixed"/>
          <w:tblCellMar>
            <w:top w:w="0" w:type="dxa"/>
            <w:left w:w="108" w:type="dxa"/>
            <w:bottom w:w="0" w:type="dxa"/>
            <w:right w:w="108" w:type="dxa"/>
          </w:tblCellMar>
        </w:tblPrEx>
        <w:trPr>
          <w:trHeight w:val="675"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22</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2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auto"/>
                <w:kern w:val="0"/>
                <w:sz w:val="24"/>
                <w:szCs w:val="24"/>
              </w:rPr>
            </w:pP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★显示器参数调节</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a)提供OSD选单按钮用于调节色彩、模式等；b)支持色温、亮度、对比度调节</w:t>
            </w:r>
          </w:p>
        </w:tc>
      </w:tr>
      <w:tr>
        <w:tblPrEx>
          <w:tblLayout w:type="fixed"/>
          <w:tblCellMar>
            <w:top w:w="0" w:type="dxa"/>
            <w:left w:w="108" w:type="dxa"/>
            <w:bottom w:w="0" w:type="dxa"/>
            <w:right w:w="108" w:type="dxa"/>
          </w:tblCellMar>
        </w:tblPrEx>
        <w:trPr>
          <w:trHeight w:val="675" w:hRule="atLeast"/>
          <w:jc w:val="center"/>
        </w:trPr>
        <w:tc>
          <w:tcPr>
            <w:tcW w:w="114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23</w:t>
            </w:r>
          </w:p>
        </w:tc>
        <w:tc>
          <w:tcPr>
            <w:tcW w:w="123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2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显示设备可靠性</w:t>
            </w:r>
          </w:p>
        </w:tc>
        <w:tc>
          <w:tcPr>
            <w:tcW w:w="2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★显示屏屏幕失效点</w:t>
            </w:r>
          </w:p>
        </w:tc>
        <w:tc>
          <w:tcPr>
            <w:tcW w:w="44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auto"/>
                <w:kern w:val="0"/>
                <w:sz w:val="24"/>
                <w:szCs w:val="24"/>
              </w:rPr>
            </w:pPr>
            <w:r>
              <w:rPr>
                <w:rFonts w:hint="eastAsia" w:ascii="宋体" w:hAnsi="宋体" w:eastAsia="宋体" w:cs="宋体"/>
                <w:color w:val="auto"/>
                <w:kern w:val="0"/>
                <w:sz w:val="24"/>
                <w:szCs w:val="24"/>
              </w:rPr>
              <w:t>显示屏屏幕失效点符合GB/T 9813.2的要求</w:t>
            </w:r>
          </w:p>
        </w:tc>
      </w:tr>
      <w:bookmarkEnd w:id="39"/>
    </w:tbl>
    <w:p>
      <w:pPr>
        <w:rPr>
          <w:rFonts w:hint="eastAsia" w:ascii="宋体" w:hAnsi="宋体" w:eastAsia="宋体" w:cs="宋体"/>
          <w:b/>
          <w:color w:val="auto"/>
          <w:sz w:val="24"/>
          <w:szCs w:val="24"/>
        </w:rPr>
      </w:pPr>
      <w:r>
        <w:rPr>
          <w:rFonts w:hint="eastAsia" w:ascii="宋体" w:hAnsi="宋体" w:eastAsia="宋体" w:cs="宋体"/>
          <w:b/>
          <w:color w:val="auto"/>
          <w:sz w:val="24"/>
          <w:szCs w:val="24"/>
        </w:rPr>
        <w:br w:type="page"/>
      </w:r>
    </w:p>
    <w:p>
      <w:pPr>
        <w:spacing w:before="240" w:line="60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表3：笔记本电脑</w:t>
      </w:r>
    </w:p>
    <w:tbl>
      <w:tblPr>
        <w:tblStyle w:val="12"/>
        <w:tblW w:w="974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1535"/>
        <w:gridCol w:w="1103"/>
        <w:gridCol w:w="2551"/>
        <w:gridCol w:w="37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指标分类</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一级指标</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二级指标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 信息</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国产C86架构处理器，通过安全可靠测评，（≥8核芯，≥8线程，基准主频≥2.7GHz，缓存≥8M）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内存配置容量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 DDR4/LPDDR4/LPDDR4X 及以上内存类型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内存条配置数量</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（板载内存不涉及）</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主板集成模块</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集成资源扩展模块、计算处理模块、音频扩展模块等，主板的互联拓扑可通过处理器或交换电路实现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主板支持的CPU和内存情况</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最少支持一颗国产C86架构处理器，DDR4内存规格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主板内置PCIe插槽数量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特殊孔位及接口</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主板支持安装多功能导入装置板卡，或预留相应孔位及接口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单内存插槽最大可支持容量</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（板载内存不涉及）</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内存插槽满配时</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提供的最高内存总容量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存储设备规格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固态盘数量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固态存储容量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≥512G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固态盘数量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6"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机械硬盘总容量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机械硬盘转速</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机械硬盘接口协议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机械硬盘形态</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固态存储接口协议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支持PCIe/NVMe等类型接口协议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固态存储形态</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采用插卡形态，插卡形态宜符合M.2标准尺寸和接口定义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存储设备扩展盘位</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存储设备其他参与要求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固态盘应符合SJ/T 11654相关规定;</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b）</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机械硬盘准备时间应不大于30s；侧面固定螺丝孔数量可为4孔或6 孔；工作状态环境温度应满足5℃</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~55℃；其它参数应符合GB/T12628 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集成显卡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独立显卡显存类型</w:t>
            </w:r>
          </w:p>
        </w:tc>
        <w:tc>
          <w:tcPr>
            <w:tcW w:w="3791" w:type="dxa"/>
            <w:vAlign w:val="center"/>
          </w:tcPr>
          <w:p>
            <w:pPr>
              <w:jc w:val="center"/>
              <w:rPr>
                <w:color w:val="auto"/>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独立显卡显存位宽</w:t>
            </w:r>
          </w:p>
        </w:tc>
        <w:tc>
          <w:tcPr>
            <w:tcW w:w="3791" w:type="dxa"/>
            <w:vAlign w:val="center"/>
          </w:tcPr>
          <w:p>
            <w:pPr>
              <w:jc w:val="center"/>
              <w:rPr>
                <w:color w:val="auto"/>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独立显卡显存容量</w:t>
            </w:r>
          </w:p>
        </w:tc>
        <w:tc>
          <w:tcPr>
            <w:tcW w:w="3791" w:type="dxa"/>
            <w:vAlign w:val="center"/>
          </w:tcPr>
          <w:p>
            <w:pPr>
              <w:jc w:val="center"/>
              <w:rPr>
                <w:color w:val="auto"/>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独立显卡接口协议</w:t>
            </w:r>
          </w:p>
        </w:tc>
        <w:tc>
          <w:tcPr>
            <w:tcW w:w="3791" w:type="dxa"/>
            <w:vAlign w:val="center"/>
          </w:tcPr>
          <w:p>
            <w:pPr>
              <w:jc w:val="center"/>
              <w:rPr>
                <w:color w:val="auto"/>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显示设备规格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显示屏屏占比</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显示屏分辨率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≥1920x1200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显示屏像素密度</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≥150像素/英寸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显示屏可视角度</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水平≥178°，垂直≥178°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显示屏尺寸</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14英寸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显示屏屏幕比例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显示屏防蓝光</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支持防蓝光模式，蓝光加权辐射亮度比应≤0.0012W/(·cd·sr)（瓦每坎特拉每球面度）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显示屏低频闪</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显示屏应支持低频闪≤-35dB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显示屏防炫目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显示器镜面反射率≤10%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外设规格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传声器数量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扬声器数量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鼠标数量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 个内置键盘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触控板数量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摄像头数量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光驱数量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键盘按键数目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62 键/84 键/105 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摄像头像素</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摄像头分辨率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≥1280x720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内置扬声器功率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≥2瓦/个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内置扬声器频率范围</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100Hz-20kHz，其中100Hz-200Hz： 35dB及以上；200Hz-12kHz：55dB 及以上，12kHz-18kHz：35dB及以上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内置扬声器总谐波失真</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总谐波失真在300Hz-7kHz频率范围内宜不高于5%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内置扬声器最大声压级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最大声压级在粉红噪声播放场景下，工作距离处声压级宜不低于</w:t>
            </w:r>
            <w:r>
              <w:rPr>
                <w:rFonts w:ascii="宋体" w:hAnsi="宋体" w:eastAsia="宋体" w:cs="宋体"/>
                <w:color w:val="auto"/>
                <w:kern w:val="0"/>
                <w:sz w:val="24"/>
                <w:szCs w:val="24"/>
              </w:rPr>
              <w:t>70dB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键盘键程</w:t>
            </w:r>
          </w:p>
        </w:tc>
        <w:tc>
          <w:tcPr>
            <w:tcW w:w="3791" w:type="dxa"/>
          </w:tcPr>
          <w:p>
            <w:pPr>
              <w:widowControl/>
              <w:jc w:val="center"/>
              <w:rPr>
                <w:rFonts w:ascii="宋体" w:hAnsi="宋体" w:eastAsia="宋体" w:cs="宋体"/>
                <w:color w:val="auto"/>
                <w:kern w:val="0"/>
                <w:sz w:val="24"/>
                <w:szCs w:val="24"/>
              </w:rPr>
            </w:pPr>
            <w:r>
              <w:rPr>
                <w:rFonts w:ascii="宋体" w:hAnsi="宋体" w:eastAsia="宋体" w:cs="宋体"/>
                <w:color w:val="auto"/>
                <w:kern w:val="0"/>
                <w:sz w:val="24"/>
                <w:szCs w:val="24"/>
              </w:rPr>
              <w:t>0.9mm ~ 2.3 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键盘按键压力</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按键压力宜在0.3～0.8N之间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键盘颜色</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黑色商务色系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鼠标连接方式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有线或无线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有线鼠标连接线</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鼠标 DPI 分辨率</w:t>
            </w:r>
          </w:p>
        </w:tc>
        <w:tc>
          <w:tcPr>
            <w:tcW w:w="3791" w:type="dxa"/>
          </w:tcPr>
          <w:p>
            <w:pPr>
              <w:widowControl/>
              <w:jc w:val="center"/>
              <w:rPr>
                <w:rFonts w:ascii="宋体" w:hAnsi="宋体" w:eastAsia="宋体" w:cs="宋体"/>
                <w:color w:val="auto"/>
                <w:kern w:val="0"/>
                <w:sz w:val="24"/>
                <w:szCs w:val="24"/>
              </w:rPr>
            </w:pPr>
            <w:r>
              <w:rPr>
                <w:rFonts w:ascii="宋体" w:hAnsi="宋体" w:eastAsia="宋体" w:cs="宋体"/>
                <w:color w:val="auto"/>
                <w:kern w:val="0"/>
                <w:sz w:val="24"/>
                <w:szCs w:val="24"/>
              </w:rPr>
              <w:t>800~1600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鼠标颜色</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黑色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鼠标其他要求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其它参数应符合GB/T26245的相关规定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触控板尺寸</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≥70mm×50mm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触控板材质</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采用麦拉片或玻璃等材质</w:t>
            </w:r>
          </w:p>
        </w:tc>
      </w:tr>
      <w:tr>
        <w:tblPrEx>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光驱规格</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无光驱设备，可支持外置光驱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网络设备规格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有线网卡数量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无线网卡及天线数量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单无线网卡天线数量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外部接口规格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USB接口数量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USB 接口数量应不少于3个，至少包含2个USB-C 3.0及以上标准接口（可通过拓展坞实现）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视频接口数量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输入充电接口数量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音频接口数量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存储卡接口数量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电池规格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电池额定能量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≥70Wh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电池充放电次数</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≥500次（常温下500次充放电后电池容量应不低于原始容量的80%）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快速充电功能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支持快速充电功能，如 UFCS、USB PD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电池安全要求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 31241的规定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电池电芯材质</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供应商给出电池电芯材料信息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整机基础规格</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整机外观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产品表面不应有凹痕、划伤、裂缝、变形和污染等。表面涂层均匀，不应起泡、龟裂、脱落和磨损，金属零部件无锈蚀及其它机械损伤；</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b)</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产品表面说明功能的文字、符号、标志，应清晰、端正、牢固； c) 宜在产品显著位置提供运行状态指示功能，并由生产厂商提供详细参数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整机结构</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 产品应符合GB/T4208的相关规定； b) 产品内部结构应符合通用部件的安装需要； c) 所有输入输出接口应符合相关国家或行业标准； d) 产品零部件应紧固无松动，可插拔部件应可靠连接，开关、按钮和其它控制部件应灵活可靠，布局应方便使用；</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e) 所有I/O连接器及需插接线缆的部位应预留用户操作空间，方便插拔解锁与插拔线缆；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显示屏的开合机械寿命应能承</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受至少15000次的显示屏开合，显示屏机械转轴的扭力应保持初始状态下扭力的75%以上；</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o) 其它要求应符合GB/T9813.2的相关规定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整机噪音</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25摄氏度环温条件：空闲小于等于38dBA 满载小于等于45dBA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整机散热</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产品在环境温度25℃且运行在满载的状态下，可触及面温度范围内应不高于45℃，各表面温度应符合以下要求：</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 键帽温度不高于38℃；</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b)</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键盘间隙温度不高于40℃；</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掌托温度不高于38℃；</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d)</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触控板温度不高于38℃；</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e)</w:t>
            </w:r>
            <w:r>
              <w:rPr>
                <w:rFonts w:hint="eastAsia" w:ascii="宋体" w:hAnsi="宋体" w:eastAsia="宋体" w:cs="宋体"/>
                <w:color w:val="auto"/>
                <w:kern w:val="0"/>
                <w:sz w:val="24"/>
                <w:szCs w:val="24"/>
              </w:rPr>
              <w:tab/>
            </w:r>
            <w:r>
              <w:rPr>
                <w:rFonts w:hint="eastAsia" w:ascii="宋体" w:hAnsi="宋体" w:eastAsia="宋体" w:cs="宋体"/>
                <w:color w:val="auto"/>
                <w:kern w:val="0"/>
                <w:sz w:val="24"/>
                <w:szCs w:val="24"/>
              </w:rPr>
              <w:t>底壳温度不高于45℃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整机能效限定值</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产品能效限定值应达到GB 28380-2</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012标准中能效等级2级及以上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整机重量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≤1.35kg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整机厚度</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≤14.9mm（不含脚垫）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机身材质</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A/C/D 三面金属材质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产品规格</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机身颜色</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一般选用灰色/黑色等商务色系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 物理核数</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 主频</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≥2.7GHz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 末级缓存容量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≥8MB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CPU支持的内存最高速率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≥2666MT/s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内存读写速率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≥3200MT/s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显示分辨率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≥1920x1200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显卡显示芯片核心频率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≥300MHz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显存等效频率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≥1000MT/s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显卡可支持多屏</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同时显示数量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显卡应支持 2 块屏幕同时显示，分辨率应不低于1920×1080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显示设备性能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显示屏刷新率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显示屏位深</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显示屏色域</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≥99% sRGB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显示屏色准</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△E ≤ 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显示屏响应时间</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显示屏亮度</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≥300尼特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显示屏亮度一致性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显示屏对比度</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显示屏其他参数</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其它参数应符合SJ/T11292的相关规定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网络设备性能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有线网卡速率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最高速率不低于1000Mbps，支持</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10Mbps、100Mbps、1000Mbps速率自</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适应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支持无线网络</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通信技术协议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支持WIFI6并向下兼容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无线网卡频宽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≥20MHz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电源适配器性能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电源适配器电源效率</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在20%/50%/100%负载下效率均应不低于87%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性能要求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待机性能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满载待机性能（LTP）</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内存扩展接口</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(板载内存不涉及)</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供应商给出内存扩展接口数量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存储扩展接口</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供应商给出主板支持存储扩展接口类型，如SATA3.0、SAS3.0、M.2 等类型接口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 USB瞬间过流保护</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支持瞬间过流保护功能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主板防静电保护</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支持防静电保护功能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I/O 接口功能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内置或通过扩展坞支持数据传输接口、视频接口、音频接口、网络接口、电源接口等各类标准接口产品应集成键盘、触控板输入部件，同时应具备接入键盘、鼠标、写字板等外设的能力，宜支持触摸屏、语音交互、手写笔等人机交互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显卡外接显示接口</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至少支持 VGA、HDMI、DVI、DP、Type-C中 1 种显示接口</w:t>
            </w:r>
          </w:p>
        </w:tc>
      </w:tr>
      <w:tr>
        <w:tblPrEx>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支持显示屏，同时应支持外接显示器。显示屏和外接显示器应支持多屏同时显示，显示模式应支持复制模式和扩展模式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外设功能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摄像头物理隐私保护开关</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支持物理隐私保护开关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传声器降噪</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支持降噪功能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音频处理功能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支持音频效果处理功能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键盘背光</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支持键盘背光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触控板多点触控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支持2点及以上触控功能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光驱功能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支持信息存储功能，包括支持易失性存储功能和非易失性存储功能。为提升存储性能和降低存储功耗，</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非易失性存储宜支持固态存储设备，如SSD/UFS。</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产品应支持外出接口可以与独立的存储设备进行数据交互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网络设备功能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网络功能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a)支持网络连接、网络开启/关闭功能；b)支持访问网络和数据交换功能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无线网卡频段</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支持双频段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物理开关</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支持网络设备物理开关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数据传输</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支持数据传输能力，并提供数据流量和异常日志记录功能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蓝牙协议</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支持蓝牙模块，蓝牙协议不低于5.0 版本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有线网卡接口类型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支持RJ45接口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无线网卡标准</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 15629.11所有部分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网络设备拆装</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网络设备应支持物理拆装，包括无线网卡和蓝牙模块等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外部接口功能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音频接口类型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不少于 1 个，宜支持 3.5mm 孔径的 3段式或 4 段式接口。若支持 4 段式接口，宜支持线序的自动识别及切换功能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视频接口类型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至少支持 VGA、HDMI、DVI、DP、Type-C中 1 种显示接口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 xml:space="preserve">HDMI、DP、Type-C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显示接口要求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若提供 HDMI 或 DP 或 Type-C 作为显示接口，应支持音频和视频同步输出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输入充电接口类型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Type-C 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其他接口</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w:t>
            </w:r>
            <w:r>
              <w:rPr>
                <w:rFonts w:ascii="宋体" w:hAnsi="宋体" w:eastAsia="宋体" w:cs="宋体"/>
                <w:color w:val="auto"/>
                <w:kern w:val="0"/>
                <w:sz w:val="24"/>
                <w:szCs w:val="24"/>
              </w:rPr>
              <w:t>SB</w:t>
            </w:r>
            <w:r>
              <w:rPr>
                <w:rFonts w:hint="eastAsia" w:ascii="宋体" w:hAnsi="宋体" w:eastAsia="宋体" w:cs="宋体"/>
                <w:color w:val="auto"/>
                <w:kern w:val="0"/>
                <w:sz w:val="24"/>
                <w:szCs w:val="24"/>
              </w:rPr>
              <w:t>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存储卡接口类型</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支持SD、TF等存储卡接口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电源功能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电池快充</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支持快速充电功能，如 UFCS、USB PD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电源线适配能力</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 15934-2008</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对于可拆线插头GB15934不做要求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操作</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系统</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及软</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件功</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中文信息处理要求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 18030的相关规定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操作系统备份及还原功能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支持BIOS级别的操作系统备份及还原功能，设备出厂配置，原厂具备此功能软件的著作版权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固件备份还原能力</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支持备份及还原固件的功能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操作系统及驱动升级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支持通过网络、闪存盘等方式对操作系统、驱动进行升级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固件升级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支持通过网络、闪存盘等方式对固件进行升级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BIOS 支持关闭通讯接口</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支持BIOS关闭以太网及USB接口功能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固件查看信息</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支持查看固件版本、内存信息、主板信息、处理器信息和系统时间信息等功能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固件设置启动顺序</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支持设置启动顺序功能，并按照设置的启动顺序启动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固件设置口令</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支持设置口令、修改口令、验证口令功能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固件设置网络引导</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支持网络引导启动和关闭功能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生物识别功能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指纹识别</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指纹识别功能符合GB/T37742的相关规定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人脸识别</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人脸识别功能符合GB/T37036.3的相关规定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静脉识别</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指静脉识别功能符合GB/T33135的相关规定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硬件加速功能</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NPU/GPU等AI加速模块</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支持NPU/GPU等AI加速模块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视频编解码加速模块</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支持视频编解码加速模块</w:t>
            </w:r>
          </w:p>
        </w:tc>
      </w:tr>
      <w:tr>
        <w:tblPrEx>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功能要求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影像处理加速模块</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支持影像处理加速模块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存储设备</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固态存储寿命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TBW ≥ 80TB（条件：240GB 硬盘容量）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机械硬盘寿命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通电时间≥5 万小时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显示设备可靠性</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显示屏屏幕失效点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 9813.2的要求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外设可靠性</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键盘按键寿命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≥1000万次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鼠标按键寿命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≥500万次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键盘鼠标线材寿命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键盘鼠标所用线材经±60°弯折不低于3000次，功能、外观完好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风扇寿命</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≥4万小时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整机可靠性要求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电磁兼容性要求的抗扰度</w:t>
            </w:r>
          </w:p>
        </w:tc>
        <w:tc>
          <w:tcPr>
            <w:tcW w:w="3791" w:type="dxa"/>
            <w:vAlign w:val="center"/>
          </w:tcPr>
          <w:p>
            <w:pPr>
              <w:widowControl/>
              <w:jc w:val="center"/>
              <w:rPr>
                <w:rFonts w:ascii="宋体" w:hAnsi="宋体" w:eastAsia="宋体" w:cs="宋体"/>
                <w:color w:val="auto"/>
                <w:kern w:val="0"/>
                <w:sz w:val="24"/>
                <w:szCs w:val="24"/>
              </w:rPr>
            </w:pPr>
            <w:r>
              <w:rPr>
                <w:rFonts w:ascii="宋体" w:hAnsi="宋体" w:eastAsia="宋体" w:cs="宋体"/>
                <w:color w:val="auto"/>
                <w:kern w:val="0"/>
                <w:sz w:val="24"/>
                <w:szCs w:val="24"/>
              </w:rPr>
              <w:t>符合GB/T9254.2的规定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气候环境适应性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振动适应性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 xml:space="preserve"> 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冲击适应性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 xml:space="preserve"> 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碰撞适应性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 xml:space="preserve"> 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自由跌落适应性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 xml:space="preserve"> 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环境条件要求的</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运输包装件跌落适应性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w:t>
            </w:r>
            <w:r>
              <w:rPr>
                <w:rFonts w:ascii="宋体" w:hAnsi="宋体" w:eastAsia="宋体" w:cs="宋体"/>
                <w:color w:val="auto"/>
                <w:kern w:val="0"/>
                <w:sz w:val="24"/>
                <w:szCs w:val="24"/>
              </w:rPr>
              <w:t xml:space="preserve"> 9813.2中规定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可靠性要求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MTBF 测试</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MTBF(m1)≥100万小时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兼容要求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常用软件兼容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支持流式软件、版式软件、浏览器、邮件客户端、解压软件、多媒体、图形图像处理等常用软件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数据库兼容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 3 个及以上厂商的数据库产品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中间件兼容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 3 个及以上厂商中间件产品</w:t>
            </w:r>
          </w:p>
        </w:tc>
      </w:tr>
      <w:tr>
        <w:tblPrEx>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平台软件兼容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兼容 3 个及以上厂商云计算及大数据平台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包装及运输要求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包装及运输要求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标志、包装、运输和贮存</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 9813.2和商品包装政府采购需求标准的相关规定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服务要求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配置检查工具</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提供自检测试工具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服务响应</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a）提供产品3年维保及上门服务（满足同城4小时、异地12小时响应要求）； b）提供政企专线7</w:t>
            </w:r>
            <w:r>
              <w:rPr>
                <w:rFonts w:hint="eastAsia" w:ascii="宋体" w:hAnsi="宋体" w:eastAsia="宋体" w:cs="宋体"/>
                <w:color w:val="auto"/>
                <w:kern w:val="0"/>
                <w:sz w:val="24"/>
                <w:szCs w:val="24"/>
                <w:lang w:val="en-US" w:eastAsia="zh-CN"/>
              </w:rPr>
              <w:t>*</w:t>
            </w:r>
            <w:r>
              <w:rPr>
                <w:rFonts w:hint="eastAsia" w:ascii="宋体" w:hAnsi="宋体" w:eastAsia="宋体" w:cs="宋体"/>
                <w:color w:val="auto"/>
                <w:kern w:val="0"/>
                <w:sz w:val="24"/>
                <w:szCs w:val="24"/>
              </w:rPr>
              <w:t>24在线服务； c）现场保障技术服务团队员，国内上门服务地级市覆盖率达100%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服务周期</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支持产品延保≥3 年</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提供每年延保服务报价提供备件服务能力≥6 年（自购买之日起）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预装操作系统</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预装符合桌面操作系统政府采购需求的激活版银河麒麟桌面操作系统V10版，可以安装双系统</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配合采购人安装操作系统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培训服务</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供应商提供培训材料、产品手册、培训视频等培训相关内容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典型问题解决手册</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供应商提供典型问题解决说明文档或视频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厂家升级软件与扩容服务</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提供应商供上门升级部件/软件的增值服务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整机质量服务要求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免费服务周期（含换件和维修）应不小于3年，服务维保时间可通过原厂技术支持400热线电话或者官方网站查询。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合格证书要求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供应商提供产品合格证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开箱组装/使用指导要求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供应商提供开箱组装/使用指导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驱动下载服务要求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供应商提供驱动光盘或下载方式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兼容适配软件下载服务要求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供应商提供兼容适配软件下载渠道（光盘、网站）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服务要求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跨架构平台应用兼容</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供应商提供跨架构平台应用兼容工具，兼容一种或者一种以上不同架</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构平台的应用运行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186</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供应链合规性</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产品部件保障</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保障产品主要部件，应提供 6 年的备件服务能力(自购买之日起)，或</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提供可兼容原设备的升级换代产品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187</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供应链质量</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抗干扰性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当产品部件出现供应风险时，供应商应通知采购人并提供风险应对方</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案确保产品的服务保障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188</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供应保障要求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供应能力证明</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提供供应链稳定承诺书，确保产品的部件在产品服务周期内稳定供货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189</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关键部件安全要求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关键部件安全要求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 和操作系统等关键部件应当符合安全可靠测评要求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190</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restart"/>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整机安全性要求</w:t>
            </w: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USB 端口管控</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支持USB端口管控（USB支持BIOS下接口逐个开关）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191</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密码算法实现</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CPU芯片应符合GM/T0008的相关规</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定，或芯片密码模块应符合GB/T</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37092或GM/T 0028的相关规定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192</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安全物理锁</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支持安全物理锁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193</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信息安全基本要求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a) 应符合GB/T 39276的5.2的规定； b) 生产厂商应建立漏洞跟踪表，保证产品版本涉及到的漏洞(如驱动程序等)可查看； c) 不得包含已知的恶意代码或漏洞，不存在未声明的指令、功能、接口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194</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固件安全启动</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支持固件安全启动功能，固件启动过程中只有通过启动校验才能正常启动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66"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195</w:t>
            </w:r>
          </w:p>
        </w:tc>
        <w:tc>
          <w:tcPr>
            <w:tcW w:w="1535"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安全要求</w:t>
            </w:r>
          </w:p>
        </w:tc>
        <w:tc>
          <w:tcPr>
            <w:tcW w:w="1103" w:type="dxa"/>
            <w:vMerge w:val="continue"/>
          </w:tcPr>
          <w:p>
            <w:pPr>
              <w:widowControl/>
              <w:jc w:val="center"/>
              <w:rPr>
                <w:rFonts w:ascii="宋体" w:hAnsi="宋体" w:eastAsia="宋体" w:cs="宋体"/>
                <w:color w:val="auto"/>
                <w:kern w:val="0"/>
                <w:sz w:val="24"/>
                <w:szCs w:val="24"/>
              </w:rPr>
            </w:pPr>
          </w:p>
        </w:tc>
        <w:tc>
          <w:tcPr>
            <w:tcW w:w="255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限用物质的限量要求</w:t>
            </w:r>
          </w:p>
        </w:tc>
        <w:tc>
          <w:tcPr>
            <w:tcW w:w="3791" w:type="dxa"/>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符合GB/T 26572中规定</w:t>
            </w:r>
          </w:p>
        </w:tc>
      </w:tr>
    </w:tbl>
    <w:p>
      <w:pPr>
        <w:spacing w:line="360" w:lineRule="auto"/>
        <w:ind w:firstLine="480" w:firstLineChars="200"/>
        <w:outlineLvl w:val="0"/>
        <w:rPr>
          <w:rFonts w:ascii="宋体" w:hAnsi="宋体" w:eastAsia="宋体" w:cs="宋体"/>
          <w:color w:val="auto"/>
          <w:sz w:val="24"/>
        </w:rPr>
      </w:pPr>
      <w:r>
        <w:rPr>
          <w:rFonts w:hint="eastAsia" w:ascii="宋体" w:hAnsi="宋体" w:eastAsia="宋体" w:cs="宋体"/>
          <w:color w:val="auto"/>
          <w:sz w:val="24"/>
        </w:rPr>
        <w:t>注：</w:t>
      </w:r>
    </w:p>
    <w:p>
      <w:pPr>
        <w:spacing w:line="360" w:lineRule="auto"/>
        <w:ind w:firstLine="480" w:firstLineChars="200"/>
        <w:outlineLvl w:val="0"/>
        <w:rPr>
          <w:rFonts w:ascii="宋体" w:hAnsi="宋体" w:eastAsia="宋体" w:cs="宋体"/>
          <w:color w:val="auto"/>
          <w:sz w:val="24"/>
        </w:rPr>
      </w:pPr>
      <w:r>
        <w:rPr>
          <w:rFonts w:hint="eastAsia" w:ascii="宋体" w:hAnsi="宋体" w:eastAsia="宋体" w:cs="宋体"/>
          <w:color w:val="auto"/>
          <w:sz w:val="24"/>
        </w:rPr>
        <w:t>应逐项明确每项标的是否属于集采目录内产品</w:t>
      </w:r>
    </w:p>
    <w:p>
      <w:pPr>
        <w:spacing w:line="360" w:lineRule="auto"/>
        <w:ind w:firstLine="480" w:firstLineChars="200"/>
        <w:outlineLvl w:val="0"/>
        <w:rPr>
          <w:rFonts w:ascii="宋体" w:hAnsi="宋体" w:eastAsia="宋体" w:cs="宋体"/>
          <w:color w:val="auto"/>
          <w:sz w:val="24"/>
        </w:rPr>
      </w:pPr>
      <w:r>
        <w:rPr>
          <w:rFonts w:hint="eastAsia" w:ascii="宋体" w:hAnsi="宋体" w:eastAsia="宋体" w:cs="宋体"/>
          <w:color w:val="auto"/>
          <w:sz w:val="24"/>
        </w:rPr>
        <w:t>量化指标应标示出范围值，例如长度≥30cm，而不是长度30cm</w:t>
      </w:r>
    </w:p>
    <w:p>
      <w:pPr>
        <w:spacing w:line="360" w:lineRule="auto"/>
        <w:ind w:firstLine="480" w:firstLineChars="200"/>
        <w:outlineLvl w:val="0"/>
        <w:rPr>
          <w:rFonts w:ascii="宋体" w:hAnsi="宋体" w:eastAsia="宋体" w:cs="宋体"/>
          <w:color w:val="auto"/>
          <w:sz w:val="24"/>
        </w:rPr>
      </w:pPr>
      <w:r>
        <w:rPr>
          <w:rFonts w:hint="eastAsia" w:ascii="宋体" w:hAnsi="宋体" w:eastAsia="宋体" w:cs="宋体"/>
          <w:color w:val="auto"/>
          <w:sz w:val="24"/>
        </w:rPr>
        <w:t>加注“★”号条款为实质性条款，不得出现负偏离，发生负偏离即做无效标处理。</w:t>
      </w:r>
    </w:p>
    <w:p>
      <w:pPr>
        <w:spacing w:line="360" w:lineRule="auto"/>
        <w:ind w:firstLine="480" w:firstLineChars="200"/>
        <w:outlineLvl w:val="0"/>
        <w:rPr>
          <w:rFonts w:ascii="宋体" w:hAnsi="宋体" w:eastAsia="宋体" w:cs="宋体"/>
          <w:color w:val="auto"/>
          <w:sz w:val="24"/>
        </w:rPr>
      </w:pPr>
      <w:r>
        <w:rPr>
          <w:rFonts w:hint="eastAsia" w:ascii="宋体" w:hAnsi="宋体" w:eastAsia="宋体" w:cs="宋体"/>
          <w:color w:val="auto"/>
          <w:sz w:val="24"/>
        </w:rPr>
        <w:t>加注“▲”号的产品为核心产品（如项目需求书中未明确核心产品，则视为全部产品均为核心产品）。</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二</w:t>
      </w:r>
      <w:r>
        <w:rPr>
          <w:rFonts w:hint="eastAsia" w:ascii="宋体" w:hAnsi="宋体" w:eastAsia="宋体"/>
          <w:color w:val="auto"/>
          <w:sz w:val="24"/>
          <w:szCs w:val="24"/>
          <w:lang w:eastAsia="zh-CN"/>
        </w:rPr>
        <w:t>）</w:t>
      </w:r>
      <w:r>
        <w:rPr>
          <w:rFonts w:ascii="宋体" w:hAnsi="宋体" w:eastAsia="宋体"/>
          <w:color w:val="auto"/>
          <w:sz w:val="24"/>
          <w:szCs w:val="24"/>
        </w:rPr>
        <w:t>核心要求：</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olor w:val="auto"/>
          <w:sz w:val="24"/>
          <w:szCs w:val="24"/>
        </w:rPr>
      </w:pPr>
      <w:r>
        <w:rPr>
          <w:rFonts w:hint="eastAsia" w:ascii="宋体" w:hAnsi="宋体" w:eastAsia="宋体"/>
          <w:color w:val="auto"/>
          <w:sz w:val="24"/>
          <w:szCs w:val="24"/>
        </w:rPr>
        <w:t>硬件质保3年，3年内免费上门维修，保修期内免费更换零配件</w:t>
      </w:r>
      <w:bookmarkStart w:id="40" w:name="OLE_LINK12"/>
      <w:r>
        <w:rPr>
          <w:rFonts w:hint="eastAsia" w:ascii="宋体" w:hAnsi="宋体" w:eastAsia="宋体"/>
          <w:color w:val="auto"/>
          <w:sz w:val="24"/>
          <w:szCs w:val="24"/>
        </w:rPr>
        <w:t>。质保期后，提供免费远程技术指导，</w:t>
      </w:r>
      <w:bookmarkEnd w:id="40"/>
      <w:r>
        <w:rPr>
          <w:rFonts w:hint="eastAsia" w:ascii="宋体" w:hAnsi="宋体" w:eastAsia="宋体"/>
          <w:color w:val="auto"/>
          <w:sz w:val="24"/>
          <w:szCs w:val="24"/>
        </w:rPr>
        <w:t>有偿上门维修服务，按成本价标准收取维修及零件费用。供应商提供相关产品相应的使用指导手册，提供7x24小时技术响应;48小时内派技术人员到现场维修(包括但不限于产品更换及应急产品调配，参数中有特殊要求的按参数要求执行)。</w:t>
      </w:r>
    </w:p>
    <w:p>
      <w:pPr>
        <w:pStyle w:val="2"/>
        <w:rPr>
          <w:color w:val="auto"/>
        </w:rPr>
      </w:pPr>
    </w:p>
    <w:p>
      <w:pPr>
        <w:rPr>
          <w:rFonts w:hint="eastAsia" w:ascii="宋体" w:hAnsi="宋体" w:eastAsia="宋体" w:cs="宋体"/>
          <w:color w:val="auto"/>
          <w:sz w:val="24"/>
          <w:szCs w:val="24"/>
        </w:rPr>
      </w:pPr>
      <w:r>
        <w:rPr>
          <w:rFonts w:hint="eastAsia" w:ascii="宋体" w:hAnsi="宋体" w:eastAsia="宋体" w:cs="宋体"/>
          <w:color w:val="auto"/>
          <w:sz w:val="24"/>
          <w:szCs w:val="24"/>
        </w:rPr>
        <w:t>第二包：建设在线精品课程资源包</w:t>
      </w:r>
    </w:p>
    <w:p>
      <w:pPr>
        <w:pStyle w:val="2"/>
        <w:rPr>
          <w:rFonts w:hint="eastAsia"/>
          <w:color w:val="auto"/>
        </w:rPr>
      </w:pP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精品在线课程设计培训</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资源制作前期，由服务团队以现场或线上的形式，面向学校教师开展精品在线课程设计培训，培训内容包括在线课程资源建设的一般流程、在线课程大纲设计、微课资源脚本建设、课件（PPT）资源建设、素材收集、服装搭配与拍摄注意事项。</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精品在线课程制作</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制定工作计划表</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由学校负责人与服务团队负责人进行沟通，制定工作计划表，关键信息包括时间、工作内容、工作主体，主要节点包括沟通准备阶段、样课设计阶段、批量资源设计阶段、批量拍摄阶段、样课后期制作阶段、批量后期制作阶段、成果交付与课程上线阶段。</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资源制作与课程上线</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脚本审核与课件（PPT）美化</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服务团队分别对接课程资源制作教师，并提供脚本与课件（PPT）模版，教师撰写完成后，交由服务团队进行脚本审读与修改、课件（PPT）美化。</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绿幕拍摄</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团队分别对接课程资源制作教师，确定拍摄具体时间，组织教师进行现场拍摄，由服务团队提供拍摄所需的全部器材与场地（实训微课场地为负责教师指定场地），包括摄像机、灯光、收音设备、提词器、绿幕影棚等。</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剪辑制作</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团队根据脚本、课件（PPT）、绿幕视频进行剪辑制作，共计完成课程概述视频2个、知识点微课视频40个、实训微课6个、课程思政案例视频6个、2D动画6个，视频压缩应采用H.264编码方式，码率3M以上，帧率不低于25fps，分辨率1080P及以上，交付格式为MP4文件，资源的技术标准满足教育部发布的《智慧教育平台数字教育资源技术要求》。</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修改与留存</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服务团队将资源交付对应教师进行审核，根据教师提出的需求对进行修改，并提供为期3年的资源成品的保留服务，根据教师需求随时提供。</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课程上线</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服务团队根据课程负责人提供的课程大纲与课程基本信息，进行课程上线服务，包括课程创建、课程开通申请、基本信息维护、框架搭建、资源上传、资源审核、考核设置、课程上线。</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资源技术参数</w:t>
      </w:r>
    </w:p>
    <w:tbl>
      <w:tblPr>
        <w:tblStyle w:val="11"/>
        <w:tblW w:w="98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1"/>
        <w:gridCol w:w="2149"/>
        <w:gridCol w:w="7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2149"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建设内容</w:t>
            </w:r>
          </w:p>
        </w:tc>
        <w:tc>
          <w:tcPr>
            <w:tcW w:w="7118" w:type="dxa"/>
            <w:tcBorders>
              <w:top w:val="single" w:color="auto" w:sz="4" w:space="0"/>
              <w:left w:val="single" w:color="auto" w:sz="4" w:space="0"/>
              <w:bottom w:val="single" w:color="auto" w:sz="4" w:space="0"/>
              <w:right w:val="single" w:color="auto" w:sz="4" w:space="0"/>
            </w:tcBorders>
            <w:vAlign w:val="center"/>
          </w:tcPr>
          <w:p>
            <w:pPr>
              <w:spacing w:line="336" w:lineRule="auto"/>
              <w:ind w:left="72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详细内容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8"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149" w:type="dxa"/>
            <w:tcBorders>
              <w:top w:val="single" w:color="auto" w:sz="4" w:space="0"/>
              <w:left w:val="single" w:color="auto" w:sz="4" w:space="0"/>
              <w:bottom w:val="single" w:color="auto" w:sz="4" w:space="0"/>
              <w:right w:val="single" w:color="auto" w:sz="4" w:space="0"/>
            </w:tcBorders>
            <w:vAlign w:val="center"/>
          </w:tcPr>
          <w:p>
            <w:pPr>
              <w:spacing w:line="336" w:lineRule="auto"/>
              <w:rPr>
                <w:rFonts w:hint="eastAsia" w:ascii="宋体" w:hAnsi="宋体" w:eastAsia="宋体" w:cs="宋体"/>
                <w:color w:val="auto"/>
                <w:sz w:val="24"/>
                <w:szCs w:val="24"/>
              </w:rPr>
            </w:pPr>
            <w:r>
              <w:rPr>
                <w:rFonts w:hint="eastAsia" w:ascii="宋体" w:hAnsi="宋体" w:eastAsia="宋体" w:cs="宋体"/>
                <w:color w:val="auto"/>
                <w:sz w:val="24"/>
                <w:szCs w:val="24"/>
              </w:rPr>
              <w:t>课程概述（每门课程1个）</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（1）脚本审核</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结构审核:包括基本信息、课程设计、课程建设、课程实施、教学环境、教学效果和特色创新之处等。</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画面审核:结合教师出镜，穿插写学生采访镜头、学校外景实拍镜头、实训设备或环境镜头等，视频整体色调明亮清晰，突出重点。</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文字审核：保证内容及其资源的思想性、政治性以及知识产权的合法性、资源融入的合理性。</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（2）素材拍摄</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由专业拍摄团队根据脚本所需，提供单机位的素材拍摄；拍摄时长1天，拍摄内容包括学生自学/实训、教学环境、学校实景等相关素材以及教师绿幕素材等，素材格式为MOV，清晰度不低于2k分辨率。</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（3）后期制作</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由专业后期团队对课程概述宣传片进行剪辑、特效设计、包装、字幕、背景音乐等方面制作，特效制作根据实际情况定制，每个课程概述宣传片时长不低于3分钟</w:t>
            </w:r>
            <w:r>
              <w:rPr>
                <w:rFonts w:hint="eastAsia" w:ascii="宋体" w:hAnsi="宋体" w:eastAsia="宋体" w:cs="宋体"/>
                <w:color w:val="auto"/>
                <w:sz w:val="24"/>
                <w:szCs w:val="24"/>
                <w:lang w:eastAsia="zh-CN"/>
              </w:rPr>
              <w:t>，</w:t>
            </w:r>
            <w:r>
              <w:rPr>
                <w:rFonts w:hint="eastAsia" w:ascii="宋体" w:hAnsi="宋体" w:eastAsia="宋体" w:cs="宋体"/>
                <w:color w:val="auto"/>
                <w:kern w:val="0"/>
                <w:sz w:val="24"/>
                <w:szCs w:val="24"/>
                <w:lang w:val="en-US" w:eastAsia="zh-CN"/>
              </w:rPr>
              <w:t>每门课至少1个</w:t>
            </w:r>
            <w:r>
              <w:rPr>
                <w:rFonts w:hint="eastAsia" w:ascii="宋体" w:hAnsi="宋体" w:eastAsia="宋体" w:cs="宋体"/>
                <w:color w:val="auto"/>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149"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知识点微课</w:t>
            </w:r>
          </w:p>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（每个岗位任务3-4个）</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（1）知识点微课以视频为主要载体，为围绕单个知识点内容展开，应包含导入、讲解、思考等教学环节。</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（2）对教师提供的知识点微课脚本进行审读及修订，对配套课件进行统一美化，经学校确认后进行拍摄与制作。</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（3）根据脚本进行绿幕拍摄，提供拍摄场地、摄像机、提词器、灯光等拍摄必须设备，指导教师的站位、肢体动作、着装等，并根据脚本及课件进行剪辑。</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（4）教师出镜讲解及与课件画面适当穿插进行剪辑，以全屏或分屏形式呈现，全程字幕。</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（5）根据课程内容提供片头、片尾策划，内容符合专业及课程特色，时长不少于 10 秒。</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w:t>
            </w:r>
            <w:r>
              <w:rPr>
                <w:rFonts w:hint="eastAsia" w:ascii="宋体" w:hAnsi="宋体" w:eastAsia="宋体" w:cs="宋体"/>
                <w:color w:val="auto"/>
                <w:kern w:val="0"/>
                <w:sz w:val="24"/>
                <w:szCs w:val="24"/>
              </w:rPr>
              <w:t>每个知识点微课时长5-</w:t>
            </w:r>
            <w:r>
              <w:rPr>
                <w:rFonts w:hint="eastAsia" w:ascii="宋体" w:hAnsi="宋体" w:eastAsia="宋体" w:cs="宋体"/>
                <w:color w:val="auto"/>
                <w:kern w:val="0"/>
                <w:sz w:val="24"/>
                <w:szCs w:val="24"/>
                <w:lang w:val="en-US" w:eastAsia="zh-CN"/>
              </w:rPr>
              <w:t>10</w:t>
            </w:r>
            <w:r>
              <w:rPr>
                <w:rFonts w:hint="eastAsia" w:ascii="宋体" w:hAnsi="宋体" w:eastAsia="宋体" w:cs="宋体"/>
                <w:color w:val="auto"/>
                <w:kern w:val="0"/>
                <w:sz w:val="24"/>
                <w:szCs w:val="24"/>
              </w:rPr>
              <w:t>分钟</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共不少于32个</w:t>
            </w:r>
            <w:r>
              <w:rPr>
                <w:rFonts w:hint="eastAsia" w:ascii="宋体" w:hAnsi="宋体" w:eastAsia="宋体" w:cs="宋体"/>
                <w:color w:val="auto"/>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88"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14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实训微课</w:t>
            </w:r>
          </w:p>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（每个岗位任务1个）</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（1）对教师提供的实训微课脚本进行审读及修订，经学校确认后进行拍摄与制作。</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（2）拍摄及剪辑制作过程中，要求操作步骤配有知识讲解注释，重点难点有特写镜头，能够清晰的呈现操作细节。</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（3）根据课程内容提供片头、片尾策划，内容符合专业及课程特色，时长不少于 10 秒。</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w:t>
            </w:r>
            <w:r>
              <w:rPr>
                <w:rFonts w:hint="eastAsia" w:ascii="宋体" w:hAnsi="宋体" w:eastAsia="宋体" w:cs="宋体"/>
                <w:color w:val="auto"/>
                <w:kern w:val="0"/>
                <w:sz w:val="24"/>
                <w:szCs w:val="24"/>
              </w:rPr>
              <w:t>每个实训微课时长 5-</w:t>
            </w:r>
            <w:r>
              <w:rPr>
                <w:rFonts w:hint="eastAsia" w:ascii="宋体" w:hAnsi="宋体" w:eastAsia="宋体" w:cs="宋体"/>
                <w:color w:val="auto"/>
                <w:kern w:val="0"/>
                <w:sz w:val="24"/>
                <w:szCs w:val="24"/>
                <w:lang w:val="en-US" w:eastAsia="zh-CN"/>
              </w:rPr>
              <w:t>10</w:t>
            </w:r>
            <w:r>
              <w:rPr>
                <w:rFonts w:hint="eastAsia" w:ascii="宋体" w:hAnsi="宋体" w:eastAsia="宋体" w:cs="宋体"/>
                <w:color w:val="auto"/>
                <w:kern w:val="0"/>
                <w:sz w:val="24"/>
                <w:szCs w:val="24"/>
              </w:rPr>
              <w:t xml:space="preserve"> 分钟</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共不少于12个</w:t>
            </w:r>
            <w:r>
              <w:rPr>
                <w:rFonts w:hint="eastAsia" w:ascii="宋体" w:hAnsi="宋体" w:eastAsia="宋体" w:cs="宋体"/>
                <w:color w:val="auto"/>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9"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14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课程思政案例视频</w:t>
            </w:r>
          </w:p>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（每个岗位任务1个）</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（1）为每个课程思政视频配置思政标签与专业标签。</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（2）对教师提供的脚本进行审读、分镜设计与修改，对配套课件进行制作与美化。</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（3）教师出镜进行绿幕拍摄，提供拍摄场地、摄像机、提词器、灯光等拍摄必须设备，指导教师的站位、肢体动作、着装等，并根据脚本及配套课件进行剪辑。</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（4）课程思政视频内容中的教师出镜讲解及与课件画面适当穿插。</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（5）根据课程内容提供片头、片尾策划，内容符合专业及课程特色，时长不少于 10 秒。</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w:t>
            </w:r>
            <w:r>
              <w:rPr>
                <w:rFonts w:hint="eastAsia" w:ascii="宋体" w:hAnsi="宋体" w:eastAsia="宋体" w:cs="宋体"/>
                <w:color w:val="auto"/>
                <w:kern w:val="0"/>
                <w:sz w:val="24"/>
                <w:szCs w:val="24"/>
              </w:rPr>
              <w:t>每个课程思政案例视频 5-</w:t>
            </w:r>
            <w:r>
              <w:rPr>
                <w:rFonts w:hint="eastAsia" w:ascii="宋体" w:hAnsi="宋体" w:eastAsia="宋体" w:cs="宋体"/>
                <w:color w:val="auto"/>
                <w:kern w:val="0"/>
                <w:sz w:val="24"/>
                <w:szCs w:val="24"/>
                <w:lang w:val="en-US" w:eastAsia="zh-CN"/>
              </w:rPr>
              <w:t>10</w:t>
            </w:r>
            <w:r>
              <w:rPr>
                <w:rFonts w:hint="eastAsia" w:ascii="宋体" w:hAnsi="宋体" w:eastAsia="宋体" w:cs="宋体"/>
                <w:color w:val="auto"/>
                <w:kern w:val="0"/>
                <w:sz w:val="24"/>
                <w:szCs w:val="24"/>
              </w:rPr>
              <w:t>分钟</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共不少于6个</w:t>
            </w:r>
            <w:r>
              <w:rPr>
                <w:rFonts w:hint="eastAsia" w:ascii="宋体" w:hAnsi="宋体" w:eastAsia="宋体" w:cs="宋体"/>
                <w:color w:val="auto"/>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14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2D动画</w:t>
            </w:r>
          </w:p>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（每个岗位任务1个）</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（1）动画能够清晰的体现所要表达的内容，能够有效的解决教学中的重点与难点，与教学目标及教学设计相呼应。</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（2）根据教师提供的动画开发脚本进行设计，并与教师共同研讨脚本内容的合理性，经教师确认满足动画呈现的效果后，进入动画开发流程。</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（3）动画内文字包装要醒目，字体、字号与内容协调，字体颜色避免与背景色相近。</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（4）动画色彩造型应和谐精美，符合课程特点，画面简洁清晰，界面友好。</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（5）动画演播过程要求流畅，静止画面时间不超过 5 秒钟。</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（6）动画配音应标准，无噪音，声音悦耳，音量适当，快慢适度，并提供控制解说的开关，配音要求采用标准普通话，语速控制在每分钟 200 至 240 字之间。</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（7）全部采用 FLASH 或同类软件进行开发，视频动画全程采用每秒 25 帧，封装 MP4 高清素材格式。视频编码为 H264。</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（8）</w:t>
            </w:r>
            <w:r>
              <w:rPr>
                <w:rFonts w:hint="eastAsia" w:ascii="宋体" w:hAnsi="宋体" w:eastAsia="宋体" w:cs="宋体"/>
                <w:color w:val="auto"/>
                <w:kern w:val="0"/>
                <w:sz w:val="24"/>
                <w:szCs w:val="24"/>
              </w:rPr>
              <w:t>每个 2D 动画平均时长90秒</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不少于6个</w:t>
            </w:r>
            <w:r>
              <w:rPr>
                <w:rFonts w:hint="eastAsia" w:ascii="宋体" w:hAnsi="宋体" w:eastAsia="宋体" w:cs="宋体"/>
                <w:color w:val="auto"/>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0"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14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视频资源制作开发标准</w:t>
            </w:r>
          </w:p>
        </w:tc>
        <w:tc>
          <w:tcPr>
            <w:tcW w:w="711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（1）视频图像清晰稳定，播放时没有明显的噪点，播放流畅，声音清楚，背景音乐优雅、轻松；</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（2）视频使用的语言文字符合国家通用语言文字法；</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（3）字幕应清晰美观，能正确有效地传达信息，在节目中的停留时间以能看清楚为准；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（4）字幕要使用符合国家标准的规范字，不出现繁体字、异体字（国家规定的除外）、错别字；</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（5）字幕的字体、大小、色彩搭配、摆放位置、停留时间、出入屏方式与其他要素（画面、解说词、音乐）配合适当，不能破坏原有画面；</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（6）视频类素材每帧图像颜色数应不低于256色或灰度级不低于128级；</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（7）彩色视频素材每帧图像颜色应均为真彩色；</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（8）视频、音频内容应符合我国法律法规，尊重各民族的风俗习惯，须具有相关版权使用权或授权，如出现问题由其提供方承担相关法律责任；</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（9）视频压缩应采用 H.264(MPEG-4 Part10：profile=main, level=3.0)编码方式，码率 3M 以上，帧率不低于 25 fps，分辨率1080P及以上，交付格式为MP4文件。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0"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14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在线精品课程运行服务</w:t>
            </w:r>
          </w:p>
        </w:tc>
        <w:tc>
          <w:tcPr>
            <w:tcW w:w="7118"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提供两门在线课程运行环境服务并提供不少于2次的课程建设培训服务。每次培训时长不少于2课时，包括在线课程运行环境具备进行课程内容建设、编辑、修改和教学课件、辅助教学资料等内容上传、管理功能。</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培训内容包括但不限于以下内容：</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1）课程建设：从目标设计到资源整合的全流程搭建。</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2）师生互动技巧：构建高效课堂沟通的实用策略。</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4）知识图谱搭建方法：结构化呈现学科体系的实践路径。</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协助建课团队教师进行课程建设指导，并对课程运行和申报提供专业指谨导服务（2次）。</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达到培训效果：</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需全面掌握在线课程运行平台的各项基础操作，包括平台的登录、界面导航、功能模块识别等。能够在无需指导的情况下，快速找到课程内容建设、编辑、修改以及教学课件和辅助教学资料上传、管理等功能对应的操作入口，熟练完成各项基础操作步骤。</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应具备独立进行课程内容建设的能力。能够依据课程大纲和教学目标，在在线课程运行环境中搭建完整的课程结构，包括章节划分、知识点排序等。可熟练运用环境中的编辑工具，对课程内容进行编写、排版，使内容呈现清晰、美观、易于学员理解，同时能根据教学需求灵活调整课程内容的呈现形式，如添加图文、音视频等元素。</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3）掌握在线课程运行环境中与知识图谱搭建相关的工具和功能的操作，包括节点创建、关系定义、属性设置等。能够依据课程的知识体系和逻辑结构，准确梳理知识点之间的关联，设计出合理的知识图谱框架。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0" w:hRule="atLeast"/>
        </w:trPr>
        <w:tc>
          <w:tcPr>
            <w:tcW w:w="581" w:type="dxa"/>
            <w:tcBorders>
              <w:top w:val="single" w:color="auto" w:sz="4" w:space="0"/>
              <w:left w:val="single" w:color="auto" w:sz="4" w:space="0"/>
              <w:bottom w:val="single" w:color="auto" w:sz="4" w:space="0"/>
              <w:right w:val="single" w:color="auto" w:sz="4" w:space="0"/>
            </w:tcBorders>
            <w:vAlign w:val="center"/>
          </w:tcPr>
          <w:p>
            <w:pPr>
              <w:spacing w:line="336"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14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PPT课件美化</w:t>
            </w:r>
          </w:p>
        </w:tc>
        <w:tc>
          <w:tcPr>
            <w:tcW w:w="7118" w:type="dxa"/>
            <w:tcBorders>
              <w:top w:val="single" w:color="auto" w:sz="4" w:space="0"/>
              <w:left w:val="single" w:color="auto" w:sz="4" w:space="0"/>
              <w:bottom w:val="single" w:color="auto" w:sz="4" w:space="0"/>
              <w:right w:val="single" w:color="auto" w:sz="4" w:space="0"/>
            </w:tcBorders>
            <w:shd w:val="clear" w:color="auto" w:fill="auto"/>
            <w:vAlign w:val="top"/>
          </w:tcPr>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1.整体设计风格</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一致性和专业性：保持整体设计风格的一致性，包括字体、颜色、布局等，给人以专业的感觉。</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品牌化元素：确保PPT中包含我校标志、颜色和风格。</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2.标题页和封面设计</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吸引眼球：标题页应设计得吸引眼球，使用高质量图片或图形，配合简洁有力的标题。</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清晰介绍：封面应明确展示课程名称、讲师姓名和课程目标。</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3.字体和排版</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易读性：选择易于阅读的字体，如Arial、Calibri、Helvetica等。标题和正文应有明显区分。</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大小适中：标题字体建议30pt以上，正文至少18pt，确保在各种设备上都能清晰阅读。</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简洁明了：每页应尽量简洁，只包含关键点，避免长段文字。</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4.颜色和配色方案</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高对比度：确保文本和背景颜色有足够的对比度，避免使用让人眼花缭乱的颜色。</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主题颜色：使用与课程内容和品牌相匹配的主题颜色，保持色彩一致性。</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有限色彩：避免使用过多颜色，通常三到五种颜色足以。</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5.图片和图形使用</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高分辨率：使用高质量、无版权问题的图片，避免模糊或低质量图片。</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图示和图表：适当地使用图示和图表来说明复杂概念，使内容更直观。</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适当留白：合理使用留白，避免图片和图形过于拥挤。</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6.动画和过渡效果</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简洁自然：使用简洁自然的动画和过渡效果，避免过于花哨的效果分散注意力。</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一致性：保持动画和过渡效果的一致性，避免频繁切换不同效果。</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增强理解：动画应有助于内容的理解，而不是为了增加视觉效果。</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7.文本内容</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要点突出：使用项目符号或编号列表，突出重要信息和关键点。</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关键词强调：通过加粗、变色等方式突出关键词，帮助观众抓住重点。</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简洁明了：避免长段文字，尽量简洁明了。</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8.数据可视化</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清晰简洁：使用清晰简洁的图表，如柱状图、饼图、折线图等，避免过多细节。</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标签清晰：确保图表的标签和注释清晰，帮助观众理解数据。</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配色一致：图表的配色应与PPT整体配色方案一致。</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9.多媒体元素</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合理使用：适度使用视频、音频等多媒体元素，增强课程的互动性和吸引力。</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兼容性：确保多媒体文件与各种设备和平台兼容，避免播放问题。</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相关性：多媒体内容应与课程内容紧密相关，辅助理解。</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10.互动性和参与感</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问答环节：在适当的地方加入问答环节或讨论问题，增加互动性。</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反馈机制：提供观众反馈的途径，如问卷或调查，及时调整课程内容。</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11.检查和优化</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拼写和语法检查：仔细检查拼写和语法错误，确保内容专业。</w:t>
            </w:r>
          </w:p>
          <w:p>
            <w:pP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演示测试：在实际演示前进行全面测试，确保所有效果和链接正常工作。</w:t>
            </w:r>
          </w:p>
        </w:tc>
      </w:tr>
    </w:tbl>
    <w:p>
      <w:pPr>
        <w:numPr>
          <w:ilvl w:val="0"/>
          <w:numId w:val="0"/>
        </w:numPr>
        <w:spacing w:line="336"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三</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核心要求：</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1.提供课程负责人对接、培训、课程策划、资源拍摄与制作等服务，保证交付的项目成果符合本项目约定的标准。</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2.提供资源上线服务，根据课程架构，将本项目内制作的资源上传至在线课程平台。</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3.提供资源修改服务，应按照甲方客户提出的需求对交付资源进行修改，每个资源修改次不超过2次，修改周期不超过1个月。</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4.提供为期3年的资源成品的保留服务，根据甲方需求随时提供。</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5.学校根据职业教育专业教学标准及我市相关产业的调研情况，梳理出岗位任务，制定在线课程大纲。</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6.服务团队入校或线上进行在线课程资源制作培训。</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7.学校各负责教师撰写资源脚本及教学课件（无需美化，只需在每页填写相关文字及必要图片即可）</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8.服务团队与教师对接，进行脚本的审核与修改、教学课件的美化、现场拍摄、剪辑制作修改等。</w:t>
      </w:r>
    </w:p>
    <w:p>
      <w:pPr>
        <w:spacing w:line="336" w:lineRule="auto"/>
        <w:ind w:left="360"/>
        <w:rPr>
          <w:rFonts w:hint="eastAsia" w:ascii="宋体" w:hAnsi="宋体" w:eastAsia="宋体" w:cs="宋体"/>
          <w:color w:val="auto"/>
          <w:sz w:val="24"/>
          <w:szCs w:val="24"/>
        </w:rPr>
      </w:pPr>
      <w:r>
        <w:rPr>
          <w:rFonts w:hint="eastAsia" w:ascii="宋体" w:hAnsi="宋体" w:eastAsia="宋体" w:cs="宋体"/>
          <w:color w:val="auto"/>
          <w:sz w:val="24"/>
          <w:szCs w:val="24"/>
        </w:rPr>
        <w:t>9.服务团队进行课程搭建、资源上传、课程上线等操作。</w:t>
      </w:r>
    </w:p>
    <w:p>
      <w:pPr>
        <w:rPr>
          <w:rFonts w:hint="eastAsia" w:ascii="宋体" w:hAnsi="宋体" w:eastAsia="宋体" w:cs="宋体"/>
          <w:color w:val="auto"/>
          <w:sz w:val="24"/>
          <w:szCs w:val="24"/>
        </w:rPr>
      </w:pPr>
      <w:r>
        <w:rPr>
          <w:rFonts w:hint="eastAsia" w:ascii="宋体" w:hAnsi="宋体" w:eastAsia="宋体" w:cs="宋体"/>
          <w:color w:val="auto"/>
          <w:sz w:val="24"/>
          <w:szCs w:val="24"/>
        </w:rPr>
        <w:br w:type="page"/>
      </w:r>
    </w:p>
    <w:p>
      <w:pPr>
        <w:spacing w:line="336" w:lineRule="auto"/>
        <w:rPr>
          <w:rFonts w:hint="eastAsia" w:ascii="宋体" w:hAnsi="宋体" w:eastAsia="宋体" w:cs="宋体"/>
          <w:color w:val="auto"/>
          <w:sz w:val="24"/>
          <w:szCs w:val="24"/>
        </w:rPr>
      </w:pPr>
      <w:r>
        <w:rPr>
          <w:rFonts w:hint="eastAsia" w:ascii="宋体" w:hAnsi="宋体" w:eastAsia="宋体" w:cs="宋体"/>
          <w:color w:val="auto"/>
          <w:sz w:val="24"/>
          <w:szCs w:val="24"/>
        </w:rPr>
        <w:t>第三包：</w:t>
      </w:r>
      <w:r>
        <w:rPr>
          <w:rFonts w:hint="eastAsia" w:ascii="宋体" w:hAnsi="宋体" w:eastAsia="宋体"/>
          <w:bCs/>
          <w:color w:val="auto"/>
          <w:sz w:val="24"/>
          <w:szCs w:val="24"/>
        </w:rPr>
        <w:t>数字化电商运营实训室</w:t>
      </w:r>
      <w:r>
        <w:rPr>
          <w:rFonts w:hint="eastAsia" w:ascii="宋体" w:hAnsi="宋体" w:eastAsia="宋体"/>
          <w:bCs/>
          <w:color w:val="auto"/>
          <w:sz w:val="24"/>
          <w:szCs w:val="24"/>
          <w:lang w:val="en-US" w:eastAsia="zh-CN"/>
        </w:rPr>
        <w:t>配套</w:t>
      </w:r>
      <w:r>
        <w:rPr>
          <w:rFonts w:hint="eastAsia" w:ascii="宋体" w:hAnsi="宋体" w:eastAsia="宋体"/>
          <w:color w:val="auto"/>
          <w:sz w:val="24"/>
          <w:szCs w:val="24"/>
        </w:rPr>
        <w:t>电子商务数据分析应用实训系统教学平台</w:t>
      </w:r>
      <w:r>
        <w:rPr>
          <w:rFonts w:hint="eastAsia" w:ascii="宋体" w:hAnsi="宋体" w:eastAsia="宋体" w:cs="宋体"/>
          <w:color w:val="auto"/>
          <w:sz w:val="24"/>
          <w:szCs w:val="24"/>
        </w:rPr>
        <w:t>包</w:t>
      </w:r>
    </w:p>
    <w:p>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资源技术参数</w:t>
      </w:r>
    </w:p>
    <w:tbl>
      <w:tblPr>
        <w:tblStyle w:val="11"/>
        <w:tblW w:w="98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1272"/>
        <w:gridCol w:w="4807"/>
        <w:gridCol w:w="486"/>
        <w:gridCol w:w="486"/>
        <w:gridCol w:w="734"/>
        <w:gridCol w:w="668"/>
        <w:gridCol w:w="9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8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272"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货物名称</w:t>
            </w:r>
          </w:p>
        </w:tc>
        <w:tc>
          <w:tcPr>
            <w:tcW w:w="4807"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技术要求</w:t>
            </w:r>
          </w:p>
        </w:tc>
        <w:tc>
          <w:tcPr>
            <w:tcW w:w="48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48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734"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价格</w:t>
            </w:r>
          </w:p>
        </w:tc>
        <w:tc>
          <w:tcPr>
            <w:tcW w:w="668"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是否为实质性条款</w:t>
            </w:r>
          </w:p>
        </w:tc>
        <w:tc>
          <w:tcPr>
            <w:tcW w:w="909"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实质性技术条款原因说明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86"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72" w:type="dxa"/>
            <w:vAlign w:val="center"/>
          </w:tcPr>
          <w:p>
            <w:pPr>
              <w:rPr>
                <w:rFonts w:hint="eastAsia" w:ascii="宋体" w:hAnsi="宋体" w:eastAsia="宋体" w:cs="宋体"/>
                <w:color w:val="auto"/>
                <w:sz w:val="24"/>
                <w:szCs w:val="24"/>
              </w:rPr>
            </w:pPr>
            <w:r>
              <w:rPr>
                <w:rFonts w:hint="eastAsia" w:ascii="宋体" w:hAnsi="宋体" w:eastAsia="宋体"/>
                <w:bCs/>
                <w:color w:val="auto"/>
                <w:sz w:val="24"/>
                <w:szCs w:val="24"/>
              </w:rPr>
              <w:t>数字化电商运营实训室</w:t>
            </w:r>
            <w:r>
              <w:rPr>
                <w:rFonts w:hint="eastAsia" w:ascii="宋体" w:hAnsi="宋体" w:eastAsia="宋体"/>
                <w:bCs/>
                <w:color w:val="auto"/>
                <w:sz w:val="24"/>
                <w:szCs w:val="24"/>
                <w:lang w:val="en-US" w:eastAsia="zh-CN"/>
              </w:rPr>
              <w:t>配套</w:t>
            </w:r>
            <w:r>
              <w:rPr>
                <w:rFonts w:hint="eastAsia" w:ascii="宋体" w:hAnsi="宋体" w:eastAsia="宋体" w:cs="宋体"/>
                <w:color w:val="auto"/>
                <w:kern w:val="0"/>
                <w:sz w:val="24"/>
                <w:szCs w:val="24"/>
              </w:rPr>
              <w:t>电子商务数据分析基础实训系统软件</w:t>
            </w:r>
          </w:p>
        </w:tc>
        <w:tc>
          <w:tcPr>
            <w:tcW w:w="4807" w:type="dxa"/>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电子商务数据分析基础实训系统对接“岗课赛证”，采用理实一体化教学理念，以1+X电子商务数据分析职业技能等级（初级）标准内容为基础，通过构建基础数据采集、数据分类与处理、数据描述性分析、基础数据监控与报表制作等数据分析实训体系对应的实训场景，使学生能够掌握数据采集与处理的知识、方法和工具，完成数据图表和报表的制作，达到1+X电子商务数据分析职业技能标准（初级）水平。</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一、软件整体要求</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系统包含基础数据采集、数据处理与描述性分析、基础数据监控与报表制作、数据分析报告四大领域，内置不少于90个子任务，知识测评内置不少于200道题，重点分析不少于20个视频讲解（提供证明截图并且加盖厂商公章）。</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系统引入百度指数、企业数据中心、采集器、企业后台等丰富多样的企业真实数据分析平台或高度仿真模拟数据平台，内置企业流量、品类、交易、市场、竞争、取数等多板块的真实商家数据，包括订单、仓储、运费模板、客服、价格等实训功能（提供证明截图并且加盖厂商公章）。</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3.系统实训任务均包含任务背景、任务要求、实操系统或实操工具，是学生快速认知、获取数据的重要实训载体。</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二、功能模块要求</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（一）学生端</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1.重点解析：内置数据采集、数据处理、描述性统计分析、数据监控、数据报表、数据图表、重点难点解析7大重点案例分析学习资源，不少于20个视频。</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2.实训任务：内置数据采集、数据处理与描述性分析、基础数据监控与报表制作、数据分析报告、知识测评5大领域实训任务（提供证明截图并且加盖厂商公章）。</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数据采集：包含市场数据采集（行业数据采集、竞争数据采集）、运营数据采集（客户数据采集、推广数据采集、销售数据采集、供应链数据采集）、产品数据采集（产品行业数据采集、产品获客能力数据采集、产品盈利能力数据采集）3个1级任务及9个二级子任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数据处理与描述性分析：包含数据分类与处理、数据描述性分析（描述性统计分析、趋势分析、同比分析、环比分析、频数分布分析、交叉分析、分组分析、结构分析、漏斗图分析）2个1级任务及10个子任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基础数据监控与报表制作：包含数据监控（日常数据监控、专项活动数据监控）、基础数据报表制作（常规数据日报表制作、常规数据周报表制作、常规数据月报表制作、专项数据日报表制作、专项数据周报表制作、专项数据月报表制作）、数据图表制作（柱形图表制作、折线图表制作、饼状图表制作、散点图表制作、气泡图表制作、雷达图表制作、组合图表制作）3个1级任务及15个子任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（4）数据分析报告：包含数据分析报告结构设计、撰写数据分析报告（日常数据通报、专题分析报告）2个1级任务及3个子任务。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（5）知识测评：内置6套知识测评题，包含单选题、多选题、判断题，不少于200道题。</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3.成绩：包含班级平均分·最高分对比、总分分数区间图表、班级排行榜、以及成绩单。</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4.训练：内置数据采集、数据分类与处理、数据描述性分析、数据监控、数据报表、数据图表相关知识考核内容。</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（二）教师端</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1.学生管理：支持新增操作（新增学生、批量导入学生）、重置密码、编辑、删除。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2.知识库：支持新增内容、编辑、删除。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3.任务管理：任务设计支持查看子任务.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（1）任务设计支持新增子任务、预览、编辑、删除。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4.教学管理：包含实训管理、实训监控、实训阅卷、实训成绩。</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（1）实训管理：包含实训控制、历史实训。实训控制支持添加实训、开始实训、结束实训、实训详情；历史实训可查看实训详情。</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（2）实训监控：支持对实训任务完成进度的实训监控。</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（3）实训阅卷：支持对实训任务进行主观评分。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（4）实训成绩：包含实训任务数、实训人数、实训总模块、实训总题数、班级平均分，及当前班级任务完成进度、本班级模块平均分、总分分数占比分析图表、班级排行榜。</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5.模拟训练管理：包含基础设置、模拟训练管理、模拟训练成绩管理、评分管理。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（1）基础设置包含规则设置、试卷管理、模拟训练设置。</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（2）模拟训练管理包含当前模拟训练、开始模拟训练、结束模拟训练、模拟训练延时。</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（3）模拟训练成绩管理包含系统评分管理、成绩管理。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（4）评分管理包含评分列表。</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（三）管理端</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1.教师管理：支持新增教师、编辑、状态、教学分配、重置密码、删除。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2.班级管理：支持新增班级、编辑、删除。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3.数据管理：包含数据管理和工具管理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（1）数据管理支持初始化、备份、还原、删除。</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（2）工具管理包含生意参谋、百度指数、阿里指数、直通车、企业后台、客服报表、采集器、报表制作工具的资料介绍。</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4.资源题库管理：包含数据采集、数据分类与处理、数据描述性分析、数据监控、数据报表、数据图表6大类。</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5.管理员账号支持修改密码、修改头像、退出登录。</w:t>
            </w:r>
          </w:p>
        </w:tc>
        <w:tc>
          <w:tcPr>
            <w:tcW w:w="486" w:type="dxa"/>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486" w:type="dxa"/>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734" w:type="dxa"/>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22.8万</w:t>
            </w:r>
          </w:p>
        </w:tc>
        <w:tc>
          <w:tcPr>
            <w:tcW w:w="668" w:type="dxa"/>
            <w:vAlign w:val="center"/>
          </w:tcPr>
          <w:p>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909" w:type="dxa"/>
            <w:vAlign w:val="center"/>
          </w:tcPr>
          <w:p>
            <w:pPr>
              <w:rPr>
                <w:rFonts w:hint="eastAsia" w:ascii="宋体" w:hAnsi="宋体" w:eastAsia="宋体" w:cs="宋体"/>
                <w:color w:val="auto"/>
                <w:sz w:val="24"/>
                <w:szCs w:val="24"/>
              </w:rPr>
            </w:pPr>
            <w:r>
              <w:rPr>
                <w:rFonts w:hint="eastAsia" w:ascii="宋体" w:hAnsi="宋体" w:eastAsia="宋体" w:cs="宋体"/>
                <w:color w:val="auto"/>
                <w:sz w:val="24"/>
                <w:szCs w:val="24"/>
              </w:rPr>
              <w:t>保障技术参数为采购软件所需求参数</w:t>
            </w:r>
          </w:p>
        </w:tc>
      </w:tr>
    </w:tbl>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二</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核心要求：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1.开发单位保证提供全新的产品，符合国家有关规定，免费上门统一安装、调试，交付使用后，后台管理与维护交由学校系统管理员负责。</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2.开发单位对学校的系统管理员及相关教师提供系统培训服务，开发单位提供技术工程师1名，校方参与培训人数不限制。培训的内容及方案由双方协商制定。</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开发单位提供所投产品质保期3年，自验收交付使用之日起计算。免费服务内容包括软件安装、调试、培训、维修维护、远程咨询和解决学院相关人员提出的问题等。质保期后继续免费提供线上技术支持服务，并提供有偿上门维修服务，按成本价标准收取维修及零件费用。</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质保期内提供7×24小时电话或E-mail、QQ售后服务，接到使用单位的报障信息后，在1小时之内进行响应，通过远程方式解决故障问题；如不能通过远程方式解决问题，则派相关工程师24小时内到达现场，进行维修维护并解决问题。</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 软件3年免费维修，5年免费升级，并提供免费远程技术指导。</w:t>
      </w: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b/>
          <w:bCs/>
          <w:color w:val="auto"/>
          <w:sz w:val="24"/>
          <w:szCs w:val="24"/>
        </w:rPr>
      </w:pP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商务要求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（一）报价要求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 投标报价以人民币填列。</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 验收及相关费用由投标人负责。</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（二）服务要求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 提供所投产品至少3年的免费上门保修，终身维修。</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 保修期内免费更换零配件，7×24小时技术响应，48小时内维修工程师到达维修现场。保修期自验收合格之日起计算。</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 提供所投产品制造商服务机构情况，包括地址、联系方式及技术人员数量等。</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 提供原厂标准的易耗品、消耗材料价格清单及折扣率，保修期后设备维修的价格清单及折扣率。</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5. 提供现场技术培训。</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（三）交货要求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 交货期：</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货到时间：签订合同之日起15日内（特殊情况以合同为准）。</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安装</w:t>
      </w:r>
      <w:r>
        <w:rPr>
          <w:rFonts w:hint="eastAsia" w:ascii="宋体" w:hAnsi="宋体" w:eastAsia="宋体" w:cs="宋体"/>
          <w:color w:val="auto"/>
          <w:sz w:val="24"/>
          <w:szCs w:val="24"/>
        </w:rPr>
        <w:t>（施工）</w:t>
      </w:r>
      <w:r>
        <w:rPr>
          <w:rFonts w:hint="eastAsia" w:ascii="宋体" w:hAnsi="宋体" w:eastAsia="宋体" w:cs="宋体"/>
          <w:b w:val="0"/>
          <w:bCs w:val="0"/>
          <w:color w:val="auto"/>
          <w:sz w:val="24"/>
          <w:szCs w:val="24"/>
        </w:rPr>
        <w:t>完成：货到之日起7日内（特殊情况以合同为准）。</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 交货地点：天津市</w:t>
      </w:r>
      <w:r>
        <w:rPr>
          <w:rFonts w:hint="eastAsia" w:ascii="宋体" w:hAnsi="宋体" w:eastAsia="宋体" w:cs="宋体"/>
          <w:b w:val="0"/>
          <w:bCs w:val="0"/>
          <w:color w:val="auto"/>
          <w:sz w:val="24"/>
          <w:szCs w:val="24"/>
          <w:lang w:val="en-US" w:eastAsia="zh-CN"/>
        </w:rPr>
        <w:t>西青区清莹道8号</w:t>
      </w:r>
      <w:r>
        <w:rPr>
          <w:rFonts w:hint="eastAsia" w:ascii="宋体" w:hAnsi="宋体" w:eastAsia="宋体" w:cs="宋体"/>
          <w:b w:val="0"/>
          <w:bCs w:val="0"/>
          <w:color w:val="auto"/>
          <w:sz w:val="24"/>
          <w:szCs w:val="24"/>
        </w:rPr>
        <w:t>（特殊情况以合同为准）。</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 提供制造商完整的随机资料，包括完整的使用和维修手册等。</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（四）付款方式</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签订合同后15日内预付合同总额的30%，货到现场安装、调试完毕，所有设备使用无质量问题，验收合格后15日内支付合同总额的70%（特殊情况以合同为准）。</w:t>
      </w: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b/>
          <w:bCs/>
          <w:color w:val="auto"/>
          <w:sz w:val="24"/>
          <w:szCs w:val="24"/>
        </w:rPr>
      </w:pP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验收标准</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b/>
          <w:bCs/>
          <w:color w:val="auto"/>
          <w:sz w:val="24"/>
          <w:szCs w:val="24"/>
        </w:rPr>
      </w:pPr>
    </w:p>
    <w:p>
      <w:pPr>
        <w:keepNext w:val="0"/>
        <w:keepLines w:val="0"/>
        <w:pageBreakBefore w:val="0"/>
        <w:widowControl w:val="0"/>
        <w:kinsoku/>
        <w:wordWrap/>
        <w:overflowPunct/>
        <w:topLinePunct w:val="0"/>
        <w:autoSpaceDE/>
        <w:autoSpaceDN/>
        <w:bidi w:val="0"/>
        <w:adjustRightInd/>
        <w:snapToGrid/>
        <w:spacing w:line="336" w:lineRule="auto"/>
        <w:ind w:left="360" w:firstLine="482" w:firstLineChars="200"/>
        <w:textAlignment w:val="auto"/>
        <w:rPr>
          <w:rFonts w:hint="eastAsia" w:ascii="宋体" w:hAnsi="宋体" w:eastAsia="宋体" w:cs="宋体"/>
          <w:color w:val="auto"/>
          <w:sz w:val="24"/>
          <w:szCs w:val="24"/>
        </w:rPr>
      </w:pPr>
      <w:bookmarkStart w:id="41" w:name="_GoBack"/>
      <w:bookmarkEnd w:id="41"/>
      <w:r>
        <w:rPr>
          <w:rFonts w:hint="eastAsia" w:ascii="宋体" w:hAnsi="宋体" w:eastAsia="宋体" w:cs="宋体"/>
          <w:b/>
          <w:bCs/>
          <w:color w:val="auto"/>
          <w:sz w:val="24"/>
          <w:szCs w:val="24"/>
        </w:rPr>
        <w:t>其他要求</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采购方有权要求预中标方在中标公示期限内将机房运维管理教学系统产品提供给采购方进行该功能的验证测试，并提供资料原件查验。如有以提供虚假材料（包括但不限于虚假技术参数响应、虚假证书、虚假检测报告等）谋取中标的行为，按虚假应标处理。</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供应商必须分包投标，并对所投标包的内容做完整响应。</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一个供应商不可以同时成为多个包的中标人，兼投不兼中。</w:t>
      </w:r>
    </w:p>
    <w:p>
      <w:pPr>
        <w:keepNext w:val="0"/>
        <w:keepLines w:val="0"/>
        <w:pageBreakBefore w:val="0"/>
        <w:widowControl w:val="0"/>
        <w:kinsoku/>
        <w:wordWrap/>
        <w:overflowPunct/>
        <w:topLinePunct w:val="0"/>
        <w:autoSpaceDE/>
        <w:autoSpaceDN/>
        <w:bidi w:val="0"/>
        <w:adjustRightInd/>
        <w:snapToGrid/>
        <w:spacing w:line="336" w:lineRule="auto"/>
        <w:ind w:left="360" w:firstLine="480" w:firstLineChars="200"/>
        <w:textAlignment w:val="auto"/>
        <w:rPr>
          <w:rFonts w:hint="eastAsia" w:ascii="宋体" w:hAnsi="宋体" w:eastAsia="宋体"/>
          <w:b/>
          <w:bCs/>
          <w:color w:val="auto"/>
          <w:sz w:val="24"/>
          <w:szCs w:val="24"/>
          <w:lang w:eastAsia="zh-CN"/>
        </w:rPr>
        <w:sectPr>
          <w:headerReference r:id="rId3" w:type="default"/>
          <w:footerReference r:id="rId4" w:type="default"/>
          <w:pgSz w:w="11900" w:h="16838"/>
          <w:pgMar w:top="1134" w:right="1134" w:bottom="1134" w:left="1134" w:header="601" w:footer="1440" w:gutter="0"/>
          <w:cols w:space="720" w:num="1"/>
        </w:sect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本项目招投标涉及到的全部费用由供方负责支付</w:t>
      </w:r>
      <w:r>
        <w:rPr>
          <w:rFonts w:hint="eastAsia" w:ascii="宋体" w:hAnsi="宋体" w:eastAsia="宋体" w:cs="宋体"/>
          <w:color w:val="auto"/>
          <w:sz w:val="24"/>
          <w:szCs w:val="24"/>
          <w:lang w:eastAsia="zh-CN"/>
        </w:rPr>
        <w:t>。</w:t>
      </w:r>
    </w:p>
    <w:p>
      <w:pPr>
        <w:spacing w:line="240" w:lineRule="auto"/>
        <w:rPr>
          <w:rFonts w:hint="eastAsia" w:ascii="宋体" w:hAnsi="宋体" w:eastAsia="宋体"/>
          <w:color w:val="auto"/>
          <w:sz w:val="32"/>
          <w:lang w:eastAsia="zh-CN"/>
        </w:rPr>
      </w:pPr>
    </w:p>
    <w:sectPr>
      <w:headerReference r:id="rId5" w:type="default"/>
      <w:footerReference r:id="rId6" w:type="default"/>
      <w:pgSz w:w="18300" w:h="11900" w:orient="landscape"/>
      <w:pgMar w:top="1134" w:right="1134" w:bottom="1134" w:left="1134" w:header="601" w:footer="1440" w:gutter="0"/>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0"/>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Mongolian Baiti">
    <w:panose1 w:val="03000500000000000000"/>
    <w:charset w:val="00"/>
    <w:family w:val="script"/>
    <w:pitch w:val="default"/>
    <w:sig w:usb0="80000023" w:usb1="00000000" w:usb2="00020000" w:usb3="00000000" w:csb0="00000001"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dBVQXRQCAAAVBAAADgAAAAAAAAAB&#10;ACAAAAAfAQAAZHJzL2Uyb0RvYy54bWxQSwUGAAAAAAYABgBZAQAApQUAAAAA&#10;">
              <v:fill on="f" focussize="0,0"/>
              <v:stroke on="f" weight="0.5pt"/>
              <v:imagedata o:title=""/>
              <o:lock v:ext="edit" aspectratio="f"/>
              <v:textbox inset="0mm,0mm,0mm,0mm" style="mso-fit-shape-to-text:t;">
                <w:txbxContent>
                  <w:p>
                    <w:pPr>
                      <w:pStyle w:val="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rPr>
                              <w:rFonts w:hint="eastAsia"/>
                            </w:rPr>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KKc1bQVAgAAFQQAAA4AAAAAAAAA&#10;AQAgAAAAHwEAAGRycy9lMm9Eb2MueG1sUEsFBgAAAAAGAAYAWQEAAKYFAAAAAA==&#10;">
              <v:fill on="f" focussize="0,0"/>
              <v:stroke on="f" weight="0.5pt"/>
              <v:imagedata o:title=""/>
              <o:lock v:ext="edit" aspectratio="f"/>
              <v:textbox inset="0mm,0mm,0mm,0mm" style="mso-fit-shape-to-text:t;">
                <w:txbxContent>
                  <w:p>
                    <w:pPr>
                      <w:pStyle w:val="7"/>
                      <w:rPr>
                        <w:rFonts w:hint="eastAsia"/>
                      </w:rPr>
                    </w:pPr>
                    <w:r>
                      <w:fldChar w:fldCharType="begin"/>
                    </w:r>
                    <w:r>
                      <w:instrText xml:space="preserve"> PAGE  \* MERGEFORMAT </w:instrText>
                    </w:r>
                    <w:r>
                      <w:fldChar w:fldCharType="separate"/>
                    </w:r>
                    <w:r>
                      <w:t>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408" w:lineRule="auto"/>
      <w:jc w:val="lef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YjA2MDNmYTkxN2QyM2Q2NjFlYzJjNWM2MTk4NzcifQ=="/>
  </w:docVars>
  <w:rsids>
    <w:rsidRoot w:val="00BD0BC8"/>
    <w:rsid w:val="00054A3A"/>
    <w:rsid w:val="00057A0F"/>
    <w:rsid w:val="000B2E17"/>
    <w:rsid w:val="000B6190"/>
    <w:rsid w:val="000C0175"/>
    <w:rsid w:val="000D6051"/>
    <w:rsid w:val="000E3BEB"/>
    <w:rsid w:val="00103D05"/>
    <w:rsid w:val="00116850"/>
    <w:rsid w:val="001243B3"/>
    <w:rsid w:val="001540F9"/>
    <w:rsid w:val="001641D5"/>
    <w:rsid w:val="00177462"/>
    <w:rsid w:val="0018240F"/>
    <w:rsid w:val="001A3606"/>
    <w:rsid w:val="001D13E0"/>
    <w:rsid w:val="001E3F35"/>
    <w:rsid w:val="0026158B"/>
    <w:rsid w:val="00284C99"/>
    <w:rsid w:val="00297864"/>
    <w:rsid w:val="003233B2"/>
    <w:rsid w:val="003322F7"/>
    <w:rsid w:val="00343F32"/>
    <w:rsid w:val="003655B8"/>
    <w:rsid w:val="00373796"/>
    <w:rsid w:val="003771F8"/>
    <w:rsid w:val="003831D7"/>
    <w:rsid w:val="00383B92"/>
    <w:rsid w:val="003A3CE9"/>
    <w:rsid w:val="003A6CC9"/>
    <w:rsid w:val="003D53B4"/>
    <w:rsid w:val="003F37A4"/>
    <w:rsid w:val="00421E67"/>
    <w:rsid w:val="00432DE8"/>
    <w:rsid w:val="0045254C"/>
    <w:rsid w:val="004930DC"/>
    <w:rsid w:val="004E0798"/>
    <w:rsid w:val="004F792E"/>
    <w:rsid w:val="00512D8E"/>
    <w:rsid w:val="00515A07"/>
    <w:rsid w:val="00534865"/>
    <w:rsid w:val="00555BD8"/>
    <w:rsid w:val="005821B6"/>
    <w:rsid w:val="005A6DCA"/>
    <w:rsid w:val="005C77F3"/>
    <w:rsid w:val="005E2DEB"/>
    <w:rsid w:val="00642783"/>
    <w:rsid w:val="006829D6"/>
    <w:rsid w:val="00687062"/>
    <w:rsid w:val="00687B34"/>
    <w:rsid w:val="00694050"/>
    <w:rsid w:val="00695AA6"/>
    <w:rsid w:val="00696428"/>
    <w:rsid w:val="00713B12"/>
    <w:rsid w:val="00734FE6"/>
    <w:rsid w:val="00742253"/>
    <w:rsid w:val="007817FD"/>
    <w:rsid w:val="007C4D18"/>
    <w:rsid w:val="00800402"/>
    <w:rsid w:val="00815470"/>
    <w:rsid w:val="008165D9"/>
    <w:rsid w:val="00825CBF"/>
    <w:rsid w:val="00873C72"/>
    <w:rsid w:val="008748F6"/>
    <w:rsid w:val="008776F7"/>
    <w:rsid w:val="008D3A87"/>
    <w:rsid w:val="008F239E"/>
    <w:rsid w:val="0091306F"/>
    <w:rsid w:val="009221CF"/>
    <w:rsid w:val="00926CF1"/>
    <w:rsid w:val="00971B5A"/>
    <w:rsid w:val="00976DC7"/>
    <w:rsid w:val="00994C6D"/>
    <w:rsid w:val="009A1806"/>
    <w:rsid w:val="009E6269"/>
    <w:rsid w:val="009F0BE0"/>
    <w:rsid w:val="00A307FD"/>
    <w:rsid w:val="00A4113E"/>
    <w:rsid w:val="00A43770"/>
    <w:rsid w:val="00A44186"/>
    <w:rsid w:val="00A76130"/>
    <w:rsid w:val="00A930F2"/>
    <w:rsid w:val="00AB71F2"/>
    <w:rsid w:val="00AC7294"/>
    <w:rsid w:val="00AE21F6"/>
    <w:rsid w:val="00AE5950"/>
    <w:rsid w:val="00B2481B"/>
    <w:rsid w:val="00B24B70"/>
    <w:rsid w:val="00B42024"/>
    <w:rsid w:val="00B44796"/>
    <w:rsid w:val="00B55055"/>
    <w:rsid w:val="00BA6D97"/>
    <w:rsid w:val="00BD0BC8"/>
    <w:rsid w:val="00BD7889"/>
    <w:rsid w:val="00BE4053"/>
    <w:rsid w:val="00BF6E8F"/>
    <w:rsid w:val="00C05FB4"/>
    <w:rsid w:val="00C12FD5"/>
    <w:rsid w:val="00C156D4"/>
    <w:rsid w:val="00C25B7D"/>
    <w:rsid w:val="00C706D8"/>
    <w:rsid w:val="00C86666"/>
    <w:rsid w:val="00C925BC"/>
    <w:rsid w:val="00CA2B8D"/>
    <w:rsid w:val="00CA6352"/>
    <w:rsid w:val="00CB35F3"/>
    <w:rsid w:val="00CE0856"/>
    <w:rsid w:val="00D3281E"/>
    <w:rsid w:val="00D535EA"/>
    <w:rsid w:val="00D5499A"/>
    <w:rsid w:val="00D560E9"/>
    <w:rsid w:val="00D61457"/>
    <w:rsid w:val="00D674F9"/>
    <w:rsid w:val="00D811F7"/>
    <w:rsid w:val="00DA1A6B"/>
    <w:rsid w:val="00DB1085"/>
    <w:rsid w:val="00E1115E"/>
    <w:rsid w:val="00EC3598"/>
    <w:rsid w:val="00EE3A08"/>
    <w:rsid w:val="00EE6486"/>
    <w:rsid w:val="00F1532D"/>
    <w:rsid w:val="00F15B55"/>
    <w:rsid w:val="00F1678C"/>
    <w:rsid w:val="00F40B1C"/>
    <w:rsid w:val="00F71C24"/>
    <w:rsid w:val="00FD6FFC"/>
    <w:rsid w:val="010F1DA1"/>
    <w:rsid w:val="013C716E"/>
    <w:rsid w:val="01BF67BB"/>
    <w:rsid w:val="0E675E9D"/>
    <w:rsid w:val="0EDA47C2"/>
    <w:rsid w:val="120149B2"/>
    <w:rsid w:val="127A5093"/>
    <w:rsid w:val="149C022D"/>
    <w:rsid w:val="17E05990"/>
    <w:rsid w:val="19C02A71"/>
    <w:rsid w:val="1C872AE9"/>
    <w:rsid w:val="1E991EAB"/>
    <w:rsid w:val="245B137F"/>
    <w:rsid w:val="2559715C"/>
    <w:rsid w:val="272600F9"/>
    <w:rsid w:val="28DE3C83"/>
    <w:rsid w:val="32B24C15"/>
    <w:rsid w:val="347E1E7E"/>
    <w:rsid w:val="367F3FD6"/>
    <w:rsid w:val="37CE1367"/>
    <w:rsid w:val="3BB865B6"/>
    <w:rsid w:val="3CD5566E"/>
    <w:rsid w:val="3F595C80"/>
    <w:rsid w:val="42C11F49"/>
    <w:rsid w:val="43226237"/>
    <w:rsid w:val="47DA795C"/>
    <w:rsid w:val="4ACA1484"/>
    <w:rsid w:val="54707B13"/>
    <w:rsid w:val="56266C1E"/>
    <w:rsid w:val="57560354"/>
    <w:rsid w:val="582A2391"/>
    <w:rsid w:val="58AE4B70"/>
    <w:rsid w:val="5B440B0B"/>
    <w:rsid w:val="5C9F3C8C"/>
    <w:rsid w:val="63BF6DA8"/>
    <w:rsid w:val="65A1330E"/>
    <w:rsid w:val="6622746E"/>
    <w:rsid w:val="670267B3"/>
    <w:rsid w:val="6A691E74"/>
    <w:rsid w:val="6A7774B8"/>
    <w:rsid w:val="6AA14535"/>
    <w:rsid w:val="71966F90"/>
    <w:rsid w:val="71F02864"/>
    <w:rsid w:val="76182881"/>
    <w:rsid w:val="7ACF0A8A"/>
    <w:rsid w:val="7FFC0707"/>
  </w:rsids>
  <m:mathPr>
    <m:mathFont m:val="Cambria Math"/>
    <m:brkBin m:val="before"/>
    <m:brkBinSub m:val="--"/>
    <m:smallFrac m:val="1"/>
    <m:dispDef/>
    <m:lMargin m:val="0"/>
    <m:rMargin m:val="0"/>
    <m:defJc m:val="centerGroup"/>
    <m:wrapIndent m:val="1440"/>
    <m:intLim m:val="subSup"/>
    <m:naryLim m:val="undOvr"/>
  </m:mathPr>
  <w:themeFontLang w:val="en-US" w:eastAsia="zh-CN" w:bidi="mn-Mong-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4">
    <w:name w:val="heading 4"/>
    <w:basedOn w:val="1"/>
    <w:next w:val="1"/>
    <w:link w:val="19"/>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9">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next w:val="1"/>
    <w:unhideWhenUsed/>
    <w:qFormat/>
    <w:uiPriority w:val="99"/>
    <w:pPr>
      <w:spacing w:after="120"/>
    </w:pPr>
  </w:style>
  <w:style w:type="paragraph" w:styleId="5">
    <w:name w:val="annotation subject"/>
    <w:basedOn w:val="6"/>
    <w:next w:val="6"/>
    <w:link w:val="17"/>
    <w:semiHidden/>
    <w:unhideWhenUsed/>
    <w:qFormat/>
    <w:uiPriority w:val="99"/>
    <w:rPr>
      <w:b/>
      <w:bCs/>
    </w:rPr>
  </w:style>
  <w:style w:type="paragraph" w:styleId="6">
    <w:name w:val="annotation text"/>
    <w:basedOn w:val="1"/>
    <w:link w:val="16"/>
    <w:semiHidden/>
    <w:unhideWhenUsed/>
    <w:qFormat/>
    <w:uiPriority w:val="99"/>
    <w:pPr>
      <w:jc w:val="left"/>
    </w:pPr>
  </w:style>
  <w:style w:type="paragraph" w:styleId="7">
    <w:name w:val="footer"/>
    <w:basedOn w:val="1"/>
    <w:link w:val="14"/>
    <w:unhideWhenUsed/>
    <w:qFormat/>
    <w:uiPriority w:val="99"/>
    <w:pPr>
      <w:tabs>
        <w:tab w:val="center" w:pos="4153"/>
        <w:tab w:val="right" w:pos="8306"/>
      </w:tabs>
      <w:snapToGrid w:val="0"/>
      <w:jc w:val="left"/>
    </w:pPr>
    <w:rPr>
      <w:sz w:val="18"/>
      <w:szCs w:val="18"/>
    </w:rPr>
  </w:style>
  <w:style w:type="paragraph" w:styleId="8">
    <w:name w:val="header"/>
    <w:basedOn w:val="1"/>
    <w:link w:val="13"/>
    <w:unhideWhenUsed/>
    <w:qFormat/>
    <w:uiPriority w:val="99"/>
    <w:pPr>
      <w:tabs>
        <w:tab w:val="center" w:pos="4153"/>
        <w:tab w:val="right" w:pos="8306"/>
      </w:tabs>
      <w:snapToGrid w:val="0"/>
      <w:jc w:val="center"/>
    </w:pPr>
    <w:rPr>
      <w:sz w:val="18"/>
      <w:szCs w:val="18"/>
    </w:rPr>
  </w:style>
  <w:style w:type="character" w:styleId="10">
    <w:name w:val="annotation reference"/>
    <w:basedOn w:val="9"/>
    <w:semiHidden/>
    <w:unhideWhenUsed/>
    <w:qFormat/>
    <w:uiPriority w:val="99"/>
    <w:rPr>
      <w:sz w:val="21"/>
      <w:szCs w:val="21"/>
    </w:rPr>
  </w:style>
  <w:style w:type="table" w:styleId="12">
    <w:name w:val="Table Grid"/>
    <w:basedOn w:val="11"/>
    <w:qFormat/>
    <w:uiPriority w:val="39"/>
    <w:rPr>
      <w:kern w:val="2"/>
      <w:sz w:val="21"/>
      <w:szCs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Pr>
  </w:style>
  <w:style w:type="character" w:customStyle="1" w:styleId="13">
    <w:name w:val="页眉 字符"/>
    <w:basedOn w:val="9"/>
    <w:link w:val="8"/>
    <w:qFormat/>
    <w:uiPriority w:val="99"/>
    <w:rPr>
      <w:sz w:val="18"/>
      <w:szCs w:val="18"/>
    </w:rPr>
  </w:style>
  <w:style w:type="character" w:customStyle="1" w:styleId="14">
    <w:name w:val="页脚 字符"/>
    <w:basedOn w:val="9"/>
    <w:link w:val="7"/>
    <w:qFormat/>
    <w:uiPriority w:val="99"/>
    <w:rPr>
      <w:sz w:val="18"/>
      <w:szCs w:val="18"/>
    </w:rPr>
  </w:style>
  <w:style w:type="paragraph" w:styleId="15">
    <w:name w:val="List Paragraph"/>
    <w:basedOn w:val="1"/>
    <w:qFormat/>
    <w:uiPriority w:val="34"/>
    <w:pPr>
      <w:ind w:firstLine="420" w:firstLineChars="200"/>
    </w:pPr>
  </w:style>
  <w:style w:type="character" w:customStyle="1" w:styleId="16">
    <w:name w:val="批注文字 字符"/>
    <w:basedOn w:val="9"/>
    <w:link w:val="6"/>
    <w:semiHidden/>
    <w:qFormat/>
    <w:uiPriority w:val="99"/>
  </w:style>
  <w:style w:type="character" w:customStyle="1" w:styleId="17">
    <w:name w:val="批注主题 字符"/>
    <w:basedOn w:val="16"/>
    <w:link w:val="5"/>
    <w:semiHidden/>
    <w:qFormat/>
    <w:uiPriority w:val="99"/>
    <w:rPr>
      <w:b/>
      <w:bCs/>
    </w:rPr>
  </w:style>
  <w:style w:type="paragraph" w:customStyle="1" w:styleId="18">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19">
    <w:name w:val="标题 4 字符"/>
    <w:basedOn w:val="9"/>
    <w:link w:val="4"/>
    <w:semiHidden/>
    <w:qFormat/>
    <w:uiPriority w:val="9"/>
    <w:rPr>
      <w:rFonts w:asciiTheme="majorHAnsi" w:hAnsiTheme="majorHAnsi" w:eastAsiaTheme="majorEastAsia" w:cstheme="majorBidi"/>
      <w:b/>
      <w:bCs/>
      <w:kern w:val="2"/>
      <w:sz w:val="28"/>
      <w:szCs w:val="28"/>
      <w:lang w:bidi="ar-SA"/>
    </w:rPr>
  </w:style>
  <w:style w:type="character" w:customStyle="1" w:styleId="20">
    <w:name w:val="标题 1 字符"/>
    <w:basedOn w:val="9"/>
    <w:link w:val="3"/>
    <w:qFormat/>
    <w:uiPriority w:val="9"/>
    <w:rPr>
      <w:b/>
      <w:bCs/>
      <w:kern w:val="44"/>
      <w:sz w:val="44"/>
      <w:szCs w:val="44"/>
      <w:lang w:bidi="ar-SA"/>
    </w:rPr>
  </w:style>
  <w:style w:type="paragraph" w:customStyle="1" w:styleId="21">
    <w:name w:val="p0"/>
    <w:basedOn w:val="1"/>
    <w:qFormat/>
    <w:uiPriority w:val="0"/>
    <w:pPr>
      <w:widowControl/>
    </w:pPr>
    <w:rPr>
      <w:rFonts w:ascii="Calibri" w:hAnsi="Calibri"/>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46</Pages>
  <Words>31479</Words>
  <Characters>34744</Characters>
  <Lines>133</Lines>
  <Paragraphs>36</Paragraphs>
  <TotalTime>43</TotalTime>
  <ScaleCrop>false</ScaleCrop>
  <LinksUpToDate>false</LinksUpToDate>
  <CharactersWithSpaces>35086</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2024-09-29T06:19:00Z</dcterms:created>
  <dc:creator>INTSIG</dc:creator>
  <dc:description>Intsig Word Converter</dc:description>
  <cp:lastModifiedBy>jgkxhq</cp:lastModifiedBy>
  <cp:lastPrinted>2024-09-30T04:40:00Z</cp:lastPrinted>
  <dcterms:modified xsi:type="dcterms:W3CDTF">2025-10-29T03:36:32Z</dcterms:modified>
  <dc:title>wordbuilder</dc:title>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7639CE3341D94A6187136B32D5B4AEC7_13</vt:lpwstr>
  </property>
  <property fmtid="{D5CDD505-2E9C-101B-9397-08002B2CF9AE}" pid="4" name="KSOTemplateDocerSaveRecord">
    <vt:lpwstr>eyJoZGlkIjoiZGNkYjA2MDNmYTkxN2QyM2Q2NjFlYzJjNWM2MTk4NzciLCJ1c2VySWQiOiI1MjIzMzcyODIifQ==</vt:lpwstr>
  </property>
</Properties>
</file>