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8E137">
      <w:pPr>
        <w:spacing w:line="560" w:lineRule="exact"/>
        <w:ind w:firstLine="640" w:firstLineChars="200"/>
        <w:jc w:val="left"/>
        <w:rPr>
          <w:rFonts w:ascii="楷体" w:hAnsi="楷体" w:eastAsia="楷体"/>
          <w:color w:val="000000"/>
          <w:sz w:val="32"/>
          <w:szCs w:val="32"/>
        </w:rPr>
      </w:pPr>
      <w:bookmarkStart w:id="0" w:name="_Toc20384570"/>
      <w:r>
        <w:rPr>
          <w:rFonts w:hint="eastAsia" w:ascii="楷体" w:hAnsi="楷体" w:eastAsia="楷体"/>
          <w:color w:val="000000"/>
          <w:sz w:val="32"/>
          <w:szCs w:val="32"/>
        </w:rPr>
        <w:t>（四）技术商务要求</w:t>
      </w:r>
    </w:p>
    <w:p w14:paraId="211DFD1E">
      <w:pPr>
        <w:spacing w:line="56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1.包1</w:t>
      </w:r>
    </w:p>
    <w:p w14:paraId="5D0E2C57">
      <w:pPr>
        <w:spacing w:line="56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（1）技术要求</w:t>
      </w:r>
    </w:p>
    <w:tbl>
      <w:tblPr>
        <w:tblStyle w:val="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741"/>
        <w:gridCol w:w="7761"/>
      </w:tblGrid>
      <w:tr w14:paraId="1BB5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noWrap w:val="0"/>
            <w:vAlign w:val="center"/>
          </w:tcPr>
          <w:p w14:paraId="5C03C1C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sz w:val="24"/>
                <w:szCs w:val="24"/>
              </w:rPr>
            </w:pPr>
            <w:r>
              <w:rPr>
                <w:rFonts w:hint="eastAsia" w:ascii="宋体" w:hAnsi="宋体"/>
                <w:sz w:val="24"/>
                <w:szCs w:val="24"/>
              </w:rPr>
              <w:t>序号</w:t>
            </w:r>
          </w:p>
        </w:tc>
        <w:tc>
          <w:tcPr>
            <w:tcW w:w="409" w:type="pct"/>
            <w:noWrap w:val="0"/>
            <w:vAlign w:val="center"/>
          </w:tcPr>
          <w:p w14:paraId="22CB41F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sz w:val="24"/>
                <w:szCs w:val="24"/>
              </w:rPr>
            </w:pPr>
            <w:r>
              <w:rPr>
                <w:rFonts w:hint="eastAsia" w:ascii="宋体" w:hAnsi="宋体"/>
                <w:sz w:val="24"/>
                <w:szCs w:val="24"/>
              </w:rPr>
              <w:t>货物名称</w:t>
            </w:r>
          </w:p>
        </w:tc>
        <w:tc>
          <w:tcPr>
            <w:tcW w:w="4288" w:type="pct"/>
            <w:noWrap w:val="0"/>
            <w:vAlign w:val="center"/>
          </w:tcPr>
          <w:p w14:paraId="5E38AE8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sz w:val="24"/>
                <w:szCs w:val="24"/>
              </w:rPr>
            </w:pPr>
            <w:r>
              <w:rPr>
                <w:rFonts w:hint="eastAsia" w:ascii="宋体" w:hAnsi="宋体"/>
                <w:sz w:val="24"/>
                <w:szCs w:val="24"/>
              </w:rPr>
              <w:t>技术要求</w:t>
            </w:r>
          </w:p>
        </w:tc>
      </w:tr>
      <w:tr w14:paraId="43C9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302" w:type="pct"/>
            <w:noWrap w:val="0"/>
            <w:vAlign w:val="center"/>
          </w:tcPr>
          <w:p w14:paraId="609104C9">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sz w:val="24"/>
                <w:szCs w:val="24"/>
                <w:lang w:val="en-US" w:eastAsia="zh-CN"/>
              </w:rPr>
            </w:pPr>
            <w:r>
              <w:rPr>
                <w:rFonts w:hint="eastAsia" w:ascii="宋体" w:hAnsi="宋体" w:eastAsia="宋体"/>
                <w:sz w:val="24"/>
                <w:szCs w:val="24"/>
                <w:lang w:val="en-US" w:eastAsia="zh-CN"/>
              </w:rPr>
              <w:t>1</w:t>
            </w:r>
          </w:p>
        </w:tc>
        <w:tc>
          <w:tcPr>
            <w:tcW w:w="409" w:type="pct"/>
            <w:noWrap w:val="0"/>
            <w:vAlign w:val="center"/>
          </w:tcPr>
          <w:p w14:paraId="0F5BFEE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双人位智能阅览灯</w:t>
            </w:r>
          </w:p>
        </w:tc>
        <w:tc>
          <w:tcPr>
            <w:tcW w:w="4288" w:type="pct"/>
            <w:noWrap w:val="0"/>
            <w:vAlign w:val="center"/>
          </w:tcPr>
          <w:p w14:paraId="4E25B3D8">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1.主体为金属材质，表面古铜色喷漆处理，产品整体高度不小于450mm，圆底盘直径不大于200mm。</w:t>
            </w:r>
          </w:p>
          <w:p w14:paraId="034B2306">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2.灯罩颜色采用浅色，PC材质，直径不小于350mm。</w:t>
            </w:r>
          </w:p>
          <w:p w14:paraId="0DED4F13">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3.台灯上需配备LED灯*2、触摸开关*2、国标电源插座*2、USB-A和USB-C插座*2。</w:t>
            </w:r>
          </w:p>
          <w:p w14:paraId="2151EE30">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4.每个灯的功率不小于8W，功率因数＞0.92，色温不低于4000K，显色指数＞90，闪烁百分比＜1%，桌面照度＞550Lx。</w:t>
            </w:r>
          </w:p>
          <w:p w14:paraId="4B03F26C">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5.触摸开关可独立进行灯光亮度调节和开关操作。</w:t>
            </w:r>
          </w:p>
          <w:p w14:paraId="4FF3D6A4">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6.插座需具有过载保护功能，当插座上使用的设备功率超过设定的阈值时，插座能够自动切断电源。</w:t>
            </w:r>
          </w:p>
          <w:p w14:paraId="543925E0">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7.电源模块需获得中国国家强制性产品认证证书，产品标准符合GB/T 1002-2021规范。</w:t>
            </w:r>
          </w:p>
          <w:p w14:paraId="0B4CB73E">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8.LED 模块须符合 GB/T 24825-2022《 LED 模块用直流或交流电子控制装置性能规范》能效等级测试。</w:t>
            </w:r>
          </w:p>
          <w:p w14:paraId="3DB1D043">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9.整灯产品需要有3C证书，产品标准和技术符合 GB 17625.1-2022、GB/T 17743-2021、GB/T 7000.1-2023要求。</w:t>
            </w:r>
          </w:p>
          <w:p w14:paraId="742296AE">
            <w:pPr>
              <w:numPr>
                <w:ilvl w:val="0"/>
                <w:numId w:val="0"/>
              </w:numPr>
              <w:jc w:val="both"/>
              <w:rPr>
                <w:rFonts w:hint="eastAsia" w:ascii="宋体" w:hAnsi="宋体" w:eastAsia="宋体" w:cs="宋体"/>
                <w:color w:val="auto"/>
                <w:sz w:val="24"/>
                <w:szCs w:val="24"/>
              </w:rPr>
            </w:pPr>
            <w:r>
              <w:rPr>
                <w:rFonts w:hint="eastAsia" w:ascii="宋体" w:hAnsi="宋体" w:eastAsia="宋体" w:cs="宋体"/>
                <w:color w:val="auto"/>
                <w:sz w:val="24"/>
                <w:szCs w:val="24"/>
              </w:rPr>
              <w:t>10.提供配套网关设备，提供配套强弱电的安装与调试，要求配备单独配电箱，所使用电线、网线等材料需采用符合国标的产品，且地面区域的管线需铺设在地面以下。</w:t>
            </w:r>
          </w:p>
          <w:p w14:paraId="31AC727A">
            <w:pPr>
              <w:pStyle w:val="22"/>
              <w:keepNext w:val="0"/>
              <w:keepLines w:val="0"/>
              <w:pageBreakBefore w:val="0"/>
              <w:numPr>
                <w:ilvl w:val="0"/>
                <w:numId w:val="0"/>
              </w:numPr>
              <w:kinsoku/>
              <w:wordWrap/>
              <w:overflowPunct/>
              <w:topLinePunct w:val="0"/>
              <w:autoSpaceDE/>
              <w:autoSpaceDN/>
              <w:bidi w:val="0"/>
              <w:adjustRightInd/>
              <w:snapToGrid/>
              <w:spacing w:line="240" w:lineRule="auto"/>
              <w:ind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需提供配套的管理系统，纳入</w:t>
            </w:r>
            <w:r>
              <w:rPr>
                <w:rFonts w:hint="eastAsia" w:ascii="宋体" w:hAnsi="宋体" w:cs="宋体"/>
                <w:color w:val="auto"/>
                <w:sz w:val="24"/>
                <w:szCs w:val="24"/>
                <w:lang w:val="en-US" w:eastAsia="zh-CN"/>
              </w:rPr>
              <w:t>图书馆</w:t>
            </w:r>
            <w:r>
              <w:rPr>
                <w:rFonts w:hint="eastAsia" w:ascii="宋体" w:hAnsi="宋体" w:eastAsia="宋体" w:cs="宋体"/>
                <w:color w:val="auto"/>
                <w:sz w:val="24"/>
                <w:szCs w:val="24"/>
              </w:rPr>
              <w:t>现有的智能阅览灯管理系统对阅览灯及电源插座等设备进行统一管理</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eastAsia="zh-CN"/>
              </w:rPr>
              <w:t>需要与图书馆现有座位预约系统做对接，对接后实现与座位预约系统的联动，包括签到后电源自动接通、结束后自动断电、在现有座位预约系统查询灯架绑定信息等功能。</w:t>
            </w:r>
            <w:r>
              <w:rPr>
                <w:rFonts w:hint="eastAsia" w:ascii="宋体" w:hAnsi="宋体" w:eastAsia="宋体" w:cs="宋体"/>
                <w:color w:val="auto"/>
                <w:sz w:val="24"/>
                <w:szCs w:val="24"/>
                <w:lang w:val="en-US" w:eastAsia="zh-CN"/>
              </w:rPr>
              <w:t>管理系统需包含以下功能：</w:t>
            </w:r>
          </w:p>
          <w:p w14:paraId="5ABC46E0">
            <w:pPr>
              <w:pStyle w:val="22"/>
              <w:keepNext w:val="0"/>
              <w:keepLines w:val="0"/>
              <w:pageBreakBefore w:val="0"/>
              <w:numPr>
                <w:ilvl w:val="0"/>
                <w:numId w:val="0"/>
              </w:numPr>
              <w:kinsoku/>
              <w:wordWrap/>
              <w:overflowPunct/>
              <w:topLinePunct w:val="0"/>
              <w:autoSpaceDE/>
              <w:autoSpaceDN/>
              <w:bidi w:val="0"/>
              <w:adjustRightInd/>
              <w:snapToGrid/>
              <w:spacing w:line="240" w:lineRule="auto"/>
              <w:ind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①对阅览灯设备进行管理，管理员通过后台可查看阅览灯过载记录；可对设备进行添加、和更改，可以对单个设备或多个设备批量设置用电功率，超载自动断电，可在后台恢复电源供电。</w:t>
            </w:r>
          </w:p>
          <w:p w14:paraId="2558499E">
            <w:pPr>
              <w:pStyle w:val="22"/>
              <w:keepNext w:val="0"/>
              <w:keepLines w:val="0"/>
              <w:pageBreakBefore w:val="0"/>
              <w:numPr>
                <w:ilvl w:val="0"/>
                <w:numId w:val="0"/>
              </w:numPr>
              <w:kinsoku/>
              <w:wordWrap/>
              <w:overflowPunct/>
              <w:topLinePunct w:val="0"/>
              <w:autoSpaceDE/>
              <w:autoSpaceDN/>
              <w:bidi w:val="0"/>
              <w:adjustRightInd/>
              <w:snapToGrid/>
              <w:spacing w:line="240" w:lineRule="auto"/>
              <w:ind w:leftChar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②系统后台可以监控各个区域阅览灯使用情况，可以统计各个区域的用电量情况。</w:t>
            </w:r>
          </w:p>
          <w:p w14:paraId="5F691F3F">
            <w:pPr>
              <w:pStyle w:val="22"/>
              <w:keepNext w:val="0"/>
              <w:keepLines w:val="0"/>
              <w:pageBreakBefore w:val="0"/>
              <w:numPr>
                <w:ilvl w:val="0"/>
                <w:numId w:val="0"/>
              </w:numPr>
              <w:kinsoku/>
              <w:wordWrap/>
              <w:overflowPunct/>
              <w:topLinePunct w:val="0"/>
              <w:autoSpaceDE/>
              <w:autoSpaceDN/>
              <w:bidi w:val="0"/>
              <w:adjustRightInd/>
              <w:snapToGrid/>
              <w:spacing w:line="240" w:lineRule="auto"/>
              <w:ind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③系统后台可以对管理员分配不同管理权限和区域限制，支持对不同区域的阅览灯设置不同的预约规则；</w:t>
            </w:r>
          </w:p>
          <w:p w14:paraId="082E2FD7">
            <w:pPr>
              <w:pStyle w:val="22"/>
              <w:keepNext w:val="0"/>
              <w:keepLines w:val="0"/>
              <w:pageBreakBefore w:val="0"/>
              <w:numPr>
                <w:ilvl w:val="0"/>
                <w:numId w:val="0"/>
              </w:numPr>
              <w:kinsoku/>
              <w:wordWrap/>
              <w:overflowPunct/>
              <w:topLinePunct w:val="0"/>
              <w:autoSpaceDE/>
              <w:autoSpaceDN/>
              <w:bidi w:val="0"/>
              <w:adjustRightInd/>
              <w:snapToGrid/>
              <w:spacing w:line="240" w:lineRule="auto"/>
              <w:ind w:leftChars="0"/>
              <w:rPr>
                <w:rFonts w:hint="eastAsia" w:ascii="宋体" w:hAnsi="宋体" w:cs="宋体"/>
                <w:color w:val="auto"/>
                <w:sz w:val="24"/>
                <w:szCs w:val="24"/>
                <w:lang w:eastAsia="zh-CN"/>
              </w:rPr>
            </w:pPr>
            <w:r>
              <w:rPr>
                <w:rFonts w:hint="eastAsia" w:ascii="宋体" w:hAnsi="宋体" w:eastAsia="宋体" w:cs="宋体"/>
                <w:color w:val="auto"/>
                <w:sz w:val="24"/>
                <w:szCs w:val="24"/>
                <w:lang w:val="en-US" w:eastAsia="zh-CN"/>
              </w:rPr>
              <w:t>④支持前端用户通过系统进行问题反馈，管理员通过后台进行回复。可以把常用问题设置为常见问题，用户可以通过前端进行查看。</w:t>
            </w:r>
          </w:p>
        </w:tc>
      </w:tr>
      <w:tr w14:paraId="0168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02" w:type="pct"/>
            <w:noWrap w:val="0"/>
            <w:vAlign w:val="center"/>
          </w:tcPr>
          <w:p w14:paraId="18647B2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z w:val="24"/>
                <w:szCs w:val="24"/>
                <w:lang w:val="en-US" w:eastAsia="zh-CN"/>
              </w:rPr>
            </w:pPr>
            <w:r>
              <w:rPr>
                <w:rFonts w:hint="eastAsia" w:ascii="宋体" w:hAnsi="宋体"/>
                <w:sz w:val="24"/>
                <w:szCs w:val="24"/>
                <w:lang w:val="en-US" w:eastAsia="zh-CN"/>
              </w:rPr>
              <w:t>2</w:t>
            </w:r>
          </w:p>
        </w:tc>
        <w:tc>
          <w:tcPr>
            <w:tcW w:w="409" w:type="pct"/>
            <w:noWrap w:val="0"/>
            <w:vAlign w:val="center"/>
          </w:tcPr>
          <w:p w14:paraId="2D44CA1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四人位智能阅览灯架</w:t>
            </w:r>
          </w:p>
        </w:tc>
        <w:tc>
          <w:tcPr>
            <w:tcW w:w="4288" w:type="pct"/>
            <w:noWrap w:val="0"/>
            <w:vAlign w:val="center"/>
          </w:tcPr>
          <w:p w14:paraId="52E6B45E">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1.灯架主体材质为铝型材，整体颜色为浅色，静电喷塑，灯架整体尺寸需匹配本馆现有阅览桌尺寸，顶部距离桌面不小于450mm，整体长度≤1550mm，两个立柱中心点之间的距离约为1430mm,立柱正面≤80mm，侧面≤60mm。</w:t>
            </w:r>
          </w:p>
          <w:p w14:paraId="5DC87449">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2.灯架上需配备LED灯4个，整灯功率≤48W，功率因数＞0.95，色温不低于4000K，显色指数＞90，灯光闪烁百分比＜1%，桌面照度(全部区域)＞550Lx，灯的发光面与水平面需有25度的夹角，控光面材质为PS+PA。</w:t>
            </w:r>
          </w:p>
          <w:p w14:paraId="0E487625">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3.两端的灯柱上均需配备触摸开关*2、国标电源插座*2、USB-A和USB-C插座*2。</w:t>
            </w:r>
          </w:p>
          <w:p w14:paraId="1CB29BB7">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4.触摸开关可独立进行灯光亮度调节和开关操作。</w:t>
            </w:r>
          </w:p>
          <w:p w14:paraId="28975BC8">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5.插座需具有过载保护功能，当插座上使用的设备功率超过设定的阈值时，插座能够自动切断电源。</w:t>
            </w:r>
          </w:p>
          <w:p w14:paraId="74B38E44">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6.电源插座须获得中国国家强制性产品认证证书，产品标准和技术要求符合GB/T 1002-2021、GB/T 2099.1。</w:t>
            </w:r>
          </w:p>
          <w:p w14:paraId="0B793EB9">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7.整灯产品需要有3C证书，产品标准和技术符合 GB 17625.1-2022;GB/T 17743-2021;GB 7000.1-2015;GB 7000.201-2008 要求。</w:t>
            </w:r>
          </w:p>
          <w:p w14:paraId="3959369F">
            <w:pPr>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8.两个灯柱之间需配备挡板，可安装在阅览桌桌面上，尺寸为1200mm*300mm*5mm，材质为亚克力版(磨砂透明)。</w:t>
            </w:r>
          </w:p>
          <w:p w14:paraId="5F843944">
            <w:pPr>
              <w:numPr>
                <w:ilvl w:val="0"/>
                <w:numId w:val="0"/>
              </w:numPr>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auto"/>
                <w:sz w:val="24"/>
                <w:szCs w:val="24"/>
                <w:lang w:val="en-US" w:eastAsia="zh-CN"/>
              </w:rPr>
              <w:t>9.需提供配套网关设备，提供配套强弱电的安装与调试，要求配备单独配电箱，所使用电线、网线等材料需采用符合国标的产品，且地面区域的管线需铺设在地面以下。</w:t>
            </w:r>
          </w:p>
          <w:p w14:paraId="262CA731">
            <w:pPr>
              <w:numPr>
                <w:ilvl w:val="0"/>
                <w:numId w:val="0"/>
              </w:numPr>
              <w:jc w:val="both"/>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10.需</w:t>
            </w:r>
            <w:r>
              <w:rPr>
                <w:rFonts w:hint="eastAsia" w:ascii="宋体" w:hAnsi="宋体" w:eastAsia="宋体" w:cs="宋体"/>
                <w:color w:val="auto"/>
                <w:sz w:val="24"/>
                <w:szCs w:val="24"/>
              </w:rPr>
              <w:t>纳入智能阅览灯管理系统对阅览灯及电源插座等设备进行统一管理</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eastAsia="zh-CN"/>
              </w:rPr>
              <w:t>需要与图书馆现有座位预约系统做对接，对接后实现与座位预约系统的联动，包括签到后电源自动接通、结束后自动断电、在现有座位预约系统查询灯架绑定信息等功能</w:t>
            </w:r>
            <w:r>
              <w:rPr>
                <w:rFonts w:hint="eastAsia" w:ascii="宋体" w:hAnsi="宋体" w:cs="宋体"/>
                <w:color w:val="auto"/>
                <w:sz w:val="24"/>
                <w:szCs w:val="24"/>
                <w:lang w:eastAsia="zh-CN"/>
              </w:rPr>
              <w:t>。</w:t>
            </w:r>
          </w:p>
        </w:tc>
      </w:tr>
      <w:tr w14:paraId="1496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02" w:type="pct"/>
            <w:noWrap w:val="0"/>
            <w:vAlign w:val="center"/>
          </w:tcPr>
          <w:p w14:paraId="6896A91A">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3</w:t>
            </w:r>
          </w:p>
        </w:tc>
        <w:tc>
          <w:tcPr>
            <w:tcW w:w="409" w:type="pct"/>
            <w:noWrap w:val="0"/>
            <w:vAlign w:val="center"/>
          </w:tcPr>
          <w:p w14:paraId="1F39D323">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四人位阅览桌</w:t>
            </w:r>
          </w:p>
        </w:tc>
        <w:tc>
          <w:tcPr>
            <w:tcW w:w="4288" w:type="pct"/>
            <w:noWrap w:val="0"/>
            <w:vAlign w:val="center"/>
          </w:tcPr>
          <w:p w14:paraId="205B4DC4">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1.尺寸：桌面板尺寸为1100*1600mm，桌面板下方的金属脚架颜色与本馆现有阅览桌相近，其外沿距离桌面板外沿不少于110mm，桌面板颜色与本馆现有阅览桌面板颜色一致，桌面板厚度≥25mm。</w:t>
            </w:r>
          </w:p>
          <w:p w14:paraId="2C27AF48">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基材：采用E0优质浸渍胶膜纸饰面刨花板，检验依据GB/T 15102-2017、GB 18580-2017、GB/T 39600-2021、HJ 571-2010、GB/T 35601-2017、GB 8624-2012、QB/T 4371-2012、JC/T 2039-2010、GB/T 17657-2022、GB/T 20284-2006、GB/T 8626-2007标准，静曲强度≥27MPa ，弹性模量≥3800Mpa，内结合强度≥1.2Mpa，表面胶合强度≥2.6Mpa，2h吸水厚度膨胀率≤0.3%，密度≥0.88g/cm³，板面握螺钉力 ≥2200N，板边握螺钉力≥2000N，表面耐香烟灼烧、表面耐干热、表面耐污染腐蚀、表面耐龟裂、表面耐水蒸气、耐光色牢度均达到5级，表面耐磨（磨耗值）≤20mg/100r，甲醛释放量未检出，挥发性有机化合物（苯、甲苯、二甲苯）未检出，总挥发性有机化合物（TVOC)未检出，抗菌性能金黄色葡萄球菌及大肠埃希氏菌（大肠杆菌）的抑菌率≥99.6%，平板状建筑材料及制品的燃烧性能等级达到B1（C）级。</w:t>
            </w:r>
          </w:p>
          <w:p w14:paraId="7E34DC4D">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封边条：采用优质PVC封边条，检验依据QB/T4463-2013及《2024年家具及人造板产品抽样检验实施方案》标准，外观符合要求，可迁移元素（可溶性重金属）铅、镉、铬、汞、砷、钡、锑、硒均未检出，甲醛释放量未检出，邻苯二甲酸酯未检出。厚度不小于2mm</w:t>
            </w:r>
            <w:r>
              <w:rPr>
                <w:rFonts w:hint="eastAsia" w:ascii="宋体" w:hAnsi="宋体" w:cs="宋体"/>
                <w:color w:val="000000"/>
                <w:kern w:val="0"/>
                <w:sz w:val="24"/>
                <w:szCs w:val="24"/>
                <w:lang w:val="en-US" w:eastAsia="zh-CN" w:bidi="ar"/>
              </w:rPr>
              <w:t>。</w:t>
            </w:r>
          </w:p>
          <w:p w14:paraId="75B0EAB2">
            <w:pPr>
              <w:keepNext w:val="0"/>
              <w:keepLines w:val="0"/>
              <w:widowControl/>
              <w:suppressLineNumbers w:val="0"/>
              <w:jc w:val="left"/>
              <w:rPr>
                <w:rFonts w:hint="eastAsia" w:ascii="宋体" w:hAnsi="宋体" w:eastAsia="宋体" w:cs="宋体"/>
                <w:sz w:val="24"/>
                <w:szCs w:val="24"/>
              </w:rPr>
            </w:pPr>
            <w:r>
              <w:rPr>
                <w:rFonts w:hint="eastAsia" w:ascii="宋体" w:hAnsi="宋体" w:cs="宋体"/>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、配件：五金配件：三合一连接件(三合一紧固件)，检验依据QB/T4371-2012、QB/T3832-1999、QB/T3827-1999、QB/T3826-1999、 GB/T28203-2011、GB/T10125-2021、QB/T3828-1999、GB/T3325-2017及《2024年家具及人造板产品抽样检验实施方案》标准，外观符合要求，力学性能：三合一偏心连接件偏心体抗压强度≥440N，三合一偏心连接件预埋螺母抗拉强度≥850N，三合一偏心连接件中连接螺杆螺纹与预埋螺母的抗拉强度≥750N，三合一偏心连接件中偏心体与连接螺杆的扭矩≥7N·m，抗菌性能铜绿假单胞菌抑菌率≥99.5%，具有较好的抗菌效果，中性盐雾试验时间≥595h，检验结果达到（耐腐蚀等级：10级，无锈点），铜盐加速乙酸盐雾试验时间≥595h，检验结果达到（耐腐蚀等级：10级，无锈点），乙酸盐雾试验时间≥645h，检验结果达到（耐腐蚀等级：10级，无锈点），铜加速乙酸盐雾试验时间≥595h，检验结果达到（耐腐蚀等级：10级，无锈点）。   </w:t>
            </w:r>
          </w:p>
          <w:p w14:paraId="7CC1E772">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、桌面</w:t>
            </w:r>
            <w:r>
              <w:rPr>
                <w:rFonts w:hint="eastAsia" w:ascii="宋体" w:hAnsi="宋体" w:cs="宋体"/>
                <w:color w:val="000000"/>
                <w:kern w:val="0"/>
                <w:sz w:val="24"/>
                <w:szCs w:val="24"/>
                <w:lang w:val="en-US" w:eastAsia="zh-CN" w:bidi="ar"/>
              </w:rPr>
              <w:t>板</w:t>
            </w:r>
            <w:r>
              <w:rPr>
                <w:rFonts w:hint="eastAsia" w:ascii="宋体" w:hAnsi="宋体" w:eastAsia="宋体" w:cs="宋体"/>
                <w:color w:val="000000"/>
                <w:kern w:val="0"/>
                <w:sz w:val="24"/>
                <w:szCs w:val="24"/>
                <w:lang w:val="en-US" w:eastAsia="zh-CN" w:bidi="ar"/>
              </w:rPr>
              <w:t>底部带钢制书网。</w:t>
            </w:r>
          </w:p>
        </w:tc>
      </w:tr>
      <w:tr w14:paraId="6974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02" w:type="pct"/>
            <w:noWrap w:val="0"/>
            <w:vAlign w:val="center"/>
          </w:tcPr>
          <w:p w14:paraId="0461FDE1">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4</w:t>
            </w:r>
          </w:p>
        </w:tc>
        <w:tc>
          <w:tcPr>
            <w:tcW w:w="409" w:type="pct"/>
            <w:noWrap w:val="0"/>
            <w:vAlign w:val="center"/>
          </w:tcPr>
          <w:p w14:paraId="0677E051">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六人位阅览桌面板</w:t>
            </w:r>
          </w:p>
        </w:tc>
        <w:tc>
          <w:tcPr>
            <w:tcW w:w="4288" w:type="pct"/>
            <w:noWrap w:val="0"/>
            <w:vAlign w:val="center"/>
          </w:tcPr>
          <w:p w14:paraId="51A74544">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1.尺寸：2100mm*1100mm，桌面板厚度≥25mm，表面颜色与本馆现有阅览桌面板颜色一致；</w:t>
            </w:r>
          </w:p>
          <w:p w14:paraId="3DBD8AE6">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2.基材采用E0级环保优质刨花板，游离甲醛释放量≤0.05mg/m³；</w:t>
            </w:r>
          </w:p>
          <w:p w14:paraId="0BD4C4F3">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3.经防潮、防腐处理，相关参数达到国家标准；四周隐蔽部位全部做封边处理，封边为高品质PVC，厚度不小于2mm，不易断裂，热溶胶工艺，所有板件四封边，双饰面；</w:t>
            </w:r>
          </w:p>
          <w:p w14:paraId="7B7FA32E">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4.贴面采用优质三聚氰胺纸饰面，具有易清洗、防划痕等特性；</w:t>
            </w:r>
          </w:p>
          <w:p w14:paraId="14A09D18">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5.采用优质环保粘合剂，游离甲醛、苯、甲苯+二甲苯、总挥发性有机物符合国家标准。</w:t>
            </w:r>
          </w:p>
          <w:p w14:paraId="65AE7ED0">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 xml:space="preserve">6.按要求精准开孔，要求误差≤2mm； </w:t>
            </w:r>
          </w:p>
          <w:p w14:paraId="67F8E77F">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 xml:space="preserve">7.将旧面板进行拆卸，放置到指定位置，将新面板按要求进行安装，并清理现场垃圾，施工时需保护地面及周边设备； </w:t>
            </w:r>
          </w:p>
          <w:p w14:paraId="38668E6B">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8.要求安装后无晃动、异响，桌面孔位与灯具匹配度100%，色差目测无明显差异。</w:t>
            </w:r>
          </w:p>
        </w:tc>
      </w:tr>
      <w:tr w14:paraId="5627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02" w:type="pct"/>
            <w:noWrap w:val="0"/>
            <w:vAlign w:val="center"/>
          </w:tcPr>
          <w:p w14:paraId="023CD8D5">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5</w:t>
            </w:r>
          </w:p>
        </w:tc>
        <w:tc>
          <w:tcPr>
            <w:tcW w:w="409" w:type="pct"/>
            <w:noWrap w:val="0"/>
            <w:vAlign w:val="center"/>
          </w:tcPr>
          <w:p w14:paraId="4DF1CCA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四人位阅览桌面板</w:t>
            </w:r>
          </w:p>
        </w:tc>
        <w:tc>
          <w:tcPr>
            <w:tcW w:w="4288" w:type="pct"/>
            <w:noWrap w:val="0"/>
            <w:vAlign w:val="center"/>
          </w:tcPr>
          <w:p w14:paraId="37ECA81F">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1.尺寸：1600mm*1100mm，桌面板厚度≥25mm，表面颜色与本馆现有阅览桌面板颜色一致；</w:t>
            </w:r>
          </w:p>
          <w:p w14:paraId="41E0F610">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2.基材采用E0级环保优质刨花板，游离甲醛释放量≤0.05mg/m³；</w:t>
            </w:r>
          </w:p>
          <w:p w14:paraId="0A3FB8E9">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3.经防潮、防腐处理，相关参数达到国家标准；四周隐蔽部位全部做封边处理，封边为高品质PVC，厚度不小于2mm，不易断裂，热溶胶工艺，所有板件四封边，双饰面；</w:t>
            </w:r>
          </w:p>
          <w:p w14:paraId="01C72ECE">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4.贴面采用优质三聚氰胺纸饰面，具有易清洗、防划痕等特性；</w:t>
            </w:r>
          </w:p>
          <w:p w14:paraId="33FD0C1C">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5.采用优质环保粘合剂，游离甲醛、苯、甲苯+二甲苯、总挥发性有机物符合国家标准；</w:t>
            </w:r>
          </w:p>
          <w:p w14:paraId="2B1DF354">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 xml:space="preserve">6.按要求精准开孔，要求误差≤2mm； </w:t>
            </w:r>
          </w:p>
          <w:p w14:paraId="0E6EA22D">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 xml:space="preserve">7.将旧面板进行拆卸，放置到指定位置，将新面板按要求进行安装，并清理现场垃圾，施工时需保护地面及周边设备； </w:t>
            </w:r>
          </w:p>
          <w:p w14:paraId="4A9F1D12">
            <w:pPr>
              <w:numPr>
                <w:ilvl w:val="0"/>
                <w:numId w:val="0"/>
              </w:numPr>
              <w:jc w:val="both"/>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8.要求安装后无晃动、异响，桌面孔位与灯具匹配度100%，色差目测无明显差异。</w:t>
            </w:r>
          </w:p>
        </w:tc>
      </w:tr>
      <w:tr w14:paraId="3852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02" w:type="pct"/>
            <w:noWrap w:val="0"/>
            <w:vAlign w:val="center"/>
          </w:tcPr>
          <w:p w14:paraId="0FB1C488">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6</w:t>
            </w:r>
          </w:p>
        </w:tc>
        <w:tc>
          <w:tcPr>
            <w:tcW w:w="409" w:type="pct"/>
            <w:noWrap w:val="0"/>
            <w:vAlign w:val="center"/>
          </w:tcPr>
          <w:p w14:paraId="5383D22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kern w:val="0"/>
                <w:sz w:val="24"/>
                <w:szCs w:val="24"/>
                <w:lang w:val="en-US" w:eastAsia="zh-CN"/>
              </w:rPr>
            </w:pPr>
            <w:r>
              <w:rPr>
                <w:rFonts w:hint="eastAsia" w:ascii="宋体" w:hAnsi="宋体" w:cs="宋体"/>
                <w:kern w:val="0"/>
                <w:sz w:val="24"/>
                <w:szCs w:val="24"/>
                <w:lang w:val="en-US" w:eastAsia="zh-CN"/>
              </w:rPr>
              <w:t>地面处理</w:t>
            </w:r>
          </w:p>
        </w:tc>
        <w:tc>
          <w:tcPr>
            <w:tcW w:w="4288" w:type="pct"/>
            <w:noWrap w:val="0"/>
            <w:vAlign w:val="center"/>
          </w:tcPr>
          <w:p w14:paraId="43C377B9">
            <w:pPr>
              <w:numPr>
                <w:ilvl w:val="0"/>
                <w:numId w:val="0"/>
              </w:numPr>
              <w:jc w:val="both"/>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配合阅览灯强电安装对地面进行开槽、走线、盖板等处理，要求地面平整，盖板坚固耐磨。</w:t>
            </w:r>
          </w:p>
        </w:tc>
      </w:tr>
    </w:tbl>
    <w:p w14:paraId="1198F8F6">
      <w:pPr>
        <w:spacing w:line="56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（2）商务要求</w:t>
      </w:r>
    </w:p>
    <w:p w14:paraId="2C40E016">
      <w:pPr>
        <w:autoSpaceDE w:val="0"/>
        <w:autoSpaceDN w:val="0"/>
        <w:adjustRightInd w:val="0"/>
        <w:spacing w:line="360" w:lineRule="auto"/>
        <w:ind w:firstLine="480" w:firstLineChars="200"/>
        <w:rPr>
          <w:rFonts w:hint="default" w:eastAsia="宋体"/>
          <w:color w:val="000000"/>
          <w:sz w:val="24"/>
          <w:highlight w:val="none"/>
          <w:lang w:val="en-US" w:eastAsia="zh-CN"/>
        </w:rPr>
      </w:pPr>
      <w:r>
        <w:rPr>
          <w:rFonts w:hint="eastAsia"/>
          <w:color w:val="000000"/>
          <w:sz w:val="24"/>
          <w:highlight w:val="none"/>
        </w:rPr>
        <w:t>（一）报价要求</w:t>
      </w:r>
      <w:r>
        <w:rPr>
          <w:rFonts w:hint="eastAsia"/>
          <w:color w:val="000000"/>
          <w:sz w:val="24"/>
          <w:highlight w:val="none"/>
          <w:lang w:val="en-US" w:eastAsia="zh-CN"/>
        </w:rPr>
        <w:t xml:space="preserve">   </w:t>
      </w:r>
    </w:p>
    <w:p w14:paraId="344E31C8">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1. 投标报价以人民币填列。</w:t>
      </w:r>
    </w:p>
    <w:p w14:paraId="3F916FD8">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2. 投标人的报价应包括：货款、运输费、运输保险费、装卸费、安装调试费</w:t>
      </w:r>
      <w:r>
        <w:rPr>
          <w:rFonts w:hint="eastAsia"/>
          <w:color w:val="000000"/>
          <w:sz w:val="24"/>
          <w:highlight w:val="none"/>
          <w:lang w:eastAsia="zh-CN"/>
        </w:rPr>
        <w:t>、</w:t>
      </w:r>
      <w:r>
        <w:rPr>
          <w:rFonts w:hint="eastAsia" w:ascii="宋体" w:hAnsi="宋体" w:eastAsia="宋体" w:cs="宋体"/>
          <w:color w:val="auto"/>
          <w:sz w:val="24"/>
          <w:szCs w:val="24"/>
          <w:lang w:eastAsia="zh-CN"/>
        </w:rPr>
        <w:t>与现有系统的所有对接费用</w:t>
      </w:r>
      <w:r>
        <w:rPr>
          <w:rFonts w:hint="eastAsia"/>
          <w:color w:val="000000"/>
          <w:sz w:val="24"/>
          <w:highlight w:val="none"/>
        </w:rPr>
        <w:t>及利润税金等为完成招标文件规定的全部要求所需的一切费用。投标人所报价格为货到现场安装调试完成的最终优惠价格。</w:t>
      </w:r>
    </w:p>
    <w:p w14:paraId="46436BD0">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3. 验收及相关费用由投标人负责。</w:t>
      </w:r>
    </w:p>
    <w:p w14:paraId="039E156E">
      <w:pPr>
        <w:spacing w:line="360" w:lineRule="auto"/>
        <w:ind w:firstLine="480" w:firstLineChars="200"/>
        <w:outlineLvl w:val="0"/>
        <w:rPr>
          <w:sz w:val="24"/>
          <w:highlight w:val="none"/>
        </w:rPr>
      </w:pPr>
      <w:r>
        <w:rPr>
          <w:rFonts w:hint="eastAsia"/>
          <w:sz w:val="24"/>
          <w:highlight w:val="none"/>
        </w:rPr>
        <w:t>（二）服务要求</w:t>
      </w:r>
    </w:p>
    <w:p w14:paraId="19952C0F">
      <w:pPr>
        <w:spacing w:line="360" w:lineRule="auto"/>
        <w:ind w:firstLine="480" w:firstLineChars="200"/>
        <w:outlineLvl w:val="0"/>
        <w:rPr>
          <w:rFonts w:hint="eastAsia"/>
          <w:sz w:val="24"/>
          <w:highlight w:val="none"/>
        </w:rPr>
      </w:pPr>
      <w:r>
        <w:rPr>
          <w:rFonts w:hint="eastAsia"/>
          <w:sz w:val="24"/>
          <w:highlight w:val="none"/>
        </w:rPr>
        <w:t xml:space="preserve">1. </w:t>
      </w:r>
      <w:r>
        <w:rPr>
          <w:rFonts w:hint="eastAsia"/>
          <w:sz w:val="24"/>
          <w:highlight w:val="none"/>
          <w:lang w:val="en-US" w:eastAsia="zh-CN"/>
        </w:rPr>
        <w:t>提供所投产品三年的免费上门保修，终身维修，</w:t>
      </w:r>
      <w:r>
        <w:rPr>
          <w:rFonts w:hint="eastAsia"/>
          <w:sz w:val="24"/>
          <w:highlight w:val="none"/>
        </w:rPr>
        <w:t>质保期从项目验收合格之日算起</w:t>
      </w:r>
      <w:r>
        <w:rPr>
          <w:rFonts w:hint="eastAsia"/>
          <w:sz w:val="24"/>
          <w:highlight w:val="none"/>
          <w:lang w:eastAsia="zh-CN"/>
        </w:rPr>
        <w:t>。</w:t>
      </w:r>
      <w:r>
        <w:rPr>
          <w:rFonts w:hint="eastAsia"/>
          <w:sz w:val="24"/>
          <w:highlight w:val="none"/>
        </w:rPr>
        <w:t>保修期内免费更换零配件，7×24小时技术响应，</w:t>
      </w:r>
      <w:r>
        <w:rPr>
          <w:rFonts w:hint="eastAsia"/>
          <w:sz w:val="24"/>
          <w:highlight w:val="none"/>
          <w:lang w:val="en-US" w:eastAsia="zh-CN"/>
        </w:rPr>
        <w:t>24</w:t>
      </w:r>
      <w:r>
        <w:rPr>
          <w:rFonts w:hint="eastAsia"/>
          <w:sz w:val="24"/>
          <w:highlight w:val="none"/>
        </w:rPr>
        <w:t>小时内维修工程师到达维修现场。</w:t>
      </w:r>
    </w:p>
    <w:p w14:paraId="18AB9BD8">
      <w:pPr>
        <w:spacing w:line="360" w:lineRule="auto"/>
        <w:ind w:firstLine="480" w:firstLineChars="200"/>
        <w:outlineLvl w:val="0"/>
        <w:rPr>
          <w:rFonts w:hint="eastAsia"/>
          <w:sz w:val="24"/>
          <w:highlight w:val="none"/>
        </w:rPr>
      </w:pPr>
      <w:r>
        <w:rPr>
          <w:rFonts w:hint="eastAsia"/>
          <w:sz w:val="24"/>
          <w:highlight w:val="none"/>
          <w:lang w:val="en-US" w:eastAsia="zh-CN"/>
        </w:rPr>
        <w:t>2</w:t>
      </w:r>
      <w:r>
        <w:rPr>
          <w:rFonts w:hint="eastAsia"/>
          <w:sz w:val="24"/>
          <w:highlight w:val="none"/>
        </w:rPr>
        <w:t>. 提供原厂标准的易耗品、消耗材料价格清单及折扣率，保修期后设备维修的价格清单及折扣率。</w:t>
      </w:r>
    </w:p>
    <w:p w14:paraId="46707CF7">
      <w:pPr>
        <w:spacing w:line="360" w:lineRule="auto"/>
        <w:ind w:firstLine="480" w:firstLineChars="200"/>
        <w:outlineLvl w:val="0"/>
        <w:rPr>
          <w:sz w:val="24"/>
          <w:highlight w:val="none"/>
        </w:rPr>
      </w:pPr>
      <w:r>
        <w:rPr>
          <w:rFonts w:hint="eastAsia"/>
          <w:sz w:val="24"/>
          <w:highlight w:val="none"/>
          <w:lang w:val="en-US" w:eastAsia="zh-CN"/>
        </w:rPr>
        <w:t>3</w:t>
      </w:r>
      <w:r>
        <w:rPr>
          <w:rFonts w:hint="eastAsia"/>
          <w:sz w:val="24"/>
          <w:highlight w:val="none"/>
        </w:rPr>
        <w:t>. 中标供应商</w:t>
      </w:r>
      <w:r>
        <w:rPr>
          <w:rFonts w:hint="eastAsia"/>
        </w:rPr>
        <w:t>负责对采购人的技术人员、操作人员、维修人员进行产品的操作、维护、常用技术知识进行技术培训，使培训的操作人员按操作规程能够独立操作，培训人数按照用户需求而定。</w:t>
      </w:r>
    </w:p>
    <w:p w14:paraId="7879EEA1">
      <w:pPr>
        <w:spacing w:line="360" w:lineRule="auto"/>
        <w:ind w:firstLine="480" w:firstLineChars="200"/>
        <w:outlineLvl w:val="0"/>
        <w:rPr>
          <w:rFonts w:hint="eastAsia"/>
          <w:sz w:val="24"/>
          <w:highlight w:val="none"/>
        </w:rPr>
      </w:pPr>
      <w:r>
        <w:rPr>
          <w:rFonts w:hint="eastAsia"/>
          <w:sz w:val="24"/>
          <w:highlight w:val="none"/>
          <w:lang w:val="en-US" w:eastAsia="zh-CN"/>
        </w:rPr>
        <w:t>4</w:t>
      </w:r>
      <w:r>
        <w:rPr>
          <w:rFonts w:hint="eastAsia"/>
          <w:sz w:val="24"/>
          <w:highlight w:val="none"/>
        </w:rPr>
        <w:t>. 中标供应商</w:t>
      </w:r>
      <w:r>
        <w:rPr>
          <w:rFonts w:hint="eastAsia"/>
          <w:sz w:val="24"/>
          <w:highlight w:val="none"/>
          <w:lang w:val="en-US" w:eastAsia="zh-CN"/>
        </w:rPr>
        <w:t>负责设备及系统的整体安装调试与对接工作，并应承诺所提供的阅览灯等设备及管理系统能与本馆现有管理系统进行无缝对接，实现联动。</w:t>
      </w:r>
    </w:p>
    <w:p w14:paraId="60DC06F5">
      <w:pPr>
        <w:pStyle w:val="2"/>
        <w:rPr>
          <w:rFonts w:hint="eastAsia"/>
          <w:sz w:val="24"/>
          <w:highlight w:val="none"/>
        </w:rPr>
      </w:pPr>
      <w:r>
        <w:rPr>
          <w:rFonts w:hint="eastAsia"/>
          <w:sz w:val="24"/>
          <w:highlight w:val="none"/>
          <w:lang w:val="en-US" w:eastAsia="zh-CN"/>
        </w:rPr>
        <w:t>5</w:t>
      </w:r>
      <w:r>
        <w:rPr>
          <w:rFonts w:hint="eastAsia"/>
          <w:sz w:val="24"/>
          <w:highlight w:val="none"/>
        </w:rPr>
        <w:t>.  本项目为交钥匙工程，中标供应商需完成投标文件的全部内容，需方不再支付任何其他费用。</w:t>
      </w:r>
    </w:p>
    <w:p w14:paraId="3772ED76">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（三）交货要求</w:t>
      </w:r>
    </w:p>
    <w:p w14:paraId="73BAE14A">
      <w:pPr>
        <w:autoSpaceDE w:val="0"/>
        <w:autoSpaceDN w:val="0"/>
        <w:adjustRightInd w:val="0"/>
        <w:spacing w:line="360" w:lineRule="auto"/>
        <w:ind w:firstLine="480" w:firstLineChars="200"/>
        <w:rPr>
          <w:sz w:val="24"/>
          <w:highlight w:val="none"/>
        </w:rPr>
      </w:pPr>
      <w:r>
        <w:rPr>
          <w:rFonts w:hint="eastAsia"/>
          <w:sz w:val="24"/>
          <w:highlight w:val="none"/>
        </w:rPr>
        <w:t>1. 交货期：</w:t>
      </w:r>
    </w:p>
    <w:p w14:paraId="088C5328">
      <w:pPr>
        <w:autoSpaceDE w:val="0"/>
        <w:autoSpaceDN w:val="0"/>
        <w:adjustRightInd w:val="0"/>
        <w:spacing w:line="360" w:lineRule="auto"/>
        <w:ind w:firstLine="480" w:firstLineChars="200"/>
        <w:rPr>
          <w:sz w:val="24"/>
          <w:highlight w:val="none"/>
        </w:rPr>
      </w:pPr>
      <w:r>
        <w:rPr>
          <w:rFonts w:hint="eastAsia"/>
          <w:sz w:val="24"/>
          <w:highlight w:val="none"/>
        </w:rPr>
        <w:t>货到时间：签订合同之日起</w:t>
      </w:r>
      <w:r>
        <w:rPr>
          <w:rFonts w:hint="eastAsia"/>
          <w:sz w:val="24"/>
          <w:highlight w:val="none"/>
          <w:lang w:val="en-US" w:eastAsia="zh-CN"/>
        </w:rPr>
        <w:t>30</w:t>
      </w:r>
      <w:r>
        <w:rPr>
          <w:rFonts w:hint="eastAsia"/>
          <w:sz w:val="24"/>
          <w:highlight w:val="none"/>
        </w:rPr>
        <w:t>日内（特殊情况以合同为准）。</w:t>
      </w:r>
    </w:p>
    <w:p w14:paraId="22CD61A5">
      <w:pPr>
        <w:autoSpaceDE w:val="0"/>
        <w:autoSpaceDN w:val="0"/>
        <w:adjustRightInd w:val="0"/>
        <w:spacing w:line="360" w:lineRule="auto"/>
        <w:ind w:firstLine="480" w:firstLineChars="200"/>
        <w:rPr>
          <w:sz w:val="24"/>
          <w:highlight w:val="none"/>
        </w:rPr>
      </w:pPr>
      <w:r>
        <w:rPr>
          <w:rFonts w:hint="eastAsia"/>
          <w:sz w:val="24"/>
          <w:highlight w:val="none"/>
        </w:rPr>
        <w:t>安装调试完成：货到之日起30日内（特殊情况以合同为准）。</w:t>
      </w:r>
    </w:p>
    <w:p w14:paraId="249ECB43">
      <w:pPr>
        <w:autoSpaceDE w:val="0"/>
        <w:autoSpaceDN w:val="0"/>
        <w:adjustRightInd w:val="0"/>
        <w:spacing w:line="360" w:lineRule="auto"/>
        <w:ind w:firstLine="480" w:firstLineChars="200"/>
        <w:rPr>
          <w:sz w:val="24"/>
          <w:highlight w:val="none"/>
        </w:rPr>
      </w:pPr>
      <w:r>
        <w:rPr>
          <w:rFonts w:hint="eastAsia"/>
          <w:sz w:val="24"/>
          <w:highlight w:val="none"/>
        </w:rPr>
        <w:t>2. 交货地点：天津市</w:t>
      </w:r>
      <w:r>
        <w:rPr>
          <w:rFonts w:hint="eastAsia"/>
          <w:sz w:val="24"/>
          <w:highlight w:val="none"/>
          <w:lang w:val="en-US" w:eastAsia="zh-CN"/>
        </w:rPr>
        <w:t>北辰区光荣道409号天津商业大学图书馆</w:t>
      </w:r>
      <w:r>
        <w:rPr>
          <w:rFonts w:hint="eastAsia"/>
          <w:sz w:val="24"/>
          <w:highlight w:val="none"/>
        </w:rPr>
        <w:t>（特殊情况以合同为准）。</w:t>
      </w:r>
    </w:p>
    <w:p w14:paraId="551C0EB4">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3. 提供制造商完整的随机资料，包括完整的使用和维修手册等。</w:t>
      </w:r>
    </w:p>
    <w:p w14:paraId="0BC464B3">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07F0D34E">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（四）付款方式</w:t>
      </w:r>
    </w:p>
    <w:p w14:paraId="05BEAA68">
      <w:pPr>
        <w:tabs>
          <w:tab w:val="left" w:pos="360"/>
        </w:tabs>
        <w:snapToGrid w:val="0"/>
        <w:spacing w:line="480" w:lineRule="exact"/>
        <w:ind w:firstLine="480" w:firstLineChars="200"/>
        <w:jc w:val="left"/>
        <w:rPr>
          <w:sz w:val="24"/>
          <w:highlight w:val="none"/>
        </w:rPr>
      </w:pPr>
      <w:r>
        <w:rPr>
          <w:rFonts w:hint="eastAsia" w:ascii="宋体" w:hAnsi="宋体" w:cs="宋体"/>
          <w:sz w:val="24"/>
          <w:szCs w:val="24"/>
        </w:rPr>
        <w:t>自合同签订之日起，10个工作日内支付合同款的30%，所有货物安装调试使用无质量问题，并验收合格后，10个工作日内支付合同款的70%。</w:t>
      </w:r>
      <w:r>
        <w:rPr>
          <w:rFonts w:hint="eastAsia"/>
          <w:sz w:val="24"/>
        </w:rPr>
        <w:t>同时签订合同后1</w:t>
      </w:r>
      <w:r>
        <w:rPr>
          <w:rFonts w:hint="eastAsia"/>
          <w:sz w:val="24"/>
          <w:lang w:val="en-US" w:eastAsia="zh-CN"/>
        </w:rPr>
        <w:t>0</w:t>
      </w:r>
      <w:r>
        <w:rPr>
          <w:rFonts w:hint="eastAsia"/>
          <w:sz w:val="24"/>
        </w:rPr>
        <w:t>个工作日内供方需按照合同总额的10%向需方缴纳履约保证金，履约保证金可采取银行保函、支票、汇票、本票等非现金形式，履约保证金</w:t>
      </w:r>
      <w:r>
        <w:rPr>
          <w:rFonts w:hint="eastAsia" w:ascii="宋体" w:hAnsi="宋体" w:cs="宋体"/>
          <w:sz w:val="24"/>
          <w:szCs w:val="24"/>
        </w:rPr>
        <w:t>期限自合同生效之日起，至项目验收合格满一年，且需方出具运行一年无问题的报告后30日内无息返还。</w:t>
      </w:r>
    </w:p>
    <w:p w14:paraId="65F6DAD2">
      <w:pPr>
        <w:autoSpaceDE w:val="0"/>
        <w:autoSpaceDN w:val="0"/>
        <w:adjustRightInd w:val="0"/>
        <w:spacing w:line="360" w:lineRule="auto"/>
        <w:ind w:firstLine="480" w:firstLineChars="200"/>
        <w:rPr>
          <w:color w:val="000000"/>
          <w:sz w:val="24"/>
          <w:highlight w:val="none"/>
        </w:rPr>
      </w:pPr>
      <w:r>
        <w:rPr>
          <w:rFonts w:hint="eastAsia"/>
          <w:color w:val="000000"/>
          <w:sz w:val="24"/>
          <w:highlight w:val="none"/>
        </w:rPr>
        <w:t>（</w:t>
      </w:r>
      <w:r>
        <w:rPr>
          <w:rFonts w:hint="eastAsia"/>
          <w:color w:val="000000"/>
          <w:sz w:val="24"/>
          <w:highlight w:val="none"/>
          <w:lang w:val="en-US" w:eastAsia="zh-CN"/>
        </w:rPr>
        <w:t>五</w:t>
      </w:r>
      <w:r>
        <w:rPr>
          <w:rFonts w:hint="eastAsia"/>
          <w:color w:val="000000"/>
          <w:sz w:val="24"/>
          <w:highlight w:val="none"/>
        </w:rPr>
        <w:t>）验收方法及标准</w:t>
      </w:r>
    </w:p>
    <w:p w14:paraId="1AE20CD1">
      <w:pPr>
        <w:autoSpaceDE w:val="0"/>
        <w:autoSpaceDN w:val="0"/>
        <w:adjustRightInd w:val="0"/>
        <w:spacing w:line="360" w:lineRule="auto"/>
        <w:ind w:firstLine="480" w:firstLineChars="200"/>
        <w:rPr>
          <w:rFonts w:hint="eastAsia"/>
          <w:sz w:val="24"/>
          <w:highlight w:val="none"/>
        </w:rPr>
      </w:pPr>
      <w:r>
        <w:rPr>
          <w:rFonts w:hint="eastAsia"/>
          <w:sz w:val="24"/>
          <w:highlight w:val="none"/>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2BAE0FC5">
      <w:pPr>
        <w:autoSpaceDE w:val="0"/>
        <w:autoSpaceDN w:val="0"/>
        <w:adjustRightInd w:val="0"/>
        <w:spacing w:line="360" w:lineRule="auto"/>
        <w:ind w:firstLine="480" w:firstLineChars="200"/>
        <w:rPr>
          <w:rFonts w:hint="eastAsia"/>
          <w:sz w:val="24"/>
          <w:highlight w:val="none"/>
        </w:rPr>
      </w:pPr>
    </w:p>
    <w:bookmarkEnd w:id="0"/>
    <w:p w14:paraId="119551A8">
      <w:pPr>
        <w:rPr>
          <w:rFonts w:hint="eastAsia" w:ascii="仿宋_GB2312" w:eastAsia="仿宋_GB2312"/>
          <w:color w:val="000000"/>
          <w:sz w:val="32"/>
          <w:szCs w:val="32"/>
        </w:rPr>
      </w:pPr>
      <w:bookmarkStart w:id="1" w:name="_GoBack"/>
      <w:bookmarkEnd w:id="1"/>
    </w:p>
    <w:sectPr>
      <w:footerReference r:id="rId3" w:type="default"/>
      <w:footerReference r:id="rId4"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rif">
    <w:altName w:val="Arial Unicode MS"/>
    <w:panose1 w:val="00000000000000000000"/>
    <w:charset w:val="00"/>
    <w:family w:val="auto"/>
    <w:pitch w:val="default"/>
    <w:sig w:usb0="00000000" w:usb1="00000000" w:usb2="00000000" w:usb3="00000000" w:csb0="00040001" w:csb1="00000000"/>
  </w:font>
  <w:font w:name="GWZT-EN">
    <w:altName w:val="宋体"/>
    <w:panose1 w:val="02020400000000000000"/>
    <w:charset w:val="86"/>
    <w:family w:val="auto"/>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C75D3599-261C-450A-AE2C-3495DE94327B}"/>
  </w:font>
  <w:font w:name="仿宋_GB2312">
    <w:panose1 w:val="02010609030101010101"/>
    <w:charset w:val="86"/>
    <w:family w:val="modern"/>
    <w:pitch w:val="default"/>
    <w:sig w:usb0="00000001" w:usb1="080E0000" w:usb2="00000000" w:usb3="00000000" w:csb0="00040000" w:csb1="00000000"/>
    <w:embedRegular r:id="rId2" w:fontKey="{8525C37B-3093-4A92-B768-BD8C3E030DFC}"/>
  </w:font>
  <w:font w:name="楷体">
    <w:panose1 w:val="02010609060101010101"/>
    <w:charset w:val="86"/>
    <w:family w:val="modern"/>
    <w:pitch w:val="default"/>
    <w:sig w:usb0="800002BF" w:usb1="38CF7CFA" w:usb2="00000016" w:usb3="00000000" w:csb0="00040001" w:csb1="00000000"/>
    <w:embedRegular r:id="rId3" w:fontKey="{F23E235D-BE08-4F97-B657-9F804A3EC01F}"/>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A66ED">
    <w:pPr>
      <w:pStyle w:val="5"/>
      <w:framePr w:wrap="around" w:vAnchor="text" w:hAnchor="margin" w:xAlign="outside" w:y="1"/>
      <w:rPr>
        <w:rStyle w:val="11"/>
        <w:rFonts w:hint="eastAsia" w:ascii="宋体" w:hAnsi="宋体"/>
        <w:sz w:val="28"/>
        <w:szCs w:val="2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33</w:t>
    </w:r>
    <w:r>
      <w:rPr>
        <w:rFonts w:ascii="宋体" w:hAnsi="宋体"/>
        <w:sz w:val="28"/>
        <w:szCs w:val="28"/>
      </w:rPr>
      <w:fldChar w:fldCharType="end"/>
    </w:r>
    <w:r>
      <w:rPr>
        <w:rStyle w:val="11"/>
        <w:rFonts w:hint="eastAsia" w:ascii="宋体" w:hAnsi="宋体"/>
        <w:sz w:val="28"/>
        <w:szCs w:val="28"/>
      </w:rPr>
      <w:t xml:space="preserve"> — </w:t>
    </w:r>
  </w:p>
  <w:p w14:paraId="59A4C0B7">
    <w:pPr>
      <w:pStyle w:val="5"/>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B5F79">
    <w:pPr>
      <w:pStyle w:val="5"/>
      <w:framePr w:wrap="around" w:vAnchor="text" w:hAnchor="margin" w:xAlign="outside" w:y="1"/>
      <w:rPr>
        <w:rStyle w:val="11"/>
        <w:rFonts w:ascii="宋体" w:hAnsi="宋体"/>
        <w:sz w:val="28"/>
        <w:szCs w:val="2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32</w:t>
    </w:r>
    <w:r>
      <w:rPr>
        <w:rFonts w:ascii="宋体" w:hAnsi="宋体"/>
        <w:sz w:val="28"/>
        <w:szCs w:val="28"/>
      </w:rPr>
      <w:fldChar w:fldCharType="end"/>
    </w:r>
    <w:r>
      <w:rPr>
        <w:rStyle w:val="11"/>
        <w:rFonts w:hint="eastAsia" w:ascii="宋体" w:hAnsi="宋体"/>
        <w:sz w:val="28"/>
        <w:szCs w:val="28"/>
      </w:rPr>
      <w:t xml:space="preserve"> —</w:t>
    </w:r>
  </w:p>
  <w:p w14:paraId="41B2CBBA">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77"/>
    <w:rsid w:val="00021224"/>
    <w:rsid w:val="000311FD"/>
    <w:rsid w:val="00154DF5"/>
    <w:rsid w:val="00175816"/>
    <w:rsid w:val="0017709A"/>
    <w:rsid w:val="001A6F93"/>
    <w:rsid w:val="001C5914"/>
    <w:rsid w:val="002678A2"/>
    <w:rsid w:val="002964A8"/>
    <w:rsid w:val="00321278"/>
    <w:rsid w:val="00427428"/>
    <w:rsid w:val="004978DB"/>
    <w:rsid w:val="004A0291"/>
    <w:rsid w:val="00506D54"/>
    <w:rsid w:val="005545EC"/>
    <w:rsid w:val="00595137"/>
    <w:rsid w:val="00601EDD"/>
    <w:rsid w:val="006F0877"/>
    <w:rsid w:val="00721F76"/>
    <w:rsid w:val="0080466B"/>
    <w:rsid w:val="00814F5F"/>
    <w:rsid w:val="00823618"/>
    <w:rsid w:val="00840D73"/>
    <w:rsid w:val="0087065E"/>
    <w:rsid w:val="0089598D"/>
    <w:rsid w:val="00A12CC4"/>
    <w:rsid w:val="00A63E98"/>
    <w:rsid w:val="00CB7952"/>
    <w:rsid w:val="00CD2662"/>
    <w:rsid w:val="00CD725F"/>
    <w:rsid w:val="00D3294B"/>
    <w:rsid w:val="00EB34AE"/>
    <w:rsid w:val="00FC3796"/>
    <w:rsid w:val="02C2110E"/>
    <w:rsid w:val="032E15F5"/>
    <w:rsid w:val="07CE79B1"/>
    <w:rsid w:val="07E06245"/>
    <w:rsid w:val="08744C38"/>
    <w:rsid w:val="0BBC1FB1"/>
    <w:rsid w:val="1254771D"/>
    <w:rsid w:val="173E1742"/>
    <w:rsid w:val="17C362EA"/>
    <w:rsid w:val="1DCB9AB2"/>
    <w:rsid w:val="22EB2532"/>
    <w:rsid w:val="2AB37805"/>
    <w:rsid w:val="386341A5"/>
    <w:rsid w:val="3BFF4BD0"/>
    <w:rsid w:val="3C447E49"/>
    <w:rsid w:val="3FF74091"/>
    <w:rsid w:val="42F97B4F"/>
    <w:rsid w:val="44CF30AD"/>
    <w:rsid w:val="4CC808C5"/>
    <w:rsid w:val="4F8E345D"/>
    <w:rsid w:val="5EA031AD"/>
    <w:rsid w:val="67FB72EE"/>
    <w:rsid w:val="7B0A70A4"/>
    <w:rsid w:val="7DAD3272"/>
    <w:rsid w:val="7FBBB80F"/>
    <w:rsid w:val="D8DD4955"/>
    <w:rsid w:val="ED4F43D5"/>
    <w:rsid w:val="EFF3ED88"/>
    <w:rsid w:val="FFDAB3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ind w:firstLine="1648" w:firstLineChars="200"/>
    </w:pPr>
    <w:rPr>
      <w:sz w:val="32"/>
    </w:r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Strong"/>
    <w:qFormat/>
    <w:uiPriority w:val="0"/>
    <w:rPr>
      <w:b/>
    </w:rPr>
  </w:style>
  <w:style w:type="character" w:styleId="11">
    <w:name w:val="page number"/>
    <w:qFormat/>
    <w:uiPriority w:val="0"/>
  </w:style>
  <w:style w:type="character" w:styleId="12">
    <w:name w:val="FollowedHyperlink"/>
    <w:qFormat/>
    <w:uiPriority w:val="0"/>
    <w:rPr>
      <w:color w:val="800080"/>
      <w:u w:val="none"/>
    </w:rPr>
  </w:style>
  <w:style w:type="character" w:styleId="13">
    <w:name w:val="HTML Definition"/>
    <w:qFormat/>
    <w:uiPriority w:val="0"/>
    <w:rPr>
      <w:i/>
    </w:rPr>
  </w:style>
  <w:style w:type="character" w:styleId="14">
    <w:name w:val="Hyperlink"/>
    <w:qFormat/>
    <w:uiPriority w:val="0"/>
    <w:rPr>
      <w:color w:val="0000FF"/>
      <w:u w:val="none"/>
    </w:rPr>
  </w:style>
  <w:style w:type="character" w:styleId="15">
    <w:name w:val="HTML Code"/>
    <w:qFormat/>
    <w:uiPriority w:val="0"/>
    <w:rPr>
      <w:rFonts w:ascii="serif" w:hAnsi="serif" w:eastAsia="serif" w:cs="serif"/>
      <w:sz w:val="21"/>
      <w:szCs w:val="21"/>
    </w:rPr>
  </w:style>
  <w:style w:type="character" w:styleId="16">
    <w:name w:val="HTML Keyboard"/>
    <w:qFormat/>
    <w:uiPriority w:val="0"/>
    <w:rPr>
      <w:rFonts w:hint="default" w:ascii="serif" w:hAnsi="serif" w:eastAsia="serif" w:cs="serif"/>
      <w:sz w:val="21"/>
      <w:szCs w:val="21"/>
    </w:rPr>
  </w:style>
  <w:style w:type="character" w:styleId="17">
    <w:name w:val="HTML Sample"/>
    <w:qFormat/>
    <w:uiPriority w:val="0"/>
    <w:rPr>
      <w:rFonts w:hint="default" w:ascii="serif" w:hAnsi="serif" w:eastAsia="serif" w:cs="serif"/>
      <w:sz w:val="21"/>
      <w:szCs w:val="21"/>
    </w:rPr>
  </w:style>
  <w:style w:type="character" w:customStyle="1" w:styleId="18">
    <w:name w:val="页脚 字符"/>
    <w:link w:val="5"/>
    <w:qFormat/>
    <w:uiPriority w:val="99"/>
    <w:rPr>
      <w:kern w:val="2"/>
      <w:sz w:val="18"/>
      <w:szCs w:val="18"/>
    </w:rPr>
  </w:style>
  <w:style w:type="character" w:customStyle="1" w:styleId="19">
    <w:name w:val="first-child"/>
    <w:qFormat/>
    <w:uiPriority w:val="0"/>
  </w:style>
  <w:style w:type="character" w:customStyle="1" w:styleId="20">
    <w:name w:val="required"/>
    <w:qFormat/>
    <w:uiPriority w:val="0"/>
    <w:rPr>
      <w:color w:val="FF0000"/>
    </w:rPr>
  </w:style>
  <w:style w:type="character" w:customStyle="1" w:styleId="21">
    <w:name w:val="first-child1"/>
    <w:qFormat/>
    <w:uiPriority w:val="0"/>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5</Pages>
  <Words>4218</Words>
  <Characters>5044</Characters>
  <Lines>87</Lines>
  <Paragraphs>24</Paragraphs>
  <TotalTime>0</TotalTime>
  <ScaleCrop>false</ScaleCrop>
  <LinksUpToDate>false</LinksUpToDate>
  <CharactersWithSpaces>5169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2021-07-24T09:23:00Z</dcterms:created>
  <dc:creator>MC SYSTEM</dc:creator>
  <cp:lastModifiedBy>Lin</cp:lastModifiedBy>
  <cp:lastPrinted>2021-07-24T09:17:00Z</cp:lastPrinted>
  <dcterms:modified xsi:type="dcterms:W3CDTF">2025-11-10T08:37:10Z</dcterms:modified>
  <dc:title>厦财采〔2021〕9号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7A2FD6F2BD5345AE998B9EE981CA4777_13</vt:lpwstr>
  </property>
  <property fmtid="{D5CDD505-2E9C-101B-9397-08002B2CF9AE}" pid="4" name="KSOTemplateDocerSaveRecord">
    <vt:lpwstr>eyJoZGlkIjoiNzJiNWQ2NDYxNjMyZjMyNjg5NzU4Mzk3MzM0YTk1ODQiLCJ1c2VySWQiOiI2NzI5MTcyNDcifQ==</vt:lpwstr>
  </property>
</Properties>
</file>