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221" w:tblpY="442"/>
        <w:tblOverlap w:val="never"/>
        <w:tblW w:w="98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cs="宋体" w:hAnsiTheme="minorHAnsi"/>
                <w:kern w:val="0"/>
                <w:sz w:val="24"/>
              </w:rPr>
            </w:pPr>
            <w:r>
              <w:rPr>
                <w:rFonts w:hint="eastAsia" w:ascii="宋体" w:cs="宋体" w:hAnsiTheme="minorHAnsi"/>
                <w:kern w:val="0"/>
                <w:sz w:val="24"/>
              </w:rPr>
              <w:t>天津万恒汽车贸易有限公司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539500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539500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82.1659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cs="宋体" w:hAnsiTheme="minorHAnsi"/>
                <w:kern w:val="0"/>
                <w:sz w:val="24"/>
              </w:rPr>
            </w:pPr>
            <w:r>
              <w:rPr>
                <w:rFonts w:hint="eastAsia" w:ascii="宋体" w:cs="宋体" w:hAnsiTheme="minorHAnsi"/>
                <w:kern w:val="0"/>
                <w:sz w:val="24"/>
              </w:rPr>
              <w:t>天津华鹏佳合汽车销售服务有限公司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524500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524500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64.5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天津兴意隆汽车销售有限公司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539600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539600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37.3605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天津市闽鑫机电设备有限公司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539400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539400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35.9713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CE6D4A"/>
    <w:rsid w:val="7ECE6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2026-02-06T07:06:00Z</dcterms:created>
  <dc:creator>公共资源交易3</dc:creator>
  <cp:lastModifiedBy>公共资源交易3</cp:lastModifiedBy>
  <dcterms:modified xsi:type="dcterms:W3CDTF">2026-02-06T07:06:28Z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