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3F789">
      <w:pPr>
        <w:rPr>
          <w:rFonts w:eastAsia="仿宋_GB2312"/>
          <w:sz w:val="84"/>
        </w:rPr>
      </w:pPr>
    </w:p>
    <w:p w14:paraId="7D85ACBD">
      <w:pPr>
        <w:ind w:right="105"/>
        <w:jc w:val="right"/>
        <w:rPr>
          <w:rFonts w:eastAsia="黑体"/>
          <w:b/>
          <w:spacing w:val="40"/>
          <w:w w:val="66"/>
          <w:sz w:val="60"/>
          <w:szCs w:val="60"/>
        </w:rPr>
      </w:pPr>
      <w:r>
        <w:rPr>
          <w:rFonts w:hint="eastAsia" w:eastAsia="黑体"/>
          <w:b/>
          <w:spacing w:val="40"/>
          <w:w w:val="66"/>
          <w:sz w:val="60"/>
          <w:szCs w:val="60"/>
        </w:rPr>
        <w:t>天津市社会保险基金管理中心选择城乡养老保险基金支出账户项目</w:t>
      </w: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252095" cy="0"/>
                <wp:effectExtent l="0" t="95250" r="14605"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7.4pt;height:0pt;width:19.85pt;z-index:251659264;mso-width-relative:page;mso-height-relative:page;" filled="f" stroked="t" coordsize="21600,21600" o:gfxdata="UEsDBAoAAAAAAIdO4kAAAAAAAAAAAAAAAAAEAAAAZHJzL1BLAwQUAAAACACHTuJAZSJya9UAAAAI&#10;AQAADwAAAGRycy9kb3ducmV2LnhtbE2PMU/DMBCFdyT+g3VIbK2d0CIa4lSiEguwNIWhmxsfSYR9&#10;jmK3Df+eQwx0fLpP775XrifvxAnH2AfSkM0VCKQm2J5aDe+759kDiJgMWeMCoYZvjLCurq9KU9hw&#10;pi2e6tQKLqFYGA1dSkMhZWw69CbOw4DEt88wepM4jq20ozlzuXcyV+peetMTf+jMgJsOm6/66DV8&#10;PC1dvt/IqXnZvZncbn39Gr3WtzeZegSRcEr/MPzqszpU7HQIR7JROA2zbHXHqIblgicwkKsFiMNf&#10;llUpLwdUP1BLAwQUAAAACACHTuJA7alW3OkBAACrAwAADgAAAGRycy9lMm9Eb2MueG1srVPNbhMx&#10;EL4j8Q6W72Q3KanIKptKTVQuBSq1PIDj9WYtbI/lcbLJS/ACSNzgxJE7b0N5DMbOD6VceuBi2Z6Z&#10;b77vG3t6sbWGbVRADa7mw0HJmXISGu1WNX9/d/XiFWcYhWuEAadqvlPIL2bPn017X6kRdGAaFRiB&#10;OKx6X/MuRl8VBcpOWYED8MpRsIVgRaRjWBVNED2hW1OMyvK86CE0PoBUiHS72Af5ATE8BRDaVku1&#10;ALm2ysU9alBGRJKEnfbIZ5lt2yoZ37UtqshMzUlpzCs1of0yrcVsKqpVEL7T8kBBPIXCI01WaEdN&#10;T1ALEQVbB/0PlNUyAEIbBxJssReSHSEVw/KRN7ed8CprIavRn0zH/wcr325uAtNNzc84c8LSwO8/&#10;ff/58cuvH59pvf/2lZ0lk3qPFeXO3U1IMuXW3fprkB+QOZh3wq1UJnu384QwTBXFXyXpgJ5aLfs3&#10;0FCOWEfIjm3bYBMkecG2eTC702DUNjJJl6PxqJyMOZPHUCGqY50PGF8rsCxtam60S5aJSmyuMSYe&#10;ojqmpGsHV9qYPHbjWE9kJ+W4LHMJgtFNCqdEDKvl3AS2EfR0Xl6eTy7HWRZFHqYFWLtm38a4g+ok&#10;dG/ZEprdTTi6QTPMfA7vLT2Sh+dc/eePzX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ZSJya9UA&#10;AAAIAQAADwAAAAAAAAABACAAAAAiAAAAZHJzL2Rvd25yZXYueG1sUEsBAhQAFAAAAAgAh07iQO2p&#10;VtzpAQAAqwMAAA4AAAAAAAAAAQAgAAAAJAEAAGRycy9lMm9Eb2MueG1sUEsFBgAAAAAGAAYAWQEA&#10;AH8FAAAAAA==&#10;">
                <v:fill on="f" focussize="0,0"/>
                <v:stroke weight="15pt" color="#4B69B5" joinstyle="round"/>
                <v:imagedata o:title=""/>
                <o:lock v:ext="edit" aspectratio="f"/>
              </v:line>
            </w:pict>
          </mc:Fallback>
        </mc:AlternateContent>
      </w:r>
    </w:p>
    <w:p w14:paraId="7354080F">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4C75F0A0">
      <w:pPr>
        <w:ind w:right="1025"/>
        <w:jc w:val="center"/>
        <w:rPr>
          <w:rFonts w:eastAsia="黑体"/>
          <w:b/>
          <w:spacing w:val="40"/>
          <w:w w:val="66"/>
          <w:sz w:val="60"/>
          <w:szCs w:val="60"/>
        </w:rPr>
      </w:pPr>
    </w:p>
    <w:p w14:paraId="7F7CF628">
      <w:pPr>
        <w:jc w:val="center"/>
        <w:rPr>
          <w:rFonts w:eastAsia="黑体"/>
          <w:b/>
          <w:spacing w:val="40"/>
          <w:w w:val="66"/>
          <w:sz w:val="15"/>
          <w:szCs w:val="15"/>
        </w:rPr>
      </w:pPr>
      <w:r>
        <w:rPr>
          <w:rFonts w:eastAsia="黑体"/>
          <w:b/>
          <w:spacing w:val="40"/>
          <w:w w:val="66"/>
          <w:sz w:val="56"/>
          <w:szCs w:val="56"/>
        </w:rPr>
        <w:t xml:space="preserve">            </w:t>
      </w:r>
    </w:p>
    <w:p w14:paraId="7DAB8AD8">
      <w:pPr>
        <w:jc w:val="center"/>
        <w:rPr>
          <w:rFonts w:eastAsia="黑体"/>
          <w:spacing w:val="40"/>
          <w:w w:val="66"/>
          <w:sz w:val="32"/>
          <w:szCs w:val="32"/>
        </w:rPr>
      </w:pPr>
      <w:r>
        <w:rPr>
          <w:rFonts w:eastAsia="黑体"/>
          <w:spacing w:val="40"/>
          <w:w w:val="66"/>
          <w:sz w:val="32"/>
          <w:szCs w:val="32"/>
        </w:rPr>
        <w:t>（项目编号：</w:t>
      </w:r>
      <w:r>
        <w:rPr>
          <w:rFonts w:hint="eastAsia" w:eastAsia="黑体"/>
          <w:spacing w:val="40"/>
          <w:w w:val="66"/>
          <w:sz w:val="32"/>
          <w:szCs w:val="32"/>
        </w:rPr>
        <w:t>TGPC-2026-D-0837</w:t>
      </w:r>
      <w:r>
        <w:rPr>
          <w:rFonts w:eastAsia="黑体"/>
          <w:spacing w:val="40"/>
          <w:w w:val="66"/>
          <w:sz w:val="32"/>
          <w:szCs w:val="32"/>
        </w:rPr>
        <w:t>）</w:t>
      </w:r>
    </w:p>
    <w:p w14:paraId="4DBF67C4">
      <w:pPr>
        <w:rPr>
          <w:sz w:val="40"/>
        </w:rPr>
      </w:pPr>
    </w:p>
    <w:p w14:paraId="297DFE50">
      <w:pPr>
        <w:rPr>
          <w:sz w:val="36"/>
        </w:rPr>
      </w:pPr>
    </w:p>
    <w:p w14:paraId="33B387CC">
      <w:pPr>
        <w:rPr>
          <w:sz w:val="36"/>
        </w:rPr>
      </w:pPr>
    </w:p>
    <w:p w14:paraId="0C39CD5A">
      <w:pPr>
        <w:rPr>
          <w:sz w:val="36"/>
        </w:rPr>
      </w:pPr>
    </w:p>
    <w:p w14:paraId="153F699B">
      <w:pPr>
        <w:rPr>
          <w:sz w:val="36"/>
        </w:rPr>
      </w:pPr>
    </w:p>
    <w:p w14:paraId="796A3286">
      <w:pPr>
        <w:rPr>
          <w:sz w:val="36"/>
        </w:rPr>
      </w:pPr>
    </w:p>
    <w:p w14:paraId="395C945B">
      <w:pPr>
        <w:rPr>
          <w:sz w:val="36"/>
        </w:rPr>
      </w:pPr>
    </w:p>
    <w:p w14:paraId="7DCD42DF">
      <w:pPr>
        <w:rPr>
          <w:sz w:val="36"/>
        </w:rPr>
      </w:pPr>
    </w:p>
    <w:p w14:paraId="3951439E">
      <w:pPr>
        <w:rPr>
          <w:sz w:val="36"/>
        </w:rPr>
      </w:pPr>
    </w:p>
    <w:p w14:paraId="5D7FF9B4">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01C84F77">
      <w:pPr>
        <w:tabs>
          <w:tab w:val="left" w:pos="3281"/>
          <w:tab w:val="center" w:pos="4711"/>
        </w:tabs>
        <w:jc w:val="center"/>
        <w:rPr>
          <w:rFonts w:hint="eastAsia" w:eastAsia="仿宋_GB2312"/>
          <w:b/>
          <w:bCs/>
          <w:kern w:val="0"/>
          <w:sz w:val="44"/>
          <w:szCs w:val="44"/>
          <w:lang w:val="en-US" w:eastAsia="zh-CN"/>
        </w:rPr>
      </w:pPr>
      <w:r>
        <w:rPr>
          <w:rFonts w:eastAsia="仿宋_GB2312"/>
          <w:b/>
          <w:bCs/>
          <w:kern w:val="0"/>
          <w:sz w:val="44"/>
          <w:szCs w:val="44"/>
        </w:rPr>
        <w:t>202</w:t>
      </w:r>
      <w:r>
        <w:rPr>
          <w:rFonts w:hint="eastAsia" w:eastAsia="仿宋_GB2312"/>
          <w:b/>
          <w:bCs/>
          <w:kern w:val="0"/>
          <w:sz w:val="44"/>
          <w:szCs w:val="44"/>
        </w:rPr>
        <w:t>6</w:t>
      </w:r>
      <w:r>
        <w:rPr>
          <w:rFonts w:eastAsia="仿宋_GB2312"/>
          <w:b/>
          <w:bCs/>
          <w:kern w:val="0"/>
          <w:sz w:val="44"/>
          <w:szCs w:val="44"/>
        </w:rPr>
        <w:t>.</w:t>
      </w:r>
      <w:r>
        <w:rPr>
          <w:rFonts w:hint="eastAsia" w:eastAsia="仿宋_GB2312"/>
          <w:b/>
          <w:bCs/>
          <w:kern w:val="0"/>
          <w:sz w:val="44"/>
          <w:szCs w:val="44"/>
          <w:lang w:val="en-US" w:eastAsia="zh-CN"/>
        </w:rPr>
        <w:t>8</w:t>
      </w:r>
    </w:p>
    <w:p w14:paraId="20925621">
      <w:pPr>
        <w:widowControl/>
        <w:jc w:val="left"/>
        <w:rPr>
          <w:rFonts w:eastAsia="仿宋_GB2312"/>
          <w:b/>
          <w:bCs/>
          <w:kern w:val="0"/>
          <w:sz w:val="44"/>
          <w:szCs w:val="44"/>
        </w:rPr>
      </w:pPr>
    </w:p>
    <w:p w14:paraId="4B7A37FD">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5FD822AC">
      <w:pPr>
        <w:ind w:firstLine="408" w:firstLineChars="100"/>
        <w:jc w:val="center"/>
        <w:rPr>
          <w:b/>
          <w:spacing w:val="20"/>
          <w:w w:val="80"/>
          <w:sz w:val="48"/>
          <w:szCs w:val="48"/>
        </w:rPr>
      </w:pPr>
      <w:r>
        <w:rPr>
          <w:b/>
          <w:spacing w:val="20"/>
          <w:w w:val="80"/>
          <w:sz w:val="48"/>
          <w:szCs w:val="48"/>
        </w:rPr>
        <w:t>目  录</w:t>
      </w:r>
    </w:p>
    <w:p w14:paraId="506EC9F4">
      <w:pPr>
        <w:spacing w:line="560" w:lineRule="exact"/>
        <w:ind w:right="-141" w:rightChars="-73"/>
        <w:rPr>
          <w:b/>
          <w:sz w:val="24"/>
        </w:rPr>
      </w:pPr>
      <w:r>
        <w:rPr>
          <w:b/>
          <w:sz w:val="24"/>
        </w:rPr>
        <w:t>第一部分  投标邀请函</w:t>
      </w:r>
    </w:p>
    <w:p w14:paraId="2B308C7A">
      <w:pPr>
        <w:spacing w:line="560" w:lineRule="exact"/>
        <w:ind w:right="-141" w:rightChars="-73"/>
        <w:rPr>
          <w:b/>
          <w:sz w:val="24"/>
        </w:rPr>
      </w:pPr>
    </w:p>
    <w:p w14:paraId="20197DE2">
      <w:pPr>
        <w:spacing w:line="560" w:lineRule="exact"/>
        <w:ind w:right="-141" w:rightChars="-73"/>
        <w:rPr>
          <w:b/>
          <w:sz w:val="24"/>
        </w:rPr>
      </w:pPr>
      <w:r>
        <w:rPr>
          <w:b/>
          <w:sz w:val="24"/>
        </w:rPr>
        <w:t>第二部分  招标项目需求</w:t>
      </w:r>
    </w:p>
    <w:p w14:paraId="7B285E13">
      <w:pPr>
        <w:spacing w:line="560" w:lineRule="exact"/>
        <w:ind w:right="-141" w:rightChars="-73"/>
        <w:rPr>
          <w:b/>
          <w:sz w:val="24"/>
        </w:rPr>
      </w:pPr>
    </w:p>
    <w:p w14:paraId="16279008">
      <w:pPr>
        <w:spacing w:line="560" w:lineRule="exact"/>
        <w:ind w:right="-141" w:rightChars="-73"/>
        <w:rPr>
          <w:b/>
          <w:sz w:val="24"/>
        </w:rPr>
      </w:pPr>
      <w:r>
        <w:rPr>
          <w:b/>
          <w:sz w:val="24"/>
        </w:rPr>
        <w:t>第三部分  投标须知</w:t>
      </w:r>
    </w:p>
    <w:p w14:paraId="0C06240F">
      <w:pPr>
        <w:spacing w:line="560" w:lineRule="exact"/>
        <w:ind w:right="-141" w:rightChars="-73"/>
        <w:rPr>
          <w:sz w:val="24"/>
        </w:rPr>
      </w:pPr>
    </w:p>
    <w:p w14:paraId="0B00DBA1">
      <w:pPr>
        <w:spacing w:line="560" w:lineRule="exact"/>
        <w:rPr>
          <w:b/>
          <w:sz w:val="24"/>
        </w:rPr>
      </w:pPr>
      <w:r>
        <w:rPr>
          <w:b/>
          <w:sz w:val="24"/>
        </w:rPr>
        <w:t>第四部分  合同条款</w:t>
      </w:r>
    </w:p>
    <w:p w14:paraId="2A6FBC45">
      <w:pPr>
        <w:spacing w:line="560" w:lineRule="exact"/>
        <w:rPr>
          <w:sz w:val="24"/>
        </w:rPr>
      </w:pPr>
    </w:p>
    <w:p w14:paraId="016B9677">
      <w:pPr>
        <w:spacing w:line="560" w:lineRule="exact"/>
        <w:rPr>
          <w:sz w:val="24"/>
        </w:rPr>
      </w:pPr>
      <w:r>
        <w:rPr>
          <w:b/>
          <w:sz w:val="24"/>
        </w:rPr>
        <w:t>第五部分  投标文件格式</w:t>
      </w:r>
    </w:p>
    <w:p w14:paraId="30B84008">
      <w:pPr>
        <w:rPr>
          <w:sz w:val="24"/>
        </w:rPr>
      </w:pPr>
    </w:p>
    <w:p w14:paraId="5701D230">
      <w:pPr>
        <w:rPr>
          <w:sz w:val="24"/>
        </w:rPr>
      </w:pPr>
    </w:p>
    <w:p w14:paraId="3C1B688F">
      <w:pPr>
        <w:rPr>
          <w:sz w:val="24"/>
        </w:rPr>
      </w:pPr>
    </w:p>
    <w:p w14:paraId="4C18BB08">
      <w:pPr>
        <w:rPr>
          <w:sz w:val="24"/>
        </w:rPr>
      </w:pPr>
    </w:p>
    <w:p w14:paraId="50626CF3">
      <w:pPr>
        <w:rPr>
          <w:sz w:val="24"/>
        </w:rPr>
      </w:pPr>
    </w:p>
    <w:p w14:paraId="0C6EFD69">
      <w:pPr>
        <w:rPr>
          <w:sz w:val="24"/>
        </w:rPr>
      </w:pPr>
    </w:p>
    <w:p w14:paraId="42B39633">
      <w:pPr>
        <w:rPr>
          <w:b/>
        </w:rPr>
      </w:pPr>
    </w:p>
    <w:p w14:paraId="2CCCFCF4">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629E54F5">
      <w:pPr>
        <w:pStyle w:val="16"/>
        <w:rPr>
          <w:rFonts w:ascii="Times New Roman" w:hAnsi="Times New Roman"/>
        </w:rPr>
      </w:pPr>
      <w:r>
        <w:rPr>
          <w:rFonts w:ascii="Times New Roman" w:hAnsi="Times New Roman"/>
        </w:rPr>
        <w:t>第一部分  投标邀请函</w:t>
      </w:r>
      <w:bookmarkEnd w:id="0"/>
    </w:p>
    <w:p w14:paraId="282B9121">
      <w:pPr>
        <w:pStyle w:val="29"/>
        <w:spacing w:line="360" w:lineRule="auto"/>
        <w:ind w:firstLine="448"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天津市社会保险基金管理中心</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天津市社会保险基金管理中心选择城乡养老保险基金支出账户项目</w:t>
      </w:r>
      <w:r>
        <w:rPr>
          <w:rFonts w:ascii="Times New Roman" w:hAnsi="Times New Roman" w:cs="Times New Roman" w:eastAsiaTheme="minorEastAsia"/>
          <w:color w:val="auto"/>
          <w:szCs w:val="32"/>
        </w:rPr>
        <w:t>实施采购。现欢迎合格的供应商参加投标。</w:t>
      </w:r>
    </w:p>
    <w:p w14:paraId="3929F4F0">
      <w:pPr>
        <w:pStyle w:val="29"/>
        <w:spacing w:line="360" w:lineRule="auto"/>
        <w:ind w:firstLine="448"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CA数字证书（USBKEY）和电子签章。投标人须按本文件的规定在天津市政府采购中心招投标系统中提交网上应答并上传加盖投标人电子签章的电子投标文件（以通过天津公共资源电子签章客户端正确读取签章信息为准）。投标文件加盖1个</w:t>
      </w:r>
      <w:r>
        <w:rPr>
          <w:rFonts w:hint="eastAsia" w:ascii="Times New Roman" w:hAnsi="Times New Roman" w:eastAsia="宋体" w:cs="Times New Roman"/>
          <w:color w:val="auto"/>
          <w:szCs w:val="32"/>
          <w:lang w:val="en-US" w:eastAsia="zh-CN"/>
        </w:rPr>
        <w:t>有效</w:t>
      </w:r>
      <w:r>
        <w:rPr>
          <w:rFonts w:hint="eastAsia" w:ascii="Times New Roman" w:hAnsi="Times New Roman" w:eastAsia="宋体" w:cs="Times New Roman"/>
          <w:color w:val="auto"/>
          <w:szCs w:val="32"/>
        </w:rPr>
        <w:t>电子签章即视同所有页均已盖章。</w:t>
      </w:r>
    </w:p>
    <w:p w14:paraId="1A0C6A8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14:paraId="18D7277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天津市社会保险基金管理中心选择城乡养老保险基金支出账户项目</w:t>
      </w:r>
      <w:r>
        <w:rPr>
          <w:rFonts w:ascii="Times New Roman" w:hAnsi="Times New Roman" w:eastAsia="宋体" w:cs="Times New Roman"/>
          <w:color w:val="auto"/>
        </w:rPr>
        <w:t xml:space="preserve">  </w:t>
      </w:r>
    </w:p>
    <w:p w14:paraId="7416383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w:t>
      </w:r>
      <w:r>
        <w:rPr>
          <w:rFonts w:hint="eastAsia" w:ascii="Times New Roman" w:hAnsi="Times New Roman" w:eastAsia="宋体" w:cs="Times New Roman"/>
          <w:color w:val="auto"/>
        </w:rPr>
        <w:t>TGPC-2026-D-0837</w:t>
      </w:r>
    </w:p>
    <w:p w14:paraId="56196BA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（三）采购方式：公开招标</w:t>
      </w:r>
    </w:p>
    <w:p w14:paraId="017F6237">
      <w:pPr>
        <w:pStyle w:val="29"/>
        <w:spacing w:line="360" w:lineRule="auto"/>
        <w:ind w:firstLine="448"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（四）项目属性：服务</w:t>
      </w:r>
    </w:p>
    <w:p w14:paraId="65BC4C23">
      <w:pPr>
        <w:pStyle w:val="29"/>
        <w:keepNext w:val="0"/>
        <w:keepLines w:val="0"/>
        <w:pageBreakBefore w:val="0"/>
        <w:widowControl w:val="0"/>
        <w:kinsoku/>
        <w:wordWrap/>
        <w:overflowPunct/>
        <w:topLinePunct w:val="0"/>
        <w:autoSpaceDE w:val="0"/>
        <w:autoSpaceDN w:val="0"/>
        <w:bidi w:val="0"/>
        <w:adjustRightInd/>
        <w:snapToGrid/>
        <w:spacing w:line="360" w:lineRule="auto"/>
        <w:ind w:firstLine="448" w:firstLineChars="200"/>
        <w:jc w:val="left"/>
        <w:textAlignment w:val="auto"/>
        <w:outlineLvl w:val="9"/>
        <w:rPr>
          <w:rFonts w:hint="eastAsia" w:ascii="Times New Roman" w:hAnsi="Times New Roman" w:eastAsia="宋体" w:cs="Times New Roman"/>
          <w:color w:val="auto"/>
        </w:rPr>
      </w:pPr>
      <w:r>
        <w:rPr>
          <w:rFonts w:hint="eastAsia" w:ascii="Times New Roman" w:hAnsi="Times New Roman" w:eastAsia="宋体" w:cs="Times New Roman"/>
          <w:color w:val="auto"/>
        </w:rPr>
        <w:t>（五）本项目不接受联合体参与。若有供应商组成联合体参与，视为无效投标。</w:t>
      </w:r>
    </w:p>
    <w:p w14:paraId="0B024172">
      <w:pPr>
        <w:pStyle w:val="29"/>
        <w:keepNext w:val="0"/>
        <w:keepLines w:val="0"/>
        <w:pageBreakBefore w:val="0"/>
        <w:widowControl w:val="0"/>
        <w:kinsoku/>
        <w:wordWrap/>
        <w:overflowPunct/>
        <w:topLinePunct w:val="0"/>
        <w:autoSpaceDE w:val="0"/>
        <w:autoSpaceDN w:val="0"/>
        <w:bidi w:val="0"/>
        <w:adjustRightInd/>
        <w:snapToGrid/>
        <w:spacing w:line="360" w:lineRule="auto"/>
        <w:ind w:firstLine="448" w:firstLineChars="200"/>
        <w:jc w:val="left"/>
        <w:textAlignment w:val="auto"/>
        <w:outlineLvl w:val="9"/>
        <w:rPr>
          <w:rFonts w:ascii="Times New Roman" w:hAnsi="Times New Roman" w:eastAsia="宋体" w:cs="Times New Roman"/>
          <w:color w:val="auto"/>
        </w:rPr>
      </w:pPr>
      <w:r>
        <w:rPr>
          <w:rFonts w:hint="eastAsia" w:ascii="Times New Roman" w:hAnsi="Times New Roman" w:eastAsia="宋体" w:cs="Times New Roman"/>
          <w:color w:val="auto"/>
        </w:rPr>
        <w:t>（六）本文件售价：免费。</w:t>
      </w:r>
    </w:p>
    <w:p w14:paraId="52D819A8">
      <w:pPr>
        <w:pStyle w:val="29"/>
        <w:keepNext w:val="0"/>
        <w:keepLines w:val="0"/>
        <w:pageBreakBefore w:val="0"/>
        <w:widowControl w:val="0"/>
        <w:kinsoku/>
        <w:wordWrap/>
        <w:overflowPunct/>
        <w:topLinePunct w:val="0"/>
        <w:autoSpaceDE w:val="0"/>
        <w:autoSpaceDN w:val="0"/>
        <w:bidi w:val="0"/>
        <w:adjustRightInd/>
        <w:snapToGrid/>
        <w:spacing w:line="360" w:lineRule="auto"/>
        <w:ind w:firstLine="448" w:firstLineChars="200"/>
        <w:jc w:val="left"/>
        <w:textAlignment w:val="auto"/>
        <w:outlineLvl w:val="9"/>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1509"/>
        <w:gridCol w:w="1980"/>
        <w:gridCol w:w="2123"/>
        <w:gridCol w:w="1893"/>
      </w:tblGrid>
      <w:tr w14:paraId="5745B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98" w:type="pct"/>
            <w:vAlign w:val="center"/>
          </w:tcPr>
          <w:p w14:paraId="14ECB99C">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包号</w:t>
            </w:r>
          </w:p>
        </w:tc>
        <w:tc>
          <w:tcPr>
            <w:tcW w:w="885" w:type="pct"/>
            <w:vAlign w:val="center"/>
          </w:tcPr>
          <w:p w14:paraId="22C4D35D">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包名称</w:t>
            </w:r>
          </w:p>
        </w:tc>
        <w:tc>
          <w:tcPr>
            <w:tcW w:w="1161" w:type="pct"/>
            <w:vAlign w:val="center"/>
          </w:tcPr>
          <w:p w14:paraId="7C140252">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包预算</w:t>
            </w:r>
          </w:p>
        </w:tc>
        <w:tc>
          <w:tcPr>
            <w:tcW w:w="1245" w:type="pct"/>
            <w:vAlign w:val="center"/>
          </w:tcPr>
          <w:p w14:paraId="1457D043">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包最高限价</w:t>
            </w:r>
          </w:p>
        </w:tc>
        <w:tc>
          <w:tcPr>
            <w:tcW w:w="1110" w:type="pct"/>
            <w:vAlign w:val="center"/>
          </w:tcPr>
          <w:p w14:paraId="07E3AC23">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合同履行期限</w:t>
            </w:r>
          </w:p>
        </w:tc>
      </w:tr>
      <w:tr w14:paraId="339E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 w:type="pct"/>
            <w:vAlign w:val="center"/>
          </w:tcPr>
          <w:p w14:paraId="224DA27E">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p>
        </w:tc>
        <w:tc>
          <w:tcPr>
            <w:tcW w:w="885" w:type="pct"/>
            <w:vAlign w:val="center"/>
          </w:tcPr>
          <w:p w14:paraId="1F91FE85">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default" w:ascii="Times New Roman" w:hAnsi="Times New Roman" w:eastAsia="宋体" w:cs="Times New Roman"/>
                <w:color w:val="auto"/>
                <w:sz w:val="24"/>
                <w:szCs w:val="24"/>
              </w:rPr>
            </w:pPr>
            <w:r>
              <w:rPr>
                <w:rFonts w:hint="eastAsia" w:ascii="Times New Roman" w:hAnsi="Times New Roman" w:cs="Times New Roman" w:eastAsiaTheme="minorEastAsia"/>
                <w:color w:val="auto"/>
                <w:szCs w:val="32"/>
              </w:rPr>
              <w:t>城乡养老保险基金支出账户</w:t>
            </w:r>
          </w:p>
        </w:tc>
        <w:tc>
          <w:tcPr>
            <w:tcW w:w="1161" w:type="pct"/>
            <w:vAlign w:val="center"/>
          </w:tcPr>
          <w:p w14:paraId="494095E3">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无预算</w:t>
            </w:r>
          </w:p>
        </w:tc>
        <w:tc>
          <w:tcPr>
            <w:tcW w:w="1245" w:type="pct"/>
            <w:vAlign w:val="center"/>
          </w:tcPr>
          <w:p w14:paraId="785AA371">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无最高限价</w:t>
            </w:r>
          </w:p>
        </w:tc>
        <w:tc>
          <w:tcPr>
            <w:tcW w:w="1110" w:type="pct"/>
            <w:vAlign w:val="center"/>
          </w:tcPr>
          <w:p w14:paraId="114AAE33">
            <w:pPr>
              <w:pStyle w:val="29"/>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签订合同之日起5年的服务期</w:t>
            </w:r>
          </w:p>
        </w:tc>
      </w:tr>
    </w:tbl>
    <w:p w14:paraId="2ADCEB8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、供应商资格要求（实质性要求）</w:t>
      </w:r>
    </w:p>
    <w:p w14:paraId="192FCDE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一</w:t>
      </w:r>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投标人</w:t>
      </w:r>
      <w:r>
        <w:rPr>
          <w:rFonts w:hint="eastAsia" w:ascii="Times New Roman" w:hAnsi="Times New Roman" w:eastAsia="宋体" w:cs="Times New Roman"/>
          <w:color w:val="auto"/>
        </w:rPr>
        <w:t>应具备《中华人民共和国政府采购法》第二十二条第一款和《政府采购法实施条例》第十八条规定的条件，</w:t>
      </w:r>
      <w:r>
        <w:rPr>
          <w:rFonts w:ascii="Times New Roman" w:hAnsi="Times New Roman" w:eastAsia="宋体" w:cs="Times New Roman"/>
          <w:color w:val="auto"/>
        </w:rPr>
        <w:t>提供以下材料：</w:t>
      </w:r>
    </w:p>
    <w:p w14:paraId="3AF743CB">
      <w:pPr>
        <w:pStyle w:val="29"/>
        <w:spacing w:line="360" w:lineRule="auto"/>
        <w:ind w:firstLine="448" w:firstLineChars="20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1. 投标人应为在中华人民共和国境内合法设立的银行机构，根据商业银行法第十一条的规定，投标单位名称中应有“银行”字样，提供营业执照副本</w:t>
      </w:r>
      <w:r>
        <w:rPr>
          <w:rFonts w:hint="eastAsia" w:ascii="Times New Roman" w:hAnsi="Times New Roman" w:eastAsia="宋体" w:cs="Times New Roman"/>
          <w:color w:val="auto"/>
          <w:lang w:val="en-US" w:eastAsia="zh-CN"/>
        </w:rPr>
        <w:t>电子件。</w:t>
      </w:r>
    </w:p>
    <w:p w14:paraId="0503AF12">
      <w:pPr>
        <w:pStyle w:val="29"/>
        <w:spacing w:line="360" w:lineRule="auto"/>
        <w:ind w:firstLine="448"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2. 提供《</w:t>
      </w:r>
      <w:r>
        <w:rPr>
          <w:rFonts w:hint="eastAsia" w:ascii="Times New Roman" w:hAnsi="Times New Roman" w:eastAsia="宋体" w:cs="Times New Roman"/>
          <w:color w:val="auto"/>
          <w:lang w:eastAsia="zh-CN"/>
        </w:rPr>
        <w:t>投标人</w:t>
      </w:r>
      <w:r>
        <w:rPr>
          <w:rFonts w:hint="eastAsia" w:ascii="Times New Roman" w:hAnsi="Times New Roman" w:eastAsia="宋体" w:cs="Times New Roman"/>
          <w:color w:val="auto"/>
        </w:rPr>
        <w:t>资格声明函》（格式见附件2）</w:t>
      </w:r>
      <w:r>
        <w:rPr>
          <w:rFonts w:hint="eastAsia" w:ascii="Times New Roman" w:hAnsi="Times New Roman" w:eastAsia="宋体" w:cs="Times New Roman"/>
          <w:color w:val="auto"/>
          <w:lang w:eastAsia="zh-CN"/>
        </w:rPr>
        <w:t>。</w:t>
      </w:r>
    </w:p>
    <w:p w14:paraId="1BC192E7">
      <w:pPr>
        <w:pStyle w:val="29"/>
        <w:spacing w:line="360" w:lineRule="auto"/>
        <w:ind w:firstLine="448" w:firstLineChars="20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二</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投标人应具备金融许可证，机构住所应为天津市行政区域内，提供证书电子件。</w:t>
      </w:r>
    </w:p>
    <w:p w14:paraId="413AAAC9">
      <w:pPr>
        <w:pStyle w:val="29"/>
        <w:spacing w:line="360" w:lineRule="auto"/>
        <w:ind w:firstLine="448" w:firstLineChars="20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（三）投标人应为总行和分行，不接受支行投标。</w:t>
      </w:r>
    </w:p>
    <w:p w14:paraId="54BAA6A1">
      <w:pPr>
        <w:pStyle w:val="29"/>
        <w:spacing w:line="360" w:lineRule="auto"/>
        <w:ind w:firstLine="448" w:firstLineChars="200"/>
        <w:jc w:val="both"/>
        <w:rPr>
          <w:rFonts w:hint="eastAsia" w:ascii="Times New Roman" w:hAnsi="Times New Roman" w:cs="Times New Roman" w:eastAsiaTheme="minorEastAsia"/>
          <w:color w:val="auto"/>
          <w:lang w:eastAsia="zh-CN"/>
        </w:rPr>
      </w:pPr>
      <w:r>
        <w:rPr>
          <w:rFonts w:hint="eastAsia" w:ascii="Times New Roman" w:hAnsi="Times New Roman" w:cs="Times New Roman" w:eastAsiaTheme="minorEastAsia"/>
          <w:color w:val="auto"/>
        </w:rPr>
        <w:t>（</w:t>
      </w:r>
      <w:r>
        <w:rPr>
          <w:rFonts w:hint="eastAsia" w:ascii="Times New Roman" w:hAnsi="Times New Roman" w:cs="Times New Roman" w:eastAsiaTheme="minorEastAsia"/>
          <w:color w:val="auto"/>
          <w:lang w:val="en-US" w:eastAsia="zh-CN"/>
        </w:rPr>
        <w:t>四</w:t>
      </w:r>
      <w:r>
        <w:rPr>
          <w:rFonts w:hint="eastAsia" w:ascii="Times New Roman" w:hAnsi="Times New Roman" w:cs="Times New Roman" w:eastAsiaTheme="minorEastAsia"/>
          <w:color w:val="auto"/>
        </w:rPr>
        <w:t>）若无法人资格的分支机构作为</w:t>
      </w:r>
      <w:r>
        <w:rPr>
          <w:rFonts w:hint="eastAsia" w:ascii="Times New Roman" w:hAnsi="Times New Roman" w:eastAsia="宋体" w:cs="Times New Roman"/>
          <w:color w:val="auto"/>
          <w:lang w:val="en-US" w:eastAsia="zh-CN"/>
        </w:rPr>
        <w:t>投标人</w:t>
      </w:r>
      <w:r>
        <w:rPr>
          <w:rFonts w:hint="eastAsia" w:ascii="Times New Roman" w:hAnsi="Times New Roman" w:cs="Times New Roman" w:eastAsiaTheme="minorEastAsia"/>
          <w:color w:val="auto"/>
        </w:rPr>
        <w:t>参与本项目的，须提供法人的营业执照副本</w:t>
      </w:r>
      <w:r>
        <w:rPr>
          <w:rFonts w:hint="eastAsia" w:ascii="Times New Roman" w:hAnsi="Times New Roman" w:cs="Times New Roman" w:eastAsiaTheme="minorEastAsia"/>
          <w:color w:val="auto"/>
          <w:lang w:val="en-US" w:eastAsia="zh-CN"/>
        </w:rPr>
        <w:t>电子件</w:t>
      </w:r>
      <w:r>
        <w:rPr>
          <w:rFonts w:hint="eastAsia" w:ascii="Times New Roman" w:hAnsi="Times New Roman" w:cs="Times New Roman" w:eastAsiaTheme="minorEastAsia"/>
          <w:color w:val="auto"/>
        </w:rPr>
        <w:t>及法人授权书</w:t>
      </w:r>
      <w:r>
        <w:rPr>
          <w:rFonts w:hint="eastAsia" w:ascii="Times New Roman" w:hAnsi="Times New Roman" w:cs="Times New Roman" w:eastAsiaTheme="minorEastAsia"/>
          <w:color w:val="auto"/>
          <w:lang w:val="en-US" w:eastAsia="zh-CN"/>
        </w:rPr>
        <w:t>电子件</w:t>
      </w:r>
      <w:r>
        <w:rPr>
          <w:rFonts w:hint="eastAsia" w:ascii="Times New Roman" w:hAnsi="Times New Roman" w:cs="Times New Roman" w:eastAsiaTheme="minorEastAsia"/>
          <w:color w:val="auto"/>
        </w:rPr>
        <w:t>。每个法人只能派遣1家分支机构参与投标</w:t>
      </w:r>
      <w:r>
        <w:rPr>
          <w:rFonts w:hint="eastAsia" w:ascii="Times New Roman" w:hAnsi="Times New Roman" w:cs="Times New Roman" w:eastAsiaTheme="minorEastAsia"/>
          <w:color w:val="auto"/>
          <w:lang w:eastAsia="zh-CN"/>
        </w:rPr>
        <w:t>。</w:t>
      </w:r>
    </w:p>
    <w:p w14:paraId="7871FFC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、项目需要落实的政府采购政策</w:t>
      </w:r>
    </w:p>
    <w:p w14:paraId="519E4191">
      <w:pPr>
        <w:pStyle w:val="29"/>
        <w:spacing w:line="360" w:lineRule="auto"/>
        <w:ind w:firstLine="448" w:firstLineChars="200"/>
        <w:jc w:val="both"/>
        <w:rPr>
          <w:rFonts w:ascii="Times New Roman" w:hAnsi="Times New Roman" w:eastAsia="宋体" w:cs="Times New Roman"/>
          <w:color w:val="auto"/>
        </w:rPr>
      </w:pPr>
      <w:bookmarkStart w:id="1" w:name="OLE_LINK4"/>
      <w:bookmarkStart w:id="2" w:name="OLE_LINK3"/>
      <w:r>
        <w:rPr>
          <w:rFonts w:hint="eastAsia" w:ascii="Times New Roman" w:hAnsi="Times New Roman" w:eastAsia="宋体" w:cs="Times New Roman"/>
          <w:color w:val="auto"/>
        </w:rPr>
        <w:t>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14:paraId="58EEF992">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五、参与本项目的步骤、时间与方式</w:t>
      </w:r>
    </w:p>
    <w:p w14:paraId="415164C9">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（一）参与本项目的时间要求</w:t>
      </w:r>
    </w:p>
    <w:tbl>
      <w:tblPr>
        <w:tblStyle w:val="23"/>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1891"/>
        <w:gridCol w:w="2632"/>
      </w:tblGrid>
      <w:tr w14:paraId="0F67A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0FCE509B">
            <w:pPr>
              <w:pStyle w:val="29"/>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序号</w:t>
            </w:r>
          </w:p>
        </w:tc>
        <w:tc>
          <w:tcPr>
            <w:tcW w:w="1941" w:type="dxa"/>
            <w:vAlign w:val="center"/>
          </w:tcPr>
          <w:p w14:paraId="35BF25D5">
            <w:pPr>
              <w:pStyle w:val="29"/>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步骤名称</w:t>
            </w:r>
          </w:p>
        </w:tc>
        <w:tc>
          <w:tcPr>
            <w:tcW w:w="1891" w:type="dxa"/>
            <w:vAlign w:val="center"/>
          </w:tcPr>
          <w:p w14:paraId="28575B48">
            <w:pPr>
              <w:pStyle w:val="29"/>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开始时间</w:t>
            </w:r>
          </w:p>
        </w:tc>
        <w:tc>
          <w:tcPr>
            <w:tcW w:w="1891" w:type="dxa"/>
            <w:vAlign w:val="center"/>
          </w:tcPr>
          <w:p w14:paraId="488C888E">
            <w:pPr>
              <w:pStyle w:val="29"/>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截止时间</w:t>
            </w:r>
          </w:p>
        </w:tc>
        <w:tc>
          <w:tcPr>
            <w:tcW w:w="2632" w:type="dxa"/>
            <w:vAlign w:val="center"/>
          </w:tcPr>
          <w:p w14:paraId="7B20152C">
            <w:pPr>
              <w:pStyle w:val="29"/>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备注</w:t>
            </w:r>
          </w:p>
        </w:tc>
      </w:tr>
      <w:tr w14:paraId="73A7C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6DF250FB">
            <w:pPr>
              <w:pStyle w:val="29"/>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w:t>
            </w:r>
          </w:p>
        </w:tc>
        <w:tc>
          <w:tcPr>
            <w:tcW w:w="1941" w:type="dxa"/>
            <w:vAlign w:val="center"/>
          </w:tcPr>
          <w:p w14:paraId="3591CAFE">
            <w:pPr>
              <w:pStyle w:val="29"/>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获取招标文件</w:t>
            </w:r>
          </w:p>
        </w:tc>
        <w:tc>
          <w:tcPr>
            <w:tcW w:w="1891" w:type="dxa"/>
            <w:vAlign w:val="center"/>
          </w:tcPr>
          <w:p w14:paraId="14B3D5B7">
            <w:pPr>
              <w:pStyle w:val="29"/>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日</w:t>
            </w:r>
          </w:p>
        </w:tc>
        <w:tc>
          <w:tcPr>
            <w:tcW w:w="1891" w:type="dxa"/>
            <w:vAlign w:val="center"/>
          </w:tcPr>
          <w:p w14:paraId="111CDE54">
            <w:pPr>
              <w:pStyle w:val="29"/>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11</w:t>
            </w:r>
            <w:r>
              <w:rPr>
                <w:rFonts w:hint="default" w:ascii="Times New Roman" w:hAnsi="Times New Roman" w:eastAsia="宋体" w:cs="Times New Roman"/>
                <w:color w:val="auto"/>
                <w:sz w:val="24"/>
                <w:szCs w:val="24"/>
              </w:rPr>
              <w:t>日</w:t>
            </w:r>
          </w:p>
        </w:tc>
        <w:tc>
          <w:tcPr>
            <w:tcW w:w="2632" w:type="dxa"/>
            <w:vAlign w:val="center"/>
          </w:tcPr>
          <w:p w14:paraId="4C69BA31">
            <w:pPr>
              <w:pStyle w:val="29"/>
              <w:keepNext w:val="0"/>
              <w:keepLines w:val="0"/>
              <w:pageBreakBefore w:val="0"/>
              <w:widowControl w:val="0"/>
              <w:kinsoku/>
              <w:wordWrap/>
              <w:overflowPunct/>
              <w:topLinePunct w:val="0"/>
              <w:autoSpaceDE w:val="0"/>
              <w:autoSpaceDN w:val="0"/>
              <w:bidi w:val="0"/>
              <w:adjustRightInd/>
              <w:snapToGrid/>
              <w:spacing w:line="500" w:lineRule="exact"/>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每日9:00至17:00（北京时间，法定节假日除外）。</w:t>
            </w:r>
          </w:p>
          <w:p w14:paraId="349A6598">
            <w:pPr>
              <w:pStyle w:val="29"/>
              <w:keepNext w:val="0"/>
              <w:keepLines w:val="0"/>
              <w:pageBreakBefore w:val="0"/>
              <w:widowControl w:val="0"/>
              <w:kinsoku/>
              <w:wordWrap/>
              <w:overflowPunct/>
              <w:topLinePunct w:val="0"/>
              <w:autoSpaceDE w:val="0"/>
              <w:autoSpaceDN w:val="0"/>
              <w:bidi w:val="0"/>
              <w:adjustRightInd/>
              <w:snapToGrid/>
              <w:spacing w:line="500" w:lineRule="exact"/>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未按时获取招标文件的，不能参与本项目</w:t>
            </w:r>
          </w:p>
        </w:tc>
      </w:tr>
      <w:tr w14:paraId="4A10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02707E8C">
            <w:pPr>
              <w:pStyle w:val="29"/>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w:t>
            </w:r>
          </w:p>
        </w:tc>
        <w:tc>
          <w:tcPr>
            <w:tcW w:w="1941" w:type="dxa"/>
            <w:vAlign w:val="center"/>
          </w:tcPr>
          <w:p w14:paraId="44315531">
            <w:pPr>
              <w:pStyle w:val="29"/>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网上应答（上传电子投标文件）</w:t>
            </w:r>
          </w:p>
        </w:tc>
        <w:tc>
          <w:tcPr>
            <w:tcW w:w="1891" w:type="dxa"/>
            <w:vAlign w:val="center"/>
          </w:tcPr>
          <w:p w14:paraId="23E818CD">
            <w:pPr>
              <w:pStyle w:val="29"/>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日9:00</w:t>
            </w:r>
          </w:p>
        </w:tc>
        <w:tc>
          <w:tcPr>
            <w:tcW w:w="1891" w:type="dxa"/>
            <w:vAlign w:val="center"/>
          </w:tcPr>
          <w:p w14:paraId="7BA354D8">
            <w:pPr>
              <w:pStyle w:val="29"/>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25</w:t>
            </w:r>
            <w:r>
              <w:rPr>
                <w:rFonts w:hint="default" w:ascii="Times New Roman" w:hAnsi="Times New Roman" w:eastAsia="宋体" w:cs="Times New Roman"/>
                <w:color w:val="auto"/>
                <w:sz w:val="24"/>
                <w:szCs w:val="24"/>
              </w:rPr>
              <w:t>日8:30</w:t>
            </w:r>
          </w:p>
        </w:tc>
        <w:tc>
          <w:tcPr>
            <w:tcW w:w="2632" w:type="dxa"/>
            <w:vAlign w:val="center"/>
          </w:tcPr>
          <w:p w14:paraId="254A6C32">
            <w:pPr>
              <w:pStyle w:val="29"/>
              <w:keepNext w:val="0"/>
              <w:keepLines w:val="0"/>
              <w:pageBreakBefore w:val="0"/>
              <w:widowControl w:val="0"/>
              <w:kinsoku/>
              <w:wordWrap/>
              <w:overflowPunct/>
              <w:topLinePunct w:val="0"/>
              <w:autoSpaceDE w:val="0"/>
              <w:autoSpaceDN w:val="0"/>
              <w:bidi w:val="0"/>
              <w:adjustRightInd/>
              <w:snapToGrid/>
              <w:spacing w:line="500" w:lineRule="exact"/>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未按时完成网上应答或未按时上传电子投标文件的，视为无效投标。</w:t>
            </w:r>
          </w:p>
        </w:tc>
      </w:tr>
      <w:tr w14:paraId="0F63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5BA3BDFA">
            <w:pPr>
              <w:pStyle w:val="29"/>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w:t>
            </w:r>
          </w:p>
        </w:tc>
        <w:tc>
          <w:tcPr>
            <w:tcW w:w="1941" w:type="dxa"/>
            <w:vAlign w:val="center"/>
          </w:tcPr>
          <w:p w14:paraId="23ABDBD5">
            <w:pPr>
              <w:pStyle w:val="29"/>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开标解密</w:t>
            </w:r>
          </w:p>
        </w:tc>
        <w:tc>
          <w:tcPr>
            <w:tcW w:w="1891" w:type="dxa"/>
            <w:vAlign w:val="center"/>
          </w:tcPr>
          <w:p w14:paraId="04878ECE">
            <w:pPr>
              <w:pStyle w:val="29"/>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25</w:t>
            </w:r>
            <w:r>
              <w:rPr>
                <w:rFonts w:hint="default" w:ascii="Times New Roman" w:hAnsi="Times New Roman" w:eastAsia="宋体" w:cs="Times New Roman"/>
                <w:color w:val="auto"/>
                <w:sz w:val="24"/>
                <w:szCs w:val="24"/>
              </w:rPr>
              <w:t>日8:30</w:t>
            </w:r>
          </w:p>
        </w:tc>
        <w:tc>
          <w:tcPr>
            <w:tcW w:w="1891" w:type="dxa"/>
            <w:vAlign w:val="center"/>
          </w:tcPr>
          <w:p w14:paraId="3429C88B">
            <w:pPr>
              <w:pStyle w:val="29"/>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25</w:t>
            </w:r>
            <w:r>
              <w:rPr>
                <w:rFonts w:hint="default" w:ascii="Times New Roman" w:hAnsi="Times New Roman" w:eastAsia="宋体" w:cs="Times New Roman"/>
                <w:color w:val="auto"/>
                <w:sz w:val="24"/>
                <w:szCs w:val="24"/>
              </w:rPr>
              <w:t>日9:30</w:t>
            </w:r>
          </w:p>
        </w:tc>
        <w:tc>
          <w:tcPr>
            <w:tcW w:w="2632" w:type="dxa"/>
            <w:vAlign w:val="center"/>
          </w:tcPr>
          <w:p w14:paraId="58E5BF3D">
            <w:pPr>
              <w:pStyle w:val="29"/>
              <w:keepNext w:val="0"/>
              <w:keepLines w:val="0"/>
              <w:pageBreakBefore w:val="0"/>
              <w:widowControl w:val="0"/>
              <w:kinsoku/>
              <w:wordWrap/>
              <w:overflowPunct/>
              <w:topLinePunct w:val="0"/>
              <w:autoSpaceDE w:val="0"/>
              <w:autoSpaceDN w:val="0"/>
              <w:bidi w:val="0"/>
              <w:adjustRightInd/>
              <w:snapToGrid/>
              <w:spacing w:line="500" w:lineRule="exact"/>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未按时完成开标解密的，视为无效投标。</w:t>
            </w:r>
          </w:p>
        </w:tc>
      </w:tr>
      <w:tr w14:paraId="3DDC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06969474">
            <w:pPr>
              <w:pStyle w:val="29"/>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w:t>
            </w:r>
          </w:p>
        </w:tc>
        <w:tc>
          <w:tcPr>
            <w:tcW w:w="1941" w:type="dxa"/>
            <w:vAlign w:val="center"/>
          </w:tcPr>
          <w:p w14:paraId="65D0B120">
            <w:pPr>
              <w:pStyle w:val="29"/>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网上开标公示</w:t>
            </w:r>
          </w:p>
        </w:tc>
        <w:tc>
          <w:tcPr>
            <w:tcW w:w="1891" w:type="dxa"/>
            <w:vAlign w:val="center"/>
          </w:tcPr>
          <w:p w14:paraId="0FD5EA45">
            <w:pPr>
              <w:pStyle w:val="29"/>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25</w:t>
            </w:r>
            <w:r>
              <w:rPr>
                <w:rFonts w:hint="default" w:ascii="Times New Roman" w:hAnsi="Times New Roman" w:eastAsia="宋体" w:cs="Times New Roman"/>
                <w:color w:val="auto"/>
                <w:sz w:val="24"/>
                <w:szCs w:val="24"/>
              </w:rPr>
              <w:t>日9:30</w:t>
            </w:r>
          </w:p>
        </w:tc>
        <w:tc>
          <w:tcPr>
            <w:tcW w:w="1891" w:type="dxa"/>
            <w:vAlign w:val="center"/>
          </w:tcPr>
          <w:p w14:paraId="0F5182A4">
            <w:pPr>
              <w:pStyle w:val="29"/>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2026年</w:t>
            </w:r>
            <w:r>
              <w:rPr>
                <w:rFonts w:hint="eastAsia" w:ascii="Times New Roman" w:hAnsi="Times New Roman" w:eastAsia="宋体" w:cs="Times New Roman"/>
                <w:color w:val="auto"/>
                <w:sz w:val="24"/>
                <w:szCs w:val="24"/>
                <w:lang w:val="en-US" w:eastAsia="zh-CN"/>
              </w:rPr>
              <w:t>8</w:t>
            </w:r>
            <w:r>
              <w:rPr>
                <w:rFonts w:hint="default"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25</w:t>
            </w:r>
            <w:r>
              <w:rPr>
                <w:rFonts w:hint="default" w:ascii="Times New Roman" w:hAnsi="Times New Roman" w:eastAsia="宋体" w:cs="Times New Roman"/>
                <w:color w:val="auto"/>
                <w:sz w:val="24"/>
                <w:szCs w:val="24"/>
              </w:rPr>
              <w:t>日12:00</w:t>
            </w:r>
          </w:p>
        </w:tc>
        <w:tc>
          <w:tcPr>
            <w:tcW w:w="2632" w:type="dxa"/>
            <w:vAlign w:val="center"/>
          </w:tcPr>
          <w:p w14:paraId="6780F98A">
            <w:pPr>
              <w:pStyle w:val="29"/>
              <w:keepNext w:val="0"/>
              <w:keepLines w:val="0"/>
              <w:pageBreakBefore w:val="0"/>
              <w:widowControl w:val="0"/>
              <w:kinsoku/>
              <w:wordWrap/>
              <w:overflowPunct/>
              <w:topLinePunct w:val="0"/>
              <w:autoSpaceDE w:val="0"/>
              <w:autoSpaceDN w:val="0"/>
              <w:bidi w:val="0"/>
              <w:adjustRightInd/>
              <w:snapToGrid/>
              <w:spacing w:line="500" w:lineRule="exact"/>
              <w:jc w:val="both"/>
              <w:textAlignment w:val="auto"/>
              <w:rPr>
                <w:rFonts w:hint="default" w:ascii="Times New Roman" w:hAnsi="Times New Roman" w:eastAsia="宋体" w:cs="Times New Roman"/>
                <w:color w:val="auto"/>
                <w:sz w:val="24"/>
                <w:szCs w:val="24"/>
              </w:rPr>
            </w:pPr>
          </w:p>
        </w:tc>
      </w:tr>
    </w:tbl>
    <w:p w14:paraId="2709D444">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（二）参与本项目的方式要求</w:t>
      </w:r>
    </w:p>
    <w:p w14:paraId="45A3037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335B483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16BC852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1D483FE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6F28928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4DF65CD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 </w:t>
      </w:r>
      <w:r>
        <w:rPr>
          <w:rFonts w:ascii="Times New Roman" w:hAnsi="Times New Roman" w:eastAsia="宋体" w:cs="Times New Roman"/>
          <w:color w:val="auto"/>
        </w:rPr>
        <w:t>获取招标文件的方式</w:t>
      </w:r>
    </w:p>
    <w:p w14:paraId="38EA157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采用</w:t>
      </w:r>
      <w:r>
        <w:rPr>
          <w:rFonts w:ascii="Times New Roman" w:hAnsi="Times New Roman" w:eastAsia="宋体" w:cs="Times New Roman"/>
          <w:color w:val="auto"/>
        </w:rPr>
        <w:t>网上获取电子</w:t>
      </w:r>
      <w:r>
        <w:rPr>
          <w:rFonts w:hint="eastAsia" w:ascii="Times New Roman" w:hAnsi="Times New Roman" w:eastAsia="宋体" w:cs="Times New Roman"/>
          <w:color w:val="auto"/>
        </w:rPr>
        <w:t>招标</w:t>
      </w:r>
      <w:r>
        <w:rPr>
          <w:rFonts w:ascii="Times New Roman" w:hAnsi="Times New Roman" w:eastAsia="宋体" w:cs="Times New Roman"/>
          <w:color w:val="auto"/>
        </w:rPr>
        <w:t>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6"/>
          <w:rFonts w:hint="eastAsia" w:ascii="Times New Roman" w:hAnsi="Times New Roman" w:eastAsia="宋体" w:cs="Times New Roman"/>
        </w:rPr>
        <w:t>http://tjgpc.zwfwb.tj.gov.cn</w:t>
      </w:r>
      <w:r>
        <w:rPr>
          <w:rStyle w:val="26"/>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66FD854C">
      <w:pPr>
        <w:pStyle w:val="29"/>
        <w:spacing w:line="360" w:lineRule="auto"/>
        <w:ind w:firstLine="448" w:firstLineChars="200"/>
        <w:jc w:val="both"/>
        <w:rPr>
          <w:rFonts w:ascii="Times New Roman" w:hAnsi="Times New Roman" w:eastAsia="宋体"/>
          <w:color w:val="auto"/>
        </w:rPr>
      </w:pPr>
      <w:r>
        <w:rPr>
          <w:rFonts w:hint="eastAsia" w:ascii="Times New Roman" w:hAnsi="Times New Roman" w:eastAsia="宋体"/>
          <w:color w:val="auto"/>
        </w:rPr>
        <w:t>3. 网上应答（上传电子投标文件）方式</w:t>
      </w:r>
    </w:p>
    <w:p w14:paraId="668C90B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w:t>
      </w:r>
      <w:r>
        <w:rPr>
          <w:rFonts w:ascii="Times New Roman" w:hAnsi="Times New Roman" w:eastAsia="宋体" w:cs="Times New Roman"/>
          <w:color w:val="auto"/>
        </w:rPr>
        <w:t>的时间</w:t>
      </w:r>
      <w:r>
        <w:rPr>
          <w:rFonts w:hint="eastAsia" w:ascii="Times New Roman" w:hAnsi="Times New Roman" w:eastAsia="宋体" w:cs="Times New Roman"/>
          <w:color w:val="auto"/>
        </w:rPr>
        <w:t>内</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w:t>
      </w:r>
      <w:r>
        <w:rPr>
          <w:rFonts w:ascii="Times New Roman" w:hAnsi="Times New Roman" w:eastAsia="宋体" w:cs="Times New Roman"/>
          <w:color w:val="auto"/>
        </w:rPr>
        <w:t xml:space="preserve"> 进行网上应答</w:t>
      </w:r>
      <w:r>
        <w:rPr>
          <w:rFonts w:hint="eastAsia" w:ascii="Times New Roman" w:hAnsi="Times New Roman" w:eastAsia="宋体" w:cs="Times New Roman"/>
          <w:color w:val="auto"/>
        </w:rPr>
        <w:t>及提交，并上传加盖投标人电子签章的电子投标文件（以通过天津公共资源电子签章客户端正确读取签章信息为准），否则视为无效投标。</w:t>
      </w:r>
    </w:p>
    <w:p w14:paraId="5CC637A4">
      <w:pPr>
        <w:pStyle w:val="29"/>
        <w:spacing w:line="360" w:lineRule="auto"/>
        <w:ind w:firstLine="448" w:firstLineChars="200"/>
        <w:rPr>
          <w:rFonts w:ascii="Times New Roman" w:hAnsi="Times New Roman" w:eastAsia="宋体"/>
          <w:color w:val="auto"/>
        </w:rPr>
      </w:pPr>
      <w:r>
        <w:rPr>
          <w:rFonts w:ascii="Times New Roman" w:hAnsi="Times New Roman" w:eastAsia="宋体" w:cs="Times New Roman"/>
          <w:color w:val="auto"/>
        </w:rPr>
        <w:t>网上应答帮助链接：http://tjgpc.zwfwb.tj.gov.cn/webInfo/getWebInfoListForwebInfoClass.do?fkWebInfoclassId=W008</w:t>
      </w:r>
    </w:p>
    <w:p w14:paraId="2BAAB8E5">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4. 开标解密方式</w:t>
      </w:r>
    </w:p>
    <w:p w14:paraId="590D70A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采用网上开标解密方式，投标人</w:t>
      </w:r>
      <w:r>
        <w:rPr>
          <w:rFonts w:hint="eastAsia" w:ascii="Times New Roman" w:hAnsi="Times New Roman" w:eastAsia="宋体" w:cs="Times New Roman"/>
          <w:color w:val="auto"/>
        </w:rPr>
        <w:t>应</w:t>
      </w:r>
      <w:r>
        <w:rPr>
          <w:rFonts w:ascii="Times New Roman" w:hAnsi="Times New Roman" w:eastAsia="宋体" w:cs="Times New Roman"/>
          <w:color w:val="auto"/>
        </w:rPr>
        <w:t>于</w:t>
      </w:r>
      <w:r>
        <w:rPr>
          <w:rFonts w:hint="eastAsia" w:ascii="Times New Roman" w:hAnsi="Times New Roman" w:eastAsia="宋体" w:cs="Times New Roman"/>
          <w:color w:val="auto"/>
        </w:rPr>
        <w:t>规定的时间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r>
        <w:rPr>
          <w:rFonts w:hint="eastAsia" w:ascii="Times New Roman" w:hAnsi="Times New Roman" w:eastAsia="宋体" w:cs="Times New Roman"/>
          <w:color w:val="auto"/>
        </w:rPr>
        <w:t>，否则视为无效投标。</w:t>
      </w:r>
    </w:p>
    <w:p w14:paraId="748E49E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5. </w:t>
      </w:r>
      <w:r>
        <w:rPr>
          <w:rFonts w:ascii="Times New Roman" w:hAnsi="Times New Roman" w:eastAsia="宋体" w:cs="Times New Roman"/>
          <w:color w:val="auto"/>
        </w:rPr>
        <w:t>网上开标公示方式</w:t>
      </w:r>
    </w:p>
    <w:p w14:paraId="755B370F">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5E56CA0A">
      <w:pPr>
        <w:pStyle w:val="29"/>
        <w:spacing w:line="360" w:lineRule="auto"/>
        <w:ind w:firstLine="448" w:firstLineChars="200"/>
        <w:rPr>
          <w:rFonts w:ascii="Times New Roman" w:hAnsi="Times New Roman" w:eastAsia="宋体"/>
          <w:color w:val="auto"/>
        </w:rPr>
      </w:pPr>
      <w:r>
        <w:rPr>
          <w:rFonts w:hint="eastAsia" w:ascii="Times New Roman" w:hAnsi="Times New Roman" w:eastAsia="宋体"/>
          <w:color w:val="auto"/>
        </w:rPr>
        <w:t>供应商应按以上步骤顺序、时间及方式要求参与本项目，否则视为不参与本项目。</w:t>
      </w:r>
    </w:p>
    <w:p w14:paraId="52B6712B">
      <w:pPr>
        <w:pStyle w:val="29"/>
        <w:spacing w:line="360" w:lineRule="auto"/>
        <w:ind w:firstLine="448" w:firstLineChars="200"/>
        <w:jc w:val="both"/>
        <w:rPr>
          <w:rFonts w:ascii="Times New Roman" w:hAnsi="Times New Roman" w:eastAsia="宋体" w:cs="Times New Roman"/>
          <w:color w:val="auto"/>
        </w:rPr>
      </w:pPr>
      <w:bookmarkStart w:id="3" w:name="_Toc412903615"/>
      <w:r>
        <w:rPr>
          <w:rFonts w:hint="eastAsia" w:ascii="Times New Roman" w:hAnsi="Times New Roman" w:eastAsia="宋体" w:cs="Times New Roman"/>
          <w:color w:val="auto"/>
        </w:rPr>
        <w:t>六、现场考察、标前答疑会</w:t>
      </w:r>
    </w:p>
    <w:p w14:paraId="768DECD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本项目不组织现场考察</w:t>
      </w:r>
      <w:r>
        <w:rPr>
          <w:rFonts w:ascii="Times New Roman" w:hAnsi="Times New Roman" w:eastAsia="宋体" w:cs="Times New Roman"/>
          <w:color w:val="auto"/>
        </w:rPr>
        <w:t>。</w:t>
      </w:r>
    </w:p>
    <w:p w14:paraId="27FE124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本项目不组织标前答疑会</w:t>
      </w:r>
      <w:r>
        <w:rPr>
          <w:rFonts w:ascii="Times New Roman" w:hAnsi="Times New Roman" w:eastAsia="宋体" w:cs="Times New Roman"/>
          <w:color w:val="auto"/>
        </w:rPr>
        <w:t>。</w:t>
      </w:r>
    </w:p>
    <w:p w14:paraId="6550756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w:t>
      </w:r>
      <w:r>
        <w:rPr>
          <w:rFonts w:hint="eastAsia" w:ascii="Times New Roman" w:hAnsi="Times New Roman" w:eastAsia="宋体" w:cs="Times New Roman"/>
          <w:color w:val="auto"/>
        </w:rPr>
        <w:t>信息</w:t>
      </w:r>
    </w:p>
    <w:p w14:paraId="57B4E83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61F8F3E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5CEDC45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傅耀、冯强</w:t>
      </w:r>
      <w:r>
        <w:rPr>
          <w:rFonts w:ascii="Times New Roman" w:hAnsi="Times New Roman" w:eastAsia="宋体" w:cs="Times New Roman"/>
          <w:color w:val="auto"/>
        </w:rPr>
        <w:t xml:space="preserve"> </w:t>
      </w:r>
    </w:p>
    <w:p w14:paraId="3BB87C6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14B644A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7805A24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0C5A410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7D6599D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17E586E6">
      <w:pPr>
        <w:pStyle w:val="29"/>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lang w:val="en-US" w:eastAsia="zh-CN"/>
        </w:rPr>
        <w:t>8307</w:t>
      </w:r>
      <w:bookmarkStart w:id="11" w:name="_GoBack"/>
      <w:bookmarkEnd w:id="11"/>
    </w:p>
    <w:p w14:paraId="22BC545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19F432B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w:t>
      </w:r>
      <w:r>
        <w:rPr>
          <w:rFonts w:ascii="Times New Roman" w:hAnsi="Times New Roman" w:eastAsia="宋体" w:cs="Times New Roman"/>
          <w:color w:val="auto"/>
        </w:rPr>
        <w:t>、采购人</w:t>
      </w:r>
      <w:r>
        <w:rPr>
          <w:rFonts w:hint="eastAsia" w:ascii="Times New Roman" w:hAnsi="Times New Roman" w:eastAsia="宋体" w:cs="Times New Roman"/>
          <w:color w:val="auto"/>
        </w:rPr>
        <w:t>信息</w:t>
      </w:r>
    </w:p>
    <w:p w14:paraId="490B0664">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天津市社会保险基金管理中心</w:t>
      </w:r>
      <w:r>
        <w:rPr>
          <w:rFonts w:ascii="Times New Roman" w:hAnsi="Times New Roman" w:eastAsia="宋体" w:cs="Times New Roman"/>
          <w:color w:val="auto"/>
        </w:rPr>
        <w:t xml:space="preserve"> </w:t>
      </w:r>
    </w:p>
    <w:p w14:paraId="5B7EA57E">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天津市和平区大沽北路138号金融广场大厦A座</w:t>
      </w:r>
    </w:p>
    <w:p w14:paraId="0EA1D1C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许老师</w:t>
      </w:r>
      <w:r>
        <w:rPr>
          <w:rFonts w:ascii="Times New Roman" w:hAnsi="Times New Roman" w:eastAsia="宋体" w:cs="Times New Roman"/>
          <w:color w:val="auto"/>
        </w:rPr>
        <w:t xml:space="preserve"> </w:t>
      </w:r>
    </w:p>
    <w:p w14:paraId="79F41D9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rPr>
        <w:t>022-23030318</w:t>
      </w:r>
      <w:r>
        <w:rPr>
          <w:rFonts w:ascii="Times New Roman" w:hAnsi="Times New Roman" w:eastAsia="宋体" w:cs="Times New Roman"/>
          <w:color w:val="auto"/>
        </w:rPr>
        <w:t xml:space="preserve">  </w:t>
      </w:r>
    </w:p>
    <w:p w14:paraId="7C4639B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、质疑方式</w:t>
      </w:r>
    </w:p>
    <w:p w14:paraId="564471B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0998FB5F">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34758605">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联系部门：天津市社会保险基金管理中心</w:t>
      </w:r>
    </w:p>
    <w:p w14:paraId="641657D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联系地址：天津市和平区大沽北路138号金融广场大厦A座</w:t>
      </w:r>
    </w:p>
    <w:p w14:paraId="68A3283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人：王老师</w:t>
      </w:r>
    </w:p>
    <w:p w14:paraId="061287C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w:t>
      </w:r>
      <w:r>
        <w:rPr>
          <w:rFonts w:hint="eastAsia" w:ascii="Times New Roman" w:hAnsi="Times New Roman" w:eastAsia="宋体" w:cs="Times New Roman"/>
          <w:color w:val="auto"/>
          <w:lang w:val="en-US" w:eastAsia="zh-CN"/>
        </w:rPr>
        <w:t>022-</w:t>
      </w:r>
      <w:r>
        <w:rPr>
          <w:rFonts w:hint="eastAsia" w:ascii="Times New Roman" w:hAnsi="Times New Roman" w:eastAsia="宋体" w:cs="Times New Roman"/>
          <w:color w:val="auto"/>
        </w:rPr>
        <w:t>23030383</w:t>
      </w:r>
    </w:p>
    <w:p w14:paraId="333FDC4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4F17543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54840EE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、招标代理服务费</w:t>
      </w:r>
    </w:p>
    <w:p w14:paraId="1E741AA9">
      <w:pPr>
        <w:tabs>
          <w:tab w:val="left" w:pos="700"/>
        </w:tabs>
        <w:autoSpaceDE w:val="0"/>
        <w:autoSpaceDN w:val="0"/>
        <w:adjustRightInd w:val="0"/>
        <w:spacing w:line="360" w:lineRule="auto"/>
        <w:ind w:firstLine="448" w:firstLineChars="200"/>
        <w:rPr>
          <w:rFonts w:hint="eastAsia"/>
          <w:color w:val="auto"/>
          <w:sz w:val="24"/>
          <w:szCs w:val="24"/>
          <w:lang w:val="zh-CN"/>
        </w:rPr>
      </w:pPr>
      <w:r>
        <w:rPr>
          <w:rFonts w:hint="eastAsia"/>
          <w:color w:val="auto"/>
          <w:sz w:val="24"/>
          <w:szCs w:val="24"/>
          <w:lang w:val="zh-CN"/>
        </w:rPr>
        <w:t>本项目向中标供应商收取招标代理服务费人民币5000元。</w:t>
      </w:r>
    </w:p>
    <w:p w14:paraId="7CC0F569">
      <w:pPr>
        <w:tabs>
          <w:tab w:val="left" w:pos="700"/>
        </w:tabs>
        <w:autoSpaceDE w:val="0"/>
        <w:autoSpaceDN w:val="0"/>
        <w:adjustRightInd w:val="0"/>
        <w:spacing w:line="360" w:lineRule="auto"/>
        <w:ind w:firstLine="448" w:firstLineChars="200"/>
        <w:rPr>
          <w:color w:val="auto"/>
          <w:sz w:val="24"/>
          <w:szCs w:val="24"/>
          <w:lang w:val="zh-CN"/>
        </w:rPr>
      </w:pPr>
      <w:r>
        <w:rPr>
          <w:rFonts w:hint="eastAsia"/>
          <w:color w:val="auto"/>
          <w:sz w:val="24"/>
          <w:szCs w:val="24"/>
        </w:rPr>
        <w:t>中标供应商应于中标公告发布之日起5个工作日内缴纳</w:t>
      </w:r>
      <w:r>
        <w:rPr>
          <w:rFonts w:hint="eastAsia"/>
          <w:color w:val="auto"/>
          <w:sz w:val="24"/>
          <w:szCs w:val="24"/>
          <w:lang w:val="zh-CN"/>
        </w:rPr>
        <w:t>招标代理服务费，缴费单位名称须与投标单位名称一致，缴费时请注明项目编号及中标包号。</w:t>
      </w:r>
    </w:p>
    <w:p w14:paraId="3ECA2636">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名        称：天津市公共资源交易中心</w:t>
      </w:r>
    </w:p>
    <w:p w14:paraId="190D484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开户行及账号：中国建设银行股份有限公司天津明华支行 </w:t>
      </w:r>
    </w:p>
    <w:p w14:paraId="144948F8">
      <w:pPr>
        <w:pStyle w:val="29"/>
        <w:spacing w:line="360" w:lineRule="auto"/>
        <w:ind w:firstLine="2009"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1928D02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银行联行号：105110039436</w:t>
      </w:r>
    </w:p>
    <w:p w14:paraId="5F0F6CF4">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纳税人识别号：1212 0000 MB1E 44809C</w:t>
      </w:r>
    </w:p>
    <w:p w14:paraId="3BD810E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地址：天津市河东区红星路79号</w:t>
      </w:r>
    </w:p>
    <w:p w14:paraId="78F18F0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缴费及申请开票系统：http://pay.tjggzy.cn/</w:t>
      </w:r>
    </w:p>
    <w:p w14:paraId="015B029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缴费及开票咨询电话：022-24532012</w:t>
      </w:r>
    </w:p>
    <w:p w14:paraId="30BB8877">
      <w:pPr>
        <w:pStyle w:val="29"/>
        <w:spacing w:line="360" w:lineRule="auto"/>
        <w:ind w:firstLine="448" w:firstLineChars="200"/>
        <w:jc w:val="both"/>
        <w:rPr>
          <w:rFonts w:ascii="Times New Roman" w:hAnsi="Times New Roman" w:eastAsia="宋体" w:cs="Times New Roman"/>
          <w:color w:val="FF0000"/>
        </w:rPr>
      </w:pPr>
    </w:p>
    <w:p w14:paraId="335090D9">
      <w:pPr>
        <w:pStyle w:val="29"/>
        <w:spacing w:line="360" w:lineRule="auto"/>
        <w:jc w:val="both"/>
        <w:rPr>
          <w:rFonts w:ascii="Times New Roman" w:hAnsi="Times New Roman" w:eastAsia="宋体" w:cs="Times New Roman"/>
          <w:color w:val="auto"/>
        </w:rPr>
      </w:pPr>
    </w:p>
    <w:p w14:paraId="0CD6AC6F">
      <w:pPr>
        <w:pStyle w:val="29"/>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4</w:t>
      </w:r>
      <w:r>
        <w:rPr>
          <w:rFonts w:ascii="Times New Roman" w:hAnsi="Times New Roman" w:eastAsia="宋体" w:cs="Times New Roman"/>
          <w:color w:val="auto"/>
        </w:rPr>
        <w:t>日</w:t>
      </w:r>
    </w:p>
    <w:p w14:paraId="7FE5223E">
      <w:pPr>
        <w:pStyle w:val="29"/>
        <w:spacing w:line="360" w:lineRule="auto"/>
        <w:ind w:right="892"/>
        <w:rPr>
          <w:rFonts w:ascii="Times New Roman" w:hAnsi="Times New Roman" w:eastAsia="宋体" w:cs="Times New Roman"/>
          <w:color w:val="auto"/>
        </w:rPr>
      </w:pPr>
    </w:p>
    <w:p w14:paraId="0A3DB807">
      <w:pPr>
        <w:widowControl/>
        <w:jc w:val="left"/>
        <w:rPr>
          <w:b/>
          <w:bCs/>
          <w:kern w:val="28"/>
          <w:sz w:val="32"/>
          <w:szCs w:val="32"/>
          <w:lang w:val="zh-CN" w:eastAsia="zh-CN"/>
        </w:rPr>
      </w:pPr>
      <w:r>
        <w:br w:type="page"/>
      </w:r>
    </w:p>
    <w:p w14:paraId="57E86F67">
      <w:pPr>
        <w:pStyle w:val="16"/>
        <w:rPr>
          <w:rFonts w:ascii="Times New Roman" w:hAnsi="Times New Roman"/>
          <w:lang w:eastAsia="zh-CN"/>
        </w:rPr>
      </w:pPr>
      <w:r>
        <w:rPr>
          <w:rFonts w:ascii="Times New Roman" w:hAnsi="Times New Roman"/>
        </w:rPr>
        <w:t>第</w:t>
      </w:r>
      <w:r>
        <w:rPr>
          <w:rFonts w:ascii="Times New Roman" w:hAnsi="Times New Roman"/>
          <w:lang w:eastAsia="zh-CN"/>
        </w:rPr>
        <w:t>二</w:t>
      </w:r>
      <w:r>
        <w:rPr>
          <w:rFonts w:ascii="Times New Roman" w:hAnsi="Times New Roman"/>
        </w:rPr>
        <w:t>部分  招标项目</w:t>
      </w:r>
      <w:bookmarkEnd w:id="3"/>
      <w:r>
        <w:rPr>
          <w:rFonts w:ascii="Times New Roman" w:hAnsi="Times New Roman"/>
        </w:rPr>
        <w:t>需求</w:t>
      </w:r>
    </w:p>
    <w:p w14:paraId="12DDDDFA">
      <w:pPr>
        <w:autoSpaceDE w:val="0"/>
        <w:autoSpaceDN w:val="0"/>
        <w:adjustRightInd w:val="0"/>
        <w:spacing w:line="360" w:lineRule="auto"/>
        <w:ind w:firstLine="448" w:firstLineChars="200"/>
        <w:rPr>
          <w:color w:val="auto"/>
          <w:sz w:val="24"/>
        </w:rPr>
      </w:pPr>
      <w:r>
        <w:rPr>
          <w:rFonts w:hint="eastAsia"/>
          <w:color w:val="auto"/>
          <w:sz w:val="24"/>
        </w:rPr>
        <w:t>加注“★”号条款为不允许偏离的实质性要求，经评标委员会判定任意一条加注“★”号的条款出现偏离，视为无效投标。</w:t>
      </w:r>
    </w:p>
    <w:p w14:paraId="3E81DCE3">
      <w:pPr>
        <w:widowControl/>
        <w:ind w:firstLine="448" w:firstLineChars="200"/>
        <w:jc w:val="left"/>
        <w:rPr>
          <w:color w:val="auto"/>
          <w:sz w:val="24"/>
        </w:rPr>
      </w:pPr>
      <w:r>
        <w:rPr>
          <w:rFonts w:hint="eastAsia"/>
          <w:color w:val="auto"/>
          <w:sz w:val="24"/>
        </w:rPr>
        <w:t>一、项目背景</w:t>
      </w:r>
    </w:p>
    <w:p w14:paraId="16939EF5">
      <w:pPr>
        <w:tabs>
          <w:tab w:val="left" w:pos="210"/>
        </w:tabs>
        <w:autoSpaceDE w:val="0"/>
        <w:autoSpaceDN w:val="0"/>
        <w:adjustRightInd w:val="0"/>
        <w:spacing w:line="360" w:lineRule="auto"/>
        <w:ind w:firstLine="448" w:firstLineChars="200"/>
        <w:outlineLvl w:val="0"/>
        <w:rPr>
          <w:rFonts w:hint="eastAsia"/>
          <w:sz w:val="24"/>
          <w:szCs w:val="24"/>
        </w:rPr>
      </w:pPr>
      <w:r>
        <w:rPr>
          <w:rFonts w:hint="eastAsia"/>
          <w:color w:val="auto"/>
          <w:sz w:val="24"/>
          <w:szCs w:val="24"/>
        </w:rPr>
        <w:t>根据《天津市财政局关于进一步加强财政部门和预算单位资金存放管理的实施意见》（津财库〔2017〕113号）、《天津市财政局中国人民银行天津市分行关于调整天津市预算单位银行账户管理有关事项的通知》（津财库〔2018〕122号）、《市社保中心关</w:t>
      </w:r>
      <w:r>
        <w:rPr>
          <w:rFonts w:hint="eastAsia"/>
          <w:sz w:val="24"/>
          <w:szCs w:val="24"/>
        </w:rPr>
        <w:t>于印发社会保险基金存放及基金账户管理细则的通知》（津社保办发〔2024〕46号）相关要求，根据账户管理现状，对城乡养老保险基金支出账户进行公开选择。我中心拟采用公开招投标形式，委托商业银行承办城乡养老保险基金支出账户资金结算等服务，包括但不限于协助采购人开立账户、资金划拨、资金管理支持等工作。</w:t>
      </w:r>
    </w:p>
    <w:p w14:paraId="584D6EFE">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二、技术要求</w:t>
      </w:r>
    </w:p>
    <w:p w14:paraId="7239B04B">
      <w:pPr>
        <w:spacing w:line="360" w:lineRule="auto"/>
        <w:ind w:firstLine="448" w:firstLineChars="200"/>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14:paraId="17C2ABD4">
      <w:pPr>
        <w:tabs>
          <w:tab w:val="left" w:pos="210"/>
        </w:tabs>
        <w:autoSpaceDE w:val="0"/>
        <w:autoSpaceDN w:val="0"/>
        <w:adjustRightInd w:val="0"/>
        <w:spacing w:line="360" w:lineRule="auto"/>
        <w:ind w:firstLine="448" w:firstLineChars="200"/>
        <w:outlineLvl w:val="0"/>
        <w:rPr>
          <w:color w:val="auto"/>
          <w:sz w:val="24"/>
          <w:szCs w:val="24"/>
        </w:rPr>
      </w:pPr>
      <w:r>
        <w:rPr>
          <w:rFonts w:hint="eastAsia"/>
          <w:color w:val="auto"/>
          <w:sz w:val="24"/>
          <w:szCs w:val="24"/>
        </w:rPr>
        <w:t>（二）具体要求</w:t>
      </w:r>
    </w:p>
    <w:p w14:paraId="53AEA565">
      <w:pPr>
        <w:tabs>
          <w:tab w:val="left" w:pos="210"/>
        </w:tabs>
        <w:autoSpaceDE w:val="0"/>
        <w:autoSpaceDN w:val="0"/>
        <w:adjustRightInd w:val="0"/>
        <w:spacing w:line="360" w:lineRule="auto"/>
        <w:ind w:firstLine="448" w:firstLineChars="200"/>
        <w:outlineLvl w:val="0"/>
        <w:rPr>
          <w:color w:val="auto"/>
          <w:sz w:val="24"/>
          <w:szCs w:val="24"/>
        </w:rPr>
      </w:pPr>
      <w:r>
        <w:rPr>
          <w:rFonts w:hint="eastAsia"/>
          <w:color w:val="auto"/>
          <w:sz w:val="24"/>
          <w:szCs w:val="24"/>
        </w:rPr>
        <w:t>详见项目需求书。</w:t>
      </w:r>
    </w:p>
    <w:p w14:paraId="48B09C82">
      <w:pPr>
        <w:tabs>
          <w:tab w:val="left" w:pos="210"/>
        </w:tabs>
        <w:autoSpaceDE w:val="0"/>
        <w:autoSpaceDN w:val="0"/>
        <w:adjustRightInd w:val="0"/>
        <w:spacing w:line="360" w:lineRule="auto"/>
        <w:ind w:firstLine="448" w:firstLineChars="200"/>
        <w:outlineLvl w:val="0"/>
        <w:rPr>
          <w:color w:val="auto"/>
          <w:sz w:val="24"/>
          <w:szCs w:val="24"/>
        </w:rPr>
      </w:pPr>
      <w:r>
        <w:rPr>
          <w:rFonts w:hint="eastAsia"/>
          <w:color w:val="auto"/>
          <w:sz w:val="24"/>
          <w:szCs w:val="24"/>
        </w:rPr>
        <w:t>三</w:t>
      </w:r>
      <w:r>
        <w:rPr>
          <w:color w:val="auto"/>
          <w:sz w:val="24"/>
          <w:szCs w:val="24"/>
        </w:rPr>
        <w:t>、商务要求</w:t>
      </w:r>
    </w:p>
    <w:p w14:paraId="1F8C14B7">
      <w:pPr>
        <w:autoSpaceDE w:val="0"/>
        <w:autoSpaceDN w:val="0"/>
        <w:adjustRightInd w:val="0"/>
        <w:spacing w:line="360" w:lineRule="auto"/>
        <w:ind w:firstLine="448" w:firstLineChars="200"/>
        <w:rPr>
          <w:color w:val="auto"/>
          <w:sz w:val="24"/>
        </w:rPr>
      </w:pPr>
      <w:r>
        <w:rPr>
          <w:color w:val="auto"/>
          <w:sz w:val="24"/>
        </w:rPr>
        <w:t>（一）报价要求</w:t>
      </w:r>
    </w:p>
    <w:p w14:paraId="2EED9085">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1. 投标报价填报</w:t>
      </w:r>
      <w:bookmarkStart w:id="4" w:name="OLE_LINK19"/>
      <w:bookmarkStart w:id="5" w:name="OLE_LINK18"/>
      <w:r>
        <w:rPr>
          <w:rFonts w:hint="eastAsia"/>
          <w:sz w:val="24"/>
          <w:szCs w:val="24"/>
        </w:rPr>
        <w:t>针对本项目的</w:t>
      </w:r>
      <w:bookmarkStart w:id="6" w:name="OLE_LINK16"/>
      <w:bookmarkStart w:id="7" w:name="OLE_LINK17"/>
      <w:r>
        <w:rPr>
          <w:rFonts w:hint="eastAsia"/>
          <w:sz w:val="24"/>
          <w:szCs w:val="24"/>
        </w:rPr>
        <w:t>人民币</w:t>
      </w:r>
      <w:r>
        <w:rPr>
          <w:rFonts w:hint="eastAsia"/>
          <w:sz w:val="24"/>
        </w:rPr>
        <w:t>活期存款年利息率</w:t>
      </w:r>
      <w:bookmarkEnd w:id="4"/>
      <w:bookmarkEnd w:id="5"/>
      <w:bookmarkEnd w:id="6"/>
      <w:bookmarkEnd w:id="7"/>
      <w:r>
        <w:rPr>
          <w:rFonts w:hint="eastAsia"/>
          <w:sz w:val="24"/>
          <w:szCs w:val="24"/>
        </w:rPr>
        <w:t>，所报年利息率不得低于人民银行发布的现行三个月整存整取定期存款基准利率（1.10%），否则视为无效投标。网上应答报价时，只填写所报年利息率百分号左侧数字，例如所报年利息率为1.10%，网上应答报价只填写1.10，且最多接受2位小数。</w:t>
      </w:r>
    </w:p>
    <w:p w14:paraId="5A38E0DD">
      <w:pPr>
        <w:tabs>
          <w:tab w:val="left" w:pos="210"/>
        </w:tabs>
        <w:autoSpaceDE w:val="0"/>
        <w:autoSpaceDN w:val="0"/>
        <w:adjustRightInd w:val="0"/>
        <w:spacing w:line="360" w:lineRule="auto"/>
        <w:ind w:firstLine="448" w:firstLineChars="200"/>
        <w:outlineLvl w:val="0"/>
        <w:rPr>
          <w:sz w:val="24"/>
          <w:szCs w:val="24"/>
        </w:rPr>
      </w:pPr>
      <w:r>
        <w:rPr>
          <w:rFonts w:hint="eastAsia"/>
          <w:sz w:val="24"/>
          <w:szCs w:val="24"/>
        </w:rPr>
        <w:t>服务期内，如遇人民银行调整存款基准利率的情况，中标供应商提供给本项目的三个月整存整取定期存款基准利率年利息率随之调整，上浮百分比不变。</w:t>
      </w:r>
    </w:p>
    <w:p w14:paraId="595F2386">
      <w:pPr>
        <w:spacing w:line="360" w:lineRule="auto"/>
        <w:ind w:firstLine="448" w:firstLineChars="200"/>
        <w:rPr>
          <w:kern w:val="0"/>
          <w:sz w:val="24"/>
          <w:szCs w:val="24"/>
        </w:rPr>
      </w:pPr>
      <w:r>
        <w:rPr>
          <w:rFonts w:hint="eastAsia"/>
          <w:kern w:val="0"/>
          <w:sz w:val="24"/>
          <w:szCs w:val="24"/>
        </w:rPr>
        <w:t xml:space="preserve">2. </w:t>
      </w:r>
      <w:r>
        <w:rPr>
          <w:sz w:val="24"/>
        </w:rPr>
        <w:t>验收相关费用由投标人负责。</w:t>
      </w:r>
    </w:p>
    <w:p w14:paraId="7EC82D55">
      <w:pPr>
        <w:autoSpaceDE w:val="0"/>
        <w:autoSpaceDN w:val="0"/>
        <w:adjustRightInd w:val="0"/>
        <w:spacing w:line="360" w:lineRule="auto"/>
        <w:ind w:firstLine="448" w:firstLineChars="200"/>
        <w:rPr>
          <w:color w:val="auto"/>
          <w:sz w:val="24"/>
        </w:rPr>
      </w:pPr>
      <w:r>
        <w:rPr>
          <w:sz w:val="24"/>
        </w:rPr>
        <w:t>（</w:t>
      </w:r>
      <w:r>
        <w:rPr>
          <w:rFonts w:hint="eastAsia"/>
          <w:sz w:val="24"/>
        </w:rPr>
        <w:t>二</w:t>
      </w:r>
      <w:r>
        <w:rPr>
          <w:sz w:val="24"/>
        </w:rPr>
        <w:t>）时</w:t>
      </w:r>
      <w:r>
        <w:rPr>
          <w:color w:val="auto"/>
          <w:sz w:val="24"/>
        </w:rPr>
        <w:t>间、地点要求</w:t>
      </w:r>
    </w:p>
    <w:p w14:paraId="560701E4">
      <w:pPr>
        <w:autoSpaceDE w:val="0"/>
        <w:autoSpaceDN w:val="0"/>
        <w:adjustRightInd w:val="0"/>
        <w:spacing w:line="360" w:lineRule="auto"/>
        <w:ind w:firstLine="448" w:firstLineChars="200"/>
        <w:rPr>
          <w:color w:val="auto"/>
          <w:sz w:val="24"/>
        </w:rPr>
      </w:pPr>
      <w:r>
        <w:rPr>
          <w:color w:val="auto"/>
          <w:sz w:val="24"/>
        </w:rPr>
        <w:t>1. 时间要求：</w:t>
      </w:r>
      <w:r>
        <w:rPr>
          <w:rFonts w:hint="eastAsia"/>
          <w:color w:val="auto"/>
          <w:sz w:val="24"/>
        </w:rPr>
        <w:t>签订合同之日起5年的服务期</w:t>
      </w:r>
      <w:r>
        <w:rPr>
          <w:color w:val="auto"/>
          <w:sz w:val="24"/>
        </w:rPr>
        <w:t>（特殊情况以合同为准）。</w:t>
      </w:r>
    </w:p>
    <w:p w14:paraId="557203AF">
      <w:pPr>
        <w:autoSpaceDE w:val="0"/>
        <w:autoSpaceDN w:val="0"/>
        <w:adjustRightInd w:val="0"/>
        <w:spacing w:line="360" w:lineRule="auto"/>
        <w:ind w:firstLine="448" w:firstLineChars="200"/>
        <w:rPr>
          <w:color w:val="auto"/>
          <w:sz w:val="24"/>
        </w:rPr>
      </w:pPr>
      <w:r>
        <w:rPr>
          <w:color w:val="auto"/>
          <w:sz w:val="24"/>
        </w:rPr>
        <w:t>2. 服务地点：</w:t>
      </w:r>
      <w:r>
        <w:rPr>
          <w:rFonts w:hint="eastAsia"/>
          <w:color w:val="auto"/>
          <w:sz w:val="24"/>
        </w:rPr>
        <w:t>天津市行政区域内</w:t>
      </w:r>
      <w:r>
        <w:rPr>
          <w:color w:val="auto"/>
          <w:sz w:val="24"/>
        </w:rPr>
        <w:t>（特殊情况以合同为准）。</w:t>
      </w:r>
    </w:p>
    <w:p w14:paraId="369D8B88">
      <w:pPr>
        <w:autoSpaceDE w:val="0"/>
        <w:autoSpaceDN w:val="0"/>
        <w:adjustRightInd w:val="0"/>
        <w:spacing w:line="360" w:lineRule="auto"/>
        <w:ind w:firstLine="448" w:firstLineChars="200"/>
        <w:rPr>
          <w:sz w:val="24"/>
        </w:rPr>
      </w:pPr>
      <w:r>
        <w:rPr>
          <w:sz w:val="24"/>
        </w:rPr>
        <w:t>（</w:t>
      </w:r>
      <w:r>
        <w:rPr>
          <w:rFonts w:hint="eastAsia"/>
          <w:sz w:val="24"/>
          <w:lang w:val="en-US" w:eastAsia="zh-CN"/>
        </w:rPr>
        <w:t>三</w:t>
      </w:r>
      <w:r>
        <w:rPr>
          <w:sz w:val="24"/>
        </w:rPr>
        <w:t>）投标保证金和履约保证金</w:t>
      </w:r>
    </w:p>
    <w:p w14:paraId="3ACFC38D">
      <w:pPr>
        <w:autoSpaceDE w:val="0"/>
        <w:autoSpaceDN w:val="0"/>
        <w:adjustRightInd w:val="0"/>
        <w:spacing w:line="360" w:lineRule="auto"/>
        <w:ind w:firstLine="448" w:firstLineChars="200"/>
        <w:rPr>
          <w:sz w:val="24"/>
        </w:rPr>
      </w:pPr>
      <w:r>
        <w:rPr>
          <w:sz w:val="24"/>
        </w:rPr>
        <w:t>本项目不收取投标保证金和履约保证金。</w:t>
      </w:r>
    </w:p>
    <w:p w14:paraId="1E3BD7AB">
      <w:pPr>
        <w:spacing w:line="360" w:lineRule="auto"/>
        <w:ind w:firstLine="448" w:firstLineChars="200"/>
        <w:outlineLvl w:val="0"/>
        <w:rPr>
          <w:sz w:val="24"/>
        </w:rPr>
      </w:pPr>
      <w:r>
        <w:rPr>
          <w:sz w:val="24"/>
        </w:rPr>
        <w:t>四、评分因素及评标标准</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6F8B8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7ECB87B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color w:val="auto"/>
                <w:kern w:val="0"/>
                <w:sz w:val="24"/>
                <w:szCs w:val="24"/>
              </w:rPr>
              <w:t>第一部分 价格（</w:t>
            </w:r>
            <w:r>
              <w:rPr>
                <w:rFonts w:hint="eastAsia"/>
                <w:color w:val="auto"/>
                <w:kern w:val="0"/>
                <w:sz w:val="24"/>
                <w:szCs w:val="24"/>
              </w:rPr>
              <w:t>15</w:t>
            </w:r>
            <w:r>
              <w:rPr>
                <w:color w:val="auto"/>
                <w:kern w:val="0"/>
                <w:sz w:val="24"/>
                <w:szCs w:val="24"/>
              </w:rPr>
              <w:t>分）</w:t>
            </w:r>
          </w:p>
        </w:tc>
        <w:tc>
          <w:tcPr>
            <w:tcW w:w="1143" w:type="dxa"/>
            <w:shd w:val="clear" w:color="auto" w:fill="auto"/>
            <w:vAlign w:val="center"/>
          </w:tcPr>
          <w:p w14:paraId="379488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color w:val="auto"/>
                <w:kern w:val="0"/>
                <w:sz w:val="24"/>
                <w:szCs w:val="24"/>
              </w:rPr>
              <w:t>分值</w:t>
            </w:r>
          </w:p>
        </w:tc>
      </w:tr>
      <w:tr w14:paraId="53D8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3FAB4A0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5FAAE1B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color w:val="auto"/>
                <w:kern w:val="0"/>
                <w:sz w:val="24"/>
                <w:szCs w:val="24"/>
              </w:rPr>
              <w:t>价格</w:t>
            </w:r>
          </w:p>
        </w:tc>
        <w:tc>
          <w:tcPr>
            <w:tcW w:w="7311" w:type="dxa"/>
            <w:shd w:val="clear" w:color="auto" w:fill="auto"/>
            <w:vAlign w:val="center"/>
          </w:tcPr>
          <w:p w14:paraId="3A73E960">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color w:val="auto"/>
                <w:kern w:val="0"/>
                <w:sz w:val="24"/>
                <w:szCs w:val="24"/>
              </w:rPr>
              <w:t>（1）报价</w:t>
            </w:r>
            <w:r>
              <w:rPr>
                <w:rFonts w:hint="eastAsia"/>
                <w:color w:val="auto"/>
                <w:sz w:val="24"/>
                <w:szCs w:val="24"/>
              </w:rPr>
              <w:t>低于人民银行发布的现行三个月整存整取定期存款基准利率</w:t>
            </w:r>
            <w:r>
              <w:rPr>
                <w:color w:val="auto"/>
                <w:kern w:val="0"/>
                <w:sz w:val="24"/>
                <w:szCs w:val="24"/>
              </w:rPr>
              <w:t>，投标无效，</w:t>
            </w:r>
            <w:r>
              <w:rPr>
                <w:rFonts w:hint="eastAsia"/>
                <w:color w:val="auto"/>
                <w:kern w:val="0"/>
                <w:sz w:val="24"/>
                <w:szCs w:val="24"/>
              </w:rPr>
              <w:t>其余</w:t>
            </w:r>
            <w:r>
              <w:rPr>
                <w:color w:val="auto"/>
                <w:kern w:val="0"/>
                <w:sz w:val="24"/>
                <w:szCs w:val="24"/>
              </w:rPr>
              <w:t>报价按以下公式进行计算。</w:t>
            </w:r>
          </w:p>
          <w:p w14:paraId="07B9E58A">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color w:val="auto"/>
                <w:kern w:val="0"/>
                <w:sz w:val="24"/>
                <w:szCs w:val="24"/>
              </w:rPr>
              <w:t>（2）</w:t>
            </w:r>
            <w:r>
              <w:rPr>
                <w:rFonts w:hint="eastAsia"/>
                <w:color w:val="auto"/>
                <w:kern w:val="0"/>
                <w:sz w:val="24"/>
                <w:szCs w:val="24"/>
              </w:rPr>
              <w:t>价格分</w:t>
            </w:r>
            <w:r>
              <w:rPr>
                <w:color w:val="auto"/>
                <w:kern w:val="0"/>
                <w:sz w:val="24"/>
                <w:szCs w:val="24"/>
              </w:rPr>
              <w:t>=（投标报价</w:t>
            </w:r>
            <w:r>
              <w:rPr>
                <w:rFonts w:hint="eastAsia"/>
                <w:color w:val="auto"/>
                <w:kern w:val="0"/>
                <w:sz w:val="24"/>
                <w:szCs w:val="24"/>
              </w:rPr>
              <w:t>/</w:t>
            </w:r>
            <w:r>
              <w:rPr>
                <w:color w:val="auto"/>
                <w:kern w:val="0"/>
                <w:sz w:val="24"/>
                <w:szCs w:val="24"/>
              </w:rPr>
              <w:t>评标基准价）×</w:t>
            </w:r>
            <w:r>
              <w:rPr>
                <w:rFonts w:hint="eastAsia"/>
                <w:color w:val="auto"/>
                <w:kern w:val="0"/>
                <w:sz w:val="24"/>
                <w:szCs w:val="24"/>
              </w:rPr>
              <w:t>15</w:t>
            </w:r>
          </w:p>
          <w:p w14:paraId="5ECBBBFF">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color w:val="auto"/>
                <w:kern w:val="0"/>
                <w:sz w:val="24"/>
                <w:szCs w:val="24"/>
              </w:rPr>
              <w:t>注：满足招标文件要求且投标报价最</w:t>
            </w:r>
            <w:r>
              <w:rPr>
                <w:rFonts w:hint="eastAsia"/>
                <w:color w:val="auto"/>
                <w:kern w:val="0"/>
                <w:sz w:val="24"/>
                <w:szCs w:val="24"/>
              </w:rPr>
              <w:t>高</w:t>
            </w:r>
            <w:r>
              <w:rPr>
                <w:color w:val="auto"/>
                <w:kern w:val="0"/>
                <w:sz w:val="24"/>
                <w:szCs w:val="24"/>
              </w:rPr>
              <w:t>的投标报价为评标基准价。</w:t>
            </w:r>
          </w:p>
        </w:tc>
        <w:tc>
          <w:tcPr>
            <w:tcW w:w="1143" w:type="dxa"/>
            <w:shd w:val="clear" w:color="auto" w:fill="auto"/>
            <w:vAlign w:val="center"/>
          </w:tcPr>
          <w:p w14:paraId="0A64368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rFonts w:hint="eastAsia"/>
                <w:color w:val="auto"/>
                <w:kern w:val="0"/>
                <w:sz w:val="24"/>
                <w:szCs w:val="24"/>
              </w:rPr>
              <w:t>15</w:t>
            </w:r>
          </w:p>
        </w:tc>
      </w:tr>
      <w:tr w14:paraId="60C7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9393" w:type="dxa"/>
            <w:gridSpan w:val="3"/>
            <w:shd w:val="clear" w:color="auto" w:fill="auto"/>
            <w:noWrap/>
            <w:vAlign w:val="center"/>
          </w:tcPr>
          <w:p w14:paraId="00E5D55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color w:val="auto"/>
                <w:kern w:val="0"/>
                <w:sz w:val="24"/>
                <w:szCs w:val="24"/>
              </w:rPr>
              <w:t>第二部分 客观分（</w:t>
            </w:r>
            <w:r>
              <w:rPr>
                <w:rFonts w:hint="eastAsia"/>
                <w:color w:val="auto"/>
                <w:kern w:val="0"/>
                <w:sz w:val="24"/>
                <w:szCs w:val="24"/>
              </w:rPr>
              <w:t>70</w:t>
            </w:r>
            <w:r>
              <w:rPr>
                <w:color w:val="auto"/>
                <w:kern w:val="0"/>
                <w:sz w:val="24"/>
                <w:szCs w:val="24"/>
              </w:rPr>
              <w:t>分）</w:t>
            </w:r>
          </w:p>
        </w:tc>
        <w:tc>
          <w:tcPr>
            <w:tcW w:w="1143" w:type="dxa"/>
            <w:shd w:val="clear" w:color="auto" w:fill="auto"/>
            <w:vAlign w:val="center"/>
          </w:tcPr>
          <w:p w14:paraId="5FA18FC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color w:val="auto"/>
                <w:kern w:val="0"/>
                <w:sz w:val="24"/>
                <w:szCs w:val="24"/>
              </w:rPr>
              <w:t>分值</w:t>
            </w:r>
          </w:p>
        </w:tc>
      </w:tr>
      <w:tr w14:paraId="67D3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0536" w:type="dxa"/>
            <w:gridSpan w:val="4"/>
            <w:shd w:val="clear" w:color="auto" w:fill="auto"/>
            <w:noWrap/>
            <w:vAlign w:val="center"/>
          </w:tcPr>
          <w:p w14:paraId="4B5F7B17">
            <w:pPr>
              <w:keepNext w:val="0"/>
              <w:keepLines w:val="0"/>
              <w:pageBreakBefore w:val="0"/>
              <w:widowControl w:val="0"/>
              <w:kinsoku/>
              <w:wordWrap/>
              <w:overflowPunct/>
              <w:topLinePunct w:val="0"/>
              <w:autoSpaceDE/>
              <w:autoSpaceDN/>
              <w:bidi w:val="0"/>
              <w:adjustRightInd/>
              <w:snapToGrid/>
              <w:spacing w:line="500" w:lineRule="exact"/>
              <w:jc w:val="left"/>
              <w:textAlignment w:val="auto"/>
              <w:rPr>
                <w:color w:val="auto"/>
                <w:kern w:val="0"/>
                <w:sz w:val="24"/>
                <w:szCs w:val="24"/>
              </w:rPr>
            </w:pPr>
            <w:r>
              <w:rPr>
                <w:rFonts w:hint="eastAsia"/>
                <w:color w:val="auto"/>
                <w:kern w:val="0"/>
                <w:sz w:val="24"/>
                <w:szCs w:val="24"/>
              </w:rPr>
              <w:t>根据《商业银行信息披露办法》（中国银行业监督管理委员会令2007年第7号）第二十七条规定，投标人需提供已登载于互联网网络的投标人总行202</w:t>
            </w:r>
            <w:r>
              <w:rPr>
                <w:rFonts w:hint="eastAsia"/>
                <w:color w:val="auto"/>
                <w:kern w:val="0"/>
                <w:sz w:val="24"/>
                <w:szCs w:val="24"/>
                <w:lang w:val="en-US" w:eastAsia="zh-CN"/>
              </w:rPr>
              <w:t>5</w:t>
            </w:r>
            <w:r>
              <w:rPr>
                <w:rFonts w:hint="eastAsia"/>
                <w:color w:val="auto"/>
                <w:kern w:val="0"/>
                <w:sz w:val="24"/>
                <w:szCs w:val="24"/>
              </w:rPr>
              <w:t>年度财务报告，加盖投标人公章后，扫描放入电子响应文件。提供的总行202</w:t>
            </w:r>
            <w:r>
              <w:rPr>
                <w:rFonts w:hint="eastAsia"/>
                <w:color w:val="auto"/>
                <w:kern w:val="0"/>
                <w:sz w:val="24"/>
                <w:szCs w:val="24"/>
                <w:lang w:val="en-US" w:eastAsia="zh-CN"/>
              </w:rPr>
              <w:t>5</w:t>
            </w:r>
            <w:r>
              <w:rPr>
                <w:rFonts w:hint="eastAsia"/>
                <w:color w:val="auto"/>
                <w:kern w:val="0"/>
                <w:sz w:val="24"/>
                <w:szCs w:val="24"/>
              </w:rPr>
              <w:t>年度财务报告不得私自修改、删除，否则不予认定。第1至4项评审依据投标人总行202</w:t>
            </w:r>
            <w:r>
              <w:rPr>
                <w:rFonts w:hint="eastAsia"/>
                <w:color w:val="auto"/>
                <w:kern w:val="0"/>
                <w:sz w:val="24"/>
                <w:szCs w:val="24"/>
                <w:lang w:val="en-US" w:eastAsia="zh-CN"/>
              </w:rPr>
              <w:t>5</w:t>
            </w:r>
            <w:r>
              <w:rPr>
                <w:rFonts w:hint="eastAsia"/>
                <w:color w:val="auto"/>
                <w:kern w:val="0"/>
                <w:sz w:val="24"/>
                <w:szCs w:val="24"/>
              </w:rPr>
              <w:t>年度财务报告，未提供的，第1至4项不得分。</w:t>
            </w:r>
          </w:p>
        </w:tc>
      </w:tr>
      <w:tr w14:paraId="1C641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6CC5654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eastAsiaTheme="minorEastAsia"/>
                <w:color w:val="auto"/>
                <w:kern w:val="0"/>
                <w:sz w:val="24"/>
                <w:szCs w:val="24"/>
              </w:rPr>
            </w:pPr>
            <w:bookmarkStart w:id="8" w:name="_Hlk196637484"/>
            <w:r>
              <w:rPr>
                <w:rFonts w:eastAsiaTheme="minorEastAsia"/>
                <w:color w:val="auto"/>
                <w:kern w:val="0"/>
                <w:sz w:val="24"/>
                <w:szCs w:val="24"/>
              </w:rPr>
              <w:t>1</w:t>
            </w:r>
          </w:p>
        </w:tc>
        <w:tc>
          <w:tcPr>
            <w:tcW w:w="1419" w:type="dxa"/>
            <w:shd w:val="clear" w:color="auto" w:fill="auto"/>
            <w:vAlign w:val="center"/>
          </w:tcPr>
          <w:p w14:paraId="2D6A29F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eastAsiaTheme="minorEastAsia"/>
                <w:color w:val="auto"/>
              </w:rPr>
            </w:pPr>
            <w:r>
              <w:rPr>
                <w:rFonts w:eastAsiaTheme="minorEastAsia"/>
                <w:color w:val="auto"/>
                <w:sz w:val="24"/>
                <w:szCs w:val="24"/>
              </w:rPr>
              <w:t>资本充足率</w:t>
            </w:r>
          </w:p>
        </w:tc>
        <w:tc>
          <w:tcPr>
            <w:tcW w:w="7311" w:type="dxa"/>
            <w:shd w:val="clear" w:color="auto" w:fill="auto"/>
            <w:vAlign w:val="center"/>
          </w:tcPr>
          <w:p w14:paraId="63930561">
            <w:pPr>
              <w:keepNext w:val="0"/>
              <w:keepLines w:val="0"/>
              <w:pageBreakBefore w:val="0"/>
              <w:widowControl w:val="0"/>
              <w:kinsoku/>
              <w:wordWrap/>
              <w:overflowPunct/>
              <w:topLinePunct w:val="0"/>
              <w:autoSpaceDE/>
              <w:autoSpaceDN/>
              <w:bidi w:val="0"/>
              <w:adjustRightInd/>
              <w:snapToGrid/>
              <w:spacing w:line="500" w:lineRule="exact"/>
              <w:textAlignment w:val="auto"/>
              <w:rPr>
                <w:rFonts w:eastAsiaTheme="minorEastAsia"/>
                <w:color w:val="auto"/>
                <w:kern w:val="0"/>
                <w:sz w:val="24"/>
                <w:szCs w:val="24"/>
              </w:rPr>
            </w:pPr>
            <w:r>
              <w:rPr>
                <w:rFonts w:eastAsiaTheme="minorEastAsia"/>
                <w:color w:val="auto"/>
                <w:kern w:val="0"/>
                <w:sz w:val="24"/>
                <w:szCs w:val="24"/>
              </w:rPr>
              <w:t>全部满足招标文件要求的投标人，按其总行数据</w:t>
            </w:r>
          </w:p>
          <w:p w14:paraId="4B80321D">
            <w:pPr>
              <w:keepNext w:val="0"/>
              <w:keepLines w:val="0"/>
              <w:pageBreakBefore w:val="0"/>
              <w:widowControl w:val="0"/>
              <w:kinsoku/>
              <w:wordWrap/>
              <w:overflowPunct/>
              <w:topLinePunct w:val="0"/>
              <w:autoSpaceDE/>
              <w:autoSpaceDN/>
              <w:bidi w:val="0"/>
              <w:adjustRightInd/>
              <w:snapToGrid/>
              <w:spacing w:line="500" w:lineRule="exact"/>
              <w:textAlignment w:val="auto"/>
              <w:rPr>
                <w:rStyle w:val="54"/>
                <w:rFonts w:hint="default" w:ascii="Times New Roman" w:hAnsi="Times New Roman" w:cs="Times New Roman" w:eastAsiaTheme="minorEastAsia"/>
                <w:color w:val="auto"/>
                <w:sz w:val="24"/>
                <w:szCs w:val="24"/>
                <w:lang w:bidi="ar"/>
              </w:rPr>
            </w:pPr>
            <w:r>
              <w:rPr>
                <w:rStyle w:val="54"/>
                <w:rFonts w:hint="default" w:ascii="Times New Roman" w:hAnsi="Times New Roman" w:cs="Times New Roman" w:eastAsiaTheme="minorEastAsia"/>
                <w:color w:val="auto"/>
                <w:sz w:val="24"/>
                <w:szCs w:val="24"/>
                <w:lang w:bidi="ar"/>
              </w:rPr>
              <w:t>11.5%（含）以上得6分；</w:t>
            </w:r>
          </w:p>
          <w:p w14:paraId="610160C8">
            <w:pPr>
              <w:keepNext w:val="0"/>
              <w:keepLines w:val="0"/>
              <w:pageBreakBefore w:val="0"/>
              <w:widowControl w:val="0"/>
              <w:kinsoku/>
              <w:wordWrap/>
              <w:overflowPunct/>
              <w:topLinePunct w:val="0"/>
              <w:autoSpaceDE/>
              <w:autoSpaceDN/>
              <w:bidi w:val="0"/>
              <w:adjustRightInd/>
              <w:snapToGrid/>
              <w:spacing w:line="500" w:lineRule="exact"/>
              <w:textAlignment w:val="auto"/>
              <w:rPr>
                <w:rFonts w:eastAsiaTheme="minorEastAsia"/>
                <w:color w:val="auto"/>
                <w:kern w:val="0"/>
                <w:sz w:val="24"/>
                <w:szCs w:val="24"/>
              </w:rPr>
            </w:pPr>
            <w:r>
              <w:rPr>
                <w:rStyle w:val="54"/>
                <w:rFonts w:hint="default" w:ascii="Times New Roman" w:hAnsi="Times New Roman" w:cs="Times New Roman" w:eastAsiaTheme="minorEastAsia"/>
                <w:color w:val="auto"/>
                <w:sz w:val="24"/>
                <w:szCs w:val="24"/>
                <w:lang w:bidi="ar"/>
              </w:rPr>
              <w:t>11.5%以下不得分。</w:t>
            </w:r>
          </w:p>
        </w:tc>
        <w:tc>
          <w:tcPr>
            <w:tcW w:w="1143" w:type="dxa"/>
            <w:shd w:val="clear" w:color="auto" w:fill="auto"/>
            <w:vAlign w:val="center"/>
          </w:tcPr>
          <w:p w14:paraId="247102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eastAsiaTheme="minorEastAsia"/>
                <w:color w:val="auto"/>
                <w:kern w:val="0"/>
                <w:sz w:val="24"/>
                <w:szCs w:val="24"/>
              </w:rPr>
            </w:pPr>
            <w:r>
              <w:rPr>
                <w:rFonts w:eastAsiaTheme="minorEastAsia"/>
                <w:color w:val="auto"/>
                <w:kern w:val="0"/>
                <w:sz w:val="24"/>
                <w:szCs w:val="24"/>
              </w:rPr>
              <w:t>6</w:t>
            </w:r>
          </w:p>
        </w:tc>
      </w:tr>
      <w:tr w14:paraId="6321C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102B3BA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eastAsiaTheme="minorEastAsia"/>
                <w:color w:val="auto"/>
                <w:kern w:val="0"/>
                <w:sz w:val="24"/>
                <w:szCs w:val="24"/>
              </w:rPr>
            </w:pPr>
            <w:r>
              <w:rPr>
                <w:rFonts w:eastAsiaTheme="minorEastAsia"/>
                <w:color w:val="auto"/>
                <w:kern w:val="0"/>
                <w:sz w:val="24"/>
                <w:szCs w:val="24"/>
              </w:rPr>
              <w:t>2</w:t>
            </w:r>
          </w:p>
        </w:tc>
        <w:tc>
          <w:tcPr>
            <w:tcW w:w="1419" w:type="dxa"/>
            <w:shd w:val="clear" w:color="auto" w:fill="auto"/>
            <w:vAlign w:val="center"/>
          </w:tcPr>
          <w:p w14:paraId="4DB6DF6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eastAsiaTheme="minorEastAsia"/>
                <w:color w:val="auto"/>
                <w:sz w:val="24"/>
                <w:szCs w:val="24"/>
              </w:rPr>
            </w:pPr>
            <w:r>
              <w:rPr>
                <w:rFonts w:eastAsiaTheme="minorEastAsia"/>
                <w:color w:val="auto"/>
                <w:sz w:val="24"/>
                <w:szCs w:val="24"/>
              </w:rPr>
              <w:t>流动性比例</w:t>
            </w:r>
          </w:p>
        </w:tc>
        <w:tc>
          <w:tcPr>
            <w:tcW w:w="7311" w:type="dxa"/>
            <w:shd w:val="clear" w:color="auto" w:fill="auto"/>
            <w:vAlign w:val="center"/>
          </w:tcPr>
          <w:p w14:paraId="2B91EF3F">
            <w:pPr>
              <w:keepNext w:val="0"/>
              <w:keepLines w:val="0"/>
              <w:pageBreakBefore w:val="0"/>
              <w:widowControl w:val="0"/>
              <w:kinsoku/>
              <w:wordWrap/>
              <w:overflowPunct/>
              <w:topLinePunct w:val="0"/>
              <w:autoSpaceDE/>
              <w:autoSpaceDN/>
              <w:bidi w:val="0"/>
              <w:adjustRightInd/>
              <w:snapToGrid/>
              <w:spacing w:line="500" w:lineRule="exact"/>
              <w:textAlignment w:val="auto"/>
              <w:rPr>
                <w:rFonts w:eastAsiaTheme="minorEastAsia"/>
                <w:color w:val="auto"/>
                <w:kern w:val="0"/>
                <w:sz w:val="24"/>
                <w:szCs w:val="24"/>
              </w:rPr>
            </w:pPr>
            <w:r>
              <w:rPr>
                <w:rFonts w:eastAsiaTheme="minorEastAsia"/>
                <w:color w:val="auto"/>
                <w:kern w:val="0"/>
                <w:sz w:val="24"/>
                <w:szCs w:val="24"/>
              </w:rPr>
              <w:t>全部满足招标文件要求的投标人，按其总行数据</w:t>
            </w:r>
          </w:p>
          <w:p w14:paraId="0DE61AE0">
            <w:pPr>
              <w:keepNext w:val="0"/>
              <w:keepLines w:val="0"/>
              <w:pageBreakBefore w:val="0"/>
              <w:widowControl w:val="0"/>
              <w:kinsoku/>
              <w:wordWrap/>
              <w:overflowPunct/>
              <w:topLinePunct w:val="0"/>
              <w:autoSpaceDE/>
              <w:autoSpaceDN/>
              <w:bidi w:val="0"/>
              <w:adjustRightInd/>
              <w:snapToGrid/>
              <w:spacing w:line="500" w:lineRule="exact"/>
              <w:textAlignment w:val="auto"/>
              <w:rPr>
                <w:rStyle w:val="54"/>
                <w:rFonts w:hint="default" w:ascii="Times New Roman" w:hAnsi="Times New Roman" w:cs="Times New Roman" w:eastAsiaTheme="minorEastAsia"/>
                <w:color w:val="auto"/>
                <w:sz w:val="24"/>
                <w:szCs w:val="24"/>
                <w:lang w:bidi="ar"/>
              </w:rPr>
            </w:pPr>
            <w:r>
              <w:rPr>
                <w:rStyle w:val="54"/>
                <w:rFonts w:hint="default" w:ascii="Times New Roman" w:hAnsi="Times New Roman" w:cs="Times New Roman" w:eastAsiaTheme="minorEastAsia"/>
                <w:color w:val="auto"/>
                <w:sz w:val="24"/>
                <w:szCs w:val="24"/>
                <w:lang w:bidi="ar"/>
              </w:rPr>
              <w:t>25%（含）以上得6分；</w:t>
            </w:r>
          </w:p>
          <w:p w14:paraId="5ECD20F2">
            <w:pPr>
              <w:keepNext w:val="0"/>
              <w:keepLines w:val="0"/>
              <w:pageBreakBefore w:val="0"/>
              <w:widowControl w:val="0"/>
              <w:kinsoku/>
              <w:wordWrap/>
              <w:overflowPunct/>
              <w:topLinePunct w:val="0"/>
              <w:autoSpaceDE/>
              <w:autoSpaceDN/>
              <w:bidi w:val="0"/>
              <w:adjustRightInd/>
              <w:snapToGrid/>
              <w:spacing w:line="500" w:lineRule="exact"/>
              <w:textAlignment w:val="auto"/>
              <w:rPr>
                <w:rFonts w:eastAsiaTheme="minorEastAsia"/>
                <w:color w:val="auto"/>
                <w:kern w:val="0"/>
                <w:sz w:val="24"/>
                <w:szCs w:val="24"/>
              </w:rPr>
            </w:pPr>
            <w:r>
              <w:rPr>
                <w:rStyle w:val="54"/>
                <w:rFonts w:hint="default" w:ascii="Times New Roman" w:hAnsi="Times New Roman" w:cs="Times New Roman" w:eastAsiaTheme="minorEastAsia"/>
                <w:color w:val="auto"/>
                <w:sz w:val="24"/>
                <w:szCs w:val="24"/>
                <w:lang w:bidi="ar"/>
              </w:rPr>
              <w:t>25%以下不得分。</w:t>
            </w:r>
          </w:p>
        </w:tc>
        <w:tc>
          <w:tcPr>
            <w:tcW w:w="1143" w:type="dxa"/>
            <w:shd w:val="clear" w:color="auto" w:fill="auto"/>
            <w:vAlign w:val="center"/>
          </w:tcPr>
          <w:p w14:paraId="24F43D0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eastAsiaTheme="minorEastAsia"/>
                <w:color w:val="auto"/>
                <w:kern w:val="0"/>
                <w:sz w:val="24"/>
                <w:szCs w:val="24"/>
              </w:rPr>
            </w:pPr>
            <w:r>
              <w:rPr>
                <w:rFonts w:eastAsiaTheme="minorEastAsia"/>
                <w:color w:val="auto"/>
                <w:kern w:val="0"/>
                <w:sz w:val="24"/>
                <w:szCs w:val="24"/>
              </w:rPr>
              <w:t>6</w:t>
            </w:r>
          </w:p>
        </w:tc>
      </w:tr>
      <w:tr w14:paraId="386E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5DF675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eastAsiaTheme="minorEastAsia"/>
                <w:color w:val="auto"/>
                <w:kern w:val="0"/>
                <w:sz w:val="24"/>
                <w:szCs w:val="24"/>
              </w:rPr>
            </w:pPr>
            <w:r>
              <w:rPr>
                <w:rFonts w:eastAsiaTheme="minorEastAsia"/>
                <w:color w:val="auto"/>
                <w:kern w:val="0"/>
                <w:sz w:val="24"/>
                <w:szCs w:val="24"/>
              </w:rPr>
              <w:t>3</w:t>
            </w:r>
          </w:p>
        </w:tc>
        <w:tc>
          <w:tcPr>
            <w:tcW w:w="1419" w:type="dxa"/>
            <w:shd w:val="clear" w:color="auto" w:fill="auto"/>
            <w:vAlign w:val="center"/>
          </w:tcPr>
          <w:p w14:paraId="46EBD30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eastAsiaTheme="minorEastAsia"/>
                <w:color w:val="auto"/>
                <w:kern w:val="0"/>
                <w:sz w:val="24"/>
                <w:szCs w:val="24"/>
              </w:rPr>
            </w:pPr>
            <w:r>
              <w:rPr>
                <w:rFonts w:eastAsiaTheme="minorEastAsia"/>
                <w:color w:val="auto"/>
                <w:kern w:val="0"/>
                <w:sz w:val="24"/>
                <w:szCs w:val="24"/>
              </w:rPr>
              <w:t>不良贷款率</w:t>
            </w:r>
          </w:p>
        </w:tc>
        <w:tc>
          <w:tcPr>
            <w:tcW w:w="7311" w:type="dxa"/>
            <w:shd w:val="clear" w:color="auto" w:fill="auto"/>
            <w:vAlign w:val="center"/>
          </w:tcPr>
          <w:p w14:paraId="36E74D91">
            <w:pPr>
              <w:keepNext w:val="0"/>
              <w:keepLines w:val="0"/>
              <w:pageBreakBefore w:val="0"/>
              <w:widowControl w:val="0"/>
              <w:kinsoku/>
              <w:wordWrap/>
              <w:overflowPunct/>
              <w:topLinePunct w:val="0"/>
              <w:autoSpaceDE/>
              <w:autoSpaceDN/>
              <w:bidi w:val="0"/>
              <w:adjustRightInd/>
              <w:snapToGrid/>
              <w:spacing w:line="500" w:lineRule="exact"/>
              <w:textAlignment w:val="auto"/>
              <w:rPr>
                <w:rFonts w:eastAsiaTheme="minorEastAsia"/>
                <w:color w:val="auto"/>
                <w:kern w:val="0"/>
                <w:sz w:val="24"/>
                <w:szCs w:val="24"/>
              </w:rPr>
            </w:pPr>
            <w:r>
              <w:rPr>
                <w:rFonts w:eastAsiaTheme="minorEastAsia"/>
                <w:color w:val="auto"/>
                <w:kern w:val="0"/>
                <w:sz w:val="24"/>
                <w:szCs w:val="24"/>
              </w:rPr>
              <w:t>全部满足招标文件要求的投标人，按其总行数据</w:t>
            </w:r>
          </w:p>
          <w:p w14:paraId="377C636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eastAsiaTheme="minorEastAsia"/>
                <w:color w:val="auto"/>
                <w:kern w:val="0"/>
                <w:sz w:val="24"/>
                <w:szCs w:val="24"/>
              </w:rPr>
            </w:pPr>
            <w:r>
              <w:rPr>
                <w:rFonts w:hint="eastAsia" w:eastAsiaTheme="minorEastAsia"/>
                <w:color w:val="auto"/>
                <w:kern w:val="0"/>
                <w:sz w:val="24"/>
                <w:szCs w:val="24"/>
              </w:rPr>
              <w:t>2%（含）以下得6分；</w:t>
            </w:r>
          </w:p>
          <w:p w14:paraId="045F2698">
            <w:pPr>
              <w:keepNext w:val="0"/>
              <w:keepLines w:val="0"/>
              <w:pageBreakBefore w:val="0"/>
              <w:widowControl w:val="0"/>
              <w:kinsoku/>
              <w:wordWrap/>
              <w:overflowPunct/>
              <w:topLinePunct w:val="0"/>
              <w:autoSpaceDE/>
              <w:autoSpaceDN/>
              <w:bidi w:val="0"/>
              <w:adjustRightInd/>
              <w:snapToGrid/>
              <w:spacing w:line="500" w:lineRule="exact"/>
              <w:textAlignment w:val="auto"/>
              <w:rPr>
                <w:rFonts w:eastAsiaTheme="minorEastAsia"/>
                <w:color w:val="auto"/>
                <w:kern w:val="0"/>
                <w:sz w:val="24"/>
                <w:szCs w:val="24"/>
              </w:rPr>
            </w:pPr>
            <w:r>
              <w:rPr>
                <w:rFonts w:hint="eastAsia" w:eastAsiaTheme="minorEastAsia"/>
                <w:color w:val="auto"/>
                <w:kern w:val="0"/>
                <w:sz w:val="24"/>
                <w:szCs w:val="24"/>
              </w:rPr>
              <w:t>2%以上不得分。</w:t>
            </w:r>
          </w:p>
        </w:tc>
        <w:tc>
          <w:tcPr>
            <w:tcW w:w="1143" w:type="dxa"/>
            <w:shd w:val="clear" w:color="auto" w:fill="auto"/>
            <w:vAlign w:val="center"/>
          </w:tcPr>
          <w:p w14:paraId="236B41A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eastAsiaTheme="minorEastAsia"/>
                <w:color w:val="auto"/>
                <w:kern w:val="0"/>
                <w:sz w:val="24"/>
                <w:szCs w:val="24"/>
              </w:rPr>
            </w:pPr>
            <w:r>
              <w:rPr>
                <w:rFonts w:eastAsiaTheme="minorEastAsia"/>
                <w:color w:val="auto"/>
                <w:kern w:val="0"/>
                <w:sz w:val="24"/>
                <w:szCs w:val="24"/>
              </w:rPr>
              <w:t>6</w:t>
            </w:r>
          </w:p>
        </w:tc>
      </w:tr>
      <w:tr w14:paraId="398B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F3E12E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eastAsiaTheme="minorEastAsia"/>
                <w:color w:val="auto"/>
                <w:kern w:val="0"/>
                <w:sz w:val="24"/>
                <w:szCs w:val="24"/>
              </w:rPr>
            </w:pPr>
            <w:r>
              <w:rPr>
                <w:rFonts w:eastAsiaTheme="minorEastAsia"/>
                <w:color w:val="auto"/>
                <w:kern w:val="0"/>
                <w:sz w:val="24"/>
                <w:szCs w:val="24"/>
              </w:rPr>
              <w:t>4</w:t>
            </w:r>
          </w:p>
        </w:tc>
        <w:tc>
          <w:tcPr>
            <w:tcW w:w="1419" w:type="dxa"/>
            <w:shd w:val="clear" w:color="auto" w:fill="auto"/>
            <w:vAlign w:val="center"/>
          </w:tcPr>
          <w:p w14:paraId="48B5E4A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eastAsiaTheme="minorEastAsia"/>
                <w:color w:val="auto"/>
                <w:kern w:val="0"/>
                <w:sz w:val="24"/>
                <w:szCs w:val="24"/>
              </w:rPr>
            </w:pPr>
            <w:r>
              <w:rPr>
                <w:rFonts w:eastAsiaTheme="minorEastAsia"/>
                <w:color w:val="auto"/>
                <w:kern w:val="0"/>
                <w:sz w:val="24"/>
                <w:szCs w:val="24"/>
              </w:rPr>
              <w:t>拨备覆盖率</w:t>
            </w:r>
          </w:p>
        </w:tc>
        <w:tc>
          <w:tcPr>
            <w:tcW w:w="7311" w:type="dxa"/>
            <w:shd w:val="clear" w:color="auto" w:fill="auto"/>
            <w:vAlign w:val="center"/>
          </w:tcPr>
          <w:p w14:paraId="2F0F6A27">
            <w:pPr>
              <w:keepNext w:val="0"/>
              <w:keepLines w:val="0"/>
              <w:pageBreakBefore w:val="0"/>
              <w:widowControl w:val="0"/>
              <w:kinsoku/>
              <w:wordWrap/>
              <w:overflowPunct/>
              <w:topLinePunct w:val="0"/>
              <w:autoSpaceDE/>
              <w:autoSpaceDN/>
              <w:bidi w:val="0"/>
              <w:adjustRightInd/>
              <w:snapToGrid/>
              <w:spacing w:line="500" w:lineRule="exact"/>
              <w:textAlignment w:val="auto"/>
              <w:rPr>
                <w:rFonts w:eastAsiaTheme="minorEastAsia"/>
                <w:color w:val="auto"/>
                <w:kern w:val="0"/>
                <w:sz w:val="24"/>
                <w:szCs w:val="24"/>
              </w:rPr>
            </w:pPr>
            <w:r>
              <w:rPr>
                <w:rFonts w:eastAsiaTheme="minorEastAsia"/>
                <w:color w:val="auto"/>
                <w:kern w:val="0"/>
                <w:sz w:val="24"/>
                <w:szCs w:val="24"/>
              </w:rPr>
              <w:t>全部满足招标文件要求的投标人，按其总行数据</w:t>
            </w:r>
          </w:p>
          <w:p w14:paraId="60997FB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eastAsiaTheme="minorEastAsia"/>
                <w:color w:val="auto"/>
                <w:kern w:val="0"/>
                <w:sz w:val="24"/>
                <w:szCs w:val="24"/>
              </w:rPr>
            </w:pPr>
            <w:r>
              <w:rPr>
                <w:rFonts w:hint="eastAsia" w:eastAsiaTheme="minorEastAsia"/>
                <w:color w:val="auto"/>
                <w:kern w:val="0"/>
                <w:sz w:val="24"/>
                <w:szCs w:val="24"/>
              </w:rPr>
              <w:t>150%（含）以上得6分；</w:t>
            </w:r>
          </w:p>
          <w:p w14:paraId="7ED837CC">
            <w:pPr>
              <w:keepNext w:val="0"/>
              <w:keepLines w:val="0"/>
              <w:pageBreakBefore w:val="0"/>
              <w:widowControl w:val="0"/>
              <w:kinsoku/>
              <w:wordWrap/>
              <w:overflowPunct/>
              <w:topLinePunct w:val="0"/>
              <w:autoSpaceDE/>
              <w:autoSpaceDN/>
              <w:bidi w:val="0"/>
              <w:adjustRightInd/>
              <w:snapToGrid/>
              <w:spacing w:line="500" w:lineRule="exact"/>
              <w:textAlignment w:val="auto"/>
              <w:rPr>
                <w:rFonts w:eastAsiaTheme="minorEastAsia"/>
                <w:color w:val="auto"/>
                <w:kern w:val="0"/>
                <w:sz w:val="24"/>
                <w:szCs w:val="24"/>
              </w:rPr>
            </w:pPr>
            <w:r>
              <w:rPr>
                <w:rFonts w:hint="eastAsia" w:eastAsiaTheme="minorEastAsia"/>
                <w:color w:val="auto"/>
                <w:kern w:val="0"/>
                <w:sz w:val="24"/>
                <w:szCs w:val="24"/>
              </w:rPr>
              <w:t>150%以下不得分。</w:t>
            </w:r>
          </w:p>
        </w:tc>
        <w:tc>
          <w:tcPr>
            <w:tcW w:w="1143" w:type="dxa"/>
            <w:shd w:val="clear" w:color="auto" w:fill="auto"/>
            <w:vAlign w:val="center"/>
          </w:tcPr>
          <w:p w14:paraId="4589E4D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eastAsiaTheme="minorEastAsia"/>
                <w:color w:val="auto"/>
                <w:kern w:val="0"/>
                <w:sz w:val="24"/>
                <w:szCs w:val="24"/>
              </w:rPr>
            </w:pPr>
            <w:r>
              <w:rPr>
                <w:rFonts w:eastAsiaTheme="minorEastAsia"/>
                <w:color w:val="auto"/>
                <w:kern w:val="0"/>
                <w:sz w:val="24"/>
                <w:szCs w:val="24"/>
              </w:rPr>
              <w:t>6</w:t>
            </w:r>
          </w:p>
        </w:tc>
      </w:tr>
      <w:tr w14:paraId="6EB19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663" w:type="dxa"/>
            <w:shd w:val="clear" w:color="auto" w:fill="auto"/>
            <w:noWrap/>
            <w:vAlign w:val="center"/>
          </w:tcPr>
          <w:p w14:paraId="2882543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rFonts w:hint="eastAsia"/>
                <w:color w:val="auto"/>
                <w:kern w:val="0"/>
                <w:sz w:val="24"/>
                <w:szCs w:val="24"/>
              </w:rPr>
              <w:t>5</w:t>
            </w:r>
          </w:p>
        </w:tc>
        <w:tc>
          <w:tcPr>
            <w:tcW w:w="1419" w:type="dxa"/>
            <w:shd w:val="clear" w:color="auto" w:fill="auto"/>
            <w:vAlign w:val="center"/>
          </w:tcPr>
          <w:p w14:paraId="2870340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rFonts w:hint="eastAsia"/>
                <w:color w:val="auto"/>
                <w:kern w:val="0"/>
                <w:sz w:val="24"/>
                <w:szCs w:val="24"/>
              </w:rPr>
              <w:t>金融监管考核指标</w:t>
            </w:r>
          </w:p>
        </w:tc>
        <w:tc>
          <w:tcPr>
            <w:tcW w:w="7311" w:type="dxa"/>
            <w:shd w:val="clear" w:color="auto" w:fill="auto"/>
            <w:vAlign w:val="center"/>
          </w:tcPr>
          <w:p w14:paraId="7999FDDB">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rFonts w:hint="eastAsia"/>
                <w:color w:val="auto"/>
                <w:kern w:val="0"/>
                <w:sz w:val="24"/>
                <w:szCs w:val="24"/>
              </w:rPr>
              <w:t>投标人承诺</w:t>
            </w:r>
            <w:r>
              <w:rPr>
                <w:color w:val="auto"/>
                <w:kern w:val="0"/>
                <w:sz w:val="24"/>
                <w:szCs w:val="24"/>
                <w:lang w:val="en"/>
              </w:rPr>
              <w:t>202</w:t>
            </w:r>
            <w:r>
              <w:rPr>
                <w:rFonts w:hint="eastAsia"/>
                <w:color w:val="auto"/>
                <w:kern w:val="0"/>
                <w:sz w:val="24"/>
                <w:szCs w:val="24"/>
                <w:lang w:val="en-US" w:eastAsia="zh-CN"/>
              </w:rPr>
              <w:t>5</w:t>
            </w:r>
            <w:r>
              <w:rPr>
                <w:rFonts w:hint="eastAsia"/>
                <w:color w:val="auto"/>
                <w:kern w:val="0"/>
                <w:sz w:val="24"/>
                <w:szCs w:val="24"/>
              </w:rPr>
              <w:t>年</w:t>
            </w:r>
            <w:r>
              <w:rPr>
                <w:rFonts w:hint="eastAsia"/>
                <w:color w:val="auto"/>
                <w:kern w:val="0"/>
                <w:sz w:val="24"/>
                <w:szCs w:val="24"/>
                <w:lang w:val="en-US" w:eastAsia="zh-CN"/>
              </w:rPr>
              <w:t>上半年</w:t>
            </w:r>
            <w:r>
              <w:rPr>
                <w:rFonts w:hint="eastAsia"/>
                <w:color w:val="auto"/>
                <w:kern w:val="0"/>
                <w:sz w:val="24"/>
                <w:szCs w:val="24"/>
              </w:rPr>
              <w:t>央行针对投标人总行的金融机构评级结果（绿区、黄区、红区），按照考核等级排序</w:t>
            </w:r>
          </w:p>
          <w:p w14:paraId="2215B2D2">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color w:val="auto"/>
                <w:kern w:val="0"/>
                <w:sz w:val="24"/>
                <w:szCs w:val="24"/>
              </w:rPr>
              <w:t>承诺考核等级</w:t>
            </w:r>
            <w:r>
              <w:rPr>
                <w:rFonts w:hint="eastAsia"/>
                <w:color w:val="auto"/>
                <w:kern w:val="0"/>
                <w:sz w:val="24"/>
                <w:szCs w:val="24"/>
              </w:rPr>
              <w:t>绿区得</w:t>
            </w:r>
            <w:r>
              <w:rPr>
                <w:color w:val="auto"/>
                <w:kern w:val="0"/>
                <w:sz w:val="24"/>
                <w:szCs w:val="24"/>
              </w:rPr>
              <w:t>6分</w:t>
            </w:r>
            <w:r>
              <w:rPr>
                <w:rFonts w:hint="eastAsia"/>
                <w:color w:val="auto"/>
                <w:kern w:val="0"/>
                <w:sz w:val="24"/>
                <w:szCs w:val="24"/>
              </w:rPr>
              <w:t>；</w:t>
            </w:r>
          </w:p>
          <w:p w14:paraId="2FB79030">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color w:val="auto"/>
                <w:kern w:val="0"/>
                <w:sz w:val="24"/>
                <w:szCs w:val="24"/>
              </w:rPr>
              <w:t>承诺考核等级</w:t>
            </w:r>
            <w:r>
              <w:rPr>
                <w:rFonts w:hint="eastAsia"/>
                <w:color w:val="auto"/>
                <w:kern w:val="0"/>
                <w:sz w:val="24"/>
                <w:szCs w:val="24"/>
              </w:rPr>
              <w:t>黄区得</w:t>
            </w:r>
            <w:r>
              <w:rPr>
                <w:color w:val="auto"/>
                <w:kern w:val="0"/>
                <w:sz w:val="24"/>
                <w:szCs w:val="24"/>
              </w:rPr>
              <w:t>5分</w:t>
            </w:r>
            <w:r>
              <w:rPr>
                <w:rFonts w:hint="eastAsia"/>
                <w:color w:val="auto"/>
                <w:kern w:val="0"/>
                <w:sz w:val="24"/>
                <w:szCs w:val="24"/>
              </w:rPr>
              <w:t>；</w:t>
            </w:r>
          </w:p>
          <w:p w14:paraId="7B66B9CC">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color w:val="auto"/>
                <w:kern w:val="0"/>
                <w:sz w:val="24"/>
                <w:szCs w:val="24"/>
              </w:rPr>
              <w:t>承诺考核等级</w:t>
            </w:r>
            <w:r>
              <w:rPr>
                <w:rFonts w:hint="eastAsia"/>
                <w:color w:val="auto"/>
                <w:kern w:val="0"/>
                <w:sz w:val="24"/>
                <w:szCs w:val="24"/>
              </w:rPr>
              <w:t>红区得</w:t>
            </w:r>
            <w:r>
              <w:rPr>
                <w:color w:val="auto"/>
                <w:kern w:val="0"/>
                <w:sz w:val="24"/>
                <w:szCs w:val="24"/>
              </w:rPr>
              <w:t>3分</w:t>
            </w:r>
            <w:r>
              <w:rPr>
                <w:rFonts w:hint="eastAsia"/>
                <w:color w:val="auto"/>
                <w:kern w:val="0"/>
                <w:sz w:val="24"/>
                <w:szCs w:val="24"/>
              </w:rPr>
              <w:t>。</w:t>
            </w:r>
          </w:p>
          <w:p w14:paraId="4BDF6EC5">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rFonts w:hint="eastAsia"/>
                <w:color w:val="auto"/>
                <w:kern w:val="0"/>
                <w:sz w:val="24"/>
                <w:szCs w:val="24"/>
              </w:rPr>
              <w:t>其他0分。</w:t>
            </w:r>
          </w:p>
        </w:tc>
        <w:tc>
          <w:tcPr>
            <w:tcW w:w="1143" w:type="dxa"/>
            <w:shd w:val="clear" w:color="auto" w:fill="auto"/>
            <w:vAlign w:val="center"/>
          </w:tcPr>
          <w:p w14:paraId="26A060E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rFonts w:hint="eastAsia"/>
                <w:color w:val="auto"/>
                <w:kern w:val="0"/>
                <w:sz w:val="24"/>
                <w:szCs w:val="24"/>
              </w:rPr>
              <w:t>6</w:t>
            </w:r>
          </w:p>
        </w:tc>
      </w:tr>
      <w:tr w14:paraId="133FA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663" w:type="dxa"/>
            <w:shd w:val="clear" w:color="auto" w:fill="auto"/>
            <w:noWrap/>
            <w:vAlign w:val="center"/>
          </w:tcPr>
          <w:p w14:paraId="153CEB8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color w:val="auto"/>
                <w:kern w:val="0"/>
                <w:sz w:val="24"/>
                <w:szCs w:val="24"/>
                <w:lang w:val="en-US" w:eastAsia="zh-CN"/>
              </w:rPr>
            </w:pPr>
            <w:r>
              <w:rPr>
                <w:rFonts w:hint="eastAsia"/>
                <w:color w:val="auto"/>
                <w:kern w:val="0"/>
                <w:sz w:val="24"/>
                <w:szCs w:val="24"/>
                <w:lang w:val="en-US" w:eastAsia="zh-CN"/>
              </w:rPr>
              <w:t>6</w:t>
            </w:r>
          </w:p>
        </w:tc>
        <w:tc>
          <w:tcPr>
            <w:tcW w:w="1419" w:type="dxa"/>
            <w:shd w:val="clear" w:color="auto" w:fill="auto"/>
            <w:vAlign w:val="center"/>
          </w:tcPr>
          <w:p w14:paraId="0C72BEF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eastAsiaTheme="minorEastAsia"/>
                <w:color w:val="auto"/>
                <w:kern w:val="0"/>
                <w:sz w:val="24"/>
                <w:szCs w:val="24"/>
              </w:rPr>
            </w:pPr>
            <w:r>
              <w:rPr>
                <w:rFonts w:hint="eastAsia" w:eastAsiaTheme="minorEastAsia"/>
                <w:color w:val="auto"/>
                <w:kern w:val="0"/>
                <w:sz w:val="24"/>
                <w:szCs w:val="24"/>
              </w:rPr>
              <w:t>支持地方发展</w:t>
            </w:r>
          </w:p>
        </w:tc>
        <w:tc>
          <w:tcPr>
            <w:tcW w:w="7311" w:type="dxa"/>
            <w:shd w:val="clear" w:color="auto" w:fill="auto"/>
            <w:vAlign w:val="center"/>
          </w:tcPr>
          <w:p w14:paraId="60CDB0C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lang w:bidi="ar"/>
              </w:rPr>
            </w:pPr>
            <w:r>
              <w:rPr>
                <w:rFonts w:hint="eastAsia"/>
                <w:color w:val="auto"/>
                <w:kern w:val="0"/>
                <w:sz w:val="24"/>
                <w:szCs w:val="24"/>
                <w:lang w:bidi="ar"/>
              </w:rPr>
              <w:t>投标人提供与天津市人民政府</w:t>
            </w:r>
            <w:r>
              <w:rPr>
                <w:rFonts w:hint="eastAsia"/>
                <w:color w:val="auto"/>
                <w:kern w:val="0"/>
                <w:sz w:val="24"/>
                <w:szCs w:val="24"/>
                <w:lang w:val="en-US" w:eastAsia="zh-CN" w:bidi="ar"/>
              </w:rPr>
              <w:t>签订的</w:t>
            </w:r>
            <w:r>
              <w:rPr>
                <w:rFonts w:hint="eastAsia"/>
                <w:color w:val="auto"/>
                <w:kern w:val="0"/>
                <w:sz w:val="24"/>
                <w:szCs w:val="24"/>
                <w:lang w:bidi="ar"/>
              </w:rPr>
              <w:t>战略合作协议</w:t>
            </w:r>
            <w:r>
              <w:rPr>
                <w:rFonts w:hint="eastAsia"/>
                <w:color w:val="auto"/>
                <w:kern w:val="0"/>
                <w:sz w:val="24"/>
                <w:szCs w:val="24"/>
                <w:lang w:val="en-US" w:eastAsia="zh-CN" w:bidi="ar"/>
              </w:rPr>
              <w:t>电子件</w:t>
            </w:r>
            <w:r>
              <w:rPr>
                <w:rFonts w:hint="eastAsia"/>
                <w:color w:val="auto"/>
                <w:kern w:val="0"/>
                <w:sz w:val="24"/>
                <w:szCs w:val="24"/>
                <w:lang w:bidi="ar"/>
              </w:rPr>
              <w:t>或投标人总行位于天津</w:t>
            </w:r>
            <w:r>
              <w:rPr>
                <w:rFonts w:hint="eastAsia"/>
                <w:color w:val="auto"/>
                <w:kern w:val="0"/>
                <w:sz w:val="24"/>
                <w:szCs w:val="24"/>
                <w:lang w:eastAsia="zh-CN" w:bidi="ar"/>
              </w:rPr>
              <w:t>，</w:t>
            </w:r>
            <w:r>
              <w:rPr>
                <w:rFonts w:hint="eastAsia"/>
                <w:color w:val="auto"/>
                <w:kern w:val="0"/>
                <w:sz w:val="24"/>
                <w:szCs w:val="24"/>
                <w:lang w:val="en-US" w:eastAsia="zh-CN" w:bidi="ar"/>
              </w:rPr>
              <w:t>提供符合要求的上述材料得4分，否则0分。</w:t>
            </w:r>
          </w:p>
        </w:tc>
        <w:tc>
          <w:tcPr>
            <w:tcW w:w="1143" w:type="dxa"/>
            <w:shd w:val="clear" w:color="auto" w:fill="auto"/>
            <w:vAlign w:val="center"/>
          </w:tcPr>
          <w:p w14:paraId="093D1EF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color w:val="auto"/>
                <w:kern w:val="0"/>
                <w:sz w:val="24"/>
                <w:szCs w:val="24"/>
                <w:lang w:val="en-US" w:eastAsia="zh-CN"/>
              </w:rPr>
            </w:pPr>
            <w:r>
              <w:rPr>
                <w:rFonts w:hint="eastAsia"/>
                <w:color w:val="auto"/>
                <w:kern w:val="0"/>
                <w:sz w:val="24"/>
                <w:szCs w:val="24"/>
                <w:lang w:val="en-US" w:eastAsia="zh-CN"/>
              </w:rPr>
              <w:t>4</w:t>
            </w:r>
          </w:p>
        </w:tc>
      </w:tr>
      <w:tr w14:paraId="797D9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663" w:type="dxa"/>
            <w:shd w:val="clear" w:color="auto" w:fill="auto"/>
            <w:noWrap/>
            <w:vAlign w:val="center"/>
          </w:tcPr>
          <w:p w14:paraId="35DF304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7</w:t>
            </w:r>
          </w:p>
        </w:tc>
        <w:tc>
          <w:tcPr>
            <w:tcW w:w="1419" w:type="dxa"/>
            <w:shd w:val="clear" w:color="auto" w:fill="auto"/>
            <w:vAlign w:val="center"/>
          </w:tcPr>
          <w:p w14:paraId="0FCDFD0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eastAsiaTheme="minorEastAsia"/>
                <w:color w:val="auto"/>
                <w:kern w:val="0"/>
                <w:sz w:val="24"/>
                <w:szCs w:val="24"/>
              </w:rPr>
            </w:pPr>
            <w:r>
              <w:rPr>
                <w:rFonts w:eastAsiaTheme="minorEastAsia"/>
                <w:color w:val="auto"/>
                <w:kern w:val="0"/>
                <w:sz w:val="24"/>
                <w:szCs w:val="24"/>
              </w:rPr>
              <w:t>社保卡持卡量</w:t>
            </w:r>
          </w:p>
        </w:tc>
        <w:tc>
          <w:tcPr>
            <w:tcW w:w="7311" w:type="dxa"/>
            <w:shd w:val="clear" w:color="auto" w:fill="auto"/>
            <w:vAlign w:val="center"/>
          </w:tcPr>
          <w:p w14:paraId="04051718">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color w:val="auto"/>
                <w:kern w:val="0"/>
                <w:sz w:val="24"/>
                <w:szCs w:val="24"/>
              </w:rPr>
              <w:t>投标人需提供</w:t>
            </w:r>
            <w:r>
              <w:rPr>
                <w:rFonts w:hint="eastAsia"/>
                <w:color w:val="auto"/>
                <w:kern w:val="0"/>
                <w:sz w:val="24"/>
                <w:szCs w:val="24"/>
                <w:lang w:val="en-US" w:eastAsia="zh-CN"/>
              </w:rPr>
              <w:t>金融许可证中“机构住所”所在地的</w:t>
            </w:r>
            <w:r>
              <w:rPr>
                <w:color w:val="auto"/>
                <w:kern w:val="0"/>
                <w:sz w:val="24"/>
                <w:szCs w:val="24"/>
              </w:rPr>
              <w:t>社会保险基金管理</w:t>
            </w:r>
            <w:r>
              <w:rPr>
                <w:rFonts w:hint="eastAsia"/>
                <w:color w:val="auto"/>
                <w:kern w:val="0"/>
                <w:sz w:val="24"/>
                <w:szCs w:val="24"/>
                <w:lang w:val="en-US" w:eastAsia="zh-CN"/>
              </w:rPr>
              <w:t>机构</w:t>
            </w:r>
            <w:r>
              <w:rPr>
                <w:color w:val="auto"/>
                <w:kern w:val="0"/>
                <w:sz w:val="24"/>
                <w:szCs w:val="24"/>
              </w:rPr>
              <w:t>确认的社保卡发卡量相关资料。</w:t>
            </w:r>
          </w:p>
          <w:p w14:paraId="2E7EE93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lang w:bidi="ar"/>
              </w:rPr>
            </w:pPr>
            <w:r>
              <w:rPr>
                <w:rFonts w:hint="eastAsia"/>
                <w:color w:val="auto"/>
                <w:kern w:val="0"/>
                <w:sz w:val="24"/>
                <w:szCs w:val="24"/>
                <w:lang w:bidi="ar"/>
              </w:rPr>
              <w:t>社保卡发卡量250(含)万张以上的得8分；</w:t>
            </w:r>
          </w:p>
          <w:p w14:paraId="0E44563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lang w:bidi="ar"/>
              </w:rPr>
            </w:pPr>
            <w:r>
              <w:rPr>
                <w:rFonts w:hint="eastAsia"/>
                <w:color w:val="auto"/>
                <w:kern w:val="0"/>
                <w:sz w:val="24"/>
                <w:szCs w:val="24"/>
                <w:lang w:bidi="ar"/>
              </w:rPr>
              <w:t>200(含)-250万张的得6分；</w:t>
            </w:r>
          </w:p>
          <w:p w14:paraId="40036E9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lang w:bidi="ar"/>
              </w:rPr>
            </w:pPr>
            <w:r>
              <w:rPr>
                <w:rFonts w:hint="eastAsia"/>
                <w:color w:val="auto"/>
                <w:kern w:val="0"/>
                <w:sz w:val="24"/>
                <w:szCs w:val="24"/>
                <w:lang w:bidi="ar"/>
              </w:rPr>
              <w:t>150(含)-200万张的得4分；</w:t>
            </w:r>
          </w:p>
          <w:p w14:paraId="5F268D4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lang w:bidi="ar"/>
              </w:rPr>
            </w:pPr>
            <w:r>
              <w:rPr>
                <w:rFonts w:hint="eastAsia"/>
                <w:color w:val="auto"/>
                <w:kern w:val="0"/>
                <w:sz w:val="24"/>
                <w:szCs w:val="24"/>
                <w:lang w:bidi="ar"/>
              </w:rPr>
              <w:t>100(含)-150万张的得3分；</w:t>
            </w:r>
          </w:p>
          <w:p w14:paraId="7A2A1A0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lang w:bidi="ar"/>
              </w:rPr>
            </w:pPr>
            <w:r>
              <w:rPr>
                <w:rFonts w:hint="eastAsia"/>
                <w:color w:val="auto"/>
                <w:kern w:val="0"/>
                <w:sz w:val="24"/>
                <w:szCs w:val="24"/>
                <w:lang w:bidi="ar"/>
              </w:rPr>
              <w:t>100万张以下得2分；</w:t>
            </w:r>
          </w:p>
          <w:p w14:paraId="5BCC9E8F">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lang w:val="en"/>
              </w:rPr>
            </w:pPr>
            <w:r>
              <w:rPr>
                <w:rFonts w:hint="eastAsia"/>
                <w:color w:val="auto"/>
                <w:kern w:val="0"/>
                <w:sz w:val="24"/>
                <w:szCs w:val="24"/>
                <w:lang w:bidi="ar"/>
              </w:rPr>
              <w:t>发卡量为0</w:t>
            </w:r>
            <w:r>
              <w:rPr>
                <w:rFonts w:hint="eastAsia"/>
                <w:color w:val="auto"/>
                <w:kern w:val="0"/>
                <w:sz w:val="24"/>
                <w:szCs w:val="24"/>
                <w:lang w:val="en-US" w:eastAsia="zh-CN" w:bidi="ar"/>
              </w:rPr>
              <w:t>或未提供相关资料</w:t>
            </w:r>
            <w:r>
              <w:rPr>
                <w:rFonts w:hint="eastAsia"/>
                <w:color w:val="auto"/>
                <w:kern w:val="0"/>
                <w:sz w:val="24"/>
                <w:szCs w:val="24"/>
                <w:lang w:bidi="ar"/>
              </w:rPr>
              <w:t>的得0分。</w:t>
            </w:r>
          </w:p>
        </w:tc>
        <w:tc>
          <w:tcPr>
            <w:tcW w:w="1143" w:type="dxa"/>
            <w:shd w:val="clear" w:color="auto" w:fill="auto"/>
            <w:vAlign w:val="center"/>
          </w:tcPr>
          <w:p w14:paraId="0986B8C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8</w:t>
            </w:r>
          </w:p>
        </w:tc>
      </w:tr>
      <w:tr w14:paraId="152A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663" w:type="dxa"/>
            <w:shd w:val="clear" w:color="auto" w:fill="auto"/>
            <w:noWrap/>
            <w:vAlign w:val="center"/>
          </w:tcPr>
          <w:p w14:paraId="7A2A1C1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8</w:t>
            </w:r>
          </w:p>
        </w:tc>
        <w:tc>
          <w:tcPr>
            <w:tcW w:w="1419" w:type="dxa"/>
            <w:shd w:val="clear" w:color="auto" w:fill="auto"/>
            <w:vAlign w:val="center"/>
          </w:tcPr>
          <w:p w14:paraId="1EAA27B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eastAsiaTheme="minorEastAsia"/>
                <w:color w:val="auto"/>
                <w:kern w:val="0"/>
                <w:sz w:val="24"/>
                <w:szCs w:val="24"/>
              </w:rPr>
            </w:pPr>
            <w:r>
              <w:rPr>
                <w:rFonts w:hint="eastAsia" w:eastAsiaTheme="minorEastAsia"/>
                <w:color w:val="auto"/>
                <w:kern w:val="0"/>
                <w:sz w:val="24"/>
                <w:szCs w:val="24"/>
              </w:rPr>
              <w:t>对社保合作建设评价</w:t>
            </w:r>
          </w:p>
          <w:p w14:paraId="6C06218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eastAsiaTheme="minorEastAsia"/>
                <w:color w:val="auto"/>
                <w:kern w:val="0"/>
                <w:sz w:val="24"/>
                <w:szCs w:val="24"/>
              </w:rPr>
            </w:pPr>
          </w:p>
        </w:tc>
        <w:tc>
          <w:tcPr>
            <w:tcW w:w="7311" w:type="dxa"/>
            <w:shd w:val="clear" w:color="auto" w:fill="auto"/>
            <w:vAlign w:val="center"/>
          </w:tcPr>
          <w:p w14:paraId="29361C1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（1）提供</w:t>
            </w:r>
            <w:r>
              <w:rPr>
                <w:rFonts w:hint="eastAsia"/>
                <w:color w:val="auto"/>
                <w:kern w:val="0"/>
                <w:sz w:val="24"/>
                <w:szCs w:val="24"/>
                <w:lang w:val="en-US" w:eastAsia="zh-CN"/>
              </w:rPr>
              <w:t>金融许可证中“机构住所”所在地的</w:t>
            </w:r>
            <w:r>
              <w:rPr>
                <w:color w:val="auto"/>
                <w:kern w:val="0"/>
                <w:sz w:val="24"/>
                <w:szCs w:val="24"/>
              </w:rPr>
              <w:t>社会保险基金管理</w:t>
            </w:r>
            <w:r>
              <w:rPr>
                <w:rFonts w:hint="eastAsia"/>
                <w:color w:val="auto"/>
                <w:kern w:val="0"/>
                <w:sz w:val="24"/>
                <w:szCs w:val="24"/>
                <w:lang w:val="en-US" w:eastAsia="zh-CN"/>
              </w:rPr>
              <w:t>机构</w:t>
            </w:r>
            <w:r>
              <w:rPr>
                <w:rFonts w:hint="eastAsia"/>
                <w:color w:val="auto"/>
                <w:kern w:val="0"/>
                <w:sz w:val="24"/>
                <w:szCs w:val="24"/>
              </w:rPr>
              <w:t>确认的社保合作建设相关资料，否则不予认定。</w:t>
            </w:r>
          </w:p>
          <w:p w14:paraId="123769A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2020年以来三代卡创新应用对</w:t>
            </w:r>
            <w:r>
              <w:rPr>
                <w:rFonts w:hint="eastAsia"/>
                <w:color w:val="auto"/>
                <w:kern w:val="0"/>
                <w:sz w:val="24"/>
                <w:szCs w:val="24"/>
                <w:lang w:val="en-US" w:eastAsia="zh-CN"/>
              </w:rPr>
              <w:t>当地</w:t>
            </w:r>
            <w:r>
              <w:rPr>
                <w:rFonts w:hint="eastAsia"/>
                <w:color w:val="auto"/>
                <w:kern w:val="0"/>
                <w:sz w:val="24"/>
                <w:szCs w:val="24"/>
              </w:rPr>
              <w:t>社保合作投入实际支出3000万元（含）或以上的得4分；</w:t>
            </w:r>
          </w:p>
          <w:p w14:paraId="4CED0DF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投入实际支出2000万元（含）-3000万元得3分；</w:t>
            </w:r>
          </w:p>
          <w:p w14:paraId="557300F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投入实际支出1500万元（含）-2000万元得2分；</w:t>
            </w:r>
          </w:p>
          <w:p w14:paraId="3D0343F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投入1500万元以下的得0分。</w:t>
            </w:r>
          </w:p>
          <w:p w14:paraId="0B52D4A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（2）承诺参与社银合作评价</w:t>
            </w:r>
          </w:p>
          <w:p w14:paraId="2B96D56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承诺未来5年内按协议投入100%得4分；</w:t>
            </w:r>
          </w:p>
          <w:p w14:paraId="5506E75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承诺内按协议投入80%（含）-100%得2分；</w:t>
            </w:r>
          </w:p>
          <w:p w14:paraId="1E7EBC8E">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rFonts w:hint="eastAsia"/>
                <w:color w:val="auto"/>
                <w:kern w:val="0"/>
                <w:sz w:val="24"/>
                <w:szCs w:val="24"/>
              </w:rPr>
              <w:t>承诺内按协议投入80%以下得0分。</w:t>
            </w:r>
          </w:p>
        </w:tc>
        <w:tc>
          <w:tcPr>
            <w:tcW w:w="1143" w:type="dxa"/>
            <w:shd w:val="clear" w:color="auto" w:fill="auto"/>
            <w:vAlign w:val="center"/>
          </w:tcPr>
          <w:p w14:paraId="01B3E28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8</w:t>
            </w:r>
          </w:p>
        </w:tc>
      </w:tr>
      <w:tr w14:paraId="1F68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663" w:type="dxa"/>
            <w:shd w:val="clear" w:color="auto" w:fill="auto"/>
            <w:noWrap/>
            <w:vAlign w:val="center"/>
          </w:tcPr>
          <w:p w14:paraId="5139A6C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宋体"/>
                <w:color w:val="auto"/>
                <w:kern w:val="0"/>
                <w:sz w:val="24"/>
                <w:szCs w:val="24"/>
                <w:lang w:eastAsia="zh-CN"/>
              </w:rPr>
            </w:pPr>
            <w:r>
              <w:rPr>
                <w:rFonts w:hint="eastAsia"/>
                <w:color w:val="auto"/>
                <w:kern w:val="0"/>
                <w:sz w:val="24"/>
                <w:szCs w:val="24"/>
                <w:lang w:val="en-US" w:eastAsia="zh-CN"/>
              </w:rPr>
              <w:t>9</w:t>
            </w:r>
          </w:p>
        </w:tc>
        <w:tc>
          <w:tcPr>
            <w:tcW w:w="1419" w:type="dxa"/>
            <w:shd w:val="clear" w:color="auto" w:fill="auto"/>
            <w:vAlign w:val="center"/>
          </w:tcPr>
          <w:p w14:paraId="373D225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宋体"/>
                <w:color w:val="auto"/>
                <w:kern w:val="0"/>
                <w:sz w:val="24"/>
                <w:szCs w:val="24"/>
                <w:lang w:val="en-US" w:eastAsia="zh-CN"/>
              </w:rPr>
            </w:pPr>
            <w:r>
              <w:rPr>
                <w:rFonts w:hint="eastAsia"/>
                <w:color w:val="auto"/>
                <w:kern w:val="0"/>
                <w:sz w:val="24"/>
                <w:szCs w:val="24"/>
              </w:rPr>
              <w:t>全市网点覆盖和乡村网点覆盖</w:t>
            </w:r>
            <w:r>
              <w:rPr>
                <w:rFonts w:hint="eastAsia"/>
                <w:color w:val="auto"/>
                <w:kern w:val="0"/>
                <w:sz w:val="24"/>
                <w:szCs w:val="24"/>
                <w:lang w:val="en-US" w:eastAsia="zh-CN"/>
              </w:rPr>
              <w:t>评价</w:t>
            </w:r>
          </w:p>
        </w:tc>
        <w:tc>
          <w:tcPr>
            <w:tcW w:w="7311" w:type="dxa"/>
            <w:shd w:val="clear" w:color="auto" w:fill="auto"/>
            <w:vAlign w:val="center"/>
          </w:tcPr>
          <w:p w14:paraId="751FBDC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（1）在津营业网点数量6分</w:t>
            </w:r>
          </w:p>
          <w:p w14:paraId="2BB655E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投标人需提供国家金融监管总局金融许可证信息查询官方网站在津网点更新截图（以总条数为准</w:t>
            </w:r>
            <w:r>
              <w:rPr>
                <w:rFonts w:hint="eastAsia"/>
                <w:color w:val="auto"/>
                <w:kern w:val="0"/>
                <w:sz w:val="24"/>
                <w:szCs w:val="24"/>
                <w:lang w:eastAsia="zh-CN"/>
              </w:rPr>
              <w:t>，</w:t>
            </w:r>
            <w:r>
              <w:rPr>
                <w:rFonts w:hint="eastAsia"/>
                <w:color w:val="auto"/>
                <w:kern w:val="0"/>
                <w:sz w:val="24"/>
                <w:szCs w:val="24"/>
                <w:lang w:val="en-US" w:eastAsia="zh-CN"/>
              </w:rPr>
              <w:t>更新时间应为本项目招标公告发布日期后</w:t>
            </w:r>
            <w:r>
              <w:rPr>
                <w:rFonts w:hint="eastAsia"/>
                <w:color w:val="auto"/>
                <w:kern w:val="0"/>
                <w:sz w:val="24"/>
                <w:szCs w:val="24"/>
              </w:rPr>
              <w:t>）。</w:t>
            </w:r>
          </w:p>
          <w:p w14:paraId="1211883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网点数量400（含）以上得6分；</w:t>
            </w:r>
          </w:p>
          <w:p w14:paraId="45BB1D9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300（含）-400得4分；</w:t>
            </w:r>
          </w:p>
          <w:p w14:paraId="3157E9F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200（含）-300得2分；</w:t>
            </w:r>
          </w:p>
          <w:p w14:paraId="7141F45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200以下得1分。</w:t>
            </w:r>
          </w:p>
          <w:p w14:paraId="382D4EC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（2）全市行政村镇金融服务站和金融便民服务点数4分</w:t>
            </w:r>
          </w:p>
          <w:p w14:paraId="0AA5C4D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投标人需提供银行列出深入行政村金融服务站和金融便民服务点清单，清单按行政村汇总金融服务站和金融便民服务点数量，金融服务站和金融便民服务点为具备社保待遇资格认证或养老金领取等功能的固定服务场所，站点1500家（含）以上得4分；</w:t>
            </w:r>
          </w:p>
          <w:p w14:paraId="67A48EE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1000（含）-1500家得3分;</w:t>
            </w:r>
          </w:p>
          <w:p w14:paraId="1E07867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500（含）-1000家得2分；</w:t>
            </w:r>
          </w:p>
          <w:p w14:paraId="11C0D24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eastAsia="宋体"/>
                <w:color w:val="auto"/>
                <w:kern w:val="0"/>
                <w:sz w:val="24"/>
                <w:szCs w:val="24"/>
                <w:lang w:eastAsia="zh-CN"/>
              </w:rPr>
            </w:pPr>
            <w:r>
              <w:rPr>
                <w:rFonts w:hint="eastAsia"/>
                <w:color w:val="auto"/>
                <w:kern w:val="0"/>
                <w:sz w:val="24"/>
                <w:szCs w:val="24"/>
              </w:rPr>
              <w:t>100（含）-500家得1分</w:t>
            </w:r>
            <w:r>
              <w:rPr>
                <w:rFonts w:hint="eastAsia"/>
                <w:color w:val="auto"/>
                <w:kern w:val="0"/>
                <w:sz w:val="24"/>
                <w:szCs w:val="24"/>
                <w:lang w:eastAsia="zh-CN"/>
              </w:rPr>
              <w:t>；</w:t>
            </w:r>
          </w:p>
          <w:p w14:paraId="2A925A6C">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rFonts w:hint="eastAsia"/>
                <w:color w:val="auto"/>
                <w:kern w:val="0"/>
                <w:sz w:val="24"/>
                <w:szCs w:val="24"/>
              </w:rPr>
              <w:t>100家以下不得分。</w:t>
            </w:r>
          </w:p>
        </w:tc>
        <w:tc>
          <w:tcPr>
            <w:tcW w:w="1143" w:type="dxa"/>
            <w:shd w:val="clear" w:color="auto" w:fill="auto"/>
            <w:vAlign w:val="center"/>
          </w:tcPr>
          <w:p w14:paraId="5752620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eastAsia="宋体"/>
                <w:color w:val="auto"/>
                <w:kern w:val="0"/>
                <w:sz w:val="24"/>
                <w:szCs w:val="24"/>
                <w:lang w:val="en-US" w:eastAsia="zh-CN"/>
              </w:rPr>
            </w:pPr>
            <w:r>
              <w:rPr>
                <w:rFonts w:hint="eastAsia"/>
                <w:color w:val="auto"/>
                <w:kern w:val="0"/>
                <w:sz w:val="24"/>
                <w:szCs w:val="24"/>
                <w:lang w:val="en-US" w:eastAsia="zh-CN"/>
              </w:rPr>
              <w:t>10</w:t>
            </w:r>
          </w:p>
        </w:tc>
      </w:tr>
      <w:tr w14:paraId="117AA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663" w:type="dxa"/>
            <w:shd w:val="clear" w:color="auto" w:fill="auto"/>
            <w:noWrap/>
            <w:vAlign w:val="center"/>
          </w:tcPr>
          <w:p w14:paraId="3725DF9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eastAsia="宋体"/>
                <w:color w:val="auto"/>
                <w:kern w:val="0"/>
                <w:sz w:val="24"/>
                <w:szCs w:val="24"/>
                <w:lang w:val="en-US" w:eastAsia="zh-CN"/>
              </w:rPr>
            </w:pPr>
            <w:r>
              <w:rPr>
                <w:rFonts w:hint="eastAsia"/>
                <w:color w:val="auto"/>
                <w:kern w:val="0"/>
                <w:sz w:val="24"/>
                <w:szCs w:val="24"/>
                <w:lang w:val="en-US" w:eastAsia="zh-CN"/>
              </w:rPr>
              <w:t>10</w:t>
            </w:r>
          </w:p>
        </w:tc>
        <w:tc>
          <w:tcPr>
            <w:tcW w:w="1419" w:type="dxa"/>
            <w:shd w:val="clear" w:color="auto" w:fill="auto"/>
            <w:vAlign w:val="center"/>
          </w:tcPr>
          <w:p w14:paraId="24C63465">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rFonts w:hint="eastAsia"/>
                <w:color w:val="auto"/>
                <w:kern w:val="0"/>
                <w:sz w:val="24"/>
                <w:szCs w:val="24"/>
              </w:rPr>
              <w:t>服务经验质量评价</w:t>
            </w:r>
          </w:p>
        </w:tc>
        <w:tc>
          <w:tcPr>
            <w:tcW w:w="7311" w:type="dxa"/>
            <w:shd w:val="clear" w:color="auto" w:fill="auto"/>
            <w:vAlign w:val="center"/>
          </w:tcPr>
          <w:p w14:paraId="597266B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eastAsia="宋体"/>
                <w:color w:val="auto"/>
                <w:kern w:val="0"/>
                <w:sz w:val="24"/>
                <w:szCs w:val="24"/>
                <w:lang w:eastAsia="zh-CN"/>
              </w:rPr>
            </w:pPr>
            <w:r>
              <w:rPr>
                <w:rFonts w:hint="eastAsia"/>
                <w:color w:val="auto"/>
                <w:kern w:val="0"/>
                <w:sz w:val="24"/>
                <w:szCs w:val="24"/>
              </w:rPr>
              <w:t>（1）提供社保基金支出户开户资料</w:t>
            </w:r>
            <w:r>
              <w:rPr>
                <w:rFonts w:hint="eastAsia"/>
                <w:color w:val="auto"/>
                <w:kern w:val="0"/>
                <w:sz w:val="24"/>
                <w:szCs w:val="24"/>
                <w:lang w:val="en-US" w:eastAsia="zh-CN"/>
              </w:rPr>
              <w:t>电子件</w:t>
            </w:r>
            <w:r>
              <w:rPr>
                <w:rFonts w:hint="eastAsia"/>
                <w:color w:val="auto"/>
                <w:kern w:val="0"/>
                <w:sz w:val="24"/>
                <w:szCs w:val="24"/>
              </w:rPr>
              <w:t>：1分，其他0分</w:t>
            </w:r>
            <w:r>
              <w:rPr>
                <w:rFonts w:hint="eastAsia"/>
                <w:color w:val="auto"/>
                <w:kern w:val="0"/>
                <w:sz w:val="24"/>
                <w:szCs w:val="24"/>
                <w:lang w:eastAsia="zh-CN"/>
              </w:rPr>
              <w:t>。</w:t>
            </w:r>
          </w:p>
          <w:p w14:paraId="788125E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eastAsia="宋体"/>
                <w:color w:val="auto"/>
                <w:kern w:val="0"/>
                <w:sz w:val="24"/>
                <w:szCs w:val="24"/>
                <w:lang w:eastAsia="zh-CN"/>
              </w:rPr>
            </w:pPr>
            <w:r>
              <w:rPr>
                <w:rFonts w:hint="eastAsia"/>
                <w:color w:val="auto"/>
                <w:kern w:val="0"/>
                <w:sz w:val="24"/>
                <w:szCs w:val="24"/>
              </w:rPr>
              <w:t>（2）提供</w:t>
            </w:r>
            <w:r>
              <w:rPr>
                <w:rFonts w:hint="eastAsia"/>
                <w:color w:val="auto"/>
                <w:kern w:val="0"/>
                <w:sz w:val="24"/>
                <w:szCs w:val="24"/>
                <w:lang w:val="en-US" w:eastAsia="zh-CN"/>
              </w:rPr>
              <w:t>金融许可证中“机构住所”所在地的</w:t>
            </w:r>
            <w:r>
              <w:rPr>
                <w:color w:val="auto"/>
                <w:kern w:val="0"/>
                <w:sz w:val="24"/>
                <w:szCs w:val="24"/>
              </w:rPr>
              <w:t>社会保险基金管理</w:t>
            </w:r>
            <w:r>
              <w:rPr>
                <w:rFonts w:hint="eastAsia"/>
                <w:color w:val="auto"/>
                <w:kern w:val="0"/>
                <w:sz w:val="24"/>
                <w:szCs w:val="24"/>
                <w:lang w:val="en-US" w:eastAsia="zh-CN"/>
              </w:rPr>
              <w:t>机构</w:t>
            </w:r>
            <w:r>
              <w:rPr>
                <w:rFonts w:hint="eastAsia"/>
                <w:color w:val="auto"/>
                <w:kern w:val="0"/>
                <w:sz w:val="24"/>
                <w:szCs w:val="24"/>
              </w:rPr>
              <w:t>确认的2025年《年度协议银行社保服务评价情况的函》</w:t>
            </w:r>
            <w:r>
              <w:rPr>
                <w:rFonts w:hint="eastAsia"/>
                <w:color w:val="auto"/>
                <w:kern w:val="0"/>
                <w:sz w:val="24"/>
                <w:szCs w:val="24"/>
                <w:lang w:val="en-US" w:eastAsia="zh-CN"/>
              </w:rPr>
              <w:t>电子件</w:t>
            </w:r>
            <w:r>
              <w:rPr>
                <w:rFonts w:hint="eastAsia"/>
                <w:color w:val="auto"/>
                <w:kern w:val="0"/>
                <w:sz w:val="24"/>
                <w:szCs w:val="24"/>
              </w:rPr>
              <w:t>，否则不予认定给分</w:t>
            </w:r>
            <w:r>
              <w:rPr>
                <w:rFonts w:hint="eastAsia"/>
                <w:color w:val="auto"/>
                <w:kern w:val="0"/>
                <w:sz w:val="24"/>
                <w:szCs w:val="24"/>
                <w:lang w:eastAsia="zh-CN"/>
              </w:rPr>
              <w:t>；</w:t>
            </w:r>
          </w:p>
          <w:p w14:paraId="5A1CAF1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以上材料能证明以上年度中没有出现回盘数据或资金退回错误、支付系统问题影响待遇发放、回单不及时传送、基金问题解决不及时、被投诉、社保卡体验中心停止服务等情形的：4分；</w:t>
            </w:r>
          </w:p>
          <w:p w14:paraId="21D4D567">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rFonts w:hint="eastAsia"/>
                <w:color w:val="auto"/>
                <w:kern w:val="0"/>
                <w:sz w:val="24"/>
                <w:szCs w:val="24"/>
              </w:rPr>
              <w:t>以上材料说明以上年度出现过回盘数据或资金退回不及时、支付系统问题影响待遇发放、回单不及时传送、基金问题解决不及时、被投诉、社保卡体验中心停止服务等情形的，每出现一次减1分，最低0分。</w:t>
            </w:r>
          </w:p>
        </w:tc>
        <w:tc>
          <w:tcPr>
            <w:tcW w:w="1143" w:type="dxa"/>
            <w:shd w:val="clear" w:color="auto" w:fill="auto"/>
            <w:vAlign w:val="center"/>
          </w:tcPr>
          <w:p w14:paraId="457BE31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rFonts w:hint="eastAsia"/>
                <w:color w:val="auto"/>
                <w:kern w:val="0"/>
                <w:sz w:val="24"/>
                <w:szCs w:val="24"/>
              </w:rPr>
              <w:t>5</w:t>
            </w:r>
          </w:p>
        </w:tc>
      </w:tr>
      <w:tr w14:paraId="39B11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663" w:type="dxa"/>
            <w:shd w:val="clear" w:color="auto" w:fill="auto"/>
            <w:noWrap/>
            <w:vAlign w:val="center"/>
          </w:tcPr>
          <w:p w14:paraId="6829B4E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eastAsia="宋体"/>
                <w:color w:val="auto"/>
                <w:kern w:val="0"/>
                <w:sz w:val="24"/>
                <w:szCs w:val="24"/>
                <w:lang w:val="en-US" w:eastAsia="zh-CN"/>
              </w:rPr>
            </w:pPr>
            <w:r>
              <w:rPr>
                <w:rFonts w:hint="eastAsia"/>
                <w:color w:val="auto"/>
                <w:kern w:val="0"/>
                <w:sz w:val="24"/>
                <w:szCs w:val="24"/>
                <w:lang w:val="en-US" w:eastAsia="zh-CN"/>
              </w:rPr>
              <w:t>11</w:t>
            </w:r>
          </w:p>
        </w:tc>
        <w:tc>
          <w:tcPr>
            <w:tcW w:w="1419" w:type="dxa"/>
            <w:shd w:val="clear" w:color="auto" w:fill="auto"/>
            <w:vAlign w:val="center"/>
          </w:tcPr>
          <w:p w14:paraId="20CEF047">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rFonts w:hint="eastAsia"/>
                <w:color w:val="auto"/>
                <w:kern w:val="0"/>
                <w:sz w:val="24"/>
                <w:szCs w:val="24"/>
              </w:rPr>
              <w:t>银行网点便民设备和服务普及情况评价</w:t>
            </w:r>
          </w:p>
        </w:tc>
        <w:tc>
          <w:tcPr>
            <w:tcW w:w="7311" w:type="dxa"/>
            <w:shd w:val="clear" w:color="auto" w:fill="auto"/>
            <w:vAlign w:val="center"/>
          </w:tcPr>
          <w:p w14:paraId="307F546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提供金融许可证中“机构住所”所在地的社会保险基金管理机构确认的相关材料，否则不予认定给分。具备以下任意一条的得1分，最多5分。</w:t>
            </w:r>
          </w:p>
          <w:p w14:paraId="3BC227B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lang w:val="en-US" w:eastAsia="zh-CN"/>
              </w:rPr>
              <w:t>当地</w:t>
            </w:r>
            <w:r>
              <w:rPr>
                <w:rFonts w:hint="eastAsia"/>
                <w:color w:val="auto"/>
                <w:kern w:val="0"/>
                <w:sz w:val="24"/>
                <w:szCs w:val="24"/>
              </w:rPr>
              <w:t>网点目前已提供银行自助机具开展待遇资格认证服务的：1分；</w:t>
            </w:r>
          </w:p>
          <w:p w14:paraId="4CC6D97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eastAsia="宋体"/>
                <w:color w:val="auto"/>
                <w:kern w:val="0"/>
                <w:sz w:val="24"/>
                <w:szCs w:val="24"/>
                <w:lang w:eastAsia="zh-CN"/>
              </w:rPr>
            </w:pPr>
            <w:r>
              <w:rPr>
                <w:rFonts w:hint="eastAsia"/>
                <w:color w:val="auto"/>
                <w:kern w:val="0"/>
                <w:sz w:val="24"/>
                <w:szCs w:val="24"/>
                <w:lang w:val="en-US" w:eastAsia="zh-CN"/>
              </w:rPr>
              <w:t>当地</w:t>
            </w:r>
            <w:r>
              <w:rPr>
                <w:rFonts w:hint="eastAsia"/>
                <w:color w:val="auto"/>
                <w:kern w:val="0"/>
                <w:sz w:val="24"/>
                <w:szCs w:val="24"/>
              </w:rPr>
              <w:t>网点目前已设置社银临柜窗口的：1分</w:t>
            </w:r>
            <w:r>
              <w:rPr>
                <w:rFonts w:hint="eastAsia"/>
                <w:color w:val="auto"/>
                <w:kern w:val="0"/>
                <w:sz w:val="24"/>
                <w:szCs w:val="24"/>
                <w:lang w:eastAsia="zh-CN"/>
              </w:rPr>
              <w:t>；</w:t>
            </w:r>
          </w:p>
          <w:p w14:paraId="238FE4A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lang w:val="en-US" w:eastAsia="zh-CN"/>
              </w:rPr>
              <w:t>当地</w:t>
            </w:r>
            <w:r>
              <w:rPr>
                <w:rFonts w:hint="eastAsia"/>
                <w:color w:val="auto"/>
                <w:kern w:val="0"/>
                <w:sz w:val="24"/>
                <w:szCs w:val="24"/>
              </w:rPr>
              <w:t>网点目前已提供远程发放社保卡业务的：1分；</w:t>
            </w:r>
          </w:p>
          <w:p w14:paraId="6EE00B1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lang w:val="en-US" w:eastAsia="zh-CN"/>
              </w:rPr>
              <w:t>当地</w:t>
            </w:r>
            <w:r>
              <w:rPr>
                <w:rFonts w:hint="eastAsia"/>
                <w:color w:val="auto"/>
                <w:kern w:val="0"/>
                <w:sz w:val="24"/>
                <w:szCs w:val="24"/>
              </w:rPr>
              <w:t>网点目前已提供社保服务专席的：1分；</w:t>
            </w:r>
          </w:p>
          <w:p w14:paraId="7F97F4F3">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rFonts w:hint="eastAsia"/>
                <w:color w:val="auto"/>
                <w:kern w:val="0"/>
                <w:sz w:val="24"/>
                <w:szCs w:val="24"/>
                <w:lang w:val="en-US" w:eastAsia="zh-CN"/>
              </w:rPr>
              <w:t>当地</w:t>
            </w:r>
            <w:r>
              <w:rPr>
                <w:rFonts w:hint="eastAsia"/>
                <w:color w:val="auto"/>
                <w:kern w:val="0"/>
                <w:sz w:val="24"/>
                <w:szCs w:val="24"/>
              </w:rPr>
              <w:t>银行配置社保自助设备的：1分。</w:t>
            </w:r>
          </w:p>
        </w:tc>
        <w:tc>
          <w:tcPr>
            <w:tcW w:w="1143" w:type="dxa"/>
            <w:shd w:val="clear" w:color="auto" w:fill="auto"/>
            <w:vAlign w:val="center"/>
          </w:tcPr>
          <w:p w14:paraId="33604EB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rFonts w:hint="eastAsia"/>
                <w:color w:val="auto"/>
                <w:kern w:val="0"/>
                <w:sz w:val="24"/>
                <w:szCs w:val="24"/>
              </w:rPr>
              <w:t>5</w:t>
            </w:r>
          </w:p>
        </w:tc>
      </w:tr>
      <w:bookmarkEnd w:id="8"/>
      <w:tr w14:paraId="1867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3" w:type="dxa"/>
            <w:gridSpan w:val="3"/>
            <w:shd w:val="clear" w:color="auto" w:fill="auto"/>
            <w:noWrap/>
            <w:vAlign w:val="center"/>
          </w:tcPr>
          <w:p w14:paraId="3B6441B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color w:val="auto"/>
                <w:kern w:val="0"/>
                <w:sz w:val="24"/>
                <w:szCs w:val="24"/>
              </w:rPr>
              <w:t>第三部分 主观分（</w:t>
            </w:r>
            <w:r>
              <w:rPr>
                <w:rFonts w:hint="eastAsia"/>
                <w:color w:val="auto"/>
                <w:kern w:val="0"/>
                <w:sz w:val="24"/>
                <w:szCs w:val="24"/>
              </w:rPr>
              <w:t>15</w:t>
            </w:r>
            <w:r>
              <w:rPr>
                <w:color w:val="auto"/>
                <w:kern w:val="0"/>
                <w:sz w:val="24"/>
                <w:szCs w:val="24"/>
              </w:rPr>
              <w:t>分）</w:t>
            </w:r>
          </w:p>
        </w:tc>
        <w:tc>
          <w:tcPr>
            <w:tcW w:w="1143" w:type="dxa"/>
            <w:shd w:val="clear" w:color="auto" w:fill="auto"/>
            <w:vAlign w:val="center"/>
          </w:tcPr>
          <w:p w14:paraId="661CA5F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color w:val="auto"/>
                <w:kern w:val="0"/>
                <w:sz w:val="24"/>
                <w:szCs w:val="24"/>
              </w:rPr>
              <w:t>分值</w:t>
            </w:r>
          </w:p>
        </w:tc>
      </w:tr>
      <w:tr w14:paraId="7B98B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010A745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color w:val="auto"/>
                <w:kern w:val="0"/>
                <w:sz w:val="24"/>
                <w:szCs w:val="24"/>
              </w:rPr>
              <w:t>1</w:t>
            </w:r>
          </w:p>
        </w:tc>
        <w:tc>
          <w:tcPr>
            <w:tcW w:w="1419" w:type="dxa"/>
            <w:shd w:val="clear" w:color="auto" w:fill="auto"/>
            <w:vAlign w:val="center"/>
          </w:tcPr>
          <w:p w14:paraId="25C6A66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rFonts w:hint="eastAsia"/>
                <w:color w:val="auto"/>
                <w:kern w:val="0"/>
                <w:sz w:val="24"/>
                <w:szCs w:val="24"/>
              </w:rPr>
              <w:t>社会保险基金服务方案评价</w:t>
            </w:r>
          </w:p>
        </w:tc>
        <w:tc>
          <w:tcPr>
            <w:tcW w:w="7311" w:type="dxa"/>
            <w:shd w:val="clear" w:color="auto" w:fill="auto"/>
            <w:vAlign w:val="center"/>
          </w:tcPr>
          <w:p w14:paraId="1931F84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至少包括设置专门机构专门人员对接业务；根据社银平台支付指令及时处理资金拨付业务，反馈支付失败数据和资金；开展资格认证、待遇协助追回、账户校验等业务；承接社保下沉业务，做好银行人员社保业务培训，具备应有素质和能力；在日常问题处理中能够及时处理解决。</w:t>
            </w:r>
          </w:p>
          <w:p w14:paraId="7EC2B82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满足招标文件要求，无瑕疵：5分；</w:t>
            </w:r>
          </w:p>
          <w:p w14:paraId="2F6B9DB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方案内容存在1处瑕疵：4分；</w:t>
            </w:r>
          </w:p>
          <w:p w14:paraId="567EBEB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方案内容存在2处瑕疵：3分；</w:t>
            </w:r>
          </w:p>
          <w:p w14:paraId="1E0BD0A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方案内容存在3处瑕疵：2分；</w:t>
            </w:r>
          </w:p>
          <w:p w14:paraId="42C862E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方案内容存在4处瑕疵：1分；</w:t>
            </w:r>
          </w:p>
          <w:p w14:paraId="65FC73A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未提供方案或不满足招标文件要求或内容存在5处及以上瑕疵：0分。</w:t>
            </w:r>
          </w:p>
          <w:p w14:paraId="72A79B42">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761BFF4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rFonts w:hint="eastAsia"/>
                <w:color w:val="auto"/>
                <w:kern w:val="0"/>
                <w:sz w:val="24"/>
                <w:szCs w:val="24"/>
              </w:rPr>
              <w:t>5</w:t>
            </w:r>
          </w:p>
        </w:tc>
      </w:tr>
      <w:tr w14:paraId="3EC3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3960569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color w:val="auto"/>
                <w:kern w:val="0"/>
                <w:sz w:val="24"/>
                <w:szCs w:val="24"/>
              </w:rPr>
              <w:t>2</w:t>
            </w:r>
          </w:p>
        </w:tc>
        <w:tc>
          <w:tcPr>
            <w:tcW w:w="1419" w:type="dxa"/>
            <w:shd w:val="clear" w:color="auto" w:fill="auto"/>
            <w:vAlign w:val="center"/>
          </w:tcPr>
          <w:p w14:paraId="4F9AAFC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rFonts w:hint="eastAsia"/>
                <w:color w:val="auto"/>
                <w:kern w:val="0"/>
                <w:sz w:val="24"/>
                <w:szCs w:val="24"/>
              </w:rPr>
              <w:t>账户管理方案评价</w:t>
            </w:r>
          </w:p>
        </w:tc>
        <w:tc>
          <w:tcPr>
            <w:tcW w:w="7311" w:type="dxa"/>
            <w:shd w:val="clear" w:color="auto" w:fill="auto"/>
            <w:vAlign w:val="center"/>
          </w:tcPr>
          <w:p w14:paraId="2D4076B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至少包含该账户免收电汇费用、支票费用、上门服务等费用；银行端支付规则校验；账户动账短信提醒；与社保中心定期开展对账；强化账户安全管理措施。</w:t>
            </w:r>
          </w:p>
          <w:p w14:paraId="1C3C554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满足招标文件要求，无瑕疵：5分；</w:t>
            </w:r>
          </w:p>
          <w:p w14:paraId="3E44DA9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方案内容存在1处瑕疵：4分；</w:t>
            </w:r>
          </w:p>
          <w:p w14:paraId="7FE68AC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方案内容存在2处瑕疵：3分；</w:t>
            </w:r>
          </w:p>
          <w:p w14:paraId="59D44BE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方案内容存在3处瑕疵：2分；</w:t>
            </w:r>
          </w:p>
          <w:p w14:paraId="7A94BFE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方案内容存在4处瑕疵：1分；</w:t>
            </w:r>
          </w:p>
          <w:p w14:paraId="5EB5B32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未提供方案或不满足招标文件要求或内容存在5处及以上瑕疵：0分；</w:t>
            </w:r>
          </w:p>
          <w:p w14:paraId="40BDF344">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4321C71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rFonts w:hint="eastAsia"/>
                <w:color w:val="auto"/>
                <w:kern w:val="0"/>
                <w:sz w:val="24"/>
                <w:szCs w:val="24"/>
              </w:rPr>
              <w:t>5</w:t>
            </w:r>
          </w:p>
        </w:tc>
      </w:tr>
      <w:tr w14:paraId="2DD18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3826D52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color w:val="auto"/>
                <w:kern w:val="0"/>
                <w:sz w:val="24"/>
                <w:szCs w:val="24"/>
              </w:rPr>
              <w:t>3</w:t>
            </w:r>
          </w:p>
        </w:tc>
        <w:tc>
          <w:tcPr>
            <w:tcW w:w="1419" w:type="dxa"/>
            <w:shd w:val="clear" w:color="auto" w:fill="auto"/>
            <w:vAlign w:val="center"/>
          </w:tcPr>
          <w:p w14:paraId="3148D91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rFonts w:hint="eastAsia"/>
                <w:color w:val="auto"/>
                <w:kern w:val="0"/>
                <w:sz w:val="24"/>
                <w:szCs w:val="24"/>
              </w:rPr>
              <w:t>系统对接运维方案评价</w:t>
            </w:r>
          </w:p>
        </w:tc>
        <w:tc>
          <w:tcPr>
            <w:tcW w:w="7311" w:type="dxa"/>
            <w:shd w:val="clear" w:color="auto" w:fill="auto"/>
            <w:vAlign w:val="center"/>
          </w:tcPr>
          <w:p w14:paraId="154AFD09">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kern w:val="0"/>
                <w:sz w:val="24"/>
                <w:szCs w:val="24"/>
              </w:rPr>
            </w:pPr>
            <w:r>
              <w:rPr>
                <w:rFonts w:hint="eastAsia"/>
                <w:color w:val="auto"/>
                <w:kern w:val="0"/>
                <w:sz w:val="24"/>
                <w:szCs w:val="24"/>
              </w:rPr>
              <w:t>至少包含社会保险社银网络专线；银行具备专门自有的技术团队支持系统建设；已建立社银专线且运行情况良好；对于天津市社会保险基金管理中心交付需要建设的系统按时完成情况；系统应急处置方案完备。</w:t>
            </w:r>
          </w:p>
          <w:p w14:paraId="4C594F1C">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rFonts w:hint="eastAsia"/>
                <w:color w:val="auto"/>
                <w:kern w:val="0"/>
                <w:sz w:val="24"/>
                <w:szCs w:val="24"/>
              </w:rPr>
              <w:t>满足</w:t>
            </w:r>
            <w:r>
              <w:rPr>
                <w:color w:val="auto"/>
                <w:kern w:val="0"/>
                <w:sz w:val="24"/>
                <w:szCs w:val="24"/>
              </w:rPr>
              <w:t>招标文件要求，无瑕疵：</w:t>
            </w:r>
            <w:r>
              <w:rPr>
                <w:rFonts w:hint="eastAsia"/>
                <w:color w:val="auto"/>
                <w:kern w:val="0"/>
                <w:sz w:val="24"/>
                <w:szCs w:val="24"/>
              </w:rPr>
              <w:t>5</w:t>
            </w:r>
            <w:r>
              <w:rPr>
                <w:color w:val="auto"/>
                <w:kern w:val="0"/>
                <w:sz w:val="24"/>
                <w:szCs w:val="24"/>
              </w:rPr>
              <w:t>分；</w:t>
            </w:r>
          </w:p>
          <w:p w14:paraId="2178DA3E">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1处瑕疵</w:t>
            </w:r>
            <w:r>
              <w:rPr>
                <w:color w:val="auto"/>
                <w:kern w:val="0"/>
                <w:sz w:val="24"/>
                <w:szCs w:val="24"/>
              </w:rPr>
              <w:t>：</w:t>
            </w:r>
            <w:r>
              <w:rPr>
                <w:rFonts w:hint="eastAsia"/>
                <w:color w:val="auto"/>
                <w:kern w:val="0"/>
                <w:sz w:val="24"/>
                <w:szCs w:val="24"/>
              </w:rPr>
              <w:t>4</w:t>
            </w:r>
            <w:r>
              <w:rPr>
                <w:color w:val="auto"/>
                <w:kern w:val="0"/>
                <w:sz w:val="24"/>
                <w:szCs w:val="24"/>
              </w:rPr>
              <w:t>分；</w:t>
            </w:r>
          </w:p>
          <w:p w14:paraId="3E27D073">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2处瑕疵</w:t>
            </w:r>
            <w:r>
              <w:rPr>
                <w:color w:val="auto"/>
                <w:kern w:val="0"/>
                <w:sz w:val="24"/>
                <w:szCs w:val="24"/>
              </w:rPr>
              <w:t>：</w:t>
            </w:r>
            <w:r>
              <w:rPr>
                <w:rFonts w:hint="eastAsia"/>
                <w:color w:val="auto"/>
                <w:kern w:val="0"/>
                <w:sz w:val="24"/>
                <w:szCs w:val="24"/>
              </w:rPr>
              <w:t>3</w:t>
            </w:r>
            <w:r>
              <w:rPr>
                <w:color w:val="auto"/>
                <w:kern w:val="0"/>
                <w:sz w:val="24"/>
                <w:szCs w:val="24"/>
              </w:rPr>
              <w:t>分；</w:t>
            </w:r>
          </w:p>
          <w:p w14:paraId="7097A8DA">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3处瑕疵</w:t>
            </w:r>
            <w:r>
              <w:rPr>
                <w:color w:val="auto"/>
                <w:kern w:val="0"/>
                <w:sz w:val="24"/>
                <w:szCs w:val="24"/>
              </w:rPr>
              <w:t>：</w:t>
            </w:r>
            <w:r>
              <w:rPr>
                <w:rFonts w:hint="eastAsia"/>
                <w:color w:val="auto"/>
                <w:kern w:val="0"/>
                <w:sz w:val="24"/>
                <w:szCs w:val="24"/>
              </w:rPr>
              <w:t>2</w:t>
            </w:r>
            <w:r>
              <w:rPr>
                <w:color w:val="auto"/>
                <w:kern w:val="0"/>
                <w:sz w:val="24"/>
                <w:szCs w:val="24"/>
              </w:rPr>
              <w:t>分；</w:t>
            </w:r>
          </w:p>
          <w:p w14:paraId="306E5BC6">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rFonts w:hint="eastAsia"/>
                <w:color w:val="auto"/>
                <w:kern w:val="0"/>
                <w:sz w:val="24"/>
                <w:szCs w:val="24"/>
              </w:rPr>
              <w:t>方案</w:t>
            </w:r>
            <w:r>
              <w:rPr>
                <w:color w:val="auto"/>
                <w:kern w:val="0"/>
                <w:sz w:val="24"/>
                <w:szCs w:val="24"/>
              </w:rPr>
              <w:t>内容存在</w:t>
            </w:r>
            <w:r>
              <w:rPr>
                <w:rFonts w:hint="eastAsia"/>
                <w:color w:val="auto"/>
                <w:kern w:val="0"/>
                <w:sz w:val="24"/>
                <w:szCs w:val="24"/>
              </w:rPr>
              <w:t>4处瑕疵</w:t>
            </w:r>
            <w:r>
              <w:rPr>
                <w:color w:val="auto"/>
                <w:kern w:val="0"/>
                <w:sz w:val="24"/>
                <w:szCs w:val="24"/>
              </w:rPr>
              <w:t>：</w:t>
            </w:r>
            <w:r>
              <w:rPr>
                <w:rFonts w:hint="eastAsia"/>
                <w:color w:val="auto"/>
                <w:kern w:val="0"/>
                <w:sz w:val="24"/>
                <w:szCs w:val="24"/>
              </w:rPr>
              <w:t>1</w:t>
            </w:r>
            <w:r>
              <w:rPr>
                <w:color w:val="auto"/>
                <w:kern w:val="0"/>
                <w:sz w:val="24"/>
                <w:szCs w:val="24"/>
              </w:rPr>
              <w:t>分；</w:t>
            </w:r>
          </w:p>
          <w:p w14:paraId="18D50BBF">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color w:val="auto"/>
                <w:kern w:val="0"/>
                <w:sz w:val="24"/>
                <w:szCs w:val="24"/>
              </w:rPr>
              <w:t>未提供方案或不满足招标文件要求或内容存在</w:t>
            </w:r>
            <w:r>
              <w:rPr>
                <w:rFonts w:hint="eastAsia"/>
                <w:color w:val="auto"/>
                <w:kern w:val="0"/>
                <w:sz w:val="24"/>
                <w:szCs w:val="24"/>
              </w:rPr>
              <w:t>5处及以上瑕疵</w:t>
            </w:r>
            <w:r>
              <w:rPr>
                <w:color w:val="auto"/>
                <w:kern w:val="0"/>
                <w:sz w:val="24"/>
                <w:szCs w:val="24"/>
              </w:rPr>
              <w:t>：0分；</w:t>
            </w:r>
          </w:p>
          <w:p w14:paraId="1962B6D2">
            <w:pPr>
              <w:keepNext w:val="0"/>
              <w:keepLines w:val="0"/>
              <w:pageBreakBefore w:val="0"/>
              <w:widowControl w:val="0"/>
              <w:kinsoku/>
              <w:wordWrap/>
              <w:overflowPunct/>
              <w:topLinePunct w:val="0"/>
              <w:autoSpaceDE/>
              <w:autoSpaceDN/>
              <w:bidi w:val="0"/>
              <w:adjustRightInd/>
              <w:snapToGrid/>
              <w:spacing w:line="500" w:lineRule="exact"/>
              <w:textAlignment w:val="auto"/>
              <w:rPr>
                <w:color w:val="auto"/>
                <w:kern w:val="0"/>
                <w:sz w:val="24"/>
                <w:szCs w:val="24"/>
              </w:rPr>
            </w:pPr>
            <w:r>
              <w:rPr>
                <w:rFonts w:hint="eastAsia"/>
                <w:color w:val="auto"/>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14:paraId="55EE0A3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rFonts w:hint="eastAsia"/>
                <w:color w:val="auto"/>
                <w:kern w:val="0"/>
                <w:sz w:val="24"/>
                <w:szCs w:val="24"/>
              </w:rPr>
              <w:t>5</w:t>
            </w:r>
          </w:p>
        </w:tc>
      </w:tr>
      <w:tr w14:paraId="072F6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3" w:type="dxa"/>
            <w:gridSpan w:val="3"/>
            <w:shd w:val="clear" w:color="auto" w:fill="auto"/>
            <w:noWrap/>
            <w:vAlign w:val="center"/>
          </w:tcPr>
          <w:p w14:paraId="0702F5B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sz w:val="24"/>
              </w:rPr>
            </w:pPr>
            <w:r>
              <w:rPr>
                <w:color w:val="auto"/>
                <w:sz w:val="24"/>
              </w:rPr>
              <w:t>合计</w:t>
            </w:r>
          </w:p>
        </w:tc>
        <w:tc>
          <w:tcPr>
            <w:tcW w:w="1143" w:type="dxa"/>
            <w:shd w:val="clear" w:color="auto" w:fill="auto"/>
            <w:vAlign w:val="center"/>
          </w:tcPr>
          <w:p w14:paraId="36E4C7E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kern w:val="0"/>
                <w:sz w:val="24"/>
                <w:szCs w:val="24"/>
              </w:rPr>
            </w:pPr>
            <w:r>
              <w:rPr>
                <w:color w:val="auto"/>
                <w:kern w:val="0"/>
                <w:sz w:val="24"/>
                <w:szCs w:val="24"/>
              </w:rPr>
              <w:t>100</w:t>
            </w:r>
          </w:p>
        </w:tc>
      </w:tr>
    </w:tbl>
    <w:p w14:paraId="32865912">
      <w:pPr>
        <w:spacing w:line="360" w:lineRule="auto"/>
        <w:ind w:firstLine="448" w:firstLineChars="200"/>
        <w:outlineLvl w:val="0"/>
        <w:rPr>
          <w:sz w:val="24"/>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3AC52A29">
      <w:pPr>
        <w:widowControl/>
        <w:jc w:val="left"/>
        <w:rPr>
          <w:sz w:val="24"/>
        </w:rPr>
      </w:pPr>
      <w:r>
        <w:rPr>
          <w:sz w:val="24"/>
        </w:rPr>
        <w:br w:type="page"/>
      </w:r>
    </w:p>
    <w:p w14:paraId="67D74C0D">
      <w:pPr>
        <w:spacing w:line="360" w:lineRule="auto"/>
        <w:ind w:firstLine="448" w:firstLineChars="200"/>
        <w:jc w:val="center"/>
        <w:outlineLvl w:val="0"/>
        <w:rPr>
          <w:b/>
          <w:sz w:val="24"/>
        </w:rPr>
      </w:pPr>
      <w:r>
        <w:rPr>
          <w:rFonts w:hint="eastAsia"/>
          <w:b/>
          <w:sz w:val="24"/>
        </w:rPr>
        <w:t>项目需求书</w:t>
      </w:r>
    </w:p>
    <w:p w14:paraId="13075942">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outlineLvl w:val="9"/>
        <w:rPr>
          <w:rFonts w:hint="eastAsia"/>
          <w:b/>
          <w:bCs w:val="0"/>
          <w:sz w:val="24"/>
        </w:rPr>
      </w:pPr>
      <w:r>
        <w:rPr>
          <w:rFonts w:hint="eastAsia"/>
          <w:b/>
          <w:bCs w:val="0"/>
          <w:sz w:val="24"/>
          <w:lang w:val="en-US" w:eastAsia="zh-CN"/>
        </w:rPr>
        <w:t>一</w:t>
      </w:r>
      <w:r>
        <w:rPr>
          <w:rFonts w:hint="eastAsia"/>
          <w:b/>
          <w:bCs w:val="0"/>
          <w:sz w:val="24"/>
        </w:rPr>
        <w:t>、技术要求</w:t>
      </w:r>
    </w:p>
    <w:p w14:paraId="5ECEDE22">
      <w:pPr>
        <w:widowControl/>
        <w:ind w:firstLine="450"/>
        <w:jc w:val="left"/>
        <w:rPr>
          <w:sz w:val="24"/>
        </w:rPr>
      </w:pPr>
      <w:r>
        <w:rPr>
          <w:rFonts w:hint="eastAsia"/>
          <w:sz w:val="24"/>
        </w:rPr>
        <w:t>★（一）中标供应商承诺202</w:t>
      </w:r>
      <w:r>
        <w:rPr>
          <w:rFonts w:hint="eastAsia"/>
          <w:sz w:val="24"/>
          <w:lang w:val="en-US" w:eastAsia="zh-CN"/>
        </w:rPr>
        <w:t>5</w:t>
      </w:r>
      <w:r>
        <w:rPr>
          <w:rFonts w:hint="eastAsia"/>
          <w:sz w:val="24"/>
        </w:rPr>
        <w:t>年年度财务报告的财务稳健，资本充足率、流动性比率、不良贷款率、拨备覆盖率等指标达到监管标准。</w:t>
      </w:r>
    </w:p>
    <w:p w14:paraId="7E363E7B">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outlineLvl w:val="9"/>
        <w:rPr>
          <w:rFonts w:hint="eastAsia"/>
          <w:b w:val="0"/>
          <w:bCs/>
          <w:sz w:val="24"/>
        </w:rPr>
      </w:pPr>
      <w:r>
        <w:rPr>
          <w:rFonts w:hint="eastAsia"/>
          <w:b w:val="0"/>
          <w:bCs/>
          <w:sz w:val="24"/>
        </w:rPr>
        <w:t>★（二）中标供应商承诺内部管理机制健全，具有较强的风险控制能力，近3年内未发生金融风险及重大案件。</w:t>
      </w:r>
    </w:p>
    <w:p w14:paraId="6CF23E1D">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outlineLvl w:val="9"/>
        <w:rPr>
          <w:rFonts w:hint="eastAsia"/>
          <w:b w:val="0"/>
          <w:bCs/>
          <w:sz w:val="24"/>
        </w:rPr>
      </w:pPr>
      <w:r>
        <w:rPr>
          <w:rFonts w:hint="eastAsia"/>
          <w:b w:val="0"/>
          <w:bCs/>
          <w:sz w:val="24"/>
        </w:rPr>
        <w:t>（</w:t>
      </w:r>
      <w:r>
        <w:rPr>
          <w:rFonts w:hint="eastAsia"/>
          <w:b w:val="0"/>
          <w:bCs/>
          <w:sz w:val="24"/>
          <w:lang w:val="en-US" w:eastAsia="zh-CN"/>
        </w:rPr>
        <w:t>三</w:t>
      </w:r>
      <w:r>
        <w:rPr>
          <w:rFonts w:hint="eastAsia"/>
          <w:b w:val="0"/>
          <w:bCs/>
          <w:sz w:val="24"/>
        </w:rPr>
        <w:t>）中标供应商应与采购人签订《天津市社会保险基金账户管理协议》，并严格履行协议约定。</w:t>
      </w:r>
    </w:p>
    <w:p w14:paraId="26AB19C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outlineLvl w:val="9"/>
        <w:rPr>
          <w:rFonts w:hint="eastAsia"/>
          <w:b w:val="0"/>
          <w:bCs/>
          <w:sz w:val="24"/>
        </w:rPr>
      </w:pPr>
      <w:r>
        <w:rPr>
          <w:rFonts w:hint="eastAsia"/>
          <w:b w:val="0"/>
          <w:bCs/>
          <w:sz w:val="24"/>
        </w:rPr>
        <w:t>（</w:t>
      </w:r>
      <w:r>
        <w:rPr>
          <w:rFonts w:hint="eastAsia"/>
          <w:b w:val="0"/>
          <w:bCs/>
          <w:sz w:val="24"/>
          <w:lang w:val="en-US" w:eastAsia="zh-CN"/>
        </w:rPr>
        <w:t>四</w:t>
      </w:r>
      <w:r>
        <w:rPr>
          <w:rFonts w:hint="eastAsia"/>
          <w:b w:val="0"/>
          <w:bCs/>
          <w:sz w:val="24"/>
        </w:rPr>
        <w:t>）中标供应商须根据采购人要求，办理各项业务，并确保资金安全。中标供应商出现重大违法违规等可能危及资金安全情况，需要在情况发生24小时内及时通知。</w:t>
      </w:r>
    </w:p>
    <w:p w14:paraId="344BE90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outlineLvl w:val="9"/>
        <w:rPr>
          <w:rFonts w:hint="eastAsia"/>
          <w:b w:val="0"/>
          <w:bCs/>
          <w:sz w:val="24"/>
        </w:rPr>
      </w:pPr>
      <w:r>
        <w:rPr>
          <w:rFonts w:hint="eastAsia"/>
          <w:b w:val="0"/>
          <w:bCs/>
          <w:sz w:val="24"/>
        </w:rPr>
        <w:t>（</w:t>
      </w:r>
      <w:r>
        <w:rPr>
          <w:rFonts w:hint="eastAsia"/>
          <w:b w:val="0"/>
          <w:bCs/>
          <w:sz w:val="24"/>
          <w:lang w:val="en-US" w:eastAsia="zh-CN"/>
        </w:rPr>
        <w:t>五</w:t>
      </w:r>
      <w:r>
        <w:rPr>
          <w:rFonts w:hint="eastAsia"/>
          <w:b w:val="0"/>
          <w:bCs/>
          <w:sz w:val="24"/>
        </w:rPr>
        <w:t>）中标供应商须根据采购人要求，做好账户开立维护、资金结算，以及账户余额提醒、大额交易提醒、异常资金支付核验等各项服务。</w:t>
      </w:r>
    </w:p>
    <w:p w14:paraId="6B60DDA7">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outlineLvl w:val="9"/>
        <w:rPr>
          <w:rFonts w:hint="eastAsia"/>
          <w:b w:val="0"/>
          <w:bCs/>
          <w:sz w:val="24"/>
        </w:rPr>
      </w:pPr>
      <w:r>
        <w:rPr>
          <w:rFonts w:hint="eastAsia"/>
          <w:b w:val="0"/>
          <w:bCs/>
          <w:sz w:val="24"/>
        </w:rPr>
        <w:t>（</w:t>
      </w:r>
      <w:r>
        <w:rPr>
          <w:rFonts w:hint="eastAsia"/>
          <w:b w:val="0"/>
          <w:bCs/>
          <w:sz w:val="24"/>
          <w:lang w:val="en-US" w:eastAsia="zh-CN"/>
        </w:rPr>
        <w:t>六</w:t>
      </w:r>
      <w:r>
        <w:rPr>
          <w:rFonts w:hint="eastAsia"/>
          <w:b w:val="0"/>
          <w:bCs/>
          <w:sz w:val="24"/>
        </w:rPr>
        <w:t>）中标供应商应与采购人建立社银专线网络，提供资金结算等特色服务，并根据采购人要求，及时调整、完善系统功能，提供安全、及时、快捷收、付款渠道。</w:t>
      </w:r>
    </w:p>
    <w:p w14:paraId="1BDAF94C">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outlineLvl w:val="9"/>
        <w:rPr>
          <w:rFonts w:hint="eastAsia"/>
          <w:b w:val="0"/>
          <w:bCs/>
          <w:sz w:val="24"/>
        </w:rPr>
      </w:pPr>
      <w:r>
        <w:rPr>
          <w:rFonts w:hint="eastAsia"/>
          <w:b w:val="0"/>
          <w:bCs/>
          <w:sz w:val="24"/>
        </w:rPr>
        <w:t>（</w:t>
      </w:r>
      <w:r>
        <w:rPr>
          <w:rFonts w:hint="eastAsia"/>
          <w:b w:val="0"/>
          <w:bCs/>
          <w:sz w:val="24"/>
          <w:lang w:val="en-US" w:eastAsia="zh-CN"/>
        </w:rPr>
        <w:t>七</w:t>
      </w:r>
      <w:r>
        <w:rPr>
          <w:rFonts w:hint="eastAsia"/>
          <w:b w:val="0"/>
          <w:bCs/>
          <w:sz w:val="24"/>
        </w:rPr>
        <w:t>）中标供应商应由专门机构和专人负责采购人各项服务，做到7×24小时技术响应，1小时内服务人员到达采购人指定地点。</w:t>
      </w:r>
    </w:p>
    <w:p w14:paraId="4B028321">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outlineLvl w:val="9"/>
        <w:rPr>
          <w:rFonts w:hint="eastAsia"/>
          <w:b w:val="0"/>
          <w:bCs/>
          <w:sz w:val="24"/>
        </w:rPr>
      </w:pPr>
      <w:r>
        <w:rPr>
          <w:rFonts w:hint="eastAsia"/>
          <w:b w:val="0"/>
          <w:bCs/>
          <w:sz w:val="24"/>
        </w:rPr>
        <w:t>（</w:t>
      </w:r>
      <w:r>
        <w:rPr>
          <w:rFonts w:hint="eastAsia"/>
          <w:b w:val="0"/>
          <w:bCs/>
          <w:sz w:val="24"/>
          <w:lang w:val="en-US" w:eastAsia="zh-CN"/>
        </w:rPr>
        <w:t>八</w:t>
      </w:r>
      <w:r>
        <w:rPr>
          <w:rFonts w:hint="eastAsia"/>
          <w:b w:val="0"/>
          <w:bCs/>
          <w:sz w:val="24"/>
        </w:rPr>
        <w:t>）中标供应商应免收账户管理以及结算等各项业务手续费、服务费。</w:t>
      </w:r>
    </w:p>
    <w:p w14:paraId="02ACA309">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outlineLvl w:val="9"/>
        <w:rPr>
          <w:rFonts w:hint="eastAsia"/>
          <w:b w:val="0"/>
          <w:bCs/>
          <w:sz w:val="24"/>
        </w:rPr>
      </w:pPr>
      <w:r>
        <w:rPr>
          <w:rFonts w:hint="eastAsia"/>
          <w:b w:val="0"/>
          <w:bCs/>
          <w:sz w:val="24"/>
        </w:rPr>
        <w:t>（</w:t>
      </w:r>
      <w:r>
        <w:rPr>
          <w:rFonts w:hint="eastAsia"/>
          <w:b w:val="0"/>
          <w:bCs/>
          <w:sz w:val="24"/>
          <w:lang w:val="en-US" w:eastAsia="zh-CN"/>
        </w:rPr>
        <w:t>九</w:t>
      </w:r>
      <w:r>
        <w:rPr>
          <w:rFonts w:hint="eastAsia"/>
          <w:b w:val="0"/>
          <w:bCs/>
          <w:sz w:val="24"/>
        </w:rPr>
        <w:t>）中标供应商负责采购人开立的城乡养老保险基金支出账户动态跟踪。有重大事由等情况出现时，如遇法院查封、冻结、强制执行资金账户时，需在24小时内书面函告采购人。</w:t>
      </w:r>
    </w:p>
    <w:p w14:paraId="57AEB223">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outlineLvl w:val="9"/>
        <w:rPr>
          <w:rFonts w:hint="eastAsia"/>
          <w:b/>
          <w:bCs w:val="0"/>
          <w:sz w:val="24"/>
        </w:rPr>
      </w:pPr>
      <w:r>
        <w:rPr>
          <w:rFonts w:hint="eastAsia"/>
          <w:b/>
          <w:bCs w:val="0"/>
          <w:sz w:val="24"/>
          <w:lang w:val="en-US" w:eastAsia="zh-CN"/>
        </w:rPr>
        <w:t>二</w:t>
      </w:r>
      <w:r>
        <w:rPr>
          <w:rFonts w:hint="eastAsia"/>
          <w:b/>
          <w:bCs w:val="0"/>
          <w:sz w:val="24"/>
        </w:rPr>
        <w:t>、验收标准</w:t>
      </w:r>
    </w:p>
    <w:p w14:paraId="0AA6A4B0">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outlineLvl w:val="9"/>
        <w:rPr>
          <w:rFonts w:hint="eastAsia"/>
          <w:b w:val="0"/>
          <w:bCs/>
          <w:sz w:val="24"/>
        </w:rPr>
      </w:pPr>
      <w:r>
        <w:rPr>
          <w:rFonts w:hint="eastAsia"/>
          <w:b w:val="0"/>
          <w:bCs/>
          <w:sz w:val="24"/>
        </w:rPr>
        <w:t>（一）采购方自行组织验收。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并加盖验收单位公章。</w:t>
      </w:r>
    </w:p>
    <w:p w14:paraId="30BE2378">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outlineLvl w:val="9"/>
        <w:rPr>
          <w:rFonts w:hint="eastAsia"/>
          <w:b w:val="0"/>
          <w:bCs/>
          <w:sz w:val="24"/>
        </w:rPr>
      </w:pPr>
      <w:r>
        <w:rPr>
          <w:rFonts w:hint="eastAsia"/>
          <w:b w:val="0"/>
          <w:bCs/>
          <w:sz w:val="24"/>
        </w:rPr>
        <w:t>（二）中标方应对所提供服务真实有效性负责。</w:t>
      </w:r>
    </w:p>
    <w:p w14:paraId="201A6A5F">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outlineLvl w:val="9"/>
        <w:rPr>
          <w:b w:val="0"/>
          <w:bCs/>
          <w:sz w:val="24"/>
        </w:rPr>
      </w:pPr>
      <w:r>
        <w:rPr>
          <w:rFonts w:hint="eastAsia"/>
          <w:b w:val="0"/>
          <w:bCs/>
          <w:sz w:val="24"/>
        </w:rPr>
        <w:t>（三）关于采购服务项目采购人可根据工作需求开展合规性检查，若发现供应商存在伪造数据、弄虚作假等情况，采购人有权终止合同。</w:t>
      </w:r>
    </w:p>
    <w:p w14:paraId="03E8E1AA">
      <w:pPr>
        <w:keepNext w:val="0"/>
        <w:keepLines w:val="0"/>
        <w:pageBreakBefore w:val="0"/>
        <w:widowControl w:val="0"/>
        <w:kinsoku/>
        <w:wordWrap/>
        <w:overflowPunct/>
        <w:topLinePunct w:val="0"/>
        <w:autoSpaceDE/>
        <w:autoSpaceDN/>
        <w:bidi w:val="0"/>
        <w:adjustRightInd/>
        <w:snapToGrid/>
        <w:spacing w:line="360" w:lineRule="auto"/>
        <w:ind w:firstLine="448" w:firstLineChars="200"/>
        <w:jc w:val="left"/>
        <w:textAlignment w:val="auto"/>
        <w:outlineLvl w:val="9"/>
        <w:rPr>
          <w:b w:val="0"/>
          <w:bCs/>
          <w:sz w:val="24"/>
        </w:rPr>
      </w:pPr>
    </w:p>
    <w:p w14:paraId="60219E7E">
      <w:pPr>
        <w:spacing w:line="360" w:lineRule="auto"/>
        <w:ind w:firstLine="448" w:firstLineChars="200"/>
        <w:jc w:val="center"/>
        <w:outlineLvl w:val="0"/>
        <w:rPr>
          <w:b/>
          <w:sz w:val="24"/>
        </w:rPr>
      </w:pPr>
    </w:p>
    <w:p w14:paraId="0582B096">
      <w:pPr>
        <w:spacing w:line="360" w:lineRule="auto"/>
        <w:ind w:firstLine="448" w:firstLineChars="200"/>
        <w:jc w:val="center"/>
        <w:outlineLvl w:val="0"/>
        <w:rPr>
          <w:b/>
          <w:sz w:val="24"/>
        </w:rPr>
      </w:pPr>
    </w:p>
    <w:p w14:paraId="69831DF4">
      <w:pPr>
        <w:spacing w:line="360" w:lineRule="auto"/>
        <w:ind w:firstLine="448" w:firstLineChars="200"/>
        <w:jc w:val="center"/>
        <w:outlineLvl w:val="0"/>
        <w:rPr>
          <w:b/>
          <w:sz w:val="24"/>
        </w:rPr>
      </w:pPr>
    </w:p>
    <w:p w14:paraId="4EBDBD39">
      <w:pPr>
        <w:spacing w:line="360" w:lineRule="auto"/>
        <w:jc w:val="center"/>
        <w:rPr>
          <w:sz w:val="24"/>
        </w:rPr>
      </w:pPr>
      <w:r>
        <w:rPr>
          <w:sz w:val="24"/>
          <w:u w:val="single"/>
        </w:rPr>
        <w:br w:type="page"/>
      </w:r>
    </w:p>
    <w:p w14:paraId="3A4AF121">
      <w:pPr>
        <w:pStyle w:val="16"/>
        <w:rPr>
          <w:rFonts w:ascii="Times New Roman" w:hAnsi="Times New Roman"/>
        </w:rPr>
      </w:pPr>
      <w:r>
        <w:rPr>
          <w:rFonts w:ascii="Times New Roman" w:hAnsi="Times New Roman"/>
        </w:rPr>
        <w:t>第</w:t>
      </w:r>
      <w:r>
        <w:rPr>
          <w:rFonts w:ascii="Times New Roman" w:hAnsi="Times New Roman"/>
          <w:lang w:eastAsia="zh-CN"/>
        </w:rPr>
        <w:t>三</w:t>
      </w:r>
      <w:r>
        <w:rPr>
          <w:rFonts w:ascii="Times New Roman" w:hAnsi="Times New Roman"/>
        </w:rPr>
        <w:t>部分  投标须知</w:t>
      </w:r>
    </w:p>
    <w:p w14:paraId="0F61393A">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71EF5D3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75B3650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根据《中华人民共和国政府采购法》、《中华人民共和国政府采购法实施条例》等有关法律、法规和规章的规定，本采购项目已具备招标条件。</w:t>
      </w:r>
    </w:p>
    <w:p w14:paraId="6B4890A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 本招标文件仅适用于投标邀请函中所叙述项目货物和服务的采购。</w:t>
      </w:r>
    </w:p>
    <w:p w14:paraId="61F3A48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参与招标投标活动的所有各方，对在参与招标投标过程中获悉的国家、商业和技术秘密以及其它依法应当保密的内容，均负有保密义务，违者应对由此造成的后果承担全部法律责任。</w:t>
      </w:r>
    </w:p>
    <w:p w14:paraId="0ED8F3A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3337A4D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2.1 “采购人”和“招标人”系指本次招标活动的采购单位。“采购代理机构”系指组织本次招标活动的机构，即“天津市政府采购中心”。 </w:t>
      </w:r>
    </w:p>
    <w:p w14:paraId="11F8F3F8">
      <w:pPr>
        <w:pStyle w:val="29"/>
        <w:spacing w:line="360" w:lineRule="auto"/>
        <w:ind w:firstLine="448" w:firstLineChars="200"/>
        <w:jc w:val="both"/>
        <w:rPr>
          <w:rFonts w:ascii="Times New Roman" w:hAnsi="Times New Roman" w:eastAsia="宋体" w:cs="Times New Roman"/>
          <w:color w:val="FF0000"/>
        </w:rPr>
      </w:pPr>
      <w:r>
        <w:rPr>
          <w:rFonts w:ascii="Times New Roman" w:hAnsi="Times New Roman" w:eastAsia="宋体" w:cs="Times New Roman"/>
          <w:color w:val="auto"/>
        </w:rPr>
        <w:t>2.2 “投标人”和“供应商”系指</w:t>
      </w:r>
      <w:r>
        <w:rPr>
          <w:rFonts w:hint="eastAsia" w:ascii="Times New Roman" w:hAnsi="Times New Roman" w:eastAsia="宋体" w:cs="Times New Roman"/>
          <w:color w:val="auto"/>
        </w:rPr>
        <w:t>响应招标、参加投标竞争的法人、其他组织或者自然人。</w:t>
      </w:r>
    </w:p>
    <w:p w14:paraId="120D784F">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2.3</w:t>
      </w:r>
      <w:r>
        <w:rPr>
          <w:rFonts w:hint="eastAsia" w:ascii="Times New Roman" w:hAnsi="Times New Roman" w:eastAsia="宋体" w:cs="Times New Roman"/>
          <w:color w:val="auto"/>
        </w:rPr>
        <w:t xml:space="preserve"> “货物”</w:t>
      </w:r>
      <w:r>
        <w:rPr>
          <w:rFonts w:ascii="Times New Roman" w:hAnsi="Times New Roman" w:eastAsia="宋体" w:cs="Times New Roman"/>
          <w:color w:val="auto"/>
        </w:rPr>
        <w:t>系指</w:t>
      </w:r>
      <w:r>
        <w:rPr>
          <w:rFonts w:hint="eastAsia" w:ascii="Times New Roman" w:hAnsi="Times New Roman" w:eastAsia="宋体" w:cs="Times New Roman"/>
          <w:color w:val="auto"/>
        </w:rPr>
        <w:t>各种形态和种类的物品，包括原材料、燃料、设备、产品等；“工程”</w:t>
      </w:r>
      <w:r>
        <w:rPr>
          <w:rFonts w:ascii="Times New Roman" w:hAnsi="Times New Roman" w:eastAsia="宋体" w:cs="Times New Roman"/>
          <w:color w:val="auto"/>
        </w:rPr>
        <w:t>系指</w:t>
      </w:r>
      <w:r>
        <w:rPr>
          <w:rFonts w:hint="eastAsia" w:ascii="Times New Roman" w:hAnsi="Times New Roman" w:eastAsia="宋体" w:cs="Times New Roman"/>
          <w:color w:val="auto"/>
        </w:rPr>
        <w:t>建设工程，包括建筑物和构筑物的新建、改建、扩建、装修、拆除、修缮等；“服务”</w:t>
      </w:r>
      <w:r>
        <w:rPr>
          <w:rFonts w:ascii="Times New Roman" w:hAnsi="Times New Roman" w:eastAsia="宋体" w:cs="Times New Roman"/>
          <w:color w:val="auto"/>
        </w:rPr>
        <w:t>系指</w:t>
      </w:r>
      <w:r>
        <w:rPr>
          <w:rFonts w:hint="eastAsia" w:ascii="Times New Roman" w:hAnsi="Times New Roman" w:eastAsia="宋体" w:cs="Times New Roman"/>
          <w:color w:val="auto"/>
        </w:rPr>
        <w:t>除货物和工程以外的其他政府采购对象。</w:t>
      </w:r>
    </w:p>
    <w:p w14:paraId="5F0745B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65039E9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本次招投标的最终解释权归为采购人、采购代理机构。</w:t>
      </w:r>
    </w:p>
    <w:p w14:paraId="5D18610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2BD7567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合格的投标人</w:t>
      </w:r>
    </w:p>
    <w:p w14:paraId="61C67BD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w:t>
      </w:r>
      <w:r>
        <w:rPr>
          <w:rFonts w:hint="eastAsia" w:ascii="Times New Roman" w:hAnsi="Times New Roman" w:eastAsia="宋体" w:cs="Times New Roman"/>
          <w:color w:val="auto"/>
        </w:rPr>
        <w:t>采购</w:t>
      </w:r>
      <w:r>
        <w:rPr>
          <w:rFonts w:ascii="Times New Roman" w:hAnsi="Times New Roman" w:eastAsia="宋体" w:cs="Times New Roman"/>
          <w:color w:val="auto"/>
        </w:rPr>
        <w:t>标的的供应商。</w:t>
      </w:r>
    </w:p>
    <w:p w14:paraId="3C893208">
      <w:pPr>
        <w:pStyle w:val="29"/>
        <w:spacing w:line="360" w:lineRule="auto"/>
        <w:ind w:firstLine="448" w:firstLineChars="200"/>
        <w:jc w:val="both"/>
        <w:rPr>
          <w:rFonts w:ascii="Times New Roman" w:hAnsi="Times New Roman" w:cs="Times New Roman"/>
          <w:color w:val="auto"/>
        </w:rPr>
      </w:pPr>
      <w:r>
        <w:rPr>
          <w:rFonts w:ascii="Times New Roman" w:hAnsi="Times New Roman" w:eastAsia="宋体" w:cs="Times New Roman"/>
          <w:color w:val="auto"/>
        </w:rPr>
        <w:t xml:space="preserve">4.2 </w:t>
      </w:r>
      <w:r>
        <w:rPr>
          <w:rFonts w:ascii="Times New Roman" w:hAnsi="Times New Roman" w:cs="Times New Roman"/>
          <w:color w:val="auto"/>
        </w:rPr>
        <w:t>符合《投标邀请函》中关于供应商资格要求（实质性要求）的规定。</w:t>
      </w:r>
    </w:p>
    <w:p w14:paraId="4CAB1DD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4.3 关于联合体投标</w:t>
      </w:r>
    </w:p>
    <w:p w14:paraId="094B26E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若</w:t>
      </w:r>
      <w:r>
        <w:rPr>
          <w:rFonts w:ascii="Times New Roman" w:hAnsi="Times New Roman" w:eastAsia="宋体" w:cs="Times New Roman"/>
          <w:color w:val="auto"/>
        </w:rPr>
        <w:t>《投标邀请函》接受联合体投标的：</w:t>
      </w:r>
    </w:p>
    <w:p w14:paraId="3020B6D4">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7CBA949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rPr>
        <w:t>要求</w:t>
      </w:r>
      <w:r>
        <w:rPr>
          <w:rFonts w:ascii="Times New Roman" w:hAnsi="Times New Roman" w:eastAsia="宋体" w:cs="Times New Roman"/>
          <w:color w:val="auto"/>
        </w:rPr>
        <w:t>）。</w:t>
      </w:r>
    </w:p>
    <w:p w14:paraId="76F7E6A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rPr>
        <w:t>同一合同项下</w:t>
      </w:r>
      <w:r>
        <w:rPr>
          <w:rFonts w:ascii="Times New Roman" w:hAnsi="Times New Roman" w:eastAsia="宋体" w:cs="Times New Roman"/>
          <w:color w:val="auto"/>
        </w:rPr>
        <w:t>投标，也不得组成新的联合体参加同一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w:t>
      </w:r>
    </w:p>
    <w:p w14:paraId="3435432D">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hint="eastAsia" w:ascii="Times New Roman" w:hAnsi="Times New Roman" w:eastAsia="宋体" w:cs="Times New Roman"/>
          <w:color w:val="auto"/>
        </w:rPr>
        <w:t>下载招标文件</w:t>
      </w:r>
      <w:r>
        <w:rPr>
          <w:rFonts w:ascii="Times New Roman" w:hAnsi="Times New Roman" w:eastAsia="宋体" w:cs="Times New Roman"/>
          <w:color w:val="auto"/>
        </w:rPr>
        <w:t>时，应以联合体协议中确定的主体方名义</w:t>
      </w:r>
      <w:r>
        <w:rPr>
          <w:rFonts w:hint="eastAsia" w:ascii="Times New Roman" w:hAnsi="Times New Roman" w:eastAsia="宋体" w:cs="Times New Roman"/>
          <w:color w:val="auto"/>
        </w:rPr>
        <w:t>下载</w:t>
      </w:r>
      <w:r>
        <w:rPr>
          <w:rFonts w:ascii="Times New Roman" w:hAnsi="Times New Roman" w:eastAsia="宋体" w:cs="Times New Roman"/>
          <w:color w:val="auto"/>
        </w:rPr>
        <w:t>。</w:t>
      </w:r>
    </w:p>
    <w:p w14:paraId="26ADBCB7">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（5）联合体投标的，应以主体方名义提交投标保证金（如有），对联合体各方均具有约束力。</w:t>
      </w:r>
    </w:p>
    <w:p w14:paraId="1A8361A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3559B6A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12B7E32C">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212DD362">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48384B0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rPr>
        <w:t>合同</w:t>
      </w:r>
      <w:r>
        <w:rPr>
          <w:rFonts w:ascii="Times New Roman" w:hAnsi="Times New Roman" w:eastAsia="宋体" w:cs="Times New Roman"/>
          <w:color w:val="auto"/>
        </w:rPr>
        <w:t>项下的投标。如同时参加，则评审时将同时被拒绝。</w:t>
      </w:r>
    </w:p>
    <w:p w14:paraId="2C73FD6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4.5 关于分公司投标</w:t>
      </w:r>
    </w:p>
    <w:p w14:paraId="67DC3EF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分公司作为投标人参与本项目政府采购活动的，应提供具有法人资格的总公司的营业执照副本</w:t>
      </w:r>
      <w:r>
        <w:rPr>
          <w:rFonts w:hint="eastAsia" w:ascii="Times New Roman" w:hAnsi="Times New Roman" w:eastAsia="宋体" w:cs="Times New Roman"/>
          <w:color w:val="auto"/>
          <w:lang w:eastAsia="zh-CN"/>
        </w:rPr>
        <w:t>电子件</w:t>
      </w:r>
      <w:r>
        <w:rPr>
          <w:rFonts w:hint="eastAsia" w:ascii="Times New Roman" w:hAnsi="Times New Roman" w:eastAsia="宋体" w:cs="Times New Roman"/>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05C4C98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4.6 关于提供前期服务的供应商</w:t>
      </w:r>
    </w:p>
    <w:p w14:paraId="71A0E8E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38A41CC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4.7 关于中小微企业参与投标</w:t>
      </w:r>
    </w:p>
    <w:p w14:paraId="793F125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53C0B80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22181E58">
      <w:pPr>
        <w:pStyle w:val="29"/>
        <w:spacing w:line="360" w:lineRule="auto"/>
        <w:ind w:firstLine="448" w:firstLineChars="200"/>
        <w:jc w:val="both"/>
        <w:rPr>
          <w:rFonts w:ascii="Times New Roman" w:hAnsi="Times New Roman" w:eastAsia="宋体" w:cs="Times New Roman"/>
          <w:color w:val="auto"/>
        </w:rPr>
      </w:pPr>
      <w:bookmarkStart w:id="9" w:name="OLE_LINK6"/>
      <w:bookmarkStart w:id="10" w:name="OLE_LINK5"/>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124CF98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03CA064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2814DCD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投标人提供的货物服务应符合招标文件要求，质量应当完全符合现行的国家标准、行业标准或地方标准。除《招标项目需求》有特殊规定外，投标人提供的货物应当是全新的、未使用过的。</w:t>
      </w:r>
    </w:p>
    <w:p w14:paraId="1D4D745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7FB4B0C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61D882D2">
      <w:pPr>
        <w:pStyle w:val="29"/>
        <w:spacing w:line="360" w:lineRule="auto"/>
        <w:ind w:firstLine="448" w:firstLineChars="200"/>
        <w:jc w:val="both"/>
        <w:rPr>
          <w:rFonts w:ascii="Times New Roman" w:hAnsi="Times New Roman" w:eastAsia="宋体" w:cs="Times New Roman"/>
          <w:color w:val="auto"/>
        </w:rPr>
      </w:pPr>
    </w:p>
    <w:bookmarkEnd w:id="9"/>
    <w:bookmarkEnd w:id="10"/>
    <w:p w14:paraId="3A0541A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 投标费用</w:t>
      </w:r>
    </w:p>
    <w:p w14:paraId="3F53C69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无论投标过程中的做法和结果如何，投标人自行承担所有与参加投标有关的费用。</w:t>
      </w:r>
    </w:p>
    <w:p w14:paraId="6D6B75E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12AA135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标人在参与本采购项目招投标活动期间，请及时关注上述媒体和天津市政府采购中心招投标系统“查看项目文件”的相关信息。因没有及时关注而未能如期获取相关信息，投标人自行承担由此可能产生的风险。</w:t>
      </w:r>
    </w:p>
    <w:p w14:paraId="64882BE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1BDC98D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6C08400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335F035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50AA744C">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27F451B9">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4CE71FA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54D5BDA0">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18824E6D">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707412C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2D32967E">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2A024A4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针对询问或质疑的答复内容需要修改采购文件的，其修改内容应当以政府采购网发布的更正公告为准。</w:t>
      </w:r>
    </w:p>
    <w:p w14:paraId="00EA575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1B7E17F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1E6D5161">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7DAC930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32882C6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2015701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7205B00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3C71967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3AC4A2A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09F164A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0F8E93A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38AC4CA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6F358E9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加注“★”号条款为不允许偏离的实质性要求，经评标委员会判定任意一条加注“★”号的条款出现偏离，视为无效投标。</w:t>
      </w:r>
    </w:p>
    <w:p w14:paraId="0AEAB09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1DCB6FF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除招标文件另有规定外，招标文件中要求的每一项产品只允许一种产品投标，每一项产品的采购数量不允许变更。</w:t>
      </w:r>
    </w:p>
    <w:p w14:paraId="1C75344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5797F15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201543E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6C567ED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244BF03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1CE6A59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答疑会和现场考察</w:t>
      </w:r>
    </w:p>
    <w:p w14:paraId="4122EA5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10EB89E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采购人、采购代理机构组织现场考察的，所有投标人按《投标邀请函》规定的时间、地点参加现场考察活动。投标人如不参加，其风险由投标人自行承担，采购人、采购代理机构不承担任何责任。</w:t>
      </w:r>
    </w:p>
    <w:p w14:paraId="37E2B88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采购人、采购代理机构在答疑会或现场考察中口头介绍的情况，除经“天津市政府采购网”、“天津市政府采购中心网”以更正公告的形式发布外，不构成对招标文件的修改，不作为投标人编制投标文件的依据。</w:t>
      </w:r>
    </w:p>
    <w:p w14:paraId="1B1E201B">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42D68F3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1F9C755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1842718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5C227AC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6A15CDF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6D7D82F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522FE42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14.2 除招标文件中另有规定，投标文件所使用的计量单位均应使用中华人民共和国法定计量单位。</w:t>
      </w:r>
    </w:p>
    <w:p w14:paraId="0F26206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3E328CC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1E46A79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投标人可对招标文件</w:t>
      </w:r>
      <w:r>
        <w:rPr>
          <w:rFonts w:hint="eastAsia" w:ascii="Times New Roman" w:hAnsi="Times New Roman" w:eastAsia="宋体" w:cs="Times New Roman"/>
          <w:color w:val="auto"/>
        </w:rPr>
        <w:t>全部</w:t>
      </w:r>
      <w:r>
        <w:rPr>
          <w:rFonts w:ascii="Times New Roman" w:hAnsi="Times New Roman" w:eastAsia="宋体" w:cs="Times New Roman"/>
          <w:color w:val="auto"/>
        </w:rPr>
        <w:t>采购包进行投标，也可只对其中一包或几包进行投标；若无特殊说明，每一包的内容不得分项投标，原则上按照整包确定中标供应商。</w:t>
      </w:r>
    </w:p>
    <w:p w14:paraId="50A0F8F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6361626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2A2DAC0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17C0CA4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61D0796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541D936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55A01D0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4DC7ABC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5E04EE0C">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22759C2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3431D6E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27D9AF5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0A99FF9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447EDD2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7960FD75">
      <w:pPr>
        <w:pStyle w:val="29"/>
        <w:spacing w:line="360" w:lineRule="auto"/>
        <w:ind w:firstLine="448" w:firstLineChars="200"/>
        <w:jc w:val="both"/>
        <w:rPr>
          <w:rFonts w:ascii="Times New Roman" w:hAnsi="Times New Roman" w:cs="Times New Roman"/>
          <w:color w:val="auto"/>
          <w:szCs w:val="21"/>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w:t>
      </w:r>
    </w:p>
    <w:p w14:paraId="2D6574C3">
      <w:pPr>
        <w:pStyle w:val="29"/>
        <w:spacing w:line="360" w:lineRule="auto"/>
        <w:ind w:firstLine="448" w:firstLineChars="200"/>
        <w:jc w:val="both"/>
        <w:rPr>
          <w:rFonts w:ascii="Times New Roman" w:hAnsi="Times New Roman" w:cs="Times New Roman"/>
          <w:color w:val="auto"/>
          <w:szCs w:val="21"/>
        </w:rPr>
      </w:pPr>
      <w:r>
        <w:rPr>
          <w:rFonts w:hint="eastAsia" w:ascii="Times New Roman" w:hAnsi="Times New Roman" w:cs="Times New Roman"/>
          <w:color w:val="auto"/>
          <w:szCs w:val="21"/>
        </w:rPr>
        <w:t>（1）</w:t>
      </w:r>
      <w:r>
        <w:rPr>
          <w:rFonts w:ascii="Times New Roman" w:hAnsi="Times New Roman" w:cs="Times New Roman"/>
          <w:color w:val="auto"/>
          <w:szCs w:val="21"/>
        </w:rPr>
        <w:t>人力、物力等资源的投入以及服务内容、方式、手段、措施、质量保证及建议等。</w:t>
      </w:r>
    </w:p>
    <w:p w14:paraId="4A60F83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（2）货物主要技术性能的详细描述；</w:t>
      </w:r>
    </w:p>
    <w:p w14:paraId="5D619DA3">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（3）保证货物从采购人开始使用至招标文件规定的保修期内正常和连续运转期间所需要的所有备件和专用工具的详细清单，包括其现行价格和供货来源资料；</w:t>
      </w:r>
    </w:p>
    <w:p w14:paraId="201CE71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（4）逐条对招标文件要求的技术规格进行评议，并按招标文件所附格式完整地填写《技术要求偏离应答表》，说明自己所投标的与招标文件要求的偏离情况。</w:t>
      </w:r>
    </w:p>
    <w:p w14:paraId="1AA245D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21731AB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按照《招标项目需求》要求执行。</w:t>
      </w:r>
    </w:p>
    <w:p w14:paraId="75D4927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59A90DD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1284B3F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0324673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2F3D641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18582E28">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投标文件应按《招标项目需求》和《投标文件格式》如实编写，未尽事宜可自行补充。投标文件内容不完整、格式不符合导致投标文件被误读、漏读或者查找不到相关内容的，投标人自行承担由此产生的风险。</w:t>
      </w:r>
    </w:p>
    <w:p w14:paraId="2C6CAED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12A04B96">
      <w:pPr>
        <w:pStyle w:val="29"/>
        <w:spacing w:line="360" w:lineRule="auto"/>
        <w:ind w:firstLine="448" w:firstLineChars="200"/>
        <w:jc w:val="both"/>
        <w:rPr>
          <w:rFonts w:hint="eastAsia" w:ascii="Times New Roman" w:hAnsi="Times New Roman" w:eastAsia="宋体" w:cs="Times New Roman"/>
          <w:color w:val="auto"/>
        </w:rPr>
      </w:pPr>
      <w:r>
        <w:rPr>
          <w:rFonts w:ascii="Times New Roman" w:hAnsi="Times New Roman" w:eastAsia="宋体" w:cs="Times New Roman"/>
          <w:color w:val="auto"/>
        </w:rPr>
        <w:t>21.3</w:t>
      </w:r>
      <w:r>
        <w:rPr>
          <w:rFonts w:hint="eastAsia" w:ascii="Times New Roman" w:hAnsi="Times New Roman" w:eastAsia="宋体" w:cs="Times New Roman"/>
          <w:color w:val="auto"/>
        </w:rPr>
        <w:t xml:space="preserve"> 若上传加盖投标人电子签章的电子投标文件有修改，须于规定时间内重新提交电子投标文件。电子投标文件因模糊不清或表达不清所引起的后果由投标人自负。</w:t>
      </w:r>
    </w:p>
    <w:p w14:paraId="086EDE96">
      <w:pPr>
        <w:pStyle w:val="29"/>
        <w:spacing w:line="360" w:lineRule="auto"/>
        <w:ind w:firstLine="448"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21.4</w:t>
      </w:r>
      <w:r>
        <w:rPr>
          <w:rFonts w:hint="eastAsia" w:ascii="Times New Roman" w:hAnsi="Times New Roman" w:eastAsia="宋体" w:cs="Times New Roman"/>
          <w:color w:val="auto"/>
        </w:rPr>
        <w:t>文件</w:t>
      </w:r>
      <w:r>
        <w:rPr>
          <w:rFonts w:hint="eastAsia" w:ascii="Times New Roman" w:hAnsi="Times New Roman" w:eastAsia="宋体" w:cs="Times New Roman"/>
          <w:color w:val="auto"/>
          <w:lang w:val="en-US" w:eastAsia="zh-CN"/>
        </w:rPr>
        <w:t>中</w:t>
      </w:r>
      <w:r>
        <w:rPr>
          <w:rFonts w:hint="eastAsia" w:ascii="Times New Roman" w:hAnsi="Times New Roman" w:eastAsia="宋体" w:cs="Times New Roman"/>
          <w:color w:val="auto"/>
        </w:rPr>
        <w:t>的电子件指扫描件</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电子证照、</w:t>
      </w:r>
      <w:r>
        <w:rPr>
          <w:rFonts w:hint="eastAsia" w:ascii="Times New Roman" w:hAnsi="Times New Roman" w:eastAsia="宋体" w:cs="Times New Roman"/>
          <w:color w:val="auto"/>
        </w:rPr>
        <w:t>照片等形式电子文件；要求第三方出具的盖章件原件（如联合协议、分包意向协议、制造商授权书等），投标文件中应使用原件的电子件。</w:t>
      </w:r>
    </w:p>
    <w:p w14:paraId="514FE65C">
      <w:pPr>
        <w:pStyle w:val="29"/>
        <w:spacing w:line="360" w:lineRule="auto"/>
        <w:ind w:firstLine="448" w:firstLineChars="200"/>
        <w:jc w:val="both"/>
        <w:rPr>
          <w:rFonts w:hint="default" w:ascii="Times New Roman" w:hAnsi="Times New Roman" w:eastAsia="宋体" w:cs="Times New Roman"/>
          <w:color w:val="auto"/>
          <w:lang w:val="en-US" w:eastAsia="zh-CN"/>
        </w:rPr>
      </w:pPr>
    </w:p>
    <w:p w14:paraId="0944C91C">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1B552CE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4B23D3C7">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76C53D4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030A2E08">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483ED763">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724EE30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05531E6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1E517B3B">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77F11B04">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34704F6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77B875BA">
      <w:pPr>
        <w:pStyle w:val="29"/>
        <w:spacing w:line="360" w:lineRule="auto"/>
        <w:ind w:firstLine="448" w:firstLineChars="200"/>
        <w:jc w:val="both"/>
        <w:rPr>
          <w:rFonts w:ascii="Times New Roman" w:hAnsi="Times New Roman" w:eastAsia="宋体" w:cs="Times New Roman"/>
          <w:color w:val="auto"/>
        </w:rPr>
      </w:pPr>
    </w:p>
    <w:p w14:paraId="599C3DF6">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593DAAA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268FE3B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69391BB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671328D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0E21B3A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2B156C9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2ABD6B01">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1A38941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4D460FF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0C2F8EB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3D8FFF3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00A2A422">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70D8984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221F311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390899B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6F03C05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5368356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w:t>
      </w:r>
      <w:r>
        <w:rPr>
          <w:rFonts w:hint="eastAsia" w:ascii="Times New Roman" w:hAnsi="Times New Roman" w:eastAsia="宋体" w:cs="Times New Roman"/>
          <w:color w:val="auto"/>
        </w:rPr>
        <w:t>内容</w:t>
      </w:r>
      <w:r>
        <w:rPr>
          <w:rFonts w:ascii="Times New Roman" w:hAnsi="Times New Roman" w:eastAsia="宋体" w:cs="Times New Roman"/>
          <w:color w:val="auto"/>
        </w:rPr>
        <w:t>而使其投标成为响应性的投标。如出现下列情况之一的，其投标将被拒绝或中标无效：</w:t>
      </w:r>
    </w:p>
    <w:p w14:paraId="1A1024A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6F4E9B9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4416260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6ECE2DA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（4）不能满足招标文件中任何一条实质性要求或加注“★”号条款经评委会认定出现偏离的或经评标委员会认定未实质性响应招标文件要求的或投标内容不符合相关强制性规定的；</w:t>
      </w:r>
    </w:p>
    <w:p w14:paraId="111E010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4C5D65B8">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1E3C863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4542CB2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0D816C1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6DF0E72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05BAADE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7BBE9701">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69498AD2">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086DD52A">
      <w:pPr>
        <w:pStyle w:val="29"/>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44F8205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7BFCA7B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242AE2D4">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42DD21A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7486FD85">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148D6226">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615D264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2ABEF53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66D38C2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0BBD657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1D56A4B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4B5721D7">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71ECA80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3CBCE420">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1F2AE19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EB5962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（5）根据《关于推动解决政府采购异常低价问题的通知》（财库〔2026〕2号）的要求，评标委员会启动异常低价投标审查程序，</w:t>
      </w:r>
      <w:r>
        <w:rPr>
          <w:rFonts w:ascii="Times New Roman" w:hAnsi="Times New Roman" w:eastAsia="宋体"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评标</w:t>
      </w:r>
      <w:r>
        <w:rPr>
          <w:rFonts w:ascii="Times New Roman" w:hAnsi="Times New Roman" w:eastAsia="宋体"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hint="eastAsia" w:ascii="Times New Roman" w:hAnsi="Times New Roman" w:eastAsia="宋体" w:cs="Times New Roman"/>
          <w:color w:val="auto"/>
        </w:rPr>
        <w:t>标</w:t>
      </w:r>
      <w:r>
        <w:rPr>
          <w:rFonts w:ascii="Times New Roman" w:hAnsi="Times New Roman" w:eastAsia="宋体" w:cs="Times New Roman"/>
          <w:color w:val="auto"/>
        </w:rPr>
        <w:t>委员会应当将其作为无效投标处理。</w:t>
      </w:r>
    </w:p>
    <w:p w14:paraId="55A17982">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370B144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09C2D8C9">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34AC2DEF">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71724645">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4</w:t>
      </w:r>
      <w:r>
        <w:rPr>
          <w:rFonts w:ascii="Times New Roman" w:hAnsi="Times New Roman" w:eastAsia="宋体"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14:paraId="473E3771">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5</w:t>
      </w:r>
      <w:r>
        <w:rPr>
          <w:rFonts w:ascii="Times New Roman" w:hAnsi="Times New Roman" w:eastAsia="宋体"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1EDE34AF">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6</w:t>
      </w:r>
      <w:r>
        <w:rPr>
          <w:rFonts w:ascii="Times New Roman" w:hAnsi="Times New Roman" w:eastAsia="宋体" w:cs="Times New Roman"/>
          <w:color w:val="auto"/>
        </w:rPr>
        <w:t>）根据《政府采购货物和服务招标投标管理办法》（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25A51CF3">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35569B27">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426A7CFA">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5856F671">
      <w:pPr>
        <w:pStyle w:val="29"/>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217A24F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32.4 （本条仅适用于货物类项目）不同投标人所投全部产品均为同一品牌或不同投标人所投任一核心产品为同一品牌时（</w:t>
      </w:r>
      <w:r>
        <w:rPr>
          <w:rFonts w:hint="eastAsia" w:ascii="Times New Roman" w:hAnsi="Times New Roman" w:eastAsia="宋体" w:cs="Times New Roman"/>
          <w:color w:val="auto"/>
        </w:rPr>
        <w:t>加注“▲”号的产品为核心产品如未明确核心产品，则视为全部产品均为核心产品</w:t>
      </w:r>
      <w:r>
        <w:rPr>
          <w:rFonts w:ascii="Times New Roman" w:hAnsi="Times New Roman" w:eastAsia="宋体" w:cs="Times New Roman"/>
          <w:color w:val="auto"/>
        </w:rPr>
        <w:t>），按以下原则处理：</w:t>
      </w:r>
    </w:p>
    <w:p w14:paraId="6A1A76CA">
      <w:pPr>
        <w:spacing w:line="360" w:lineRule="auto"/>
        <w:ind w:firstLine="448" w:firstLineChars="200"/>
        <w:jc w:val="left"/>
        <w:rPr>
          <w:sz w:val="24"/>
          <w:szCs w:val="24"/>
        </w:rPr>
      </w:pPr>
      <w:r>
        <w:rPr>
          <w:sz w:val="24"/>
          <w:szCs w:val="24"/>
        </w:rPr>
        <w:t>（1）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14:paraId="29DD4561">
      <w:pPr>
        <w:pStyle w:val="29"/>
        <w:spacing w:line="360" w:lineRule="auto"/>
        <w:ind w:firstLine="448" w:firstLineChars="200"/>
        <w:rPr>
          <w:rFonts w:ascii="Times New Roman" w:hAnsi="Times New Roman" w:cs="Times New Roman"/>
        </w:rPr>
      </w:pPr>
      <w:r>
        <w:rPr>
          <w:rFonts w:ascii="Times New Roman" w:hAnsi="Times New Roman" w:cs="Times New Roman"/>
        </w:rPr>
        <w:t>（2）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14:paraId="5F00AEB3">
      <w:pPr>
        <w:pStyle w:val="29"/>
        <w:spacing w:line="360" w:lineRule="auto"/>
        <w:ind w:firstLine="448" w:firstLineChars="200"/>
        <w:rPr>
          <w:rFonts w:ascii="Times New Roman" w:hAnsi="Times New Roman" w:eastAsia="宋体" w:cs="Times New Roman"/>
          <w:color w:val="auto"/>
        </w:rPr>
      </w:pPr>
    </w:p>
    <w:p w14:paraId="269F63FD">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7994FDAD">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383D919B">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061B705E">
      <w:pPr>
        <w:pStyle w:val="29"/>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572596B9">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2A781A55">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5E6B175E">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2D6DE45C">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25427BC7">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3B52FDA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0727C48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7AC55A60">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若《招标项目需求》规定须提交履约保证金的，中标供应商须按照规定要求提交履约保证金。</w:t>
      </w:r>
    </w:p>
    <w:p w14:paraId="0647727B">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380176B6">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4817557D">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6700D414">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190CBDEA">
      <w:pPr>
        <w:pStyle w:val="29"/>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02BD72D2">
      <w:pPr>
        <w:pStyle w:val="29"/>
        <w:spacing w:line="360" w:lineRule="auto"/>
        <w:ind w:firstLine="448" w:firstLineChars="200"/>
        <w:jc w:val="both"/>
        <w:rPr>
          <w:rFonts w:ascii="Times New Roman" w:hAnsi="Times New Roman" w:eastAsia="宋体" w:cs="Times New Roman"/>
          <w:color w:val="auto"/>
        </w:rPr>
      </w:pPr>
    </w:p>
    <w:p w14:paraId="7A15804C">
      <w:pPr>
        <w:widowControl/>
        <w:jc w:val="left"/>
        <w:rPr>
          <w:b/>
          <w:bCs/>
          <w:kern w:val="28"/>
          <w:sz w:val="32"/>
          <w:szCs w:val="32"/>
          <w:lang w:val="zh-CN" w:eastAsia="zh-CN"/>
        </w:rPr>
      </w:pPr>
      <w:r>
        <w:br w:type="page"/>
      </w:r>
    </w:p>
    <w:p w14:paraId="658BF9B6">
      <w:pPr>
        <w:pStyle w:val="16"/>
        <w:rPr>
          <w:rFonts w:ascii="Times New Roman" w:hAnsi="Times New Roman"/>
        </w:rPr>
      </w:pPr>
      <w:r>
        <w:rPr>
          <w:rFonts w:ascii="Times New Roman" w:hAnsi="Times New Roman"/>
        </w:rPr>
        <w:t>第四部分  合同条款</w:t>
      </w:r>
    </w:p>
    <w:p w14:paraId="5E6A2DF1">
      <w:pPr>
        <w:tabs>
          <w:tab w:val="left" w:pos="412"/>
          <w:tab w:val="left" w:pos="618"/>
        </w:tabs>
        <w:spacing w:line="520" w:lineRule="exact"/>
        <w:jc w:val="center"/>
        <w:rPr>
          <w:b/>
          <w:sz w:val="30"/>
          <w:szCs w:val="30"/>
        </w:rPr>
      </w:pPr>
      <w:r>
        <w:rPr>
          <w:b/>
          <w:sz w:val="30"/>
          <w:szCs w:val="30"/>
        </w:rPr>
        <w:t>合同一般条款</w:t>
      </w:r>
    </w:p>
    <w:p w14:paraId="662186AA">
      <w:pPr>
        <w:tabs>
          <w:tab w:val="left" w:pos="0"/>
          <w:tab w:val="left" w:pos="315"/>
        </w:tabs>
        <w:spacing w:line="520" w:lineRule="exact"/>
        <w:ind w:firstLine="480"/>
        <w:rPr>
          <w:sz w:val="24"/>
          <w:szCs w:val="24"/>
        </w:rPr>
      </w:pPr>
      <w:r>
        <w:rPr>
          <w:sz w:val="24"/>
          <w:szCs w:val="24"/>
        </w:rPr>
        <w:t xml:space="preserve">需方：  </w:t>
      </w:r>
    </w:p>
    <w:p w14:paraId="391E5C6D">
      <w:pPr>
        <w:tabs>
          <w:tab w:val="left" w:pos="0"/>
          <w:tab w:val="left" w:pos="315"/>
        </w:tabs>
        <w:spacing w:line="520" w:lineRule="exact"/>
        <w:ind w:firstLine="480"/>
        <w:rPr>
          <w:sz w:val="24"/>
          <w:szCs w:val="24"/>
        </w:rPr>
      </w:pPr>
      <w:r>
        <w:rPr>
          <w:sz w:val="24"/>
          <w:szCs w:val="24"/>
        </w:rPr>
        <w:t xml:space="preserve">供方： </w:t>
      </w:r>
    </w:p>
    <w:p w14:paraId="17E58643">
      <w:pPr>
        <w:tabs>
          <w:tab w:val="left" w:pos="0"/>
          <w:tab w:val="left" w:pos="315"/>
        </w:tabs>
        <w:spacing w:line="520" w:lineRule="exact"/>
        <w:ind w:firstLine="480"/>
        <w:rPr>
          <w:sz w:val="24"/>
          <w:szCs w:val="24"/>
        </w:rPr>
      </w:pPr>
      <w:r>
        <w:rPr>
          <w:sz w:val="24"/>
          <w:szCs w:val="24"/>
        </w:rPr>
        <w:t>供、需双方根据   项目（项目编号：TGPC-201 - ）的政府采购结果和</w:t>
      </w:r>
      <w:r>
        <w:rPr>
          <w:rFonts w:hint="eastAsia"/>
          <w:sz w:val="24"/>
          <w:szCs w:val="24"/>
        </w:rPr>
        <w:t>招标</w:t>
      </w:r>
      <w:r>
        <w:rPr>
          <w:sz w:val="24"/>
          <w:szCs w:val="24"/>
        </w:rPr>
        <w:t>文件的要求，并经双方协商一致，达成  合同：</w:t>
      </w:r>
    </w:p>
    <w:p w14:paraId="3F4ED241">
      <w:pPr>
        <w:pStyle w:val="34"/>
        <w:numPr>
          <w:ilvl w:val="0"/>
          <w:numId w:val="2"/>
        </w:numPr>
        <w:spacing w:line="480" w:lineRule="exact"/>
        <w:ind w:firstLineChars="0"/>
        <w:rPr>
          <w:sz w:val="24"/>
          <w:szCs w:val="24"/>
        </w:rPr>
      </w:pPr>
      <w:r>
        <w:rPr>
          <w:rFonts w:hint="eastAsia"/>
          <w:sz w:val="24"/>
          <w:szCs w:val="24"/>
        </w:rPr>
        <w:t>本合同为中小企业预留合同</w:t>
      </w:r>
    </w:p>
    <w:p w14:paraId="5DB7DF95">
      <w:pPr>
        <w:pStyle w:val="34"/>
        <w:numPr>
          <w:ilvl w:val="0"/>
          <w:numId w:val="2"/>
        </w:numPr>
        <w:spacing w:line="480" w:lineRule="exact"/>
        <w:ind w:firstLineChars="0"/>
        <w:rPr>
          <w:sz w:val="24"/>
          <w:szCs w:val="24"/>
        </w:rPr>
      </w:pPr>
      <w:r>
        <w:rPr>
          <w:rFonts w:hint="eastAsia"/>
          <w:sz w:val="24"/>
          <w:szCs w:val="24"/>
        </w:rPr>
        <w:t>本合同非中小企业预留合同</w:t>
      </w:r>
    </w:p>
    <w:p w14:paraId="2FA90920">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58526BD5">
      <w:pPr>
        <w:tabs>
          <w:tab w:val="left" w:pos="1133"/>
        </w:tabs>
        <w:spacing w:line="520" w:lineRule="exact"/>
        <w:ind w:firstLine="448" w:firstLineChars="200"/>
        <w:rPr>
          <w:sz w:val="24"/>
          <w:szCs w:val="24"/>
        </w:rPr>
      </w:pPr>
      <w:r>
        <w:rPr>
          <w:sz w:val="24"/>
          <w:szCs w:val="24"/>
        </w:rPr>
        <w:t>一、采购内容：  （详见附件）</w:t>
      </w:r>
    </w:p>
    <w:p w14:paraId="6004222A">
      <w:pPr>
        <w:tabs>
          <w:tab w:val="left" w:pos="1133"/>
        </w:tabs>
        <w:spacing w:line="520" w:lineRule="exact"/>
        <w:ind w:firstLine="448" w:firstLineChars="200"/>
        <w:rPr>
          <w:sz w:val="24"/>
          <w:szCs w:val="24"/>
        </w:rPr>
      </w:pPr>
      <w:r>
        <w:rPr>
          <w:sz w:val="24"/>
          <w:szCs w:val="24"/>
        </w:rPr>
        <w:t xml:space="preserve">    合同总价款：人民币  元</w:t>
      </w:r>
    </w:p>
    <w:p w14:paraId="570222CD">
      <w:pPr>
        <w:tabs>
          <w:tab w:val="left" w:pos="1133"/>
        </w:tabs>
        <w:spacing w:line="520" w:lineRule="exact"/>
        <w:ind w:firstLine="448" w:firstLineChars="200"/>
        <w:rPr>
          <w:sz w:val="24"/>
          <w:szCs w:val="24"/>
        </w:rPr>
      </w:pPr>
      <w:r>
        <w:rPr>
          <w:sz w:val="24"/>
          <w:szCs w:val="24"/>
        </w:rPr>
        <w:t xml:space="preserve">    大写：人民币  元整</w:t>
      </w:r>
    </w:p>
    <w:p w14:paraId="4C77DA52">
      <w:pPr>
        <w:tabs>
          <w:tab w:val="left" w:pos="360"/>
        </w:tabs>
        <w:spacing w:line="520" w:lineRule="exact"/>
        <w:ind w:firstLine="448" w:firstLineChars="200"/>
        <w:rPr>
          <w:sz w:val="24"/>
          <w:szCs w:val="24"/>
        </w:rPr>
      </w:pPr>
      <w:r>
        <w:rPr>
          <w:sz w:val="24"/>
          <w:szCs w:val="24"/>
        </w:rPr>
        <w:t>二、质量要求及对质量负责条件和期限：见附件。</w:t>
      </w:r>
    </w:p>
    <w:p w14:paraId="2C00A7BF">
      <w:pPr>
        <w:tabs>
          <w:tab w:val="left" w:pos="360"/>
        </w:tabs>
        <w:spacing w:line="520" w:lineRule="exact"/>
        <w:ind w:firstLine="448" w:firstLineChars="200"/>
        <w:rPr>
          <w:sz w:val="24"/>
          <w:szCs w:val="24"/>
        </w:rPr>
      </w:pPr>
      <w:r>
        <w:rPr>
          <w:sz w:val="24"/>
          <w:szCs w:val="24"/>
        </w:rPr>
        <w:t>三、供方所提供的服务必须具有合法手续及相关文件。如涉及知识产权则必须是自己拥有或合法使用的。</w:t>
      </w:r>
    </w:p>
    <w:p w14:paraId="4C91A2C1">
      <w:pPr>
        <w:tabs>
          <w:tab w:val="left" w:pos="360"/>
        </w:tabs>
        <w:spacing w:line="520" w:lineRule="exact"/>
        <w:ind w:firstLine="448" w:firstLineChars="200"/>
        <w:rPr>
          <w:sz w:val="24"/>
          <w:szCs w:val="24"/>
        </w:rPr>
      </w:pPr>
      <w:r>
        <w:rPr>
          <w:sz w:val="24"/>
          <w:szCs w:val="24"/>
        </w:rPr>
        <w:t>四、</w:t>
      </w:r>
      <w:r>
        <w:rPr>
          <w:rFonts w:hint="eastAsia"/>
          <w:sz w:val="24"/>
          <w:szCs w:val="24"/>
        </w:rPr>
        <w:t>服务</w:t>
      </w:r>
      <w:r>
        <w:rPr>
          <w:sz w:val="24"/>
          <w:szCs w:val="24"/>
        </w:rPr>
        <w:t>时间、地点、方式：见附件。</w:t>
      </w:r>
    </w:p>
    <w:p w14:paraId="486701ED">
      <w:pPr>
        <w:tabs>
          <w:tab w:val="left" w:pos="360"/>
        </w:tabs>
        <w:spacing w:line="520" w:lineRule="exact"/>
        <w:ind w:firstLine="448" w:firstLineChars="200"/>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14:paraId="7EC8F91A">
      <w:pPr>
        <w:tabs>
          <w:tab w:val="left" w:pos="360"/>
          <w:tab w:val="left" w:pos="721"/>
        </w:tabs>
        <w:spacing w:line="520" w:lineRule="exact"/>
        <w:rPr>
          <w:sz w:val="24"/>
          <w:szCs w:val="24"/>
        </w:rPr>
      </w:pPr>
      <w:r>
        <w:rPr>
          <w:sz w:val="24"/>
          <w:szCs w:val="24"/>
        </w:rPr>
        <w:t xml:space="preserve">    六、验收工作由需方负责对合同进行验收。</w:t>
      </w:r>
    </w:p>
    <w:p w14:paraId="531DC856">
      <w:pPr>
        <w:tabs>
          <w:tab w:val="left" w:pos="360"/>
        </w:tabs>
        <w:spacing w:line="520" w:lineRule="exact"/>
        <w:rPr>
          <w:sz w:val="24"/>
          <w:szCs w:val="24"/>
        </w:rPr>
      </w:pPr>
      <w:r>
        <w:rPr>
          <w:sz w:val="24"/>
          <w:szCs w:val="24"/>
        </w:rPr>
        <w:t xml:space="preserve">    七、货款支付方式：见附件。</w:t>
      </w:r>
    </w:p>
    <w:p w14:paraId="749586B0">
      <w:pPr>
        <w:tabs>
          <w:tab w:val="left" w:pos="0"/>
          <w:tab w:val="left" w:pos="721"/>
        </w:tabs>
        <w:spacing w:line="520" w:lineRule="exact"/>
        <w:ind w:firstLine="448" w:firstLineChars="200"/>
        <w:rPr>
          <w:sz w:val="24"/>
          <w:szCs w:val="24"/>
        </w:rPr>
      </w:pPr>
      <w:r>
        <w:rPr>
          <w:sz w:val="24"/>
          <w:szCs w:val="24"/>
        </w:rPr>
        <w:t>供方开户银行（汉字全称）：</w:t>
      </w:r>
      <w:r>
        <w:rPr>
          <w:sz w:val="24"/>
          <w:szCs w:val="24"/>
          <w:u w:val="single"/>
        </w:rPr>
        <w:t xml:space="preserve">                                        </w:t>
      </w:r>
      <w:r>
        <w:rPr>
          <w:sz w:val="24"/>
          <w:szCs w:val="24"/>
        </w:rPr>
        <w:t>，</w:t>
      </w:r>
    </w:p>
    <w:p w14:paraId="377DDC77">
      <w:pPr>
        <w:tabs>
          <w:tab w:val="left" w:pos="0"/>
          <w:tab w:val="left" w:pos="721"/>
        </w:tabs>
        <w:spacing w:line="520" w:lineRule="exact"/>
        <w:ind w:firstLine="479" w:firstLineChars="214"/>
        <w:rPr>
          <w:sz w:val="24"/>
          <w:szCs w:val="24"/>
        </w:rPr>
      </w:pPr>
      <w:r>
        <w:rPr>
          <w:sz w:val="24"/>
          <w:szCs w:val="24"/>
        </w:rPr>
        <w:t>行号（数字代码）：</w:t>
      </w:r>
      <w:r>
        <w:rPr>
          <w:sz w:val="24"/>
          <w:szCs w:val="24"/>
          <w:u w:val="single"/>
        </w:rPr>
        <w:t xml:space="preserve">                                                </w:t>
      </w:r>
      <w:r>
        <w:rPr>
          <w:sz w:val="24"/>
          <w:szCs w:val="24"/>
        </w:rPr>
        <w:t>，</w:t>
      </w:r>
    </w:p>
    <w:p w14:paraId="78AACF03">
      <w:pPr>
        <w:tabs>
          <w:tab w:val="left" w:pos="0"/>
          <w:tab w:val="left" w:pos="721"/>
        </w:tabs>
        <w:spacing w:line="520" w:lineRule="exact"/>
        <w:ind w:firstLine="479" w:firstLineChars="214"/>
        <w:rPr>
          <w:sz w:val="24"/>
          <w:szCs w:val="24"/>
        </w:rPr>
      </w:pPr>
      <w:r>
        <w:rPr>
          <w:rFonts w:hint="eastAsia"/>
          <w:sz w:val="24"/>
          <w:szCs w:val="24"/>
        </w:rPr>
        <w:t xml:space="preserve">账 </w:t>
      </w:r>
      <w:r>
        <w:rPr>
          <w:sz w:val="24"/>
          <w:szCs w:val="24"/>
        </w:rPr>
        <w:t xml:space="preserve">       号：</w:t>
      </w:r>
      <w:r>
        <w:rPr>
          <w:sz w:val="24"/>
          <w:szCs w:val="24"/>
          <w:u w:val="single"/>
        </w:rPr>
        <w:t xml:space="preserve">                                                   </w:t>
      </w:r>
      <w:r>
        <w:rPr>
          <w:szCs w:val="24"/>
        </w:rPr>
        <w:t>。</w:t>
      </w:r>
    </w:p>
    <w:p w14:paraId="26E0BC8C">
      <w:pPr>
        <w:pStyle w:val="12"/>
        <w:spacing w:line="520" w:lineRule="exact"/>
        <w:ind w:left="-97" w:leftChars="-50" w:firstLine="448" w:firstLineChars="200"/>
        <w:rPr>
          <w:sz w:val="24"/>
          <w:szCs w:val="24"/>
        </w:rPr>
      </w:pPr>
      <w:r>
        <w:rPr>
          <w:rFonts w:hint="eastAsia"/>
          <w:sz w:val="24"/>
          <w:szCs w:val="24"/>
        </w:rPr>
        <w:t>八</w:t>
      </w:r>
      <w:r>
        <w:rPr>
          <w:sz w:val="24"/>
          <w:szCs w:val="24"/>
        </w:rPr>
        <w:t>、有关涉及本合同供方向天津市政府采购中心所提交的投标文件及有关澄清资料和服务承诺均视为本合同不可分割的部分，对供方具有约束力。</w:t>
      </w:r>
    </w:p>
    <w:p w14:paraId="4E16CB7C">
      <w:pPr>
        <w:tabs>
          <w:tab w:val="left" w:pos="0"/>
          <w:tab w:val="left" w:pos="315"/>
        </w:tabs>
        <w:spacing w:line="520" w:lineRule="exact"/>
        <w:ind w:firstLine="448" w:firstLineChars="200"/>
        <w:rPr>
          <w:sz w:val="24"/>
          <w:szCs w:val="24"/>
        </w:rPr>
      </w:pPr>
      <w:r>
        <w:rPr>
          <w:rFonts w:hint="eastAsia"/>
          <w:sz w:val="24"/>
          <w:szCs w:val="24"/>
        </w:rPr>
        <w:t>九</w:t>
      </w:r>
      <w:r>
        <w:rPr>
          <w:sz w:val="24"/>
          <w:szCs w:val="24"/>
        </w:rPr>
        <w:t>、本合同一式   份，需方留存   份，供方留存   份，均具同等效力，签字盖章后生效。</w:t>
      </w:r>
    </w:p>
    <w:tbl>
      <w:tblPr>
        <w:tblStyle w:val="22"/>
        <w:tblW w:w="0" w:type="auto"/>
        <w:tblInd w:w="0" w:type="dxa"/>
        <w:tblLayout w:type="autofit"/>
        <w:tblCellMar>
          <w:top w:w="0" w:type="dxa"/>
          <w:left w:w="108" w:type="dxa"/>
          <w:bottom w:w="0" w:type="dxa"/>
          <w:right w:w="108" w:type="dxa"/>
        </w:tblCellMar>
      </w:tblPr>
      <w:tblGrid>
        <w:gridCol w:w="4261"/>
        <w:gridCol w:w="4261"/>
      </w:tblGrid>
      <w:tr w14:paraId="0ABBF0AD">
        <w:tblPrEx>
          <w:tblCellMar>
            <w:top w:w="0" w:type="dxa"/>
            <w:left w:w="108" w:type="dxa"/>
            <w:bottom w:w="0" w:type="dxa"/>
            <w:right w:w="108" w:type="dxa"/>
          </w:tblCellMar>
        </w:tblPrEx>
        <w:tc>
          <w:tcPr>
            <w:tcW w:w="4261" w:type="dxa"/>
          </w:tcPr>
          <w:p w14:paraId="443EEE83">
            <w:pPr>
              <w:tabs>
                <w:tab w:val="left" w:pos="0"/>
                <w:tab w:val="left" w:pos="315"/>
              </w:tabs>
              <w:spacing w:line="520" w:lineRule="exact"/>
              <w:rPr>
                <w:sz w:val="24"/>
                <w:szCs w:val="24"/>
              </w:rPr>
            </w:pPr>
            <w:r>
              <w:rPr>
                <w:sz w:val="24"/>
                <w:szCs w:val="24"/>
              </w:rPr>
              <w:t xml:space="preserve">供方（公章）： </w:t>
            </w:r>
          </w:p>
        </w:tc>
        <w:tc>
          <w:tcPr>
            <w:tcW w:w="4261" w:type="dxa"/>
          </w:tcPr>
          <w:p w14:paraId="6F7F3FD9">
            <w:pPr>
              <w:tabs>
                <w:tab w:val="left" w:pos="0"/>
                <w:tab w:val="left" w:pos="315"/>
              </w:tabs>
              <w:spacing w:line="520" w:lineRule="exact"/>
              <w:rPr>
                <w:sz w:val="24"/>
                <w:szCs w:val="24"/>
              </w:rPr>
            </w:pPr>
            <w:r>
              <w:rPr>
                <w:sz w:val="24"/>
                <w:szCs w:val="24"/>
              </w:rPr>
              <w:t xml:space="preserve">需方（公章）： </w:t>
            </w:r>
          </w:p>
        </w:tc>
      </w:tr>
      <w:tr w14:paraId="18681049">
        <w:tblPrEx>
          <w:tblCellMar>
            <w:top w:w="0" w:type="dxa"/>
            <w:left w:w="108" w:type="dxa"/>
            <w:bottom w:w="0" w:type="dxa"/>
            <w:right w:w="108" w:type="dxa"/>
          </w:tblCellMar>
        </w:tblPrEx>
        <w:tc>
          <w:tcPr>
            <w:tcW w:w="4261" w:type="dxa"/>
          </w:tcPr>
          <w:p w14:paraId="49E0D516">
            <w:pPr>
              <w:tabs>
                <w:tab w:val="left" w:pos="0"/>
                <w:tab w:val="left" w:pos="315"/>
              </w:tabs>
              <w:spacing w:line="520" w:lineRule="exact"/>
              <w:rPr>
                <w:sz w:val="24"/>
                <w:szCs w:val="24"/>
              </w:rPr>
            </w:pPr>
            <w:r>
              <w:rPr>
                <w:sz w:val="24"/>
                <w:szCs w:val="24"/>
              </w:rPr>
              <w:t xml:space="preserve">地址：  </w:t>
            </w:r>
          </w:p>
        </w:tc>
        <w:tc>
          <w:tcPr>
            <w:tcW w:w="4261" w:type="dxa"/>
          </w:tcPr>
          <w:p w14:paraId="055C6994">
            <w:pPr>
              <w:tabs>
                <w:tab w:val="left" w:pos="0"/>
                <w:tab w:val="left" w:pos="315"/>
              </w:tabs>
              <w:spacing w:line="520" w:lineRule="exact"/>
              <w:rPr>
                <w:sz w:val="24"/>
                <w:szCs w:val="24"/>
              </w:rPr>
            </w:pPr>
            <w:r>
              <w:rPr>
                <w:sz w:val="24"/>
                <w:szCs w:val="24"/>
              </w:rPr>
              <w:t xml:space="preserve">地址： </w:t>
            </w:r>
          </w:p>
        </w:tc>
      </w:tr>
      <w:tr w14:paraId="0A6DB448">
        <w:tblPrEx>
          <w:tblCellMar>
            <w:top w:w="0" w:type="dxa"/>
            <w:left w:w="108" w:type="dxa"/>
            <w:bottom w:w="0" w:type="dxa"/>
            <w:right w:w="108" w:type="dxa"/>
          </w:tblCellMar>
        </w:tblPrEx>
        <w:tc>
          <w:tcPr>
            <w:tcW w:w="4261" w:type="dxa"/>
          </w:tcPr>
          <w:p w14:paraId="6B617496">
            <w:pPr>
              <w:tabs>
                <w:tab w:val="left" w:pos="360"/>
              </w:tabs>
              <w:spacing w:line="520" w:lineRule="exact"/>
              <w:rPr>
                <w:sz w:val="24"/>
                <w:szCs w:val="24"/>
              </w:rPr>
            </w:pPr>
            <w:r>
              <w:rPr>
                <w:sz w:val="24"/>
                <w:szCs w:val="24"/>
              </w:rPr>
              <w:t xml:space="preserve">法定代表人： </w:t>
            </w:r>
          </w:p>
        </w:tc>
        <w:tc>
          <w:tcPr>
            <w:tcW w:w="4261" w:type="dxa"/>
          </w:tcPr>
          <w:p w14:paraId="44132FA7">
            <w:pPr>
              <w:tabs>
                <w:tab w:val="left" w:pos="360"/>
              </w:tabs>
              <w:spacing w:line="520" w:lineRule="exact"/>
              <w:rPr>
                <w:sz w:val="24"/>
                <w:szCs w:val="24"/>
              </w:rPr>
            </w:pPr>
            <w:r>
              <w:rPr>
                <w:sz w:val="24"/>
                <w:szCs w:val="24"/>
              </w:rPr>
              <w:t xml:space="preserve">法定代表人： </w:t>
            </w:r>
          </w:p>
        </w:tc>
      </w:tr>
      <w:tr w14:paraId="005349EE">
        <w:tblPrEx>
          <w:tblCellMar>
            <w:top w:w="0" w:type="dxa"/>
            <w:left w:w="108" w:type="dxa"/>
            <w:bottom w:w="0" w:type="dxa"/>
            <w:right w:w="108" w:type="dxa"/>
          </w:tblCellMar>
        </w:tblPrEx>
        <w:tc>
          <w:tcPr>
            <w:tcW w:w="4261" w:type="dxa"/>
          </w:tcPr>
          <w:p w14:paraId="1E585EC1">
            <w:pPr>
              <w:tabs>
                <w:tab w:val="left" w:pos="360"/>
              </w:tabs>
              <w:spacing w:line="520" w:lineRule="exact"/>
              <w:rPr>
                <w:sz w:val="24"/>
                <w:szCs w:val="24"/>
              </w:rPr>
            </w:pPr>
            <w:r>
              <w:rPr>
                <w:sz w:val="24"/>
                <w:szCs w:val="24"/>
              </w:rPr>
              <w:t xml:space="preserve">委托代理人： </w:t>
            </w:r>
          </w:p>
        </w:tc>
        <w:tc>
          <w:tcPr>
            <w:tcW w:w="4261" w:type="dxa"/>
          </w:tcPr>
          <w:p w14:paraId="6ACD09F5">
            <w:pPr>
              <w:tabs>
                <w:tab w:val="left" w:pos="360"/>
              </w:tabs>
              <w:spacing w:line="520" w:lineRule="exact"/>
              <w:rPr>
                <w:sz w:val="24"/>
                <w:szCs w:val="24"/>
              </w:rPr>
            </w:pPr>
            <w:r>
              <w:rPr>
                <w:sz w:val="24"/>
                <w:szCs w:val="24"/>
              </w:rPr>
              <w:t xml:space="preserve">委托代理人： </w:t>
            </w:r>
          </w:p>
        </w:tc>
      </w:tr>
      <w:tr w14:paraId="308CD7EB">
        <w:tblPrEx>
          <w:tblCellMar>
            <w:top w:w="0" w:type="dxa"/>
            <w:left w:w="108" w:type="dxa"/>
            <w:bottom w:w="0" w:type="dxa"/>
            <w:right w:w="108" w:type="dxa"/>
          </w:tblCellMar>
        </w:tblPrEx>
        <w:tc>
          <w:tcPr>
            <w:tcW w:w="4261" w:type="dxa"/>
          </w:tcPr>
          <w:p w14:paraId="27315617">
            <w:pPr>
              <w:tabs>
                <w:tab w:val="left" w:pos="360"/>
              </w:tabs>
              <w:spacing w:line="520" w:lineRule="exact"/>
              <w:rPr>
                <w:sz w:val="24"/>
                <w:szCs w:val="24"/>
              </w:rPr>
            </w:pPr>
            <w:r>
              <w:rPr>
                <w:sz w:val="24"/>
                <w:szCs w:val="24"/>
              </w:rPr>
              <w:t>电话：</w:t>
            </w:r>
          </w:p>
        </w:tc>
        <w:tc>
          <w:tcPr>
            <w:tcW w:w="4261" w:type="dxa"/>
          </w:tcPr>
          <w:p w14:paraId="25DBB62F">
            <w:pPr>
              <w:tabs>
                <w:tab w:val="left" w:pos="360"/>
              </w:tabs>
              <w:spacing w:line="520" w:lineRule="exact"/>
              <w:rPr>
                <w:sz w:val="24"/>
                <w:szCs w:val="24"/>
              </w:rPr>
            </w:pPr>
            <w:r>
              <w:rPr>
                <w:sz w:val="24"/>
                <w:szCs w:val="24"/>
              </w:rPr>
              <w:t>电话：</w:t>
            </w:r>
          </w:p>
        </w:tc>
      </w:tr>
    </w:tbl>
    <w:p w14:paraId="53C07B2B">
      <w:pPr>
        <w:rPr>
          <w:sz w:val="24"/>
          <w:szCs w:val="24"/>
        </w:rPr>
      </w:pPr>
    </w:p>
    <w:p w14:paraId="72BAA78F">
      <w:pPr>
        <w:rPr>
          <w:szCs w:val="24"/>
        </w:rPr>
      </w:pPr>
      <w:r>
        <w:rPr>
          <w:sz w:val="24"/>
          <w:szCs w:val="24"/>
        </w:rPr>
        <w:t>时间：20</w:t>
      </w:r>
      <w:r>
        <w:rPr>
          <w:rFonts w:hint="eastAsia"/>
          <w:sz w:val="24"/>
          <w:szCs w:val="24"/>
        </w:rPr>
        <w:t xml:space="preserve">  </w:t>
      </w:r>
      <w:r>
        <w:rPr>
          <w:sz w:val="24"/>
          <w:szCs w:val="24"/>
        </w:rPr>
        <w:t>年  月  日</w:t>
      </w:r>
    </w:p>
    <w:p w14:paraId="6CD82C82">
      <w:pPr>
        <w:jc w:val="center"/>
        <w:rPr>
          <w:b/>
          <w:sz w:val="30"/>
          <w:szCs w:val="30"/>
        </w:rPr>
      </w:pPr>
      <w:r>
        <w:rPr>
          <w:b/>
          <w:sz w:val="30"/>
          <w:szCs w:val="30"/>
        </w:rPr>
        <w:br w:type="page"/>
      </w:r>
      <w:r>
        <w:rPr>
          <w:b/>
          <w:sz w:val="30"/>
          <w:szCs w:val="30"/>
        </w:rPr>
        <w:t>合同特殊条款</w:t>
      </w:r>
    </w:p>
    <w:p w14:paraId="5D1C8DCE">
      <w:pPr>
        <w:tabs>
          <w:tab w:val="left" w:pos="360"/>
        </w:tabs>
        <w:spacing w:line="520" w:lineRule="exact"/>
        <w:ind w:firstLine="383" w:firstLineChars="171"/>
        <w:rPr>
          <w:color w:val="000000"/>
          <w:sz w:val="24"/>
          <w:szCs w:val="24"/>
        </w:rPr>
      </w:pPr>
    </w:p>
    <w:p w14:paraId="532F9C62">
      <w:pPr>
        <w:tabs>
          <w:tab w:val="left" w:pos="360"/>
        </w:tabs>
        <w:spacing w:line="520" w:lineRule="exact"/>
        <w:ind w:firstLine="383"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6FED50D7">
      <w:pPr>
        <w:tabs>
          <w:tab w:val="left" w:pos="360"/>
        </w:tabs>
        <w:spacing w:line="520" w:lineRule="exact"/>
        <w:ind w:firstLine="383" w:firstLineChars="171"/>
        <w:rPr>
          <w:color w:val="000000"/>
          <w:sz w:val="24"/>
          <w:szCs w:val="24"/>
        </w:rPr>
      </w:pPr>
      <w:r>
        <w:rPr>
          <w:color w:val="000000"/>
          <w:sz w:val="24"/>
          <w:szCs w:val="24"/>
        </w:rPr>
        <w:t xml:space="preserve"> 合同特殊条款由</w:t>
      </w:r>
      <w:r>
        <w:rPr>
          <w:rFonts w:hint="eastAsia"/>
          <w:color w:val="000000"/>
          <w:sz w:val="24"/>
          <w:szCs w:val="24"/>
        </w:rPr>
        <w:t>供方</w:t>
      </w:r>
      <w:r>
        <w:rPr>
          <w:color w:val="000000"/>
          <w:sz w:val="24"/>
          <w:szCs w:val="24"/>
        </w:rPr>
        <w:t>和需方根据项目的具体情况协商拟订。</w:t>
      </w:r>
    </w:p>
    <w:p w14:paraId="4EEFA455">
      <w:pPr>
        <w:autoSpaceDE w:val="0"/>
        <w:autoSpaceDN w:val="0"/>
        <w:adjustRightInd w:val="0"/>
        <w:spacing w:line="360" w:lineRule="auto"/>
        <w:ind w:firstLine="448" w:firstLineChars="200"/>
        <w:rPr>
          <w:sz w:val="24"/>
        </w:rPr>
      </w:pPr>
    </w:p>
    <w:p w14:paraId="74E2D768">
      <w:pPr>
        <w:widowControl/>
        <w:jc w:val="left"/>
        <w:rPr>
          <w:sz w:val="24"/>
        </w:rPr>
      </w:pPr>
      <w:r>
        <w:rPr>
          <w:sz w:val="24"/>
        </w:rPr>
        <w:br w:type="page"/>
      </w:r>
    </w:p>
    <w:p w14:paraId="7AC2F5B4">
      <w:pPr>
        <w:pStyle w:val="16"/>
        <w:rPr>
          <w:rFonts w:ascii="Times New Roman" w:hAnsi="Times New Roman"/>
        </w:rPr>
      </w:pPr>
      <w:r>
        <w:rPr>
          <w:rFonts w:ascii="Times New Roman" w:hAnsi="Times New Roman"/>
        </w:rPr>
        <w:t>第五部分  投标文件格式</w:t>
      </w:r>
    </w:p>
    <w:p w14:paraId="13F5CA7D">
      <w:pPr>
        <w:autoSpaceDN w:val="0"/>
        <w:spacing w:line="360" w:lineRule="auto"/>
        <w:jc w:val="center"/>
        <w:rPr>
          <w:b/>
          <w:bCs/>
          <w:sz w:val="24"/>
        </w:rPr>
      </w:pPr>
      <w:r>
        <w:rPr>
          <w:b/>
          <w:bCs/>
          <w:sz w:val="24"/>
        </w:rPr>
        <w:t>投标文件封面格式</w:t>
      </w:r>
    </w:p>
    <w:p w14:paraId="6EC9CBDD">
      <w:pPr>
        <w:autoSpaceDE w:val="0"/>
        <w:autoSpaceDN w:val="0"/>
        <w:adjustRightInd w:val="0"/>
        <w:spacing w:line="520" w:lineRule="exact"/>
      </w:pPr>
    </w:p>
    <w:p w14:paraId="7F119AB0">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3F85BCDC">
      <w:pPr>
        <w:autoSpaceDE w:val="0"/>
        <w:autoSpaceDN w:val="0"/>
        <w:adjustRightInd w:val="0"/>
        <w:spacing w:line="520" w:lineRule="exact"/>
        <w:rPr>
          <w:b/>
          <w:kern w:val="0"/>
          <w:sz w:val="24"/>
        </w:rPr>
      </w:pPr>
    </w:p>
    <w:p w14:paraId="5FFF46FD">
      <w:pPr>
        <w:autoSpaceDE w:val="0"/>
        <w:autoSpaceDN w:val="0"/>
        <w:adjustRightInd w:val="0"/>
        <w:spacing w:line="520" w:lineRule="exact"/>
        <w:rPr>
          <w:b/>
          <w:kern w:val="0"/>
          <w:sz w:val="24"/>
        </w:rPr>
      </w:pPr>
    </w:p>
    <w:p w14:paraId="7D361069">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2EBEBE5C">
      <w:pPr>
        <w:autoSpaceDE w:val="0"/>
        <w:autoSpaceDN w:val="0"/>
        <w:adjustRightInd w:val="0"/>
        <w:spacing w:line="520" w:lineRule="exact"/>
        <w:rPr>
          <w:b/>
          <w:kern w:val="0"/>
          <w:sz w:val="36"/>
          <w:szCs w:val="36"/>
        </w:rPr>
      </w:pPr>
    </w:p>
    <w:p w14:paraId="686B6C6A">
      <w:pPr>
        <w:autoSpaceDE w:val="0"/>
        <w:autoSpaceDN w:val="0"/>
        <w:adjustRightInd w:val="0"/>
        <w:spacing w:line="520" w:lineRule="exact"/>
        <w:jc w:val="center"/>
        <w:rPr>
          <w:b/>
          <w:color w:val="FF0000"/>
          <w:kern w:val="0"/>
          <w:sz w:val="24"/>
        </w:rPr>
      </w:pPr>
      <w:r>
        <w:rPr>
          <w:b/>
          <w:color w:val="FF0000"/>
          <w:kern w:val="0"/>
          <w:sz w:val="24"/>
        </w:rPr>
        <w:t>（加盖电子签章）</w:t>
      </w:r>
    </w:p>
    <w:p w14:paraId="2E1998C5">
      <w:pPr>
        <w:spacing w:before="85" w:beforeLines="30" w:after="199" w:afterLines="70" w:line="540" w:lineRule="exact"/>
        <w:ind w:left="582" w:leftChars="300"/>
        <w:rPr>
          <w:b/>
          <w:sz w:val="34"/>
          <w:szCs w:val="34"/>
        </w:rPr>
      </w:pPr>
      <w:r>
        <w:rPr>
          <w:b/>
          <w:sz w:val="34"/>
          <w:szCs w:val="34"/>
        </w:rPr>
        <w:t>项目编号：</w:t>
      </w:r>
    </w:p>
    <w:p w14:paraId="720A1CC4">
      <w:pPr>
        <w:spacing w:before="85" w:beforeLines="30" w:after="199" w:afterLines="70" w:line="540" w:lineRule="exact"/>
        <w:ind w:left="2027" w:leftChars="300" w:hanging="1445" w:hangingChars="446"/>
        <w:rPr>
          <w:b/>
          <w:sz w:val="34"/>
          <w:szCs w:val="34"/>
        </w:rPr>
      </w:pPr>
      <w:r>
        <w:rPr>
          <w:b/>
          <w:sz w:val="34"/>
          <w:szCs w:val="34"/>
        </w:rPr>
        <w:t>项目名称：</w:t>
      </w:r>
    </w:p>
    <w:p w14:paraId="390DE79D">
      <w:pPr>
        <w:spacing w:before="85" w:beforeLines="30" w:after="199" w:afterLines="70" w:line="540" w:lineRule="exact"/>
        <w:ind w:left="2027" w:leftChars="300" w:hanging="1445" w:hangingChars="446"/>
        <w:rPr>
          <w:b/>
          <w:sz w:val="34"/>
          <w:szCs w:val="34"/>
        </w:rPr>
      </w:pPr>
      <w:r>
        <w:rPr>
          <w:b/>
          <w:sz w:val="34"/>
          <w:szCs w:val="34"/>
        </w:rPr>
        <w:t>所投包号：</w:t>
      </w:r>
    </w:p>
    <w:p w14:paraId="2A7AFB5E">
      <w:pPr>
        <w:spacing w:before="85" w:beforeLines="30" w:after="199" w:afterLines="70" w:line="540" w:lineRule="exact"/>
        <w:ind w:left="582" w:leftChars="300"/>
        <w:rPr>
          <w:b/>
          <w:sz w:val="34"/>
          <w:szCs w:val="34"/>
        </w:rPr>
      </w:pPr>
      <w:r>
        <w:rPr>
          <w:b/>
          <w:sz w:val="34"/>
          <w:szCs w:val="34"/>
        </w:rPr>
        <w:t>投标单位名称：</w:t>
      </w:r>
    </w:p>
    <w:p w14:paraId="55731B4D">
      <w:pPr>
        <w:spacing w:before="85" w:beforeLines="30" w:after="199" w:afterLines="70" w:line="540" w:lineRule="exact"/>
        <w:ind w:left="582" w:leftChars="300"/>
        <w:rPr>
          <w:b/>
          <w:sz w:val="34"/>
          <w:szCs w:val="34"/>
        </w:rPr>
      </w:pPr>
      <w:r>
        <w:rPr>
          <w:rFonts w:hint="eastAsia"/>
          <w:b/>
          <w:sz w:val="34"/>
          <w:szCs w:val="34"/>
        </w:rPr>
        <w:t>投标代表人姓名：</w:t>
      </w:r>
    </w:p>
    <w:p w14:paraId="778D786D">
      <w:pPr>
        <w:spacing w:before="85" w:beforeLines="30" w:after="199" w:afterLines="70" w:line="540" w:lineRule="exact"/>
        <w:ind w:left="582" w:leftChars="300"/>
        <w:rPr>
          <w:b/>
          <w:sz w:val="34"/>
          <w:szCs w:val="34"/>
        </w:rPr>
      </w:pPr>
    </w:p>
    <w:p w14:paraId="7A800321">
      <w:pPr>
        <w:spacing w:before="85" w:beforeLines="30" w:after="199" w:afterLines="70" w:line="540" w:lineRule="exact"/>
        <w:ind w:left="582" w:leftChars="300"/>
        <w:rPr>
          <w:b/>
          <w:sz w:val="34"/>
          <w:szCs w:val="34"/>
        </w:rPr>
      </w:pPr>
    </w:p>
    <w:p w14:paraId="431C066F">
      <w:pPr>
        <w:spacing w:before="85" w:beforeLines="30" w:after="199" w:afterLines="70" w:line="540" w:lineRule="exact"/>
        <w:ind w:left="582" w:leftChars="300"/>
        <w:rPr>
          <w:b/>
          <w:sz w:val="34"/>
          <w:szCs w:val="34"/>
        </w:rPr>
      </w:pPr>
    </w:p>
    <w:p w14:paraId="710521EC">
      <w:pPr>
        <w:spacing w:before="85" w:beforeLines="30" w:after="199" w:afterLines="70" w:line="540" w:lineRule="exact"/>
        <w:ind w:left="582" w:leftChars="300"/>
        <w:rPr>
          <w:b/>
          <w:bCs/>
          <w:sz w:val="24"/>
        </w:rPr>
      </w:pPr>
      <w:r>
        <w:rPr>
          <w:b/>
          <w:sz w:val="34"/>
          <w:szCs w:val="34"/>
        </w:rPr>
        <w:t>投标日期：   年   月   日</w:t>
      </w:r>
    </w:p>
    <w:p w14:paraId="4E5A9758">
      <w:pPr>
        <w:widowControl/>
        <w:jc w:val="left"/>
        <w:rPr>
          <w:b/>
          <w:bCs/>
          <w:sz w:val="24"/>
        </w:rPr>
      </w:pPr>
      <w:r>
        <w:rPr>
          <w:b/>
          <w:bCs/>
          <w:sz w:val="24"/>
        </w:rPr>
        <w:br w:type="page"/>
      </w:r>
    </w:p>
    <w:p w14:paraId="5AEFA23C">
      <w:pPr>
        <w:autoSpaceDN w:val="0"/>
        <w:spacing w:line="360" w:lineRule="auto"/>
        <w:jc w:val="center"/>
        <w:rPr>
          <w:b/>
          <w:bCs/>
          <w:sz w:val="24"/>
        </w:rPr>
      </w:pPr>
      <w:r>
        <w:rPr>
          <w:b/>
          <w:bCs/>
          <w:sz w:val="24"/>
        </w:rPr>
        <w:t>投标文件总目录</w:t>
      </w:r>
    </w:p>
    <w:p w14:paraId="03E4F287">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2743FE2E">
      <w:pPr>
        <w:widowControl/>
        <w:jc w:val="center"/>
        <w:rPr>
          <w:b/>
          <w:sz w:val="24"/>
        </w:rPr>
      </w:pPr>
    </w:p>
    <w:p w14:paraId="3659990E">
      <w:pPr>
        <w:widowControl/>
        <w:jc w:val="left"/>
        <w:rPr>
          <w:b/>
          <w:sz w:val="24"/>
        </w:rPr>
      </w:pPr>
      <w:r>
        <w:rPr>
          <w:b/>
          <w:sz w:val="24"/>
        </w:rPr>
        <w:br w:type="page"/>
      </w:r>
    </w:p>
    <w:p w14:paraId="2F8CFE2E">
      <w:pPr>
        <w:widowControl/>
        <w:jc w:val="center"/>
        <w:rPr>
          <w:b/>
          <w:sz w:val="24"/>
        </w:rPr>
      </w:pPr>
      <w:r>
        <w:rPr>
          <w:b/>
          <w:sz w:val="24"/>
        </w:rPr>
        <w:t>评分因素及评标标准页码检索</w:t>
      </w:r>
    </w:p>
    <w:p w14:paraId="4124C449">
      <w:pPr>
        <w:widowControl/>
        <w:jc w:val="center"/>
        <w:rPr>
          <w:b/>
          <w:sz w:val="24"/>
        </w:rPr>
      </w:pPr>
      <w:r>
        <w:rPr>
          <w:b/>
          <w:bCs/>
          <w:sz w:val="24"/>
        </w:rPr>
        <w:t>（需投标人按招标文件“评分因素及评标标准”中每个评分项逐项列明页码）</w:t>
      </w:r>
    </w:p>
    <w:p w14:paraId="5030A6C5">
      <w:pPr>
        <w:widowControl/>
        <w:jc w:val="left"/>
        <w:rPr>
          <w:sz w:val="24"/>
        </w:rPr>
      </w:pPr>
      <w:r>
        <w:rPr>
          <w:sz w:val="24"/>
        </w:rPr>
        <w:br w:type="page"/>
      </w:r>
    </w:p>
    <w:p w14:paraId="340D9136">
      <w:pPr>
        <w:tabs>
          <w:tab w:val="left" w:pos="360"/>
        </w:tabs>
        <w:spacing w:after="285" w:afterLines="100" w:line="360" w:lineRule="auto"/>
        <w:rPr>
          <w:b/>
          <w:sz w:val="24"/>
        </w:rPr>
      </w:pPr>
      <w:r>
        <w:rPr>
          <w:b/>
          <w:sz w:val="24"/>
        </w:rPr>
        <w:t>附件1</w:t>
      </w:r>
    </w:p>
    <w:p w14:paraId="5FE6888B">
      <w:pPr>
        <w:autoSpaceDN w:val="0"/>
        <w:spacing w:line="360" w:lineRule="auto"/>
        <w:jc w:val="center"/>
        <w:rPr>
          <w:b/>
          <w:bCs/>
          <w:sz w:val="24"/>
        </w:rPr>
      </w:pPr>
      <w:r>
        <w:rPr>
          <w:b/>
          <w:bCs/>
          <w:sz w:val="24"/>
        </w:rPr>
        <w:t>投标书</w:t>
      </w:r>
    </w:p>
    <w:p w14:paraId="04CCCBC9">
      <w:pPr>
        <w:spacing w:line="360" w:lineRule="auto"/>
        <w:rPr>
          <w:sz w:val="24"/>
        </w:rPr>
      </w:pPr>
      <w:r>
        <w:rPr>
          <w:sz w:val="24"/>
        </w:rPr>
        <w:t>致：天津市政府采购中心</w:t>
      </w:r>
    </w:p>
    <w:p w14:paraId="63E1B5E5">
      <w:pPr>
        <w:spacing w:line="360" w:lineRule="auto"/>
        <w:ind w:firstLine="448"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3C8F0F31">
      <w:pPr>
        <w:spacing w:line="360" w:lineRule="auto"/>
        <w:ind w:firstLine="448" w:firstLineChars="200"/>
        <w:rPr>
          <w:sz w:val="24"/>
        </w:rPr>
      </w:pPr>
      <w:r>
        <w:rPr>
          <w:sz w:val="24"/>
        </w:rPr>
        <w:t>据此函，签字代表宣布同意如下：</w:t>
      </w:r>
    </w:p>
    <w:p w14:paraId="19177DA9">
      <w:pPr>
        <w:spacing w:line="360" w:lineRule="auto"/>
        <w:ind w:firstLine="448" w:firstLineChars="200"/>
        <w:rPr>
          <w:sz w:val="24"/>
        </w:rPr>
      </w:pPr>
      <w:r>
        <w:rPr>
          <w:sz w:val="24"/>
        </w:rPr>
        <w:t>1. 我单位</w:t>
      </w:r>
      <w:r>
        <w:rPr>
          <w:rFonts w:hint="eastAsia"/>
          <w:sz w:val="24"/>
        </w:rPr>
        <w:t>针对本项目的人民币活期存款年利息率</w:t>
      </w:r>
      <w:r>
        <w:rPr>
          <w:sz w:val="24"/>
        </w:rPr>
        <w:t>为：</w:t>
      </w:r>
    </w:p>
    <w:p w14:paraId="544FABAE">
      <w:pPr>
        <w:spacing w:line="360" w:lineRule="auto"/>
        <w:ind w:firstLine="448" w:firstLineChars="200"/>
        <w:rPr>
          <w:sz w:val="24"/>
        </w:rPr>
      </w:pPr>
      <w:r>
        <w:rPr>
          <w:sz w:val="24"/>
          <w:u w:val="single"/>
        </w:rPr>
        <w:t xml:space="preserve">      </w:t>
      </w:r>
      <w:r>
        <w:rPr>
          <w:rFonts w:hint="eastAsia"/>
          <w:sz w:val="24"/>
        </w:rPr>
        <w:t>%</w:t>
      </w:r>
      <w:r>
        <w:rPr>
          <w:sz w:val="24"/>
        </w:rPr>
        <w:t>，大写百分之</w:t>
      </w:r>
      <w:r>
        <w:rPr>
          <w:sz w:val="24"/>
          <w:u w:val="single"/>
        </w:rPr>
        <w:t xml:space="preserve">                   </w:t>
      </w:r>
      <w:r>
        <w:rPr>
          <w:sz w:val="24"/>
        </w:rPr>
        <w:t>。</w:t>
      </w:r>
    </w:p>
    <w:p w14:paraId="7B4154E3">
      <w:pPr>
        <w:spacing w:line="360" w:lineRule="auto"/>
        <w:ind w:firstLine="448" w:firstLineChars="200"/>
        <w:rPr>
          <w:sz w:val="24"/>
        </w:rPr>
      </w:pPr>
      <w:r>
        <w:rPr>
          <w:sz w:val="24"/>
        </w:rPr>
        <w:t>2. 我公司将按招标文件的规定履行合同责任和义务。</w:t>
      </w:r>
    </w:p>
    <w:p w14:paraId="53D09483">
      <w:pPr>
        <w:spacing w:line="360" w:lineRule="auto"/>
        <w:ind w:firstLine="448"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63E0BBFF">
      <w:pPr>
        <w:spacing w:line="360" w:lineRule="auto"/>
        <w:ind w:firstLine="448" w:firstLineChars="200"/>
        <w:rPr>
          <w:sz w:val="24"/>
        </w:rPr>
      </w:pPr>
      <w:r>
        <w:rPr>
          <w:sz w:val="24"/>
        </w:rPr>
        <w:t>4. 我公司的投标有效期为开标之日起60天。</w:t>
      </w:r>
    </w:p>
    <w:p w14:paraId="148F92AF">
      <w:pPr>
        <w:spacing w:line="360" w:lineRule="auto"/>
        <w:ind w:firstLine="448"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56CABB25">
      <w:pPr>
        <w:spacing w:line="360" w:lineRule="auto"/>
        <w:ind w:firstLine="448"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2368CFC0">
      <w:pPr>
        <w:spacing w:line="360" w:lineRule="auto"/>
        <w:ind w:firstLine="448"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411A2862">
      <w:pPr>
        <w:spacing w:line="360" w:lineRule="auto"/>
        <w:ind w:firstLine="448" w:firstLineChars="200"/>
        <w:rPr>
          <w:sz w:val="24"/>
        </w:rPr>
      </w:pPr>
      <w:r>
        <w:rPr>
          <w:sz w:val="24"/>
        </w:rPr>
        <w:t>8. 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14:paraId="50A6372B">
      <w:pPr>
        <w:spacing w:line="360" w:lineRule="auto"/>
        <w:ind w:firstLine="448"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022AD8BF">
      <w:pPr>
        <w:spacing w:line="360" w:lineRule="auto"/>
        <w:ind w:firstLine="448" w:firstLineChars="200"/>
        <w:rPr>
          <w:sz w:val="24"/>
        </w:rPr>
      </w:pPr>
      <w:r>
        <w:rPr>
          <w:rFonts w:hint="eastAsia"/>
          <w:sz w:val="24"/>
        </w:rPr>
        <w:t>10</w:t>
      </w:r>
      <w:r>
        <w:rPr>
          <w:sz w:val="24"/>
        </w:rPr>
        <w:t>. 我公司若中标，本承诺将成为合同不可分割的一部分，与合同具有同等的法律效力。</w:t>
      </w:r>
    </w:p>
    <w:p w14:paraId="667C10E0">
      <w:pPr>
        <w:spacing w:line="360" w:lineRule="auto"/>
        <w:ind w:firstLine="448" w:firstLineChars="200"/>
        <w:rPr>
          <w:sz w:val="24"/>
        </w:rPr>
      </w:pPr>
      <w:r>
        <w:rPr>
          <w:sz w:val="24"/>
        </w:rPr>
        <w:t>1</w:t>
      </w:r>
      <w:r>
        <w:rPr>
          <w:rFonts w:hint="eastAsia"/>
          <w:sz w:val="24"/>
        </w:rPr>
        <w:t>1</w:t>
      </w:r>
      <w:r>
        <w:rPr>
          <w:sz w:val="24"/>
        </w:rPr>
        <w:t>. 如违反上述承诺，我公司投标无效且接受相关部门依法作出的处罚，并承担通过相关媒体予以公布的任何风险和责任。</w:t>
      </w:r>
    </w:p>
    <w:p w14:paraId="411C04AE">
      <w:pPr>
        <w:spacing w:line="360" w:lineRule="auto"/>
        <w:ind w:firstLine="448"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120D0356">
      <w:pPr>
        <w:spacing w:line="360" w:lineRule="auto"/>
        <w:ind w:firstLine="448" w:firstLineChars="200"/>
        <w:rPr>
          <w:sz w:val="24"/>
        </w:rPr>
      </w:pPr>
      <w:r>
        <w:rPr>
          <w:rFonts w:hint="eastAsia"/>
          <w:sz w:val="24"/>
        </w:rPr>
        <w:t>纳税人识别号：</w:t>
      </w:r>
    </w:p>
    <w:p w14:paraId="16723FF8">
      <w:pPr>
        <w:spacing w:line="360" w:lineRule="auto"/>
        <w:ind w:firstLine="448" w:firstLineChars="200"/>
        <w:rPr>
          <w:sz w:val="24"/>
        </w:rPr>
      </w:pPr>
      <w:r>
        <w:rPr>
          <w:rFonts w:hint="eastAsia"/>
          <w:sz w:val="24"/>
        </w:rPr>
        <w:t>地址、电话：</w:t>
      </w:r>
    </w:p>
    <w:p w14:paraId="1B17CB77">
      <w:pPr>
        <w:spacing w:line="360" w:lineRule="auto"/>
        <w:ind w:firstLine="448" w:firstLineChars="200"/>
        <w:rPr>
          <w:sz w:val="24"/>
        </w:rPr>
      </w:pPr>
      <w:r>
        <w:rPr>
          <w:rFonts w:hint="eastAsia"/>
          <w:sz w:val="24"/>
        </w:rPr>
        <w:t>开户行及账号：</w:t>
      </w:r>
    </w:p>
    <w:p w14:paraId="1C159AEA">
      <w:pPr>
        <w:spacing w:line="360" w:lineRule="auto"/>
        <w:ind w:firstLine="448" w:firstLineChars="200"/>
        <w:rPr>
          <w:sz w:val="24"/>
        </w:rPr>
      </w:pPr>
      <w:r>
        <w:rPr>
          <w:rFonts w:hint="eastAsia"/>
          <w:sz w:val="24"/>
        </w:rPr>
        <w:t>开具发票类型：□增值税专用发票         □增值税普通发票</w:t>
      </w:r>
    </w:p>
    <w:p w14:paraId="5032FA0C">
      <w:pPr>
        <w:spacing w:line="360" w:lineRule="auto"/>
        <w:ind w:firstLine="448"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499A1E1B">
      <w:pPr>
        <w:spacing w:line="360" w:lineRule="auto"/>
        <w:ind w:firstLine="448" w:firstLineChars="200"/>
        <w:rPr>
          <w:b/>
          <w:sz w:val="24"/>
        </w:rPr>
      </w:pPr>
      <w:r>
        <w:rPr>
          <w:rFonts w:hint="eastAsia"/>
          <w:b/>
          <w:sz w:val="24"/>
        </w:rPr>
        <w:t>□</w:t>
      </w:r>
      <w:r>
        <w:rPr>
          <w:b/>
          <w:sz w:val="24"/>
        </w:rPr>
        <w:t>上门自取</w:t>
      </w:r>
    </w:p>
    <w:p w14:paraId="756E5B25">
      <w:pPr>
        <w:spacing w:line="360" w:lineRule="auto"/>
        <w:ind w:firstLine="448" w:firstLineChars="200"/>
        <w:rPr>
          <w:sz w:val="24"/>
        </w:rPr>
      </w:pPr>
    </w:p>
    <w:p w14:paraId="71EB3ED8">
      <w:pPr>
        <w:spacing w:line="360" w:lineRule="auto"/>
        <w:ind w:firstLine="448" w:firstLineChars="200"/>
        <w:rPr>
          <w:b/>
          <w:sz w:val="24"/>
        </w:rPr>
      </w:pPr>
      <w:r>
        <w:rPr>
          <w:rFonts w:hint="eastAsia"/>
          <w:b/>
          <w:sz w:val="24"/>
        </w:rPr>
        <w:t>□</w:t>
      </w:r>
      <w:r>
        <w:rPr>
          <w:b/>
          <w:sz w:val="24"/>
        </w:rPr>
        <w:t>到付邮寄</w:t>
      </w:r>
    </w:p>
    <w:p w14:paraId="52E127B1">
      <w:pPr>
        <w:spacing w:line="360" w:lineRule="auto"/>
        <w:ind w:firstLine="448" w:firstLineChars="200"/>
        <w:rPr>
          <w:sz w:val="24"/>
        </w:rPr>
      </w:pPr>
      <w:r>
        <w:rPr>
          <w:sz w:val="24"/>
        </w:rPr>
        <w:t>邮寄地址</w:t>
      </w:r>
      <w:r>
        <w:rPr>
          <w:rFonts w:hint="eastAsia"/>
          <w:sz w:val="24"/>
        </w:rPr>
        <w:t>、邮编</w:t>
      </w:r>
      <w:r>
        <w:rPr>
          <w:sz w:val="24"/>
        </w:rPr>
        <w:t>：</w:t>
      </w:r>
    </w:p>
    <w:p w14:paraId="20BB131E">
      <w:pPr>
        <w:spacing w:line="360" w:lineRule="auto"/>
        <w:ind w:firstLine="448" w:firstLineChars="200"/>
        <w:rPr>
          <w:sz w:val="24"/>
        </w:rPr>
      </w:pPr>
      <w:r>
        <w:rPr>
          <w:sz w:val="24"/>
        </w:rPr>
        <w:t>邮寄联系人、手机号码：</w:t>
      </w:r>
    </w:p>
    <w:p w14:paraId="0E3CE6B5">
      <w:pPr>
        <w:spacing w:line="360" w:lineRule="auto"/>
        <w:ind w:firstLine="3808" w:firstLineChars="1700"/>
        <w:rPr>
          <w:sz w:val="24"/>
        </w:rPr>
      </w:pPr>
    </w:p>
    <w:p w14:paraId="1068627F">
      <w:pPr>
        <w:spacing w:line="360" w:lineRule="auto"/>
        <w:ind w:firstLine="3808" w:firstLineChars="1700"/>
        <w:rPr>
          <w:sz w:val="24"/>
        </w:rPr>
      </w:pPr>
      <w:r>
        <w:rPr>
          <w:sz w:val="24"/>
        </w:rPr>
        <w:t>投标人名称：</w:t>
      </w:r>
    </w:p>
    <w:p w14:paraId="15197CD3">
      <w:pPr>
        <w:spacing w:line="360" w:lineRule="auto"/>
        <w:ind w:firstLine="3808" w:firstLineChars="1700"/>
        <w:rPr>
          <w:sz w:val="24"/>
        </w:rPr>
      </w:pPr>
    </w:p>
    <w:p w14:paraId="2C165138">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72AC900">
      <w:pPr>
        <w:spacing w:line="460" w:lineRule="exact"/>
        <w:rPr>
          <w:sz w:val="24"/>
        </w:rPr>
      </w:pPr>
    </w:p>
    <w:p w14:paraId="1F11C346">
      <w:pPr>
        <w:widowControl/>
        <w:jc w:val="left"/>
        <w:rPr>
          <w:sz w:val="24"/>
        </w:rPr>
      </w:pPr>
      <w:r>
        <w:rPr>
          <w:sz w:val="24"/>
        </w:rPr>
        <w:br w:type="page"/>
      </w:r>
    </w:p>
    <w:p w14:paraId="12BFB151">
      <w:pPr>
        <w:widowControl/>
        <w:jc w:val="left"/>
        <w:rPr>
          <w:b/>
          <w:sz w:val="24"/>
        </w:rPr>
      </w:pPr>
      <w:r>
        <w:rPr>
          <w:b/>
          <w:sz w:val="24"/>
        </w:rPr>
        <w:t>附件2</w:t>
      </w:r>
    </w:p>
    <w:p w14:paraId="2242F416">
      <w:pPr>
        <w:autoSpaceDN w:val="0"/>
        <w:spacing w:line="360" w:lineRule="auto"/>
        <w:jc w:val="center"/>
        <w:rPr>
          <w:b/>
          <w:bCs/>
          <w:sz w:val="24"/>
        </w:rPr>
      </w:pPr>
    </w:p>
    <w:p w14:paraId="5C481892">
      <w:pPr>
        <w:ind w:right="84"/>
        <w:jc w:val="center"/>
        <w:rPr>
          <w:b/>
          <w:sz w:val="24"/>
        </w:rPr>
      </w:pPr>
      <w:r>
        <w:rPr>
          <w:rFonts w:hint="eastAsia"/>
          <w:b/>
          <w:sz w:val="24"/>
        </w:rPr>
        <w:t>供应商资格声明函</w:t>
      </w:r>
    </w:p>
    <w:p w14:paraId="1CCD0935">
      <w:pPr>
        <w:spacing w:line="360" w:lineRule="auto"/>
        <w:ind w:firstLine="420"/>
        <w:jc w:val="center"/>
        <w:rPr>
          <w:b/>
          <w:sz w:val="24"/>
        </w:rPr>
      </w:pPr>
    </w:p>
    <w:p w14:paraId="59537ACC">
      <w:pPr>
        <w:spacing w:line="360" w:lineRule="auto"/>
        <w:rPr>
          <w:sz w:val="24"/>
        </w:rPr>
      </w:pPr>
      <w:r>
        <w:rPr>
          <w:rFonts w:hint="eastAsia"/>
          <w:sz w:val="24"/>
        </w:rPr>
        <w:t>天津市政府采购中心：</w:t>
      </w:r>
    </w:p>
    <w:p w14:paraId="6B8BF2A8">
      <w:pPr>
        <w:spacing w:line="360" w:lineRule="auto"/>
        <w:ind w:firstLine="448" w:firstLineChars="200"/>
        <w:rPr>
          <w:sz w:val="24"/>
        </w:rPr>
      </w:pPr>
      <w:r>
        <w:rPr>
          <w:rFonts w:hint="eastAsia"/>
          <w:sz w:val="24"/>
        </w:rPr>
        <w:t>我单位自愿参与本项目的政府采购活动，郑重承诺如下：</w:t>
      </w:r>
    </w:p>
    <w:p w14:paraId="3FA8094A">
      <w:pPr>
        <w:spacing w:line="360" w:lineRule="auto"/>
        <w:ind w:firstLine="448" w:firstLineChars="200"/>
        <w:rPr>
          <w:sz w:val="24"/>
        </w:rPr>
      </w:pPr>
      <w:r>
        <w:rPr>
          <w:rFonts w:hint="eastAsia"/>
          <w:sz w:val="24"/>
        </w:rPr>
        <w:t>（一）我单位具有良好的商业信誉和健全的财务会计制度；</w:t>
      </w:r>
    </w:p>
    <w:p w14:paraId="14338F84">
      <w:pPr>
        <w:spacing w:line="360" w:lineRule="auto"/>
        <w:ind w:firstLine="448" w:firstLineChars="200"/>
        <w:rPr>
          <w:sz w:val="24"/>
        </w:rPr>
      </w:pPr>
      <w:r>
        <w:rPr>
          <w:rFonts w:hint="eastAsia"/>
          <w:sz w:val="24"/>
        </w:rPr>
        <w:t>（二）我单位依法缴纳税收和社会保障资金；</w:t>
      </w:r>
    </w:p>
    <w:p w14:paraId="7B685FE7">
      <w:pPr>
        <w:spacing w:line="360" w:lineRule="auto"/>
        <w:ind w:firstLine="448" w:firstLineChars="200"/>
        <w:rPr>
          <w:sz w:val="24"/>
        </w:rPr>
      </w:pPr>
      <w:r>
        <w:rPr>
          <w:rFonts w:hint="eastAsia"/>
          <w:sz w:val="24"/>
        </w:rPr>
        <w:t>（三）我单位具备履行合同所必需的设备和专业技术能力；</w:t>
      </w:r>
    </w:p>
    <w:p w14:paraId="0E681FF3">
      <w:pPr>
        <w:spacing w:line="360" w:lineRule="auto"/>
        <w:ind w:firstLine="448" w:firstLineChars="200"/>
        <w:rPr>
          <w:sz w:val="24"/>
        </w:rPr>
      </w:pPr>
      <w:r>
        <w:rPr>
          <w:rFonts w:hint="eastAsia"/>
          <w:sz w:val="24"/>
        </w:rPr>
        <w:t>（四）参加政府采购活动前3年我单位在经营活动中没有重大违法记录；</w:t>
      </w:r>
    </w:p>
    <w:p w14:paraId="24B1F56F">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789A4659">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28A0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8B9FC64">
            <w:pPr>
              <w:jc w:val="center"/>
              <w:rPr>
                <w:szCs w:val="21"/>
              </w:rPr>
            </w:pPr>
            <w:r>
              <w:rPr>
                <w:rFonts w:hint="eastAsia"/>
                <w:szCs w:val="21"/>
              </w:rPr>
              <w:t>序号</w:t>
            </w:r>
          </w:p>
        </w:tc>
        <w:tc>
          <w:tcPr>
            <w:tcW w:w="2273" w:type="pct"/>
            <w:vAlign w:val="center"/>
          </w:tcPr>
          <w:p w14:paraId="29F2EE80">
            <w:pPr>
              <w:jc w:val="center"/>
              <w:rPr>
                <w:szCs w:val="21"/>
              </w:rPr>
            </w:pPr>
            <w:r>
              <w:rPr>
                <w:rFonts w:hint="eastAsia"/>
                <w:szCs w:val="21"/>
              </w:rPr>
              <w:t>单位名称</w:t>
            </w:r>
          </w:p>
        </w:tc>
        <w:tc>
          <w:tcPr>
            <w:tcW w:w="1667" w:type="pct"/>
            <w:vAlign w:val="center"/>
          </w:tcPr>
          <w:p w14:paraId="71BF4F0E">
            <w:pPr>
              <w:jc w:val="center"/>
              <w:rPr>
                <w:szCs w:val="21"/>
              </w:rPr>
            </w:pPr>
            <w:r>
              <w:rPr>
                <w:rFonts w:hint="eastAsia"/>
                <w:szCs w:val="21"/>
              </w:rPr>
              <w:t>相互关系类型</w:t>
            </w:r>
          </w:p>
        </w:tc>
      </w:tr>
      <w:tr w14:paraId="0655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0EE57DDA">
            <w:pPr>
              <w:jc w:val="center"/>
              <w:rPr>
                <w:szCs w:val="21"/>
              </w:rPr>
            </w:pPr>
            <w:r>
              <w:rPr>
                <w:rFonts w:hint="eastAsia"/>
                <w:szCs w:val="21"/>
              </w:rPr>
              <w:t>1</w:t>
            </w:r>
          </w:p>
        </w:tc>
        <w:tc>
          <w:tcPr>
            <w:tcW w:w="2273" w:type="pct"/>
            <w:vAlign w:val="center"/>
          </w:tcPr>
          <w:p w14:paraId="0C230436">
            <w:pPr>
              <w:jc w:val="center"/>
              <w:rPr>
                <w:szCs w:val="21"/>
              </w:rPr>
            </w:pPr>
          </w:p>
        </w:tc>
        <w:tc>
          <w:tcPr>
            <w:tcW w:w="1667" w:type="pct"/>
            <w:vAlign w:val="center"/>
          </w:tcPr>
          <w:p w14:paraId="53C9B523">
            <w:pPr>
              <w:jc w:val="center"/>
              <w:rPr>
                <w:szCs w:val="21"/>
              </w:rPr>
            </w:pPr>
          </w:p>
        </w:tc>
      </w:tr>
      <w:tr w14:paraId="38AD5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20BE9AC">
            <w:pPr>
              <w:jc w:val="center"/>
              <w:rPr>
                <w:szCs w:val="21"/>
              </w:rPr>
            </w:pPr>
            <w:r>
              <w:rPr>
                <w:rFonts w:hint="eastAsia"/>
                <w:szCs w:val="21"/>
              </w:rPr>
              <w:t>2</w:t>
            </w:r>
          </w:p>
        </w:tc>
        <w:tc>
          <w:tcPr>
            <w:tcW w:w="2273" w:type="pct"/>
            <w:vAlign w:val="center"/>
          </w:tcPr>
          <w:p w14:paraId="7A61E96F">
            <w:pPr>
              <w:jc w:val="center"/>
              <w:rPr>
                <w:szCs w:val="21"/>
              </w:rPr>
            </w:pPr>
          </w:p>
        </w:tc>
        <w:tc>
          <w:tcPr>
            <w:tcW w:w="1667" w:type="pct"/>
            <w:vAlign w:val="center"/>
          </w:tcPr>
          <w:p w14:paraId="1D9DD0C1">
            <w:pPr>
              <w:jc w:val="center"/>
              <w:rPr>
                <w:szCs w:val="21"/>
              </w:rPr>
            </w:pPr>
          </w:p>
        </w:tc>
      </w:tr>
      <w:tr w14:paraId="3D12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44DDD1A2">
            <w:pPr>
              <w:jc w:val="center"/>
              <w:rPr>
                <w:szCs w:val="21"/>
              </w:rPr>
            </w:pPr>
            <w:r>
              <w:rPr>
                <w:rFonts w:hint="eastAsia"/>
                <w:szCs w:val="21"/>
              </w:rPr>
              <w:t>3</w:t>
            </w:r>
          </w:p>
        </w:tc>
        <w:tc>
          <w:tcPr>
            <w:tcW w:w="2273" w:type="pct"/>
            <w:vAlign w:val="center"/>
          </w:tcPr>
          <w:p w14:paraId="3529DEFE">
            <w:pPr>
              <w:jc w:val="center"/>
              <w:rPr>
                <w:szCs w:val="21"/>
              </w:rPr>
            </w:pPr>
          </w:p>
        </w:tc>
        <w:tc>
          <w:tcPr>
            <w:tcW w:w="1667" w:type="pct"/>
            <w:vAlign w:val="center"/>
          </w:tcPr>
          <w:p w14:paraId="75207D4F">
            <w:pPr>
              <w:jc w:val="center"/>
              <w:rPr>
                <w:szCs w:val="21"/>
              </w:rPr>
            </w:pPr>
          </w:p>
        </w:tc>
      </w:tr>
    </w:tbl>
    <w:p w14:paraId="35AE4E18">
      <w:pPr>
        <w:spacing w:line="360" w:lineRule="auto"/>
        <w:ind w:firstLine="448" w:firstLineChars="200"/>
        <w:rPr>
          <w:sz w:val="24"/>
        </w:rPr>
      </w:pPr>
      <w:r>
        <w:rPr>
          <w:rFonts w:hint="eastAsia"/>
          <w:sz w:val="24"/>
        </w:rPr>
        <w:t>上表未填写的，视为不存在第（六）条所列情形</w:t>
      </w:r>
    </w:p>
    <w:p w14:paraId="64382C15">
      <w:pPr>
        <w:spacing w:line="360" w:lineRule="auto"/>
        <w:ind w:firstLine="448" w:firstLineChars="200"/>
        <w:rPr>
          <w:sz w:val="24"/>
        </w:rPr>
      </w:pPr>
    </w:p>
    <w:p w14:paraId="54DCA546">
      <w:pPr>
        <w:spacing w:line="360" w:lineRule="auto"/>
        <w:ind w:firstLine="448" w:firstLineChars="200"/>
        <w:rPr>
          <w:sz w:val="24"/>
        </w:rPr>
      </w:pPr>
      <w:r>
        <w:rPr>
          <w:rFonts w:hint="eastAsia"/>
          <w:sz w:val="24"/>
        </w:rPr>
        <w:t>上述声明真实有效，否则我单位承担全部责任和不利后果。</w:t>
      </w:r>
    </w:p>
    <w:p w14:paraId="04DBAE4A">
      <w:pPr>
        <w:spacing w:line="360" w:lineRule="auto"/>
        <w:ind w:firstLine="448" w:firstLineChars="200"/>
        <w:rPr>
          <w:sz w:val="24"/>
        </w:rPr>
      </w:pPr>
    </w:p>
    <w:p w14:paraId="0FE087FC">
      <w:pPr>
        <w:spacing w:line="360" w:lineRule="auto"/>
        <w:ind w:firstLine="224" w:firstLineChars="100"/>
        <w:rPr>
          <w:sz w:val="24"/>
        </w:rPr>
      </w:pPr>
      <w:r>
        <w:rPr>
          <w:sz w:val="24"/>
        </w:rPr>
        <w:t>投标人名称：</w:t>
      </w:r>
    </w:p>
    <w:p w14:paraId="7772870E">
      <w:pPr>
        <w:spacing w:line="360" w:lineRule="auto"/>
        <w:ind w:firstLine="224" w:firstLineChars="100"/>
        <w:rPr>
          <w:sz w:val="24"/>
        </w:rPr>
      </w:pPr>
    </w:p>
    <w:p w14:paraId="2398D24B">
      <w:pPr>
        <w:spacing w:line="360" w:lineRule="auto"/>
        <w:ind w:firstLine="224" w:firstLineChars="100"/>
        <w:rPr>
          <w:position w:val="-40"/>
          <w:sz w:val="24"/>
        </w:rPr>
      </w:pPr>
      <w:r>
        <w:rPr>
          <w:sz w:val="24"/>
        </w:rPr>
        <w:t xml:space="preserve">日期：  </w:t>
      </w:r>
    </w:p>
    <w:p w14:paraId="4B530F81">
      <w:pPr>
        <w:autoSpaceDN w:val="0"/>
        <w:spacing w:line="360" w:lineRule="auto"/>
        <w:jc w:val="center"/>
        <w:rPr>
          <w:b/>
          <w:bCs/>
          <w:sz w:val="24"/>
        </w:rPr>
      </w:pPr>
    </w:p>
    <w:p w14:paraId="11F84BB5">
      <w:pPr>
        <w:widowControl/>
        <w:jc w:val="left"/>
        <w:rPr>
          <w:b/>
          <w:bCs/>
          <w:sz w:val="24"/>
        </w:rPr>
      </w:pPr>
      <w:r>
        <w:rPr>
          <w:b/>
          <w:bCs/>
          <w:sz w:val="24"/>
        </w:rPr>
        <w:br w:type="page"/>
      </w:r>
    </w:p>
    <w:p w14:paraId="797E865E">
      <w:pPr>
        <w:spacing w:line="460" w:lineRule="exact"/>
        <w:rPr>
          <w:b/>
          <w:sz w:val="24"/>
        </w:rPr>
      </w:pPr>
      <w:r>
        <w:rPr>
          <w:rFonts w:hint="eastAsia"/>
          <w:b/>
          <w:bCs/>
          <w:sz w:val="24"/>
        </w:rPr>
        <w:t>附件2-1：招标文件第一部分供应商资格要求的证件</w:t>
      </w:r>
    </w:p>
    <w:p w14:paraId="6A45C4A7">
      <w:pPr>
        <w:widowControl/>
        <w:jc w:val="left"/>
        <w:rPr>
          <w:b/>
          <w:bCs/>
          <w:sz w:val="24"/>
        </w:rPr>
      </w:pPr>
      <w:r>
        <w:rPr>
          <w:b/>
          <w:bCs/>
          <w:sz w:val="24"/>
        </w:rPr>
        <w:br w:type="page"/>
      </w:r>
    </w:p>
    <w:p w14:paraId="48B3F0EB">
      <w:pPr>
        <w:tabs>
          <w:tab w:val="left" w:pos="360"/>
        </w:tabs>
        <w:spacing w:line="360" w:lineRule="auto"/>
        <w:rPr>
          <w:b/>
          <w:sz w:val="24"/>
        </w:rPr>
      </w:pPr>
      <w:r>
        <w:rPr>
          <w:rFonts w:hint="eastAsia"/>
          <w:b/>
          <w:bCs/>
          <w:sz w:val="24"/>
        </w:rPr>
        <w:t>附件3</w:t>
      </w:r>
    </w:p>
    <w:p w14:paraId="1BC6F81B">
      <w:pPr>
        <w:autoSpaceDN w:val="0"/>
        <w:spacing w:line="360" w:lineRule="auto"/>
        <w:jc w:val="center"/>
        <w:rPr>
          <w:b/>
          <w:bCs/>
          <w:sz w:val="24"/>
        </w:rPr>
      </w:pPr>
      <w:r>
        <w:rPr>
          <w:b/>
          <w:bCs/>
          <w:sz w:val="24"/>
        </w:rPr>
        <w:t>商务要求点对点应答表</w:t>
      </w:r>
    </w:p>
    <w:p w14:paraId="66CBE894">
      <w:pPr>
        <w:spacing w:line="460" w:lineRule="exact"/>
        <w:rPr>
          <w:sz w:val="24"/>
        </w:rPr>
      </w:pPr>
    </w:p>
    <w:p w14:paraId="2CC2D02D">
      <w:pPr>
        <w:spacing w:line="460" w:lineRule="exact"/>
        <w:rPr>
          <w:sz w:val="24"/>
        </w:rPr>
      </w:pPr>
      <w:r>
        <w:rPr>
          <w:sz w:val="24"/>
        </w:rPr>
        <w:t>项目名称：</w:t>
      </w:r>
      <w:r>
        <w:rPr>
          <w:sz w:val="24"/>
          <w:u w:val="single"/>
        </w:rPr>
        <w:t xml:space="preserve">                    </w:t>
      </w:r>
    </w:p>
    <w:p w14:paraId="491243D0">
      <w:pPr>
        <w:spacing w:line="460" w:lineRule="exact"/>
        <w:rPr>
          <w:sz w:val="24"/>
        </w:rPr>
      </w:pPr>
      <w:r>
        <w:rPr>
          <w:sz w:val="24"/>
        </w:rPr>
        <w:t>项目编号：</w:t>
      </w:r>
      <w:r>
        <w:rPr>
          <w:sz w:val="24"/>
          <w:u w:val="single"/>
        </w:rPr>
        <w:t xml:space="preserve">                    </w:t>
      </w:r>
    </w:p>
    <w:p w14:paraId="32EDC386">
      <w:pPr>
        <w:spacing w:line="460" w:lineRule="exact"/>
        <w:rPr>
          <w:sz w:val="24"/>
          <w:u w:val="single"/>
        </w:rPr>
      </w:pPr>
      <w:r>
        <w:rPr>
          <w:sz w:val="24"/>
        </w:rPr>
        <w:t>包号：</w:t>
      </w:r>
      <w:r>
        <w:rPr>
          <w:sz w:val="24"/>
          <w:u w:val="single"/>
        </w:rPr>
        <w:t xml:space="preserve">                        </w:t>
      </w:r>
    </w:p>
    <w:p w14:paraId="76005B7B">
      <w:pPr>
        <w:spacing w:line="460" w:lineRule="exact"/>
        <w:rPr>
          <w:sz w:val="24"/>
          <w:u w:val="single"/>
        </w:rPr>
      </w:pPr>
    </w:p>
    <w:tbl>
      <w:tblPr>
        <w:tblStyle w:val="22"/>
        <w:tblW w:w="51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2231"/>
        <w:gridCol w:w="2551"/>
        <w:gridCol w:w="1135"/>
        <w:gridCol w:w="1133"/>
      </w:tblGrid>
      <w:tr w14:paraId="365D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974" w:type="pct"/>
            <w:shd w:val="clear" w:color="auto" w:fill="auto"/>
            <w:vAlign w:val="center"/>
          </w:tcPr>
          <w:p w14:paraId="089F5C1C">
            <w:pPr>
              <w:widowControl/>
              <w:jc w:val="center"/>
              <w:rPr>
                <w:color w:val="000000"/>
                <w:kern w:val="0"/>
                <w:szCs w:val="21"/>
              </w:rPr>
            </w:pPr>
            <w:r>
              <w:rPr>
                <w:color w:val="000000"/>
                <w:kern w:val="0"/>
                <w:szCs w:val="21"/>
              </w:rPr>
              <w:t>序号</w:t>
            </w:r>
          </w:p>
        </w:tc>
        <w:tc>
          <w:tcPr>
            <w:tcW w:w="1274" w:type="pct"/>
            <w:shd w:val="clear" w:color="auto" w:fill="auto"/>
            <w:vAlign w:val="center"/>
          </w:tcPr>
          <w:p w14:paraId="73A1F4A9">
            <w:pPr>
              <w:widowControl/>
              <w:jc w:val="center"/>
              <w:rPr>
                <w:color w:val="000000"/>
                <w:kern w:val="0"/>
                <w:szCs w:val="21"/>
              </w:rPr>
            </w:pPr>
            <w:r>
              <w:rPr>
                <w:color w:val="000000"/>
                <w:kern w:val="0"/>
                <w:szCs w:val="21"/>
              </w:rPr>
              <w:t>招标要求</w:t>
            </w:r>
          </w:p>
        </w:tc>
        <w:tc>
          <w:tcPr>
            <w:tcW w:w="1457" w:type="pct"/>
            <w:shd w:val="clear" w:color="auto" w:fill="auto"/>
            <w:vAlign w:val="center"/>
          </w:tcPr>
          <w:p w14:paraId="163F99BC">
            <w:pPr>
              <w:widowControl/>
              <w:jc w:val="center"/>
              <w:rPr>
                <w:color w:val="000000"/>
                <w:kern w:val="0"/>
                <w:szCs w:val="21"/>
              </w:rPr>
            </w:pPr>
            <w:r>
              <w:rPr>
                <w:color w:val="000000"/>
                <w:kern w:val="0"/>
                <w:szCs w:val="21"/>
              </w:rPr>
              <w:t>投标应答</w:t>
            </w:r>
          </w:p>
        </w:tc>
        <w:tc>
          <w:tcPr>
            <w:tcW w:w="648" w:type="pct"/>
            <w:shd w:val="clear" w:color="auto" w:fill="auto"/>
            <w:vAlign w:val="center"/>
          </w:tcPr>
          <w:p w14:paraId="4D1F5536">
            <w:pPr>
              <w:widowControl/>
              <w:jc w:val="center"/>
              <w:rPr>
                <w:color w:val="000000"/>
                <w:kern w:val="0"/>
                <w:szCs w:val="21"/>
              </w:rPr>
            </w:pPr>
            <w:r>
              <w:rPr>
                <w:color w:val="000000"/>
                <w:kern w:val="0"/>
                <w:szCs w:val="21"/>
              </w:rPr>
              <w:t>偏离说明</w:t>
            </w:r>
          </w:p>
        </w:tc>
        <w:tc>
          <w:tcPr>
            <w:tcW w:w="647" w:type="pct"/>
            <w:shd w:val="clear" w:color="auto" w:fill="auto"/>
            <w:vAlign w:val="center"/>
          </w:tcPr>
          <w:p w14:paraId="46B5D668">
            <w:pPr>
              <w:widowControl/>
              <w:jc w:val="center"/>
              <w:rPr>
                <w:color w:val="000000"/>
                <w:kern w:val="0"/>
                <w:szCs w:val="21"/>
              </w:rPr>
            </w:pPr>
            <w:r>
              <w:rPr>
                <w:color w:val="000000"/>
                <w:kern w:val="0"/>
                <w:szCs w:val="21"/>
              </w:rPr>
              <w:t>备注</w:t>
            </w:r>
          </w:p>
        </w:tc>
      </w:tr>
      <w:tr w14:paraId="3367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5C3C315A">
            <w:pPr>
              <w:widowControl/>
              <w:jc w:val="left"/>
              <w:rPr>
                <w:color w:val="000000"/>
                <w:kern w:val="0"/>
                <w:szCs w:val="21"/>
              </w:rPr>
            </w:pPr>
            <w:r>
              <w:rPr>
                <w:color w:val="000000"/>
                <w:kern w:val="0"/>
                <w:szCs w:val="21"/>
              </w:rPr>
              <w:t>（一）报价要求</w:t>
            </w:r>
          </w:p>
        </w:tc>
      </w:tr>
      <w:tr w14:paraId="1B0FF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974" w:type="pct"/>
            <w:shd w:val="clear" w:color="auto" w:fill="auto"/>
            <w:vAlign w:val="center"/>
          </w:tcPr>
          <w:p w14:paraId="28A0E600">
            <w:pPr>
              <w:widowControl/>
              <w:jc w:val="left"/>
              <w:rPr>
                <w:color w:val="000000"/>
                <w:kern w:val="0"/>
                <w:szCs w:val="21"/>
              </w:rPr>
            </w:pPr>
            <w:r>
              <w:rPr>
                <w:color w:val="000000"/>
                <w:kern w:val="0"/>
                <w:szCs w:val="21"/>
              </w:rPr>
              <w:t>　</w:t>
            </w:r>
          </w:p>
        </w:tc>
        <w:tc>
          <w:tcPr>
            <w:tcW w:w="1274" w:type="pct"/>
            <w:shd w:val="clear" w:color="auto" w:fill="auto"/>
            <w:vAlign w:val="center"/>
          </w:tcPr>
          <w:p w14:paraId="07B628F2">
            <w:pPr>
              <w:widowControl/>
              <w:jc w:val="left"/>
              <w:rPr>
                <w:color w:val="000000"/>
                <w:kern w:val="0"/>
                <w:szCs w:val="21"/>
              </w:rPr>
            </w:pPr>
            <w:r>
              <w:rPr>
                <w:color w:val="000000"/>
                <w:kern w:val="0"/>
                <w:szCs w:val="21"/>
              </w:rPr>
              <w:t>　</w:t>
            </w:r>
          </w:p>
        </w:tc>
        <w:tc>
          <w:tcPr>
            <w:tcW w:w="1457" w:type="pct"/>
            <w:shd w:val="clear" w:color="auto" w:fill="auto"/>
            <w:vAlign w:val="center"/>
          </w:tcPr>
          <w:p w14:paraId="35CF8527">
            <w:pPr>
              <w:widowControl/>
              <w:jc w:val="left"/>
              <w:rPr>
                <w:color w:val="000000"/>
                <w:kern w:val="0"/>
                <w:szCs w:val="21"/>
              </w:rPr>
            </w:pPr>
            <w:r>
              <w:rPr>
                <w:color w:val="000000"/>
                <w:kern w:val="0"/>
                <w:szCs w:val="21"/>
              </w:rPr>
              <w:t>　</w:t>
            </w:r>
          </w:p>
        </w:tc>
        <w:tc>
          <w:tcPr>
            <w:tcW w:w="648" w:type="pct"/>
            <w:shd w:val="clear" w:color="auto" w:fill="auto"/>
            <w:vAlign w:val="center"/>
          </w:tcPr>
          <w:p w14:paraId="3E533996">
            <w:pPr>
              <w:widowControl/>
              <w:jc w:val="left"/>
              <w:rPr>
                <w:color w:val="000000"/>
                <w:kern w:val="0"/>
                <w:szCs w:val="21"/>
              </w:rPr>
            </w:pPr>
            <w:r>
              <w:rPr>
                <w:color w:val="000000"/>
                <w:kern w:val="0"/>
                <w:szCs w:val="21"/>
              </w:rPr>
              <w:t>　</w:t>
            </w:r>
          </w:p>
        </w:tc>
        <w:tc>
          <w:tcPr>
            <w:tcW w:w="647" w:type="pct"/>
            <w:shd w:val="clear" w:color="auto" w:fill="auto"/>
            <w:vAlign w:val="center"/>
          </w:tcPr>
          <w:p w14:paraId="633B875F">
            <w:pPr>
              <w:widowControl/>
              <w:jc w:val="left"/>
              <w:rPr>
                <w:color w:val="000000"/>
                <w:kern w:val="0"/>
                <w:szCs w:val="21"/>
              </w:rPr>
            </w:pPr>
            <w:r>
              <w:rPr>
                <w:color w:val="000000"/>
                <w:kern w:val="0"/>
                <w:szCs w:val="21"/>
              </w:rPr>
              <w:t>　</w:t>
            </w:r>
          </w:p>
        </w:tc>
      </w:tr>
      <w:tr w14:paraId="17ED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72BAB214">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14:paraId="4096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0D6E7A3B">
            <w:pPr>
              <w:widowControl/>
              <w:jc w:val="left"/>
              <w:rPr>
                <w:color w:val="000000"/>
                <w:kern w:val="0"/>
                <w:szCs w:val="21"/>
              </w:rPr>
            </w:pPr>
            <w:r>
              <w:rPr>
                <w:color w:val="000000"/>
                <w:kern w:val="0"/>
                <w:szCs w:val="21"/>
              </w:rPr>
              <w:t>　</w:t>
            </w:r>
          </w:p>
        </w:tc>
        <w:tc>
          <w:tcPr>
            <w:tcW w:w="1274" w:type="pct"/>
            <w:shd w:val="clear" w:color="auto" w:fill="auto"/>
            <w:vAlign w:val="center"/>
          </w:tcPr>
          <w:p w14:paraId="112A6F89">
            <w:pPr>
              <w:widowControl/>
              <w:jc w:val="left"/>
              <w:rPr>
                <w:color w:val="000000"/>
                <w:kern w:val="0"/>
                <w:szCs w:val="21"/>
              </w:rPr>
            </w:pPr>
            <w:r>
              <w:rPr>
                <w:color w:val="000000"/>
                <w:kern w:val="0"/>
                <w:szCs w:val="21"/>
              </w:rPr>
              <w:t>　</w:t>
            </w:r>
          </w:p>
        </w:tc>
        <w:tc>
          <w:tcPr>
            <w:tcW w:w="1457" w:type="pct"/>
            <w:shd w:val="clear" w:color="auto" w:fill="auto"/>
            <w:vAlign w:val="center"/>
          </w:tcPr>
          <w:p w14:paraId="0127AA95">
            <w:pPr>
              <w:widowControl/>
              <w:jc w:val="left"/>
              <w:rPr>
                <w:color w:val="000000"/>
                <w:kern w:val="0"/>
                <w:szCs w:val="21"/>
              </w:rPr>
            </w:pPr>
            <w:r>
              <w:rPr>
                <w:color w:val="000000"/>
                <w:kern w:val="0"/>
                <w:szCs w:val="21"/>
              </w:rPr>
              <w:t>　</w:t>
            </w:r>
          </w:p>
        </w:tc>
        <w:tc>
          <w:tcPr>
            <w:tcW w:w="648" w:type="pct"/>
            <w:shd w:val="clear" w:color="auto" w:fill="auto"/>
            <w:vAlign w:val="center"/>
          </w:tcPr>
          <w:p w14:paraId="33081DD9">
            <w:pPr>
              <w:widowControl/>
              <w:jc w:val="left"/>
              <w:rPr>
                <w:color w:val="000000"/>
                <w:kern w:val="0"/>
                <w:szCs w:val="21"/>
              </w:rPr>
            </w:pPr>
            <w:r>
              <w:rPr>
                <w:color w:val="000000"/>
                <w:kern w:val="0"/>
                <w:szCs w:val="21"/>
              </w:rPr>
              <w:t>　</w:t>
            </w:r>
          </w:p>
        </w:tc>
        <w:tc>
          <w:tcPr>
            <w:tcW w:w="647" w:type="pct"/>
            <w:shd w:val="clear" w:color="auto" w:fill="auto"/>
            <w:vAlign w:val="center"/>
          </w:tcPr>
          <w:p w14:paraId="132AD4CB">
            <w:pPr>
              <w:widowControl/>
              <w:jc w:val="left"/>
              <w:rPr>
                <w:color w:val="000000"/>
                <w:kern w:val="0"/>
                <w:szCs w:val="21"/>
              </w:rPr>
            </w:pPr>
            <w:r>
              <w:rPr>
                <w:color w:val="000000"/>
                <w:kern w:val="0"/>
                <w:szCs w:val="21"/>
              </w:rPr>
              <w:t>　</w:t>
            </w:r>
          </w:p>
        </w:tc>
      </w:tr>
      <w:tr w14:paraId="0B70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1E26BF85">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14:paraId="4F1C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00B3FA61">
            <w:pPr>
              <w:widowControl/>
              <w:jc w:val="left"/>
              <w:rPr>
                <w:color w:val="000000"/>
                <w:kern w:val="0"/>
                <w:szCs w:val="21"/>
              </w:rPr>
            </w:pPr>
            <w:r>
              <w:rPr>
                <w:color w:val="000000"/>
                <w:kern w:val="0"/>
                <w:szCs w:val="21"/>
              </w:rPr>
              <w:t>　</w:t>
            </w:r>
          </w:p>
        </w:tc>
        <w:tc>
          <w:tcPr>
            <w:tcW w:w="1274" w:type="pct"/>
            <w:shd w:val="clear" w:color="auto" w:fill="auto"/>
            <w:vAlign w:val="center"/>
          </w:tcPr>
          <w:p w14:paraId="60E59DB6">
            <w:pPr>
              <w:widowControl/>
              <w:jc w:val="left"/>
              <w:rPr>
                <w:color w:val="000000"/>
                <w:kern w:val="0"/>
                <w:szCs w:val="21"/>
              </w:rPr>
            </w:pPr>
            <w:r>
              <w:rPr>
                <w:color w:val="000000"/>
                <w:kern w:val="0"/>
                <w:szCs w:val="21"/>
              </w:rPr>
              <w:t>　</w:t>
            </w:r>
          </w:p>
        </w:tc>
        <w:tc>
          <w:tcPr>
            <w:tcW w:w="1457" w:type="pct"/>
            <w:shd w:val="clear" w:color="auto" w:fill="auto"/>
            <w:vAlign w:val="center"/>
          </w:tcPr>
          <w:p w14:paraId="6C8A1053">
            <w:pPr>
              <w:widowControl/>
              <w:jc w:val="left"/>
              <w:rPr>
                <w:color w:val="000000"/>
                <w:kern w:val="0"/>
                <w:szCs w:val="21"/>
              </w:rPr>
            </w:pPr>
            <w:r>
              <w:rPr>
                <w:color w:val="000000"/>
                <w:kern w:val="0"/>
                <w:szCs w:val="21"/>
              </w:rPr>
              <w:t>　</w:t>
            </w:r>
          </w:p>
        </w:tc>
        <w:tc>
          <w:tcPr>
            <w:tcW w:w="648" w:type="pct"/>
            <w:shd w:val="clear" w:color="auto" w:fill="auto"/>
            <w:vAlign w:val="center"/>
          </w:tcPr>
          <w:p w14:paraId="512A9AD0">
            <w:pPr>
              <w:widowControl/>
              <w:jc w:val="left"/>
              <w:rPr>
                <w:color w:val="000000"/>
                <w:kern w:val="0"/>
                <w:szCs w:val="21"/>
              </w:rPr>
            </w:pPr>
            <w:r>
              <w:rPr>
                <w:color w:val="000000"/>
                <w:kern w:val="0"/>
                <w:szCs w:val="21"/>
              </w:rPr>
              <w:t>　</w:t>
            </w:r>
          </w:p>
        </w:tc>
        <w:tc>
          <w:tcPr>
            <w:tcW w:w="647" w:type="pct"/>
            <w:shd w:val="clear" w:color="auto" w:fill="auto"/>
            <w:vAlign w:val="center"/>
          </w:tcPr>
          <w:p w14:paraId="40F71A47">
            <w:pPr>
              <w:widowControl/>
              <w:jc w:val="left"/>
              <w:rPr>
                <w:color w:val="000000"/>
                <w:kern w:val="0"/>
                <w:szCs w:val="21"/>
              </w:rPr>
            </w:pPr>
            <w:r>
              <w:rPr>
                <w:color w:val="000000"/>
                <w:kern w:val="0"/>
                <w:szCs w:val="21"/>
              </w:rPr>
              <w:t>　</w:t>
            </w:r>
          </w:p>
        </w:tc>
      </w:tr>
      <w:tr w14:paraId="48E55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5EA4E790">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14:paraId="41D36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58AD2F78">
            <w:pPr>
              <w:widowControl/>
              <w:jc w:val="left"/>
              <w:rPr>
                <w:color w:val="000000"/>
                <w:kern w:val="0"/>
                <w:szCs w:val="21"/>
              </w:rPr>
            </w:pPr>
            <w:r>
              <w:rPr>
                <w:color w:val="000000"/>
                <w:kern w:val="0"/>
                <w:szCs w:val="21"/>
              </w:rPr>
              <w:t>　</w:t>
            </w:r>
          </w:p>
        </w:tc>
        <w:tc>
          <w:tcPr>
            <w:tcW w:w="1274" w:type="pct"/>
            <w:shd w:val="clear" w:color="auto" w:fill="auto"/>
            <w:vAlign w:val="center"/>
          </w:tcPr>
          <w:p w14:paraId="4BAE6799">
            <w:pPr>
              <w:widowControl/>
              <w:jc w:val="left"/>
              <w:rPr>
                <w:color w:val="000000"/>
                <w:kern w:val="0"/>
                <w:szCs w:val="21"/>
              </w:rPr>
            </w:pPr>
            <w:r>
              <w:rPr>
                <w:color w:val="000000"/>
                <w:kern w:val="0"/>
                <w:szCs w:val="21"/>
              </w:rPr>
              <w:t>　</w:t>
            </w:r>
          </w:p>
        </w:tc>
        <w:tc>
          <w:tcPr>
            <w:tcW w:w="1457" w:type="pct"/>
            <w:shd w:val="clear" w:color="auto" w:fill="auto"/>
            <w:vAlign w:val="center"/>
          </w:tcPr>
          <w:p w14:paraId="027A4603">
            <w:pPr>
              <w:widowControl/>
              <w:jc w:val="left"/>
              <w:rPr>
                <w:color w:val="000000"/>
                <w:kern w:val="0"/>
                <w:szCs w:val="21"/>
              </w:rPr>
            </w:pPr>
            <w:r>
              <w:rPr>
                <w:color w:val="000000"/>
                <w:kern w:val="0"/>
                <w:szCs w:val="21"/>
              </w:rPr>
              <w:t>　</w:t>
            </w:r>
          </w:p>
        </w:tc>
        <w:tc>
          <w:tcPr>
            <w:tcW w:w="648" w:type="pct"/>
            <w:shd w:val="clear" w:color="auto" w:fill="auto"/>
            <w:vAlign w:val="center"/>
          </w:tcPr>
          <w:p w14:paraId="3CFE9096">
            <w:pPr>
              <w:widowControl/>
              <w:jc w:val="left"/>
              <w:rPr>
                <w:color w:val="000000"/>
                <w:kern w:val="0"/>
                <w:szCs w:val="21"/>
              </w:rPr>
            </w:pPr>
            <w:r>
              <w:rPr>
                <w:color w:val="000000"/>
                <w:kern w:val="0"/>
                <w:szCs w:val="21"/>
              </w:rPr>
              <w:t>　</w:t>
            </w:r>
          </w:p>
        </w:tc>
        <w:tc>
          <w:tcPr>
            <w:tcW w:w="647" w:type="pct"/>
            <w:shd w:val="clear" w:color="auto" w:fill="auto"/>
            <w:vAlign w:val="center"/>
          </w:tcPr>
          <w:p w14:paraId="04E5225F">
            <w:pPr>
              <w:widowControl/>
              <w:jc w:val="left"/>
              <w:rPr>
                <w:color w:val="000000"/>
                <w:kern w:val="0"/>
                <w:szCs w:val="21"/>
              </w:rPr>
            </w:pPr>
            <w:r>
              <w:rPr>
                <w:color w:val="000000"/>
                <w:kern w:val="0"/>
                <w:szCs w:val="21"/>
              </w:rPr>
              <w:t>　</w:t>
            </w:r>
          </w:p>
        </w:tc>
      </w:tr>
      <w:tr w14:paraId="1870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shd w:val="clear" w:color="auto" w:fill="auto"/>
            <w:vAlign w:val="center"/>
          </w:tcPr>
          <w:p w14:paraId="4A78732D">
            <w:pPr>
              <w:widowControl/>
              <w:jc w:val="left"/>
              <w:rPr>
                <w:color w:val="000000"/>
                <w:kern w:val="0"/>
                <w:szCs w:val="21"/>
              </w:rPr>
            </w:pPr>
            <w:r>
              <w:rPr>
                <w:rFonts w:hint="eastAsia"/>
                <w:color w:val="000000"/>
                <w:kern w:val="0"/>
                <w:szCs w:val="21"/>
              </w:rPr>
              <w:t>（五）验收方法及标准</w:t>
            </w:r>
          </w:p>
        </w:tc>
      </w:tr>
      <w:tr w14:paraId="175B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shd w:val="clear" w:color="auto" w:fill="auto"/>
            <w:vAlign w:val="center"/>
          </w:tcPr>
          <w:p w14:paraId="7CA9F000">
            <w:pPr>
              <w:widowControl/>
              <w:jc w:val="left"/>
              <w:rPr>
                <w:color w:val="000000"/>
                <w:kern w:val="0"/>
                <w:szCs w:val="21"/>
              </w:rPr>
            </w:pPr>
          </w:p>
        </w:tc>
        <w:tc>
          <w:tcPr>
            <w:tcW w:w="1274" w:type="pct"/>
            <w:shd w:val="clear" w:color="auto" w:fill="auto"/>
            <w:vAlign w:val="center"/>
          </w:tcPr>
          <w:p w14:paraId="2B4D41B1">
            <w:pPr>
              <w:widowControl/>
              <w:jc w:val="left"/>
              <w:rPr>
                <w:color w:val="000000"/>
                <w:kern w:val="0"/>
                <w:szCs w:val="21"/>
              </w:rPr>
            </w:pPr>
          </w:p>
        </w:tc>
        <w:tc>
          <w:tcPr>
            <w:tcW w:w="1457" w:type="pct"/>
            <w:shd w:val="clear" w:color="auto" w:fill="auto"/>
            <w:vAlign w:val="center"/>
          </w:tcPr>
          <w:p w14:paraId="0EC8E129">
            <w:pPr>
              <w:widowControl/>
              <w:jc w:val="left"/>
              <w:rPr>
                <w:color w:val="000000"/>
                <w:kern w:val="0"/>
                <w:szCs w:val="21"/>
              </w:rPr>
            </w:pPr>
          </w:p>
        </w:tc>
        <w:tc>
          <w:tcPr>
            <w:tcW w:w="648" w:type="pct"/>
            <w:shd w:val="clear" w:color="auto" w:fill="auto"/>
            <w:vAlign w:val="center"/>
          </w:tcPr>
          <w:p w14:paraId="3038481B">
            <w:pPr>
              <w:widowControl/>
              <w:jc w:val="left"/>
              <w:rPr>
                <w:color w:val="000000"/>
                <w:kern w:val="0"/>
                <w:szCs w:val="21"/>
              </w:rPr>
            </w:pPr>
          </w:p>
        </w:tc>
        <w:tc>
          <w:tcPr>
            <w:tcW w:w="647" w:type="pct"/>
            <w:shd w:val="clear" w:color="auto" w:fill="auto"/>
            <w:vAlign w:val="center"/>
          </w:tcPr>
          <w:p w14:paraId="1FFEA971">
            <w:pPr>
              <w:widowControl/>
              <w:jc w:val="left"/>
              <w:rPr>
                <w:color w:val="000000"/>
                <w:kern w:val="0"/>
                <w:szCs w:val="21"/>
              </w:rPr>
            </w:pPr>
          </w:p>
        </w:tc>
      </w:tr>
    </w:tbl>
    <w:p w14:paraId="739A06D5">
      <w:pPr>
        <w:spacing w:line="360" w:lineRule="auto"/>
        <w:ind w:firstLine="448" w:firstLineChars="200"/>
        <w:rPr>
          <w:sz w:val="24"/>
        </w:rPr>
      </w:pPr>
      <w:r>
        <w:rPr>
          <w:sz w:val="24"/>
        </w:rPr>
        <w:t>注：</w:t>
      </w:r>
    </w:p>
    <w:p w14:paraId="73E9EDCC">
      <w:pPr>
        <w:spacing w:line="360" w:lineRule="auto"/>
        <w:ind w:firstLine="448" w:firstLineChars="200"/>
        <w:rPr>
          <w:sz w:val="24"/>
        </w:rPr>
      </w:pPr>
      <w:r>
        <w:rPr>
          <w:rFonts w:hint="eastAsia"/>
          <w:sz w:val="24"/>
        </w:rPr>
        <w:t>1. 此表应按招标文件商务要求中的全部内容逐项进行应答，未应答的，视为不满足招标文件要求。</w:t>
      </w:r>
    </w:p>
    <w:p w14:paraId="52AF4591">
      <w:pPr>
        <w:spacing w:line="360" w:lineRule="auto"/>
        <w:ind w:firstLine="448" w:firstLineChars="200"/>
        <w:rPr>
          <w:sz w:val="24"/>
        </w:rPr>
      </w:pPr>
      <w:r>
        <w:rPr>
          <w:rFonts w:hint="eastAsia"/>
          <w:sz w:val="24"/>
        </w:rPr>
        <w:t>2</w:t>
      </w:r>
      <w:r>
        <w:rPr>
          <w:sz w:val="24"/>
        </w:rPr>
        <w:t>. 不如实填写偏离情况的投标文件将视为虚假材料。</w:t>
      </w:r>
    </w:p>
    <w:p w14:paraId="582B2A48">
      <w:pPr>
        <w:spacing w:line="360" w:lineRule="auto"/>
        <w:ind w:firstLine="448" w:firstLineChars="200"/>
        <w:rPr>
          <w:sz w:val="24"/>
        </w:rPr>
      </w:pPr>
      <w:r>
        <w:rPr>
          <w:rFonts w:hint="eastAsia"/>
          <w:sz w:val="24"/>
        </w:rPr>
        <w:t>3</w:t>
      </w:r>
      <w:r>
        <w:rPr>
          <w:sz w:val="24"/>
        </w:rPr>
        <w:t>. “招标要求”指招标文件中规定的具体要求，“投标应答”指投标文件的具体内容。“偏离说明”指招标要求与投标应答之间的不同之处。</w:t>
      </w:r>
    </w:p>
    <w:p w14:paraId="65BE26D5">
      <w:pPr>
        <w:spacing w:line="360" w:lineRule="auto"/>
        <w:rPr>
          <w:sz w:val="24"/>
        </w:rPr>
      </w:pPr>
    </w:p>
    <w:p w14:paraId="7039F2B0">
      <w:pPr>
        <w:spacing w:line="360" w:lineRule="auto"/>
        <w:ind w:firstLine="3808" w:firstLineChars="1700"/>
        <w:rPr>
          <w:sz w:val="24"/>
        </w:rPr>
      </w:pPr>
      <w:r>
        <w:rPr>
          <w:sz w:val="24"/>
        </w:rPr>
        <w:t>投标人名称：</w:t>
      </w:r>
    </w:p>
    <w:p w14:paraId="62A7A306">
      <w:pPr>
        <w:spacing w:line="360" w:lineRule="auto"/>
        <w:ind w:firstLine="3808" w:firstLineChars="1700"/>
        <w:rPr>
          <w:sz w:val="24"/>
        </w:rPr>
      </w:pPr>
    </w:p>
    <w:p w14:paraId="52D28742">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87FDCD0">
      <w:pPr>
        <w:tabs>
          <w:tab w:val="left" w:pos="360"/>
        </w:tabs>
        <w:spacing w:line="360" w:lineRule="auto"/>
        <w:rPr>
          <w:rFonts w:hint="eastAsia" w:eastAsia="宋体"/>
          <w:b/>
          <w:sz w:val="24"/>
          <w:lang w:eastAsia="zh-CN"/>
        </w:rPr>
      </w:pPr>
      <w:r>
        <w:rPr>
          <w:sz w:val="24"/>
        </w:rPr>
        <w:br w:type="page"/>
      </w:r>
      <w:r>
        <w:rPr>
          <w:b/>
          <w:sz w:val="24"/>
        </w:rPr>
        <w:t>附件</w:t>
      </w:r>
      <w:r>
        <w:rPr>
          <w:rFonts w:hint="eastAsia"/>
          <w:b/>
          <w:sz w:val="24"/>
          <w:lang w:val="en-US" w:eastAsia="zh-CN"/>
        </w:rPr>
        <w:t>4</w:t>
      </w:r>
    </w:p>
    <w:p w14:paraId="19C38167">
      <w:pPr>
        <w:spacing w:line="360" w:lineRule="auto"/>
        <w:jc w:val="center"/>
        <w:rPr>
          <w:b/>
          <w:bCs/>
          <w:sz w:val="24"/>
          <w:szCs w:val="24"/>
        </w:rPr>
      </w:pPr>
      <w:r>
        <w:rPr>
          <w:rFonts w:ascii="宋体" w:hAnsi="宋体"/>
          <w:b/>
          <w:bCs/>
          <w:sz w:val="24"/>
          <w:szCs w:val="24"/>
        </w:rPr>
        <w:t>技术要求偏离应答表</w:t>
      </w:r>
    </w:p>
    <w:p w14:paraId="7CAE8883">
      <w:pPr>
        <w:spacing w:line="460" w:lineRule="exact"/>
        <w:rPr>
          <w:sz w:val="24"/>
        </w:rPr>
      </w:pPr>
      <w:r>
        <w:rPr>
          <w:sz w:val="24"/>
        </w:rPr>
        <w:t>项目名称：</w:t>
      </w:r>
      <w:r>
        <w:rPr>
          <w:sz w:val="24"/>
          <w:u w:val="single"/>
        </w:rPr>
        <w:t xml:space="preserve">                    </w:t>
      </w:r>
    </w:p>
    <w:p w14:paraId="41932FD4">
      <w:pPr>
        <w:spacing w:line="460" w:lineRule="exact"/>
        <w:rPr>
          <w:sz w:val="24"/>
        </w:rPr>
      </w:pPr>
      <w:r>
        <w:rPr>
          <w:sz w:val="24"/>
        </w:rPr>
        <w:t>项目编号：</w:t>
      </w:r>
      <w:r>
        <w:rPr>
          <w:sz w:val="24"/>
          <w:u w:val="single"/>
        </w:rPr>
        <w:t xml:space="preserve">                    </w:t>
      </w:r>
    </w:p>
    <w:p w14:paraId="245E68BB">
      <w:pPr>
        <w:spacing w:line="460" w:lineRule="exact"/>
        <w:rPr>
          <w:sz w:val="24"/>
          <w:u w:val="single"/>
        </w:rPr>
      </w:pPr>
      <w:r>
        <w:rPr>
          <w:sz w:val="24"/>
        </w:rPr>
        <w:t>包号：</w:t>
      </w:r>
      <w:r>
        <w:rPr>
          <w:sz w:val="24"/>
          <w:u w:val="single"/>
        </w:rPr>
        <w:t xml:space="preserve">                        </w:t>
      </w:r>
    </w:p>
    <w:p w14:paraId="30DC4A84">
      <w:pPr>
        <w:spacing w:line="460" w:lineRule="exact"/>
        <w:rPr>
          <w:sz w:val="24"/>
          <w:szCs w:val="24"/>
          <w:u w:val="single"/>
        </w:rPr>
      </w:pPr>
    </w:p>
    <w:p w14:paraId="44280F83">
      <w:pPr>
        <w:spacing w:line="360" w:lineRule="auto"/>
        <w:ind w:firstLine="448" w:firstLineChars="200"/>
        <w:rPr>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除下表列出的偏离外，与招标文件技术要求完全一致，并承担相应的法律责任。</w:t>
      </w:r>
    </w:p>
    <w:tbl>
      <w:tblPr>
        <w:tblStyle w:val="22"/>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05540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272B5D6">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20DCC423">
            <w:pPr>
              <w:widowControl/>
              <w:snapToGrid w:val="0"/>
              <w:jc w:val="center"/>
              <w:rPr>
                <w:kern w:val="0"/>
                <w:sz w:val="24"/>
                <w:szCs w:val="24"/>
              </w:rPr>
            </w:pPr>
            <w:r>
              <w:rPr>
                <w:rFonts w:hint="eastAsia" w:ascii="宋体" w:hAnsi="宋体"/>
                <w:kern w:val="0"/>
                <w:sz w:val="24"/>
                <w:szCs w:val="24"/>
              </w:rPr>
              <w:t>招标文件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360EC35B">
            <w:pPr>
              <w:widowControl/>
              <w:snapToGrid w:val="0"/>
              <w:jc w:val="center"/>
              <w:rPr>
                <w:kern w:val="0"/>
                <w:sz w:val="24"/>
                <w:szCs w:val="24"/>
              </w:rPr>
            </w:pPr>
            <w:r>
              <w:rPr>
                <w:rFonts w:hint="eastAsia" w:ascii="宋体" w:hAnsi="宋体"/>
                <w:kern w:val="0"/>
                <w:sz w:val="24"/>
                <w:szCs w:val="24"/>
              </w:rPr>
              <w:t>投标</w:t>
            </w:r>
            <w:r>
              <w:rPr>
                <w:rFonts w:ascii="宋体" w:hAnsi="宋体"/>
                <w:kern w:val="0"/>
                <w:sz w:val="24"/>
                <w:szCs w:val="24"/>
              </w:rPr>
              <w:t>应答</w:t>
            </w:r>
          </w:p>
        </w:tc>
        <w:tc>
          <w:tcPr>
            <w:tcW w:w="2071" w:type="dxa"/>
            <w:tcBorders>
              <w:top w:val="single" w:color="auto" w:sz="4" w:space="0"/>
              <w:left w:val="single" w:color="auto" w:sz="4" w:space="0"/>
              <w:bottom w:val="single" w:color="auto" w:sz="4" w:space="0"/>
              <w:right w:val="single" w:color="auto" w:sz="4" w:space="0"/>
            </w:tcBorders>
            <w:vAlign w:val="center"/>
          </w:tcPr>
          <w:p w14:paraId="1CA08EAD">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06A74614">
            <w:pPr>
              <w:widowControl/>
              <w:snapToGrid w:val="0"/>
              <w:jc w:val="center"/>
              <w:rPr>
                <w:kern w:val="0"/>
                <w:sz w:val="24"/>
                <w:szCs w:val="24"/>
              </w:rPr>
            </w:pPr>
            <w:r>
              <w:rPr>
                <w:rFonts w:ascii="宋体" w:hAnsi="宋体"/>
                <w:kern w:val="0"/>
                <w:sz w:val="24"/>
                <w:szCs w:val="24"/>
              </w:rPr>
              <w:t>备注</w:t>
            </w:r>
          </w:p>
        </w:tc>
      </w:tr>
      <w:tr w14:paraId="4704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1D214E56">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5786D89">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06E4A7BC">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3286F8FE">
            <w:pPr>
              <w:widowControl/>
              <w:snapToGrid w:val="0"/>
              <w:jc w:val="center"/>
              <w:rPr>
                <w:kern w:val="0"/>
                <w:sz w:val="24"/>
                <w:szCs w:val="24"/>
              </w:rPr>
            </w:pPr>
            <w:r>
              <w:rPr>
                <w:rFonts w:hint="eastAsia" w:ascii="宋体" w:hAnsi="宋体"/>
                <w:sz w:val="24"/>
                <w:szCs w:val="24"/>
              </w:rPr>
              <w:t>此表仅体现与招标文件技术要求存在偏离的部分，无偏离的部分，无需填写。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0EA90590">
            <w:pPr>
              <w:widowControl/>
              <w:snapToGrid w:val="0"/>
              <w:jc w:val="center"/>
              <w:rPr>
                <w:kern w:val="0"/>
                <w:sz w:val="24"/>
                <w:szCs w:val="24"/>
              </w:rPr>
            </w:pPr>
          </w:p>
        </w:tc>
      </w:tr>
      <w:tr w14:paraId="4C21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9BB8ABE">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333980CE">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1460D53B">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6838C963">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3E0B538A">
            <w:pPr>
              <w:widowControl/>
              <w:snapToGrid w:val="0"/>
              <w:jc w:val="center"/>
              <w:rPr>
                <w:kern w:val="0"/>
                <w:sz w:val="24"/>
                <w:szCs w:val="24"/>
              </w:rPr>
            </w:pPr>
          </w:p>
        </w:tc>
      </w:tr>
      <w:tr w14:paraId="046C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47ED404">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0525FB88">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6EBC20B2">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26FCC037">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5216287F">
            <w:pPr>
              <w:widowControl/>
              <w:snapToGrid w:val="0"/>
              <w:jc w:val="center"/>
              <w:rPr>
                <w:kern w:val="0"/>
                <w:sz w:val="24"/>
                <w:szCs w:val="24"/>
              </w:rPr>
            </w:pPr>
          </w:p>
        </w:tc>
      </w:tr>
      <w:tr w14:paraId="7F2C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38C73926">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EF71798">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229089D9">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79436FC">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4FC3C947">
            <w:pPr>
              <w:widowControl/>
              <w:snapToGrid w:val="0"/>
              <w:jc w:val="center"/>
              <w:rPr>
                <w:kern w:val="0"/>
                <w:sz w:val="24"/>
                <w:szCs w:val="24"/>
              </w:rPr>
            </w:pPr>
          </w:p>
        </w:tc>
      </w:tr>
      <w:tr w14:paraId="46BCB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7F27E00">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59A2EC8">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578DF4BE">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0D5CC06">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386FD7F3">
            <w:pPr>
              <w:widowControl/>
              <w:snapToGrid w:val="0"/>
              <w:jc w:val="center"/>
              <w:rPr>
                <w:kern w:val="0"/>
                <w:sz w:val="24"/>
                <w:szCs w:val="24"/>
              </w:rPr>
            </w:pPr>
          </w:p>
        </w:tc>
      </w:tr>
    </w:tbl>
    <w:p w14:paraId="50FEEAE2">
      <w:pPr>
        <w:spacing w:line="360" w:lineRule="auto"/>
        <w:ind w:firstLine="448" w:firstLineChars="200"/>
        <w:rPr>
          <w:sz w:val="24"/>
          <w:szCs w:val="24"/>
        </w:rPr>
      </w:pPr>
      <w:r>
        <w:rPr>
          <w:rFonts w:ascii="宋体" w:hAnsi="宋体"/>
          <w:sz w:val="24"/>
          <w:szCs w:val="24"/>
        </w:rPr>
        <w:t>注：</w:t>
      </w:r>
    </w:p>
    <w:p w14:paraId="76238D96">
      <w:pPr>
        <w:spacing w:line="360" w:lineRule="auto"/>
        <w:ind w:firstLine="448" w:firstLineChars="200"/>
        <w:rPr>
          <w:sz w:val="24"/>
          <w:szCs w:val="24"/>
        </w:rPr>
      </w:pPr>
      <w:r>
        <w:rPr>
          <w:rFonts w:hint="eastAsia"/>
          <w:sz w:val="24"/>
          <w:szCs w:val="24"/>
        </w:rPr>
        <w:t xml:space="preserve">1. </w:t>
      </w:r>
      <w:r>
        <w:rPr>
          <w:rFonts w:hint="eastAsia" w:ascii="宋体" w:hAnsi="宋体"/>
          <w:sz w:val="24"/>
          <w:szCs w:val="24"/>
        </w:rPr>
        <w:t>此表仅体现与招标文件技术要求存在偏离的部分，无偏离的部分，无需填写。</w:t>
      </w:r>
    </w:p>
    <w:p w14:paraId="473DA38F">
      <w:pPr>
        <w:spacing w:line="360" w:lineRule="auto"/>
        <w:ind w:firstLine="448" w:firstLineChars="200"/>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w:t>
      </w:r>
      <w:r>
        <w:rPr>
          <w:rFonts w:hint="eastAsia" w:ascii="宋体" w:hAnsi="宋体"/>
          <w:sz w:val="24"/>
          <w:szCs w:val="24"/>
        </w:rPr>
        <w:t>投标</w:t>
      </w:r>
      <w:r>
        <w:rPr>
          <w:rFonts w:ascii="宋体" w:hAnsi="宋体"/>
          <w:sz w:val="24"/>
          <w:szCs w:val="24"/>
        </w:rPr>
        <w:t>文件将视为虚假材料。</w:t>
      </w:r>
    </w:p>
    <w:p w14:paraId="637D0833">
      <w:pPr>
        <w:spacing w:line="360" w:lineRule="auto"/>
        <w:ind w:firstLine="448"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hint="eastAsia" w:ascii="宋体" w:hAnsi="宋体"/>
          <w:sz w:val="24"/>
          <w:szCs w:val="24"/>
        </w:rPr>
        <w:t>招标</w:t>
      </w:r>
      <w:r>
        <w:rPr>
          <w:rFonts w:ascii="宋体" w:hAnsi="宋体"/>
          <w:sz w:val="24"/>
          <w:szCs w:val="24"/>
        </w:rPr>
        <w:t>文件中规定的具体要求，“</w:t>
      </w:r>
      <w:r>
        <w:rPr>
          <w:rFonts w:hint="eastAsia" w:ascii="宋体" w:hAnsi="宋体"/>
          <w:sz w:val="24"/>
          <w:szCs w:val="24"/>
        </w:rPr>
        <w:t>投标</w:t>
      </w:r>
      <w:r>
        <w:rPr>
          <w:rFonts w:ascii="宋体" w:hAnsi="宋体"/>
          <w:sz w:val="24"/>
          <w:szCs w:val="24"/>
        </w:rPr>
        <w:t>应答”指投标</w:t>
      </w:r>
      <w:r>
        <w:rPr>
          <w:rFonts w:hint="eastAsia" w:ascii="宋体" w:hAnsi="宋体"/>
          <w:sz w:val="24"/>
          <w:szCs w:val="24"/>
        </w:rPr>
        <w:t>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招标</w:t>
      </w:r>
      <w:r>
        <w:rPr>
          <w:rFonts w:ascii="宋体" w:hAnsi="宋体"/>
          <w:sz w:val="24"/>
          <w:szCs w:val="24"/>
        </w:rPr>
        <w:t>文件中规定的具体要求与</w:t>
      </w:r>
      <w:r>
        <w:rPr>
          <w:rFonts w:hint="eastAsia" w:ascii="宋体" w:hAnsi="宋体"/>
          <w:sz w:val="24"/>
          <w:szCs w:val="24"/>
        </w:rPr>
        <w:t>投标</w:t>
      </w:r>
      <w:r>
        <w:rPr>
          <w:rFonts w:ascii="宋体" w:hAnsi="宋体"/>
          <w:sz w:val="24"/>
          <w:szCs w:val="24"/>
        </w:rPr>
        <w:t>文件的具体内容的不同之处。</w:t>
      </w:r>
    </w:p>
    <w:p w14:paraId="05B90FA9">
      <w:pPr>
        <w:spacing w:line="360" w:lineRule="auto"/>
        <w:rPr>
          <w:sz w:val="24"/>
        </w:rPr>
      </w:pPr>
    </w:p>
    <w:p w14:paraId="7F707CC0">
      <w:pPr>
        <w:spacing w:line="360" w:lineRule="auto"/>
        <w:ind w:firstLine="3808" w:firstLineChars="1700"/>
        <w:rPr>
          <w:sz w:val="24"/>
        </w:rPr>
      </w:pPr>
      <w:r>
        <w:rPr>
          <w:sz w:val="24"/>
        </w:rPr>
        <w:t>投标人名称：</w:t>
      </w:r>
    </w:p>
    <w:p w14:paraId="0D0F3865">
      <w:pPr>
        <w:spacing w:line="360" w:lineRule="auto"/>
        <w:ind w:firstLine="3808" w:firstLineChars="1700"/>
        <w:rPr>
          <w:sz w:val="24"/>
        </w:rPr>
      </w:pPr>
    </w:p>
    <w:p w14:paraId="728B5C94">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FBEE5FD">
      <w:pPr>
        <w:widowControl/>
        <w:jc w:val="left"/>
        <w:rPr>
          <w:sz w:val="24"/>
        </w:rPr>
      </w:pPr>
      <w:r>
        <w:rPr>
          <w:sz w:val="24"/>
        </w:rPr>
        <w:br w:type="page"/>
      </w:r>
    </w:p>
    <w:p w14:paraId="47DCE341">
      <w:pPr>
        <w:tabs>
          <w:tab w:val="left" w:pos="360"/>
        </w:tabs>
        <w:spacing w:line="360" w:lineRule="auto"/>
        <w:rPr>
          <w:rFonts w:hint="eastAsia" w:eastAsia="宋体"/>
          <w:b/>
          <w:sz w:val="24"/>
          <w:lang w:eastAsia="zh-CN"/>
        </w:rPr>
      </w:pPr>
      <w:r>
        <w:rPr>
          <w:b/>
          <w:sz w:val="24"/>
        </w:rPr>
        <w:t>附件</w:t>
      </w:r>
      <w:r>
        <w:rPr>
          <w:rFonts w:hint="eastAsia"/>
          <w:b/>
          <w:sz w:val="24"/>
          <w:lang w:val="en-US" w:eastAsia="zh-CN"/>
        </w:rPr>
        <w:t>5</w:t>
      </w:r>
    </w:p>
    <w:p w14:paraId="22C424C0">
      <w:pPr>
        <w:autoSpaceDN w:val="0"/>
        <w:spacing w:line="360" w:lineRule="auto"/>
        <w:jc w:val="center"/>
        <w:rPr>
          <w:b/>
          <w:bCs/>
          <w:sz w:val="24"/>
        </w:rPr>
      </w:pPr>
      <w:r>
        <w:rPr>
          <w:rFonts w:hint="eastAsia"/>
          <w:b/>
          <w:bCs/>
          <w:sz w:val="24"/>
        </w:rPr>
        <w:t>投标</w:t>
      </w:r>
      <w:r>
        <w:rPr>
          <w:b/>
          <w:bCs/>
          <w:sz w:val="24"/>
        </w:rPr>
        <w:t>代表人授权书</w:t>
      </w:r>
    </w:p>
    <w:p w14:paraId="5D73AED8">
      <w:pPr>
        <w:spacing w:line="360" w:lineRule="auto"/>
        <w:rPr>
          <w:sz w:val="24"/>
          <w:szCs w:val="21"/>
        </w:rPr>
      </w:pPr>
    </w:p>
    <w:p w14:paraId="411FF2EC">
      <w:pPr>
        <w:spacing w:line="360" w:lineRule="auto"/>
        <w:rPr>
          <w:sz w:val="24"/>
          <w:szCs w:val="21"/>
        </w:rPr>
      </w:pPr>
      <w:r>
        <w:rPr>
          <w:sz w:val="24"/>
          <w:szCs w:val="21"/>
        </w:rPr>
        <w:t>致：天津市政府采购中心</w:t>
      </w:r>
    </w:p>
    <w:p w14:paraId="1EF7064A">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20774F35">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33DB62AD">
      <w:pPr>
        <w:spacing w:line="360" w:lineRule="auto"/>
        <w:ind w:firstLine="448" w:firstLineChars="200"/>
        <w:rPr>
          <w:sz w:val="24"/>
          <w:szCs w:val="21"/>
        </w:rPr>
      </w:pPr>
      <w:r>
        <w:rPr>
          <w:sz w:val="24"/>
          <w:szCs w:val="21"/>
        </w:rPr>
        <w:t>本授权书至投标有效期结束前始终有效。</w:t>
      </w:r>
    </w:p>
    <w:p w14:paraId="46B23746">
      <w:pPr>
        <w:spacing w:line="360" w:lineRule="auto"/>
        <w:ind w:firstLine="448" w:firstLineChars="200"/>
        <w:rPr>
          <w:sz w:val="24"/>
          <w:szCs w:val="21"/>
        </w:rPr>
      </w:pPr>
      <w:r>
        <w:rPr>
          <w:sz w:val="24"/>
          <w:szCs w:val="21"/>
        </w:rPr>
        <w:t>投标代表人无转委托权，特此委托。</w:t>
      </w:r>
    </w:p>
    <w:p w14:paraId="5370BEC1">
      <w:pPr>
        <w:spacing w:line="360" w:lineRule="auto"/>
        <w:ind w:firstLine="448" w:firstLineChars="200"/>
        <w:rPr>
          <w:sz w:val="24"/>
        </w:rPr>
      </w:pPr>
    </w:p>
    <w:p w14:paraId="53029FC2">
      <w:pPr>
        <w:spacing w:line="360" w:lineRule="auto"/>
        <w:ind w:firstLine="448" w:firstLineChars="200"/>
        <w:rPr>
          <w:sz w:val="24"/>
        </w:rPr>
      </w:pPr>
    </w:p>
    <w:p w14:paraId="212D02D1">
      <w:pPr>
        <w:spacing w:line="480" w:lineRule="auto"/>
        <w:jc w:val="center"/>
        <w:rPr>
          <w:sz w:val="24"/>
        </w:rPr>
      </w:pPr>
      <w:r>
        <w:rPr>
          <w:sz w:val="24"/>
        </w:rPr>
        <w:t xml:space="preserve">     年   月   日 </w:t>
      </w:r>
    </w:p>
    <w:p w14:paraId="213043B5">
      <w:pPr>
        <w:spacing w:line="360" w:lineRule="auto"/>
        <w:ind w:firstLine="4704" w:firstLineChars="2100"/>
        <w:rPr>
          <w:sz w:val="24"/>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3E15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59DB9D28">
            <w:pPr>
              <w:spacing w:line="360" w:lineRule="auto"/>
              <w:jc w:val="left"/>
              <w:rPr>
                <w:sz w:val="24"/>
              </w:rPr>
            </w:pPr>
            <w:r>
              <w:rPr>
                <w:sz w:val="24"/>
              </w:rPr>
              <w:t>投标代表人身份证正面</w:t>
            </w:r>
          </w:p>
          <w:p w14:paraId="76E3325F">
            <w:pPr>
              <w:spacing w:line="360" w:lineRule="auto"/>
              <w:jc w:val="left"/>
              <w:rPr>
                <w:sz w:val="24"/>
              </w:rPr>
            </w:pPr>
          </w:p>
          <w:p w14:paraId="7695FCE0">
            <w:pPr>
              <w:spacing w:line="360" w:lineRule="auto"/>
              <w:jc w:val="left"/>
              <w:rPr>
                <w:sz w:val="24"/>
              </w:rPr>
            </w:pPr>
          </w:p>
          <w:p w14:paraId="28EAB6D7">
            <w:pPr>
              <w:spacing w:line="360" w:lineRule="auto"/>
              <w:jc w:val="left"/>
              <w:rPr>
                <w:sz w:val="24"/>
              </w:rPr>
            </w:pPr>
          </w:p>
          <w:p w14:paraId="19AECF41">
            <w:pPr>
              <w:spacing w:line="360" w:lineRule="auto"/>
              <w:jc w:val="left"/>
              <w:rPr>
                <w:sz w:val="24"/>
              </w:rPr>
            </w:pPr>
          </w:p>
          <w:p w14:paraId="7F59340B">
            <w:pPr>
              <w:spacing w:line="360" w:lineRule="auto"/>
              <w:jc w:val="left"/>
              <w:rPr>
                <w:sz w:val="24"/>
              </w:rPr>
            </w:pPr>
          </w:p>
        </w:tc>
        <w:tc>
          <w:tcPr>
            <w:tcW w:w="4264" w:type="dxa"/>
          </w:tcPr>
          <w:p w14:paraId="1063EC08">
            <w:pPr>
              <w:spacing w:line="360" w:lineRule="auto"/>
              <w:jc w:val="left"/>
              <w:rPr>
                <w:sz w:val="24"/>
              </w:rPr>
            </w:pPr>
            <w:r>
              <w:rPr>
                <w:sz w:val="24"/>
              </w:rPr>
              <w:t>投标代表人身份证背面</w:t>
            </w:r>
          </w:p>
        </w:tc>
      </w:tr>
    </w:tbl>
    <w:p w14:paraId="04D47447">
      <w:pPr>
        <w:widowControl/>
        <w:jc w:val="left"/>
        <w:rPr>
          <w:sz w:val="24"/>
        </w:rPr>
      </w:pPr>
      <w:r>
        <w:rPr>
          <w:sz w:val="24"/>
        </w:rPr>
        <w:br w:type="page"/>
      </w:r>
    </w:p>
    <w:p w14:paraId="23DD139B">
      <w:pPr>
        <w:snapToGrid w:val="0"/>
        <w:spacing w:line="360" w:lineRule="auto"/>
        <w:rPr>
          <w:b/>
          <w:bCs/>
          <w:sz w:val="24"/>
        </w:rPr>
      </w:pPr>
      <w:r>
        <w:rPr>
          <w:b/>
          <w:sz w:val="24"/>
          <w:szCs w:val="21"/>
        </w:rPr>
        <w:t>附件</w:t>
      </w:r>
      <w:r>
        <w:rPr>
          <w:rFonts w:hint="eastAsia"/>
          <w:b/>
          <w:sz w:val="24"/>
          <w:szCs w:val="21"/>
          <w:lang w:val="en-US" w:eastAsia="zh-CN"/>
        </w:rPr>
        <w:t>6</w:t>
      </w:r>
      <w:r>
        <w:rPr>
          <w:b/>
          <w:sz w:val="24"/>
          <w:szCs w:val="21"/>
        </w:rPr>
        <w:t>：</w:t>
      </w:r>
      <w:r>
        <w:rPr>
          <w:b/>
          <w:sz w:val="24"/>
        </w:rPr>
        <w:t>招标文件</w:t>
      </w:r>
      <w:r>
        <w:rPr>
          <w:b/>
          <w:bCs/>
          <w:sz w:val="24"/>
        </w:rPr>
        <w:t>评分因素及评标标准中要求的证明材料</w:t>
      </w:r>
      <w:r>
        <w:rPr>
          <w:rFonts w:hint="eastAsia"/>
          <w:b/>
          <w:bCs/>
          <w:sz w:val="24"/>
          <w:lang w:eastAsia="zh-CN"/>
        </w:rPr>
        <w:t>电子件</w:t>
      </w:r>
      <w:r>
        <w:rPr>
          <w:b/>
          <w:bCs/>
          <w:sz w:val="24"/>
        </w:rPr>
        <w:t>、方案等</w:t>
      </w:r>
    </w:p>
    <w:p w14:paraId="137B7D08">
      <w:pPr>
        <w:snapToGrid w:val="0"/>
        <w:spacing w:line="360" w:lineRule="auto"/>
        <w:rPr>
          <w:b/>
          <w:sz w:val="24"/>
          <w:szCs w:val="21"/>
        </w:rPr>
      </w:pPr>
      <w:r>
        <w:rPr>
          <w:b/>
          <w:bCs/>
          <w:sz w:val="24"/>
        </w:rPr>
        <w:t>附件</w:t>
      </w:r>
      <w:r>
        <w:rPr>
          <w:rFonts w:hint="eastAsia"/>
          <w:b/>
          <w:bCs/>
          <w:sz w:val="24"/>
          <w:lang w:val="en-US" w:eastAsia="zh-CN"/>
        </w:rPr>
        <w:t>7</w:t>
      </w:r>
      <w:r>
        <w:rPr>
          <w:b/>
          <w:bCs/>
          <w:sz w:val="24"/>
        </w:rPr>
        <w:t>：</w:t>
      </w:r>
      <w:r>
        <w:rPr>
          <w:b/>
          <w:sz w:val="24"/>
        </w:rPr>
        <w:t>投标人认为需要提供的其他资料</w:t>
      </w: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
    <w:altName w:val="微软雅黑"/>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7724B">
    <w:pPr>
      <w:pStyle w:val="14"/>
      <w:jc w:val="center"/>
    </w:pPr>
    <w:r>
      <w:rPr>
        <w:b/>
      </w:rPr>
      <w:fldChar w:fldCharType="begin"/>
    </w:r>
    <w:r>
      <w:rPr>
        <w:b/>
      </w:rPr>
      <w:instrText xml:space="preserve">PAGE  \* Arabic  \* MERGEFORMAT</w:instrText>
    </w:r>
    <w:r>
      <w:rPr>
        <w:b/>
      </w:rPr>
      <w:fldChar w:fldCharType="separate"/>
    </w:r>
    <w:r>
      <w:rPr>
        <w:b/>
        <w:lang w:val="zh-CN"/>
      </w:rPr>
      <w:t>42</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50C8E">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2FCE"/>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1E88"/>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23F3"/>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991"/>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58"/>
    <w:rsid w:val="00512ABA"/>
    <w:rsid w:val="005131C3"/>
    <w:rsid w:val="00513A4E"/>
    <w:rsid w:val="00515B6B"/>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050"/>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1C9"/>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6047"/>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1E71"/>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98"/>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8F1"/>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6A"/>
    <w:rsid w:val="00C52EC6"/>
    <w:rsid w:val="00C53639"/>
    <w:rsid w:val="00C55371"/>
    <w:rsid w:val="00C553EC"/>
    <w:rsid w:val="00C555A4"/>
    <w:rsid w:val="00C55AB7"/>
    <w:rsid w:val="00C55ACC"/>
    <w:rsid w:val="00C6143B"/>
    <w:rsid w:val="00C628E8"/>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070"/>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3F0C"/>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12DC7D8E"/>
    <w:rsid w:val="2C270354"/>
    <w:rsid w:val="2E2F2689"/>
    <w:rsid w:val="3426636B"/>
    <w:rsid w:val="3C292943"/>
    <w:rsid w:val="43CE4F8B"/>
    <w:rsid w:val="48416B30"/>
    <w:rsid w:val="516A43E9"/>
    <w:rsid w:val="51BA49DE"/>
    <w:rsid w:val="57FA4758"/>
    <w:rsid w:val="5AE74E07"/>
    <w:rsid w:val="5C8005D2"/>
    <w:rsid w:val="5D5070F8"/>
    <w:rsid w:val="66EA5BFE"/>
    <w:rsid w:val="744A0DA3"/>
    <w:rsid w:val="7DD10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36"/>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annotation text"/>
    <w:basedOn w:val="1"/>
    <w:link w:val="50"/>
    <w:semiHidden/>
    <w:unhideWhenUsed/>
    <w:qFormat/>
    <w:uiPriority w:val="99"/>
    <w:pPr>
      <w:jc w:val="left"/>
    </w:pPr>
  </w:style>
  <w:style w:type="paragraph" w:styleId="6">
    <w:name w:val="Body Text"/>
    <w:basedOn w:val="1"/>
    <w:link w:val="53"/>
    <w:semiHidden/>
    <w:unhideWhenUsed/>
    <w:qFormat/>
    <w:uiPriority w:val="99"/>
    <w:pPr>
      <w:spacing w:after="120"/>
    </w:pPr>
  </w:style>
  <w:style w:type="paragraph" w:styleId="7">
    <w:name w:val="Body Text Indent"/>
    <w:basedOn w:val="1"/>
    <w:link w:val="28"/>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0"/>
    <w:qFormat/>
    <w:uiPriority w:val="0"/>
    <w:rPr>
      <w:rFonts w:ascii="宋体" w:hAnsi="Courier New"/>
      <w:lang w:val="zh-CN" w:eastAsia="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3"/>
    <w:qFormat/>
    <w:uiPriority w:val="0"/>
    <w:pPr>
      <w:adjustRightInd w:val="0"/>
      <w:spacing w:line="360" w:lineRule="atLeast"/>
      <w:textAlignment w:val="baseline"/>
    </w:pPr>
    <w:rPr>
      <w:sz w:val="32"/>
    </w:rPr>
  </w:style>
  <w:style w:type="paragraph" w:styleId="12">
    <w:name w:val="Body Text Indent 2"/>
    <w:basedOn w:val="1"/>
    <w:link w:val="35"/>
    <w:semiHidden/>
    <w:unhideWhenUsed/>
    <w:qFormat/>
    <w:uiPriority w:val="99"/>
    <w:pPr>
      <w:spacing w:after="120" w:line="480" w:lineRule="auto"/>
      <w:ind w:left="420" w:leftChars="200"/>
    </w:pPr>
  </w:style>
  <w:style w:type="paragraph" w:styleId="13">
    <w:name w:val="Balloon Text"/>
    <w:basedOn w:val="1"/>
    <w:link w:val="52"/>
    <w:semiHidden/>
    <w:unhideWhenUsed/>
    <w:qFormat/>
    <w:uiPriority w:val="99"/>
    <w:rPr>
      <w:sz w:val="18"/>
      <w:szCs w:val="18"/>
    </w:rPr>
  </w:style>
  <w:style w:type="paragraph" w:styleId="14">
    <w:name w:val="footer"/>
    <w:basedOn w:val="1"/>
    <w:link w:val="32"/>
    <w:unhideWhenUsed/>
    <w:qFormat/>
    <w:uiPriority w:val="99"/>
    <w:pPr>
      <w:tabs>
        <w:tab w:val="center" w:pos="4153"/>
        <w:tab w:val="right" w:pos="8306"/>
      </w:tabs>
      <w:snapToGrid w:val="0"/>
      <w:jc w:val="left"/>
    </w:pPr>
    <w:rPr>
      <w:sz w:val="18"/>
      <w:szCs w:val="18"/>
    </w:rPr>
  </w:style>
  <w:style w:type="paragraph" w:styleId="15">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0"/>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1"/>
    <w:semiHidden/>
    <w:unhideWhenUsed/>
    <w:qFormat/>
    <w:uiPriority w:val="99"/>
    <w:pPr>
      <w:spacing w:after="120"/>
      <w:ind w:left="420" w:leftChars="200"/>
    </w:pPr>
    <w:rPr>
      <w:sz w:val="16"/>
      <w:szCs w:val="16"/>
    </w:rPr>
  </w:style>
  <w:style w:type="paragraph" w:styleId="19">
    <w:name w:val="Body Text 2"/>
    <w:basedOn w:val="1"/>
    <w:link w:val="37"/>
    <w:semiHidden/>
    <w:unhideWhenUsed/>
    <w:qFormat/>
    <w:uiPriority w:val="99"/>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5"/>
    <w:next w:val="5"/>
    <w:link w:val="51"/>
    <w:semiHidden/>
    <w:unhideWhenUsed/>
    <w:qFormat/>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Hyperlink"/>
    <w:basedOn w:val="24"/>
    <w:unhideWhenUsed/>
    <w:qFormat/>
    <w:uiPriority w:val="99"/>
    <w:rPr>
      <w:color w:val="0000FF" w:themeColor="hyperlink"/>
      <w:u w:val="single"/>
      <w14:textFill>
        <w14:solidFill>
          <w14:schemeClr w14:val="hlink"/>
        </w14:solidFill>
      </w14:textFill>
    </w:rPr>
  </w:style>
  <w:style w:type="character" w:styleId="27">
    <w:name w:val="annotation reference"/>
    <w:basedOn w:val="24"/>
    <w:semiHidden/>
    <w:unhideWhenUsed/>
    <w:qFormat/>
    <w:uiPriority w:val="99"/>
    <w:rPr>
      <w:sz w:val="21"/>
      <w:szCs w:val="21"/>
    </w:rPr>
  </w:style>
  <w:style w:type="character" w:customStyle="1" w:styleId="28">
    <w:name w:val="正文文本缩进 Char"/>
    <w:basedOn w:val="24"/>
    <w:link w:val="7"/>
    <w:qFormat/>
    <w:uiPriority w:val="0"/>
    <w:rPr>
      <w:rFonts w:ascii="宋体" w:hAnsi="宋体" w:eastAsia="宋体" w:cs="Times New Roman"/>
      <w:sz w:val="24"/>
      <w:szCs w:val="20"/>
    </w:rPr>
  </w:style>
  <w:style w:type="paragraph" w:customStyle="1" w:styleId="29">
    <w:name w:val="Default"/>
    <w:link w:val="48"/>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0">
    <w:name w:val="副标题 Char"/>
    <w:basedOn w:val="24"/>
    <w:link w:val="16"/>
    <w:qFormat/>
    <w:uiPriority w:val="11"/>
    <w:rPr>
      <w:rFonts w:ascii="Cambria" w:hAnsi="Cambria" w:eastAsia="宋体" w:cs="Times New Roman"/>
      <w:b/>
      <w:bCs/>
      <w:kern w:val="28"/>
      <w:sz w:val="32"/>
      <w:szCs w:val="32"/>
      <w:lang w:val="zh-CN" w:eastAsia="zh-CN"/>
    </w:rPr>
  </w:style>
  <w:style w:type="character" w:customStyle="1" w:styleId="31">
    <w:name w:val="页眉 Char"/>
    <w:basedOn w:val="24"/>
    <w:link w:val="15"/>
    <w:qFormat/>
    <w:uiPriority w:val="99"/>
    <w:rPr>
      <w:rFonts w:ascii="Times New Roman" w:hAnsi="Times New Roman" w:eastAsia="宋体" w:cs="Times New Roman"/>
      <w:sz w:val="18"/>
      <w:szCs w:val="18"/>
    </w:rPr>
  </w:style>
  <w:style w:type="character" w:customStyle="1" w:styleId="32">
    <w:name w:val="页脚 Char"/>
    <w:basedOn w:val="24"/>
    <w:link w:val="14"/>
    <w:qFormat/>
    <w:uiPriority w:val="99"/>
    <w:rPr>
      <w:rFonts w:ascii="Times New Roman" w:hAnsi="Times New Roman" w:eastAsia="宋体" w:cs="Times New Roman"/>
      <w:sz w:val="18"/>
      <w:szCs w:val="18"/>
    </w:rPr>
  </w:style>
  <w:style w:type="character" w:customStyle="1" w:styleId="33">
    <w:name w:val="日期 Char"/>
    <w:basedOn w:val="24"/>
    <w:link w:val="11"/>
    <w:qFormat/>
    <w:uiPriority w:val="0"/>
    <w:rPr>
      <w:rFonts w:ascii="Times New Roman" w:hAnsi="Times New Roman" w:eastAsia="宋体" w:cs="Times New Roman"/>
      <w:sz w:val="32"/>
      <w:szCs w:val="20"/>
    </w:rPr>
  </w:style>
  <w:style w:type="paragraph" w:styleId="34">
    <w:name w:val="List Paragraph"/>
    <w:basedOn w:val="1"/>
    <w:link w:val="49"/>
    <w:qFormat/>
    <w:uiPriority w:val="34"/>
    <w:pPr>
      <w:ind w:firstLine="420" w:firstLineChars="200"/>
    </w:pPr>
  </w:style>
  <w:style w:type="character" w:customStyle="1" w:styleId="35">
    <w:name w:val="正文文本缩进 2 Char"/>
    <w:basedOn w:val="24"/>
    <w:link w:val="12"/>
    <w:semiHidden/>
    <w:qFormat/>
    <w:uiPriority w:val="99"/>
    <w:rPr>
      <w:rFonts w:ascii="Times New Roman" w:hAnsi="Times New Roman" w:eastAsia="宋体" w:cs="Times New Roman"/>
      <w:szCs w:val="20"/>
    </w:rPr>
  </w:style>
  <w:style w:type="character" w:customStyle="1" w:styleId="36">
    <w:name w:val="标题 3 Char"/>
    <w:basedOn w:val="24"/>
    <w:link w:val="2"/>
    <w:qFormat/>
    <w:uiPriority w:val="0"/>
    <w:rPr>
      <w:rFonts w:ascii="Times New Roman" w:hAnsi="Times New Roman" w:eastAsia="宋体" w:cs="Times New Roman"/>
      <w:b/>
      <w:bCs/>
      <w:sz w:val="32"/>
      <w:szCs w:val="32"/>
    </w:rPr>
  </w:style>
  <w:style w:type="character" w:customStyle="1" w:styleId="37">
    <w:name w:val="正文文本 2 Char"/>
    <w:basedOn w:val="24"/>
    <w:link w:val="19"/>
    <w:semiHidden/>
    <w:qFormat/>
    <w:uiPriority w:val="99"/>
    <w:rPr>
      <w:rFonts w:ascii="Times New Roman" w:hAnsi="Times New Roman" w:eastAsia="宋体" w:cs="Times New Roman"/>
      <w:szCs w:val="20"/>
    </w:rPr>
  </w:style>
  <w:style w:type="paragraph" w:customStyle="1" w:styleId="38">
    <w:name w:val="Char"/>
    <w:basedOn w:val="1"/>
    <w:autoRedefine/>
    <w:qFormat/>
    <w:uiPriority w:val="0"/>
    <w:pPr>
      <w:tabs>
        <w:tab w:val="left" w:pos="360"/>
      </w:tabs>
    </w:pPr>
    <w:rPr>
      <w:sz w:val="24"/>
      <w:szCs w:val="24"/>
    </w:rPr>
  </w:style>
  <w:style w:type="character" w:customStyle="1" w:styleId="39">
    <w:name w:val="纯文本 Char"/>
    <w:basedOn w:val="24"/>
    <w:semiHidden/>
    <w:qFormat/>
    <w:uiPriority w:val="99"/>
    <w:rPr>
      <w:rFonts w:ascii="宋体" w:hAnsi="Courier New" w:eastAsia="宋体" w:cs="Courier New"/>
      <w:szCs w:val="21"/>
    </w:rPr>
  </w:style>
  <w:style w:type="character" w:customStyle="1" w:styleId="40">
    <w:name w:val="纯文本 Char1"/>
    <w:link w:val="9"/>
    <w:qFormat/>
    <w:locked/>
    <w:uiPriority w:val="0"/>
    <w:rPr>
      <w:rFonts w:ascii="宋体" w:hAnsi="Courier New" w:eastAsia="宋体" w:cs="Times New Roman"/>
      <w:szCs w:val="20"/>
      <w:lang w:val="zh-CN" w:eastAsia="zh-CN"/>
    </w:rPr>
  </w:style>
  <w:style w:type="character" w:customStyle="1" w:styleId="41">
    <w:name w:val="正文文本缩进 3 Char"/>
    <w:basedOn w:val="24"/>
    <w:link w:val="18"/>
    <w:semiHidden/>
    <w:qFormat/>
    <w:uiPriority w:val="99"/>
    <w:rPr>
      <w:rFonts w:ascii="Times New Roman" w:hAnsi="Times New Roman" w:eastAsia="宋体" w:cs="Times New Roman"/>
      <w:sz w:val="16"/>
      <w:szCs w:val="16"/>
    </w:rPr>
  </w:style>
  <w:style w:type="paragraph" w:customStyle="1" w:styleId="4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Char2"/>
    <w:basedOn w:val="1"/>
    <w:autoRedefine/>
    <w:qFormat/>
    <w:uiPriority w:val="0"/>
    <w:pPr>
      <w:tabs>
        <w:tab w:val="left" w:pos="360"/>
      </w:tabs>
    </w:pPr>
    <w:rPr>
      <w:sz w:val="24"/>
      <w:szCs w:val="24"/>
    </w:rPr>
  </w:style>
  <w:style w:type="paragraph" w:customStyle="1" w:styleId="47">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8">
    <w:name w:val="Default Char"/>
    <w:link w:val="29"/>
    <w:qFormat/>
    <w:locked/>
    <w:uiPriority w:val="0"/>
    <w:rPr>
      <w:rFonts w:ascii="......." w:hAnsi="Calibri" w:eastAsia="......." w:cs="......."/>
      <w:color w:val="000000"/>
      <w:kern w:val="0"/>
      <w:sz w:val="24"/>
      <w:szCs w:val="24"/>
    </w:rPr>
  </w:style>
  <w:style w:type="character" w:customStyle="1" w:styleId="49">
    <w:name w:val="列出段落 Char"/>
    <w:link w:val="34"/>
    <w:qFormat/>
    <w:uiPriority w:val="34"/>
    <w:rPr>
      <w:rFonts w:ascii="Times New Roman" w:hAnsi="Times New Roman" w:eastAsia="宋体" w:cs="Times New Roman"/>
      <w:szCs w:val="20"/>
    </w:rPr>
  </w:style>
  <w:style w:type="character" w:customStyle="1" w:styleId="50">
    <w:name w:val="批注文字 Char"/>
    <w:basedOn w:val="24"/>
    <w:link w:val="5"/>
    <w:semiHidden/>
    <w:qFormat/>
    <w:uiPriority w:val="99"/>
    <w:rPr>
      <w:rFonts w:ascii="Times New Roman" w:hAnsi="Times New Roman" w:eastAsia="宋体" w:cs="Times New Roman"/>
      <w:szCs w:val="20"/>
    </w:rPr>
  </w:style>
  <w:style w:type="character" w:customStyle="1" w:styleId="51">
    <w:name w:val="批注主题 Char"/>
    <w:basedOn w:val="50"/>
    <w:link w:val="21"/>
    <w:semiHidden/>
    <w:qFormat/>
    <w:uiPriority w:val="99"/>
    <w:rPr>
      <w:rFonts w:ascii="Times New Roman" w:hAnsi="Times New Roman" w:eastAsia="宋体" w:cs="Times New Roman"/>
      <w:b/>
      <w:bCs/>
      <w:szCs w:val="20"/>
    </w:rPr>
  </w:style>
  <w:style w:type="character" w:customStyle="1" w:styleId="52">
    <w:name w:val="批注框文本 Char"/>
    <w:basedOn w:val="24"/>
    <w:link w:val="13"/>
    <w:semiHidden/>
    <w:qFormat/>
    <w:uiPriority w:val="99"/>
    <w:rPr>
      <w:rFonts w:ascii="Times New Roman" w:hAnsi="Times New Roman" w:eastAsia="宋体" w:cs="Times New Roman"/>
      <w:sz w:val="18"/>
      <w:szCs w:val="18"/>
    </w:rPr>
  </w:style>
  <w:style w:type="character" w:customStyle="1" w:styleId="53">
    <w:name w:val="正文文本 Char"/>
    <w:basedOn w:val="24"/>
    <w:link w:val="6"/>
    <w:semiHidden/>
    <w:qFormat/>
    <w:uiPriority w:val="99"/>
    <w:rPr>
      <w:rFonts w:ascii="Times New Roman" w:hAnsi="Times New Roman" w:eastAsia="宋体" w:cs="Times New Roman"/>
      <w:szCs w:val="20"/>
    </w:rPr>
  </w:style>
  <w:style w:type="character" w:customStyle="1" w:styleId="54">
    <w:name w:val="font01"/>
    <w:basedOn w:val="2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FB300F-814F-4276-8F7F-CBA81ABF7815}">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51</Pages>
  <Words>10365</Words>
  <Characters>11374</Characters>
  <Lines>216</Lines>
  <Paragraphs>60</Paragraphs>
  <TotalTime>8</TotalTime>
  <ScaleCrop>false</ScaleCrop>
  <LinksUpToDate>false</LinksUpToDate>
  <CharactersWithSpaces>11491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2025-01-23T03:21:00Z</dcterms:created>
  <dc:creator>未定义</dc:creator>
  <cp:lastModifiedBy>尃翟</cp:lastModifiedBy>
  <dcterms:modified xsi:type="dcterms:W3CDTF">2026-08-04T03:39:12Z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eyJoZGlkIjoiZjljOWQ1MTdjODgwMjliMTE4MDQ1MDgyM2RhN2IxY2YiLCJ1c2VySWQiOiIzNjQ1NDc3NTIifQ==</vt:lpwstr>
  </property>
  <property fmtid="{D5CDD505-2E9C-101B-9397-08002B2CF9AE}" pid="3" name="KSOProductBuildVer">
    <vt:lpwstr>2052-12.1.0.24034</vt:lpwstr>
  </property>
  <property fmtid="{D5CDD505-2E9C-101B-9397-08002B2CF9AE}" pid="4" name="ICV">
    <vt:lpwstr>DB6BCDA011B14773BE9D87952067313A_13</vt:lpwstr>
  </property>
</Properties>
</file>