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6647CB">
      <w:pPr>
        <w:pStyle w:val="5"/>
        <w:rPr>
          <w:rFonts w:ascii="Times New Roman" w:hAnsi="Times New Roman" w:cs="Times New Roman"/>
        </w:rPr>
      </w:pPr>
      <w:r>
        <w:rPr>
          <w:rFonts w:hint="eastAsia" w:ascii="Times New Roman" w:hAnsi="Times New Roman" w:cs="Times New Roman"/>
        </w:rPr>
        <w:t>天津理工大学学一食堂直梯采购项目</w:t>
      </w:r>
    </w:p>
    <w:p w14:paraId="318F8FE1">
      <w:pPr>
        <w:pStyle w:val="5"/>
        <w:rPr>
          <w:rFonts w:ascii="Times New Roman" w:hAnsi="Times New Roman" w:cs="Times New Roman"/>
        </w:rPr>
      </w:pPr>
      <w:r>
        <w:rPr>
          <w:rFonts w:ascii="Times New Roman" w:hAnsi="Times New Roman" w:cs="Times New Roman"/>
        </w:rPr>
        <w:t>项目需求书</w:t>
      </w:r>
    </w:p>
    <w:p w14:paraId="5764C671">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电梯项目需求书应至少包括以下各点，请采购人按此标准填写，谢谢。</w:t>
      </w:r>
    </w:p>
    <w:p w14:paraId="79E193B7">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一、项目背景</w:t>
      </w:r>
    </w:p>
    <w:p w14:paraId="26FD1407">
      <w:pPr>
        <w:spacing w:line="360" w:lineRule="auto"/>
        <w:ind w:firstLine="480" w:firstLineChars="200"/>
        <w:rPr>
          <w:rFonts w:hint="eastAsia" w:ascii="宋体" w:hAnsi="宋体" w:eastAsia="宋体" w:cs="宋体"/>
          <w:b/>
          <w:sz w:val="24"/>
          <w:szCs w:val="24"/>
        </w:rPr>
      </w:pPr>
      <w:r>
        <w:rPr>
          <w:rFonts w:hint="eastAsia" w:ascii="宋体" w:hAnsi="宋体" w:eastAsia="宋体" w:cs="宋体"/>
          <w:kern w:val="1"/>
          <w:sz w:val="24"/>
          <w:szCs w:val="24"/>
        </w:rPr>
        <w:t>我校学一食堂现</w:t>
      </w:r>
      <w:r>
        <w:rPr>
          <w:rFonts w:hint="eastAsia" w:ascii="宋体" w:hAnsi="宋体" w:cs="宋体"/>
          <w:kern w:val="1"/>
          <w:sz w:val="24"/>
          <w:szCs w:val="24"/>
          <w:lang w:eastAsia="zh-CN"/>
        </w:rPr>
        <w:t>有</w:t>
      </w:r>
      <w:r>
        <w:rPr>
          <w:rFonts w:hint="eastAsia" w:ascii="宋体" w:hAnsi="宋体" w:eastAsia="宋体" w:cs="宋体"/>
          <w:kern w:val="1"/>
          <w:sz w:val="24"/>
          <w:szCs w:val="24"/>
          <w:lang w:val="en-US" w:eastAsia="zh-CN"/>
        </w:rPr>
        <w:t>2台有机房货梯、2台有机房客梯</w:t>
      </w:r>
      <w:r>
        <w:rPr>
          <w:rFonts w:hint="eastAsia" w:ascii="宋体" w:hAnsi="宋体" w:eastAsia="宋体" w:cs="宋体"/>
          <w:kern w:val="1"/>
          <w:sz w:val="24"/>
          <w:szCs w:val="24"/>
        </w:rPr>
        <w:t>。自2005年投入使用至今已运行19年，长期使用已经主要部件发生不可逆转的磨损，存在一定的安全隐患。根据</w:t>
      </w:r>
      <w:r>
        <w:rPr>
          <w:rFonts w:hint="eastAsia" w:ascii="宋体" w:hAnsi="宋体" w:eastAsia="宋体" w:cs="宋体"/>
          <w:kern w:val="1"/>
          <w:sz w:val="24"/>
          <w:szCs w:val="24"/>
          <w:lang w:eastAsia="zh-CN"/>
        </w:rPr>
        <w:t>相关规范和现场实际情况</w:t>
      </w:r>
      <w:r>
        <w:rPr>
          <w:rFonts w:hint="eastAsia" w:ascii="宋体" w:hAnsi="宋体" w:eastAsia="宋体" w:cs="宋体"/>
          <w:kern w:val="1"/>
          <w:sz w:val="24"/>
          <w:szCs w:val="24"/>
        </w:rPr>
        <w:t>，</w:t>
      </w:r>
      <w:r>
        <w:rPr>
          <w:rFonts w:hint="eastAsia" w:ascii="宋体" w:hAnsi="宋体" w:eastAsia="宋体" w:cs="宋体"/>
          <w:sz w:val="24"/>
          <w:szCs w:val="24"/>
        </w:rPr>
        <w:t>现需在现有电梯空间</w:t>
      </w:r>
      <w:r>
        <w:rPr>
          <w:rFonts w:hint="eastAsia" w:ascii="宋体" w:hAnsi="宋体" w:cs="宋体"/>
          <w:sz w:val="24"/>
          <w:szCs w:val="24"/>
          <w:lang w:eastAsia="zh-CN"/>
        </w:rPr>
        <w:t>内</w:t>
      </w:r>
      <w:r>
        <w:rPr>
          <w:rFonts w:hint="eastAsia" w:ascii="宋体" w:hAnsi="宋体" w:eastAsia="宋体" w:cs="宋体"/>
          <w:sz w:val="24"/>
          <w:szCs w:val="24"/>
          <w:lang w:val="en-US" w:eastAsia="zh-CN"/>
        </w:rPr>
        <w:t>2台有机房货梯和2台有机房客梯</w:t>
      </w:r>
      <w:r>
        <w:rPr>
          <w:rFonts w:hint="eastAsia" w:ascii="宋体" w:hAnsi="宋体" w:eastAsia="宋体" w:cs="宋体"/>
          <w:sz w:val="24"/>
          <w:szCs w:val="24"/>
        </w:rPr>
        <w:t>设备设施更换、安装、调试。</w:t>
      </w:r>
    </w:p>
    <w:p w14:paraId="2336CC00">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二、项目预算</w:t>
      </w:r>
    </w:p>
    <w:p w14:paraId="045EF2A2">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第一包：</w:t>
      </w:r>
      <w:r>
        <w:rPr>
          <w:rFonts w:hint="eastAsia" w:ascii="Times New Roman" w:hAnsi="Times New Roman" w:cs="Times New Roman"/>
          <w:sz w:val="24"/>
          <w:szCs w:val="24"/>
          <w:lang w:val="en-US" w:eastAsia="zh-CN"/>
        </w:rPr>
        <w:t>700000</w:t>
      </w:r>
      <w:r>
        <w:rPr>
          <w:rFonts w:ascii="Times New Roman" w:hAnsi="Times New Roman" w:cs="Times New Roman"/>
          <w:sz w:val="24"/>
          <w:szCs w:val="24"/>
        </w:rPr>
        <w:t>元；</w:t>
      </w:r>
    </w:p>
    <w:p w14:paraId="3BC773E9">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三</w:t>
      </w:r>
      <w:r>
        <w:rPr>
          <w:rFonts w:ascii="Times New Roman" w:hAnsi="Times New Roman" w:cs="Times New Roman"/>
          <w:b/>
          <w:sz w:val="24"/>
          <w:szCs w:val="24"/>
        </w:rPr>
        <w:t>、资格要求</w:t>
      </w:r>
    </w:p>
    <w:p w14:paraId="4F15DF3A">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（一）投标人资格要求</w:t>
      </w:r>
    </w:p>
    <w:p w14:paraId="74F9D055">
      <w:pPr>
        <w:pStyle w:val="10"/>
        <w:numPr>
          <w:ilvl w:val="0"/>
          <w:numId w:val="1"/>
        </w:numPr>
        <w:spacing w:line="360" w:lineRule="auto"/>
        <w:ind w:left="0" w:firstLine="480" w:firstLineChars="200"/>
        <w:rPr>
          <w:rFonts w:ascii="Times New Roman" w:hAnsi="Times New Roman" w:eastAsia="宋体" w:cs="Times New Roman"/>
          <w:color w:val="auto"/>
        </w:rPr>
      </w:pPr>
      <w:r>
        <w:rPr>
          <w:rFonts w:ascii="Times New Roman" w:hAnsi="Times New Roman" w:eastAsia="宋体" w:cs="Times New Roman"/>
          <w:color w:val="auto"/>
        </w:rPr>
        <w:t>投标人</w:t>
      </w:r>
      <w:r>
        <w:rPr>
          <w:rFonts w:ascii="Times New Roman" w:hAnsi="Times New Roman" w:cs="Times New Roman"/>
        </w:rPr>
        <w:t>应</w:t>
      </w:r>
      <w:r>
        <w:rPr>
          <w:rFonts w:ascii="Times New Roman" w:hAnsi="Times New Roman" w:eastAsia="宋体" w:cs="Times New Roman"/>
          <w:color w:val="auto"/>
        </w:rPr>
        <w:t>具备有效期内的《中华人民共和国特种设备安装改造维修许可证》</w:t>
      </w:r>
      <w:r>
        <w:rPr>
          <w:rFonts w:ascii="Times New Roman" w:hAnsi="Times New Roman" w:eastAsia="宋体" w:cs="Times New Roman"/>
          <w:color w:val="FF0000"/>
        </w:rPr>
        <w:t>（乘客电梯/载货货梯，施工类别需包含安装/改造/维修）</w:t>
      </w:r>
      <w:r>
        <w:rPr>
          <w:rFonts w:ascii="Times New Roman" w:hAnsi="Times New Roman" w:eastAsia="宋体" w:cs="Times New Roman"/>
          <w:color w:val="auto"/>
        </w:rPr>
        <w:t>，或具备有效期内的《中华人民共和国特种设备生产许可证》</w:t>
      </w:r>
      <w:r>
        <w:rPr>
          <w:rFonts w:ascii="Times New Roman" w:hAnsi="Times New Roman" w:eastAsia="宋体" w:cs="Times New Roman"/>
          <w:color w:val="FF0000"/>
        </w:rPr>
        <w:t>（电梯制造（含安装、修理、改造）或电梯安装（含修理），子项目中需包含曳引驱动乘客电梯（含消防员电梯）。</w:t>
      </w:r>
    </w:p>
    <w:p w14:paraId="3BFBF33F">
      <w:pPr>
        <w:pStyle w:val="12"/>
        <w:numPr>
          <w:ilvl w:val="0"/>
          <w:numId w:val="1"/>
        </w:numPr>
        <w:spacing w:line="360" w:lineRule="auto"/>
        <w:ind w:left="0" w:firstLine="480"/>
        <w:rPr>
          <w:rFonts w:ascii="Times New Roman" w:hAnsi="Times New Roman" w:cs="Times New Roman"/>
          <w:sz w:val="24"/>
          <w:szCs w:val="24"/>
        </w:rPr>
      </w:pPr>
      <w:r>
        <w:rPr>
          <w:rFonts w:ascii="Times New Roman" w:hAnsi="Times New Roman" w:cs="Times New Roman"/>
          <w:sz w:val="24"/>
          <w:szCs w:val="24"/>
        </w:rPr>
        <w:t>投标人应具备《中华人民共和国政府采购法》第二十二条第一款规定的条件。</w:t>
      </w:r>
    </w:p>
    <w:p w14:paraId="6659EE86">
      <w:pPr>
        <w:pStyle w:val="12"/>
        <w:numPr>
          <w:ilvl w:val="0"/>
          <w:numId w:val="1"/>
        </w:numPr>
        <w:spacing w:line="360" w:lineRule="auto"/>
        <w:ind w:left="0" w:firstLine="480"/>
        <w:rPr>
          <w:rFonts w:ascii="Times New Roman" w:hAnsi="Times New Roman" w:cs="Times New Roman"/>
          <w:sz w:val="24"/>
          <w:szCs w:val="24"/>
        </w:rPr>
      </w:pPr>
      <w:r>
        <w:rPr>
          <w:rFonts w:ascii="Times New Roman" w:hAnsi="Times New Roman" w:cs="Times New Roman"/>
          <w:sz w:val="24"/>
          <w:szCs w:val="24"/>
        </w:rPr>
        <w:t>本项目</w:t>
      </w:r>
      <w:r>
        <w:rPr>
          <w:rFonts w:ascii="Times New Roman" w:hAnsi="Times New Roman" w:cs="Times New Roman"/>
          <w:color w:val="FF0000"/>
          <w:sz w:val="24"/>
          <w:szCs w:val="24"/>
        </w:rPr>
        <w:t>不接受</w:t>
      </w:r>
      <w:r>
        <w:rPr>
          <w:rFonts w:ascii="Times New Roman" w:hAnsi="Times New Roman" w:cs="Times New Roman"/>
          <w:sz w:val="24"/>
          <w:szCs w:val="24"/>
        </w:rPr>
        <w:t>联合体。</w:t>
      </w:r>
    </w:p>
    <w:p w14:paraId="59FDD3C1">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（二）产品资格要求</w:t>
      </w:r>
    </w:p>
    <w:p w14:paraId="5CE4ECD6">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1. 所投产品制造商应具备《中华人民共和国特种设备制造许可证》</w:t>
      </w:r>
      <w:r>
        <w:rPr>
          <w:rFonts w:ascii="Times New Roman" w:hAnsi="Times New Roman" w:cs="Times New Roman"/>
          <w:color w:val="FF0000"/>
          <w:sz w:val="24"/>
          <w:szCs w:val="24"/>
        </w:rPr>
        <w:t>（曳引驱动乘客电梯）</w:t>
      </w:r>
      <w:r>
        <w:rPr>
          <w:rFonts w:ascii="Times New Roman" w:hAnsi="Times New Roman" w:cs="Times New Roman"/>
          <w:sz w:val="24"/>
          <w:szCs w:val="24"/>
        </w:rPr>
        <w:t>或《中华人民共和国特种设备生产许可证》</w:t>
      </w:r>
      <w:r>
        <w:rPr>
          <w:rFonts w:ascii="Times New Roman" w:hAnsi="Times New Roman" w:cs="Times New Roman"/>
          <w:color w:val="FF0000"/>
          <w:sz w:val="24"/>
          <w:szCs w:val="24"/>
        </w:rPr>
        <w:t>（电梯制造（含安装、修理、改造），子项目中需包含曳引驱动乘客电梯（含消防员电梯））。</w:t>
      </w:r>
    </w:p>
    <w:p w14:paraId="2DC32011">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2. 所投产品应具备《特种设备型式试验证书》。</w:t>
      </w:r>
    </w:p>
    <w:p w14:paraId="3639C6AC">
      <w:pPr>
        <w:spacing w:line="360" w:lineRule="auto"/>
        <w:ind w:firstLine="482" w:firstLineChars="200"/>
        <w:outlineLvl w:val="0"/>
        <w:rPr>
          <w:rFonts w:ascii="Times New Roman" w:hAnsi="Times New Roman" w:cs="Times New Roman"/>
          <w:b/>
          <w:sz w:val="24"/>
        </w:rPr>
      </w:pPr>
      <w:r>
        <w:rPr>
          <w:rFonts w:hint="eastAsia" w:ascii="Times New Roman" w:hAnsi="Times New Roman" w:cs="Times New Roman"/>
          <w:b/>
          <w:sz w:val="24"/>
        </w:rPr>
        <w:t>四</w:t>
      </w:r>
      <w:r>
        <w:rPr>
          <w:rFonts w:ascii="Times New Roman" w:hAnsi="Times New Roman" w:cs="Times New Roman"/>
          <w:b/>
          <w:sz w:val="24"/>
        </w:rPr>
        <w:t>、技术要求</w:t>
      </w:r>
    </w:p>
    <w:tbl>
      <w:tblPr>
        <w:tblStyle w:val="6"/>
        <w:tblW w:w="47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4"/>
        <w:gridCol w:w="1459"/>
        <w:gridCol w:w="763"/>
        <w:gridCol w:w="781"/>
        <w:gridCol w:w="4278"/>
      </w:tblGrid>
      <w:tr w14:paraId="1D240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tcBorders>
              <w:top w:val="single" w:color="auto" w:sz="4" w:space="0"/>
              <w:left w:val="single" w:color="auto" w:sz="4" w:space="0"/>
              <w:bottom w:val="single" w:color="auto" w:sz="4" w:space="0"/>
              <w:right w:val="single" w:color="auto" w:sz="4" w:space="0"/>
            </w:tcBorders>
            <w:vAlign w:val="center"/>
          </w:tcPr>
          <w:p w14:paraId="67019613">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序号</w:t>
            </w:r>
          </w:p>
        </w:tc>
        <w:tc>
          <w:tcPr>
            <w:tcW w:w="903" w:type="pct"/>
            <w:tcBorders>
              <w:top w:val="single" w:color="auto" w:sz="4" w:space="0"/>
              <w:left w:val="single" w:color="auto" w:sz="4" w:space="0"/>
              <w:bottom w:val="single" w:color="auto" w:sz="4" w:space="0"/>
              <w:right w:val="single" w:color="auto" w:sz="4" w:space="0"/>
            </w:tcBorders>
            <w:vAlign w:val="center"/>
          </w:tcPr>
          <w:p w14:paraId="3321F4CE">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采购项名称</w:t>
            </w:r>
          </w:p>
        </w:tc>
        <w:tc>
          <w:tcPr>
            <w:tcW w:w="472" w:type="pct"/>
            <w:tcBorders>
              <w:top w:val="single" w:color="auto" w:sz="4" w:space="0"/>
              <w:left w:val="single" w:color="auto" w:sz="4" w:space="0"/>
              <w:bottom w:val="single" w:color="auto" w:sz="4" w:space="0"/>
              <w:right w:val="single" w:color="auto" w:sz="4" w:space="0"/>
            </w:tcBorders>
            <w:vAlign w:val="center"/>
          </w:tcPr>
          <w:p w14:paraId="6FA534D7">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数量</w:t>
            </w:r>
          </w:p>
        </w:tc>
        <w:tc>
          <w:tcPr>
            <w:tcW w:w="483" w:type="pct"/>
            <w:tcBorders>
              <w:top w:val="single" w:color="auto" w:sz="4" w:space="0"/>
              <w:left w:val="single" w:color="auto" w:sz="4" w:space="0"/>
              <w:bottom w:val="single" w:color="auto" w:sz="4" w:space="0"/>
              <w:right w:val="single" w:color="auto" w:sz="4" w:space="0"/>
            </w:tcBorders>
            <w:vAlign w:val="center"/>
          </w:tcPr>
          <w:p w14:paraId="09AAD04A">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单位</w:t>
            </w:r>
          </w:p>
        </w:tc>
        <w:tc>
          <w:tcPr>
            <w:tcW w:w="2647" w:type="pct"/>
            <w:tcBorders>
              <w:top w:val="single" w:color="auto" w:sz="4" w:space="0"/>
              <w:left w:val="single" w:color="auto" w:sz="4" w:space="0"/>
              <w:bottom w:val="single" w:color="auto" w:sz="4" w:space="0"/>
              <w:right w:val="single" w:color="auto" w:sz="4" w:space="0"/>
            </w:tcBorders>
            <w:vAlign w:val="center"/>
          </w:tcPr>
          <w:p w14:paraId="5B156935">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需求条款</w:t>
            </w:r>
          </w:p>
        </w:tc>
      </w:tr>
      <w:tr w14:paraId="1F347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tcBorders>
              <w:top w:val="single" w:color="auto" w:sz="4" w:space="0"/>
              <w:left w:val="single" w:color="auto" w:sz="4" w:space="0"/>
              <w:bottom w:val="single" w:color="auto" w:sz="4" w:space="0"/>
              <w:right w:val="single" w:color="auto" w:sz="4" w:space="0"/>
            </w:tcBorders>
            <w:vAlign w:val="center"/>
          </w:tcPr>
          <w:p w14:paraId="553D6175">
            <w:pPr>
              <w:widowControl/>
              <w:spacing w:line="360" w:lineRule="auto"/>
              <w:jc w:val="center"/>
              <w:rPr>
                <w:rFonts w:ascii="Times New Roman" w:hAnsi="Times New Roman" w:cs="Times New Roman"/>
                <w:kern w:val="0"/>
                <w:sz w:val="24"/>
                <w:szCs w:val="24"/>
              </w:rPr>
            </w:pPr>
            <w:r>
              <w:rPr>
                <w:rFonts w:ascii="Times New Roman" w:hAnsi="Times New Roman" w:cs="Times New Roman"/>
                <w:kern w:val="0"/>
                <w:sz w:val="24"/>
                <w:szCs w:val="24"/>
              </w:rPr>
              <w:t>1</w:t>
            </w:r>
          </w:p>
        </w:tc>
        <w:tc>
          <w:tcPr>
            <w:tcW w:w="903" w:type="pct"/>
            <w:tcBorders>
              <w:top w:val="single" w:color="auto" w:sz="4" w:space="0"/>
              <w:left w:val="single" w:color="auto" w:sz="4" w:space="0"/>
              <w:bottom w:val="single" w:color="auto" w:sz="4" w:space="0"/>
              <w:right w:val="single" w:color="auto" w:sz="4" w:space="0"/>
            </w:tcBorders>
            <w:vAlign w:val="center"/>
          </w:tcPr>
          <w:p w14:paraId="261CF6A3">
            <w:pPr>
              <w:widowControl/>
              <w:spacing w:line="360" w:lineRule="auto"/>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eastAsia="zh-CN"/>
              </w:rPr>
              <w:t>有机房货梯</w:t>
            </w:r>
            <w:r>
              <w:rPr>
                <w:rFonts w:hint="eastAsia" w:ascii="Times New Roman" w:hAnsi="Times New Roman" w:cs="Times New Roman"/>
                <w:kern w:val="0"/>
                <w:sz w:val="24"/>
                <w:szCs w:val="24"/>
                <w:lang w:val="en-US" w:eastAsia="zh-CN"/>
              </w:rPr>
              <w:t>HT1</w:t>
            </w:r>
          </w:p>
        </w:tc>
        <w:tc>
          <w:tcPr>
            <w:tcW w:w="472" w:type="pct"/>
            <w:tcBorders>
              <w:top w:val="single" w:color="auto" w:sz="4" w:space="0"/>
              <w:left w:val="single" w:color="auto" w:sz="4" w:space="0"/>
              <w:bottom w:val="single" w:color="auto" w:sz="4" w:space="0"/>
              <w:right w:val="single" w:color="auto" w:sz="4" w:space="0"/>
            </w:tcBorders>
            <w:vAlign w:val="center"/>
          </w:tcPr>
          <w:p w14:paraId="01FB113F">
            <w:pPr>
              <w:spacing w:line="360" w:lineRule="auto"/>
              <w:jc w:val="center"/>
              <w:rPr>
                <w:rFonts w:ascii="Times New Roman" w:hAnsi="Times New Roman" w:cs="Times New Roman"/>
                <w:kern w:val="0"/>
                <w:sz w:val="24"/>
                <w:szCs w:val="24"/>
              </w:rPr>
            </w:pPr>
            <w:r>
              <w:rPr>
                <w:rFonts w:hint="eastAsia" w:ascii="Times New Roman" w:hAnsi="Times New Roman" w:cs="Times New Roman"/>
                <w:kern w:val="0"/>
                <w:sz w:val="24"/>
                <w:szCs w:val="24"/>
                <w:lang w:val="en-US" w:eastAsia="zh-CN"/>
              </w:rPr>
              <w:t>1</w:t>
            </w:r>
            <w:r>
              <w:rPr>
                <w:rFonts w:ascii="Times New Roman" w:hAnsi="Times New Roman" w:cs="Times New Roman"/>
                <w:kern w:val="0"/>
                <w:sz w:val="24"/>
                <w:szCs w:val="24"/>
              </w:rPr>
              <w:t xml:space="preserve"> </w:t>
            </w:r>
          </w:p>
        </w:tc>
        <w:tc>
          <w:tcPr>
            <w:tcW w:w="483" w:type="pct"/>
            <w:tcBorders>
              <w:top w:val="single" w:color="auto" w:sz="4" w:space="0"/>
              <w:left w:val="single" w:color="auto" w:sz="4" w:space="0"/>
              <w:bottom w:val="single" w:color="auto" w:sz="4" w:space="0"/>
              <w:right w:val="single" w:color="auto" w:sz="4" w:space="0"/>
            </w:tcBorders>
            <w:vAlign w:val="center"/>
          </w:tcPr>
          <w:p w14:paraId="78BFA70B">
            <w:pPr>
              <w:spacing w:line="360" w:lineRule="auto"/>
              <w:jc w:val="center"/>
              <w:rPr>
                <w:rFonts w:ascii="Times New Roman" w:hAnsi="Times New Roman" w:cs="Times New Roman"/>
                <w:sz w:val="24"/>
                <w:szCs w:val="24"/>
              </w:rPr>
            </w:pPr>
            <w:r>
              <w:rPr>
                <w:rFonts w:ascii="Times New Roman" w:hAnsi="Times New Roman" w:cs="Times New Roman"/>
                <w:sz w:val="24"/>
                <w:szCs w:val="24"/>
              </w:rPr>
              <w:t>台</w:t>
            </w:r>
          </w:p>
        </w:tc>
        <w:tc>
          <w:tcPr>
            <w:tcW w:w="2647" w:type="pct"/>
            <w:tcBorders>
              <w:top w:val="single" w:color="auto" w:sz="4" w:space="0"/>
              <w:left w:val="single" w:color="auto" w:sz="4" w:space="0"/>
              <w:bottom w:val="single" w:color="auto" w:sz="4" w:space="0"/>
              <w:right w:val="single" w:color="auto" w:sz="4" w:space="0"/>
            </w:tcBorders>
            <w:vAlign w:val="center"/>
          </w:tcPr>
          <w:p w14:paraId="781C4B5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1.电梯类型：货梯或客货两用电梯</w:t>
            </w:r>
          </w:p>
          <w:p w14:paraId="301E79E0">
            <w:pPr>
              <w:spacing w:line="360" w:lineRule="auto"/>
              <w:jc w:val="left"/>
              <w:rPr>
                <w:rFonts w:hint="eastAsia" w:ascii="Times New Roman" w:hAnsi="Times New Roman" w:cs="Times New Roman"/>
                <w:sz w:val="24"/>
                <w:szCs w:val="24"/>
                <w:lang w:val="en-US" w:eastAsia="zh-CN"/>
              </w:rPr>
            </w:pPr>
            <w:r>
              <w:rPr>
                <w:rFonts w:hint="eastAsia" w:ascii="Times New Roman" w:hAnsi="Times New Roman" w:cs="Times New Roman"/>
                <w:sz w:val="24"/>
                <w:szCs w:val="24"/>
              </w:rPr>
              <w:t>2.停站信息：</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u w:val="single"/>
                <w:lang w:val="en-US" w:eastAsia="zh-CN"/>
              </w:rPr>
              <w:t>4</w:t>
            </w:r>
            <w:r>
              <w:rPr>
                <w:rFonts w:hint="eastAsia" w:ascii="Times New Roman" w:hAnsi="Times New Roman" w:cs="Times New Roman"/>
                <w:sz w:val="24"/>
                <w:szCs w:val="24"/>
                <w:lang w:val="en-US" w:eastAsia="zh-CN"/>
              </w:rPr>
              <w:t>层</w:t>
            </w:r>
            <w:r>
              <w:rPr>
                <w:rFonts w:hint="eastAsia" w:ascii="Times New Roman" w:hAnsi="Times New Roman" w:cs="Times New Roman"/>
                <w:sz w:val="24"/>
                <w:szCs w:val="24"/>
                <w:u w:val="single"/>
                <w:lang w:val="en-US" w:eastAsia="zh-CN"/>
              </w:rPr>
              <w:t>4</w:t>
            </w:r>
            <w:r>
              <w:rPr>
                <w:rFonts w:hint="eastAsia" w:ascii="Times New Roman" w:hAnsi="Times New Roman" w:cs="Times New Roman"/>
                <w:sz w:val="24"/>
                <w:szCs w:val="24"/>
                <w:lang w:val="en-US" w:eastAsia="zh-CN"/>
              </w:rPr>
              <w:t>站（</w:t>
            </w:r>
            <w:r>
              <w:rPr>
                <w:rFonts w:hint="eastAsia" w:ascii="Times New Roman" w:hAnsi="Times New Roman" w:cs="Times New Roman"/>
                <w:sz w:val="24"/>
                <w:szCs w:val="24"/>
              </w:rPr>
              <w:t>总楼层/服务楼层/门为4/4/4（1-4F）</w:t>
            </w:r>
            <w:r>
              <w:rPr>
                <w:rFonts w:hint="eastAsia" w:ascii="Times New Roman" w:hAnsi="Times New Roman" w:cs="Times New Roman"/>
                <w:sz w:val="24"/>
                <w:szCs w:val="24"/>
                <w:lang w:val="en-US" w:eastAsia="zh-CN"/>
              </w:rPr>
              <w:t>）</w:t>
            </w:r>
          </w:p>
          <w:p w14:paraId="3C5E5F6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3.机房设置位置：上/有</w:t>
            </w:r>
          </w:p>
          <w:p w14:paraId="78153CD8">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4.驱动方式：曳引式</w:t>
            </w:r>
          </w:p>
          <w:p w14:paraId="7F3ED1B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5.控制方式：并联</w:t>
            </w:r>
          </w:p>
          <w:p w14:paraId="789FD06A">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6.额定载重：不低于1000kg</w:t>
            </w:r>
          </w:p>
          <w:p w14:paraId="3815392A">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7.额定速度：不低于1.0m/s</w:t>
            </w:r>
          </w:p>
          <w:p w14:paraId="56C81B8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8.开门方式：旁开门</w:t>
            </w:r>
          </w:p>
          <w:p w14:paraId="327D5B68">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9.开门方向：右开</w:t>
            </w:r>
          </w:p>
          <w:p w14:paraId="4C78B61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10.入口尺寸：1300毫米(宽) x 2100毫米(高)</w:t>
            </w:r>
          </w:p>
          <w:p w14:paraId="4446ADB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11.井道尺寸（宽mm*深mm）：2400x2200</w:t>
            </w:r>
          </w:p>
          <w:p w14:paraId="7A17371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12.轿厢宽*深*高（mm)1350x1650x2400</w:t>
            </w:r>
          </w:p>
          <w:p w14:paraId="42E002D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13.冲顶板底净高：5200mm</w:t>
            </w:r>
          </w:p>
          <w:p w14:paraId="43500655">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14.基坑深度：1450mm</w:t>
            </w:r>
          </w:p>
          <w:p w14:paraId="3257DD35">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15.供电制式：三相五线</w:t>
            </w:r>
          </w:p>
          <w:p w14:paraId="6CD02EC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16.轿厢装饰：</w:t>
            </w:r>
          </w:p>
          <w:p w14:paraId="05E4700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（1）轿厢壁：钢板喷涂；</w:t>
            </w:r>
          </w:p>
          <w:p w14:paraId="517C439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（2）轿厢门：钢板喷涂；</w:t>
            </w:r>
          </w:p>
          <w:p w14:paraId="7D85B3B3">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（3）轿顶装饰：金属漆钢板底板，LED灯加乳白色照明板；</w:t>
            </w:r>
          </w:p>
          <w:p w14:paraId="556BEFC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（4）地板类型：PVC拼花地板；</w:t>
            </w:r>
          </w:p>
          <w:p w14:paraId="70F0CAF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（5）外呼显示：轿厢位置及方向显示（一体式）；</w:t>
            </w:r>
          </w:p>
          <w:p w14:paraId="6B58C23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（6）厅门：钢板喷涂；</w:t>
            </w:r>
          </w:p>
          <w:p w14:paraId="6745FEA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（7）门套：钢板喷涂小门套。</w:t>
            </w:r>
          </w:p>
          <w:p w14:paraId="53E4760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17、附加功能要求：能量回馈系统；无线五方对讲；消防联动功能；群控功能；ITV线缆；机房、轿厢通风控温设备。</w:t>
            </w:r>
          </w:p>
          <w:p w14:paraId="32F81EDE">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18、电梯内监控设备保留并恢复原样，电梯安装完成后基坑防水功能恢复。</w:t>
            </w:r>
          </w:p>
          <w:p w14:paraId="76F7DD9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19、安全钳、限速器、缓冲器等安全部件包含在电梯报价内，须与电梯整梯为同一制造商生产。</w:t>
            </w:r>
          </w:p>
          <w:p w14:paraId="03B54CB6">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20、基本功能要求见附件。</w:t>
            </w:r>
          </w:p>
        </w:tc>
      </w:tr>
      <w:tr w14:paraId="32EB6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tcBorders>
              <w:top w:val="single" w:color="auto" w:sz="4" w:space="0"/>
              <w:left w:val="single" w:color="auto" w:sz="4" w:space="0"/>
              <w:bottom w:val="single" w:color="auto" w:sz="4" w:space="0"/>
              <w:right w:val="single" w:color="auto" w:sz="4" w:space="0"/>
            </w:tcBorders>
            <w:vAlign w:val="center"/>
          </w:tcPr>
          <w:p w14:paraId="655FA704">
            <w:pPr>
              <w:widowControl/>
              <w:spacing w:line="360" w:lineRule="auto"/>
              <w:jc w:val="center"/>
              <w:rPr>
                <w:rFonts w:ascii="Times New Roman" w:hAnsi="Times New Roman" w:cs="Times New Roman"/>
                <w:kern w:val="0"/>
                <w:sz w:val="24"/>
                <w:szCs w:val="24"/>
              </w:rPr>
            </w:pPr>
            <w:r>
              <w:rPr>
                <w:rFonts w:ascii="Times New Roman" w:hAnsi="Times New Roman" w:cs="Times New Roman"/>
                <w:kern w:val="0"/>
                <w:sz w:val="24"/>
                <w:szCs w:val="24"/>
              </w:rPr>
              <w:t>2</w:t>
            </w:r>
          </w:p>
        </w:tc>
        <w:tc>
          <w:tcPr>
            <w:tcW w:w="903" w:type="pct"/>
            <w:tcBorders>
              <w:top w:val="single" w:color="auto" w:sz="4" w:space="0"/>
              <w:left w:val="single" w:color="auto" w:sz="4" w:space="0"/>
              <w:bottom w:val="single" w:color="auto" w:sz="4" w:space="0"/>
              <w:right w:val="single" w:color="auto" w:sz="4" w:space="0"/>
            </w:tcBorders>
            <w:vAlign w:val="center"/>
          </w:tcPr>
          <w:p w14:paraId="4986E18F">
            <w:pPr>
              <w:widowControl/>
              <w:spacing w:line="360" w:lineRule="auto"/>
              <w:jc w:val="center"/>
              <w:rPr>
                <w:rFonts w:hint="default"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eastAsia="zh-CN"/>
              </w:rPr>
              <w:t>有机房货梯</w:t>
            </w:r>
            <w:r>
              <w:rPr>
                <w:rFonts w:hint="eastAsia" w:ascii="Times New Roman" w:hAnsi="Times New Roman" w:cs="Times New Roman"/>
                <w:kern w:val="0"/>
                <w:sz w:val="24"/>
                <w:szCs w:val="24"/>
                <w:lang w:val="en-US" w:eastAsia="zh-CN"/>
              </w:rPr>
              <w:t>HT2</w:t>
            </w:r>
          </w:p>
        </w:tc>
        <w:tc>
          <w:tcPr>
            <w:tcW w:w="472" w:type="pct"/>
            <w:tcBorders>
              <w:top w:val="single" w:color="auto" w:sz="4" w:space="0"/>
              <w:left w:val="single" w:color="auto" w:sz="4" w:space="0"/>
              <w:bottom w:val="single" w:color="auto" w:sz="4" w:space="0"/>
              <w:right w:val="single" w:color="auto" w:sz="4" w:space="0"/>
            </w:tcBorders>
            <w:vAlign w:val="center"/>
          </w:tcPr>
          <w:p w14:paraId="6F3E0817">
            <w:pPr>
              <w:spacing w:line="360" w:lineRule="auto"/>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483" w:type="pct"/>
            <w:tcBorders>
              <w:top w:val="single" w:color="auto" w:sz="4" w:space="0"/>
              <w:left w:val="single" w:color="auto" w:sz="4" w:space="0"/>
              <w:bottom w:val="single" w:color="auto" w:sz="4" w:space="0"/>
              <w:right w:val="single" w:color="auto" w:sz="4" w:space="0"/>
            </w:tcBorders>
            <w:vAlign w:val="center"/>
          </w:tcPr>
          <w:p w14:paraId="16F0AD3D">
            <w:pPr>
              <w:spacing w:line="360" w:lineRule="auto"/>
              <w:jc w:val="center"/>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lang w:eastAsia="zh-CN"/>
              </w:rPr>
              <w:t>台</w:t>
            </w:r>
          </w:p>
        </w:tc>
        <w:tc>
          <w:tcPr>
            <w:tcW w:w="2647" w:type="pct"/>
            <w:tcBorders>
              <w:top w:val="single" w:color="auto" w:sz="4" w:space="0"/>
              <w:left w:val="single" w:color="auto" w:sz="4" w:space="0"/>
              <w:bottom w:val="single" w:color="auto" w:sz="4" w:space="0"/>
              <w:right w:val="single" w:color="auto" w:sz="4" w:space="0"/>
            </w:tcBorders>
            <w:vAlign w:val="center"/>
          </w:tcPr>
          <w:p w14:paraId="2D1010D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1.电梯类型：货梯或客货两用电梯</w:t>
            </w:r>
          </w:p>
          <w:p w14:paraId="1F4EA543">
            <w:pPr>
              <w:spacing w:line="360" w:lineRule="auto"/>
              <w:jc w:val="left"/>
              <w:rPr>
                <w:rFonts w:hint="eastAsia" w:ascii="Times New Roman" w:hAnsi="Times New Roman" w:cs="Times New Roman"/>
                <w:sz w:val="24"/>
                <w:szCs w:val="24"/>
                <w:lang w:eastAsia="zh-CN"/>
              </w:rPr>
            </w:pPr>
            <w:r>
              <w:rPr>
                <w:rFonts w:hint="eastAsia" w:ascii="Times New Roman" w:hAnsi="Times New Roman" w:cs="Times New Roman"/>
                <w:sz w:val="24"/>
                <w:szCs w:val="24"/>
              </w:rPr>
              <w:t>2.停站信息：</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u w:val="single"/>
                <w:lang w:val="en-US" w:eastAsia="zh-CN"/>
              </w:rPr>
              <w:t>5</w:t>
            </w:r>
            <w:r>
              <w:rPr>
                <w:rFonts w:hint="eastAsia" w:ascii="Times New Roman" w:hAnsi="Times New Roman" w:cs="Times New Roman"/>
                <w:sz w:val="24"/>
                <w:szCs w:val="24"/>
                <w:lang w:val="en-US" w:eastAsia="zh-CN"/>
              </w:rPr>
              <w:t>层</w:t>
            </w:r>
            <w:r>
              <w:rPr>
                <w:rFonts w:hint="eastAsia" w:ascii="Times New Roman" w:hAnsi="Times New Roman" w:cs="Times New Roman"/>
                <w:sz w:val="24"/>
                <w:szCs w:val="24"/>
                <w:u w:val="single"/>
                <w:lang w:val="en-US" w:eastAsia="zh-CN"/>
              </w:rPr>
              <w:t>5</w:t>
            </w:r>
            <w:r>
              <w:rPr>
                <w:rFonts w:hint="eastAsia" w:ascii="Times New Roman" w:hAnsi="Times New Roman" w:cs="Times New Roman"/>
                <w:sz w:val="24"/>
                <w:szCs w:val="24"/>
                <w:lang w:val="en-US" w:eastAsia="zh-CN"/>
              </w:rPr>
              <w:t>站</w:t>
            </w:r>
            <w:r>
              <w:rPr>
                <w:rFonts w:hint="eastAsia" w:ascii="Times New Roman" w:hAnsi="Times New Roman" w:cs="Times New Roman"/>
                <w:sz w:val="24"/>
                <w:szCs w:val="24"/>
              </w:rPr>
              <w:t xml:space="preserve"> </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总楼层/服务楼层/门为5/5/5（-1-4F）</w:t>
            </w:r>
            <w:r>
              <w:rPr>
                <w:rFonts w:hint="eastAsia" w:ascii="Times New Roman" w:hAnsi="Times New Roman" w:cs="Times New Roman"/>
                <w:sz w:val="24"/>
                <w:szCs w:val="24"/>
                <w:lang w:eastAsia="zh-CN"/>
              </w:rPr>
              <w:t>）</w:t>
            </w:r>
          </w:p>
          <w:p w14:paraId="6631C16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3.机房设置位置：上/有</w:t>
            </w:r>
          </w:p>
          <w:p w14:paraId="038B4CCA">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4.驱动方式：曳引式</w:t>
            </w:r>
          </w:p>
          <w:p w14:paraId="40FF10A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5.控制方式：并联</w:t>
            </w:r>
          </w:p>
          <w:p w14:paraId="7DA1E4A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6.额定载重：不低于1000kg</w:t>
            </w:r>
          </w:p>
          <w:p w14:paraId="06D78AAE">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7.额定速度：不低于1.0m/s</w:t>
            </w:r>
          </w:p>
          <w:p w14:paraId="3B1D299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8.开门方式：旁开门</w:t>
            </w:r>
          </w:p>
          <w:p w14:paraId="277EB8D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9.开门方向：右开</w:t>
            </w:r>
          </w:p>
          <w:p w14:paraId="1B9EABD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10.入口尺寸：1300毫米(宽) x 2100毫米(高)</w:t>
            </w:r>
          </w:p>
          <w:p w14:paraId="535BC537">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11.井道尺寸（宽mm*深mm）：2400x2200</w:t>
            </w:r>
          </w:p>
          <w:p w14:paraId="4E7BEF2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12.轿厢宽*深*高（mm)：1350x1650X2400</w:t>
            </w:r>
          </w:p>
          <w:p w14:paraId="3494DE58">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13.冲顶板底净高：5200mm</w:t>
            </w:r>
          </w:p>
          <w:p w14:paraId="1728171A">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14.基坑深度：1450mm</w:t>
            </w:r>
          </w:p>
          <w:p w14:paraId="382905F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15.供电制式：三相五线</w:t>
            </w:r>
          </w:p>
          <w:p w14:paraId="2C6BF0F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16.轿厢装饰：</w:t>
            </w:r>
          </w:p>
          <w:p w14:paraId="4E8E7AFA">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（1）轿厢壁：钢板喷涂；</w:t>
            </w:r>
          </w:p>
          <w:p w14:paraId="0F065C33">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（2）轿厢门：钢板喷涂；</w:t>
            </w:r>
          </w:p>
          <w:p w14:paraId="3B8B67B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（3）轿顶装饰：金属漆钢板底板，LED灯加乳白色照明板；</w:t>
            </w:r>
          </w:p>
          <w:p w14:paraId="765FAB7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（4）地板类型：PVC拼花地板；</w:t>
            </w:r>
          </w:p>
          <w:p w14:paraId="556BAE31">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（5）外呼显示：轿厢位置及方向显示（一体式）；</w:t>
            </w:r>
          </w:p>
          <w:p w14:paraId="697460D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（6）厅门：钢板喷涂；</w:t>
            </w:r>
          </w:p>
          <w:p w14:paraId="0FA2E01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（7）门套：钢板喷涂小门套。</w:t>
            </w:r>
          </w:p>
          <w:p w14:paraId="3F9E1D0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17、附加功能要求：能量回馈系统；无线五方对讲；消防联动功能；群控功能；紫外线消毒灯；ITV线缆；机房、轿厢通风控温设备。</w:t>
            </w:r>
          </w:p>
          <w:p w14:paraId="33D75BF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18、电梯内监控设备保留并恢复原样，电梯安装完成后基坑防水功能恢复。</w:t>
            </w:r>
          </w:p>
          <w:p w14:paraId="25E95F25">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19、安全钳、限速器、缓冲器等安全部件包含在电梯报价内，须与电梯整梯为同一制造商生产。</w:t>
            </w:r>
          </w:p>
          <w:p w14:paraId="502C3B6D">
            <w:pPr>
              <w:spacing w:line="360" w:lineRule="auto"/>
              <w:jc w:val="left"/>
              <w:rPr>
                <w:rFonts w:ascii="Times New Roman" w:hAnsi="Times New Roman" w:cs="Times New Roman"/>
                <w:sz w:val="24"/>
                <w:szCs w:val="24"/>
              </w:rPr>
            </w:pPr>
            <w:r>
              <w:rPr>
                <w:rFonts w:hint="eastAsia" w:ascii="Times New Roman" w:hAnsi="Times New Roman" w:cs="Times New Roman"/>
                <w:sz w:val="24"/>
                <w:szCs w:val="24"/>
              </w:rPr>
              <w:t>20、基本功能要求见附件。</w:t>
            </w:r>
          </w:p>
        </w:tc>
      </w:tr>
      <w:tr w14:paraId="3E1D7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tcBorders>
              <w:top w:val="single" w:color="auto" w:sz="4" w:space="0"/>
              <w:left w:val="single" w:color="auto" w:sz="4" w:space="0"/>
              <w:bottom w:val="single" w:color="auto" w:sz="4" w:space="0"/>
              <w:right w:val="single" w:color="auto" w:sz="4" w:space="0"/>
            </w:tcBorders>
            <w:vAlign w:val="center"/>
          </w:tcPr>
          <w:p w14:paraId="35DD6703">
            <w:pPr>
              <w:widowControl/>
              <w:spacing w:line="360" w:lineRule="auto"/>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3</w:t>
            </w:r>
          </w:p>
        </w:tc>
        <w:tc>
          <w:tcPr>
            <w:tcW w:w="903" w:type="pct"/>
            <w:tcBorders>
              <w:top w:val="single" w:color="auto" w:sz="4" w:space="0"/>
              <w:left w:val="single" w:color="auto" w:sz="4" w:space="0"/>
              <w:bottom w:val="single" w:color="auto" w:sz="4" w:space="0"/>
              <w:right w:val="single" w:color="auto" w:sz="4" w:space="0"/>
            </w:tcBorders>
            <w:vAlign w:val="center"/>
          </w:tcPr>
          <w:p w14:paraId="002570BC">
            <w:pPr>
              <w:widowControl/>
              <w:spacing w:line="360" w:lineRule="auto"/>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eastAsia="zh-CN"/>
              </w:rPr>
              <w:t>有机房乘客电梯</w:t>
            </w:r>
            <w:r>
              <w:rPr>
                <w:rFonts w:hint="eastAsia" w:ascii="Times New Roman" w:hAnsi="Times New Roman" w:cs="Times New Roman"/>
                <w:kern w:val="0"/>
                <w:sz w:val="24"/>
                <w:szCs w:val="24"/>
                <w:lang w:val="en-US" w:eastAsia="zh-CN"/>
              </w:rPr>
              <w:t>DT1</w:t>
            </w:r>
          </w:p>
        </w:tc>
        <w:tc>
          <w:tcPr>
            <w:tcW w:w="472" w:type="pct"/>
            <w:tcBorders>
              <w:top w:val="single" w:color="auto" w:sz="4" w:space="0"/>
              <w:left w:val="single" w:color="auto" w:sz="4" w:space="0"/>
              <w:bottom w:val="single" w:color="auto" w:sz="4" w:space="0"/>
              <w:right w:val="single" w:color="auto" w:sz="4" w:space="0"/>
            </w:tcBorders>
            <w:vAlign w:val="center"/>
          </w:tcPr>
          <w:p w14:paraId="6D76411A">
            <w:pPr>
              <w:spacing w:line="360" w:lineRule="auto"/>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1</w:t>
            </w:r>
          </w:p>
        </w:tc>
        <w:tc>
          <w:tcPr>
            <w:tcW w:w="483" w:type="pct"/>
            <w:tcBorders>
              <w:top w:val="single" w:color="auto" w:sz="4" w:space="0"/>
              <w:left w:val="single" w:color="auto" w:sz="4" w:space="0"/>
              <w:bottom w:val="single" w:color="auto" w:sz="4" w:space="0"/>
              <w:right w:val="single" w:color="auto" w:sz="4" w:space="0"/>
            </w:tcBorders>
            <w:vAlign w:val="center"/>
          </w:tcPr>
          <w:p w14:paraId="18DF85A4">
            <w:pPr>
              <w:spacing w:line="360" w:lineRule="auto"/>
              <w:jc w:val="center"/>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台</w:t>
            </w:r>
          </w:p>
        </w:tc>
        <w:tc>
          <w:tcPr>
            <w:tcW w:w="2647" w:type="pct"/>
            <w:tcBorders>
              <w:top w:val="single" w:color="auto" w:sz="4" w:space="0"/>
              <w:left w:val="single" w:color="auto" w:sz="4" w:space="0"/>
              <w:bottom w:val="single" w:color="auto" w:sz="4" w:space="0"/>
              <w:right w:val="single" w:color="auto" w:sz="4" w:space="0"/>
            </w:tcBorders>
            <w:vAlign w:val="center"/>
          </w:tcPr>
          <w:p w14:paraId="70DE060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1.电梯类型：客梯或客货两用电梯</w:t>
            </w:r>
          </w:p>
          <w:p w14:paraId="74B1B83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 xml:space="preserve">2.停站信息： </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u w:val="single"/>
                <w:lang w:val="en-US" w:eastAsia="zh-CN"/>
              </w:rPr>
              <w:t>4</w:t>
            </w:r>
            <w:r>
              <w:rPr>
                <w:rFonts w:hint="eastAsia" w:ascii="Times New Roman" w:hAnsi="Times New Roman" w:cs="Times New Roman"/>
                <w:sz w:val="24"/>
                <w:szCs w:val="24"/>
                <w:lang w:val="en-US" w:eastAsia="zh-CN"/>
              </w:rPr>
              <w:t>层</w:t>
            </w:r>
            <w:r>
              <w:rPr>
                <w:rFonts w:hint="eastAsia" w:ascii="Times New Roman" w:hAnsi="Times New Roman" w:cs="Times New Roman"/>
                <w:sz w:val="24"/>
                <w:szCs w:val="24"/>
                <w:u w:val="single"/>
                <w:lang w:val="en-US" w:eastAsia="zh-CN"/>
              </w:rPr>
              <w:t>4</w:t>
            </w:r>
            <w:r>
              <w:rPr>
                <w:rFonts w:hint="eastAsia" w:ascii="Times New Roman" w:hAnsi="Times New Roman" w:cs="Times New Roman"/>
                <w:sz w:val="24"/>
                <w:szCs w:val="24"/>
                <w:lang w:val="en-US" w:eastAsia="zh-CN"/>
              </w:rPr>
              <w:t>站（</w:t>
            </w:r>
            <w:r>
              <w:rPr>
                <w:rFonts w:hint="eastAsia" w:ascii="Times New Roman" w:hAnsi="Times New Roman" w:cs="Times New Roman"/>
                <w:sz w:val="24"/>
                <w:szCs w:val="24"/>
              </w:rPr>
              <w:t>总楼层/服务楼层/门为4/4/4（1-4F）</w:t>
            </w:r>
            <w:r>
              <w:rPr>
                <w:rFonts w:hint="eastAsia" w:ascii="Times New Roman" w:hAnsi="Times New Roman" w:cs="Times New Roman"/>
                <w:sz w:val="24"/>
                <w:szCs w:val="24"/>
                <w:lang w:val="en-US" w:eastAsia="zh-CN"/>
              </w:rPr>
              <w:t>）</w:t>
            </w:r>
          </w:p>
          <w:p w14:paraId="282ABE3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3.机房设置位置：上/有</w:t>
            </w:r>
          </w:p>
          <w:p w14:paraId="30963FB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4.驱动方式：曳引式</w:t>
            </w:r>
          </w:p>
          <w:p w14:paraId="1E59B00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5.控制方式：并联</w:t>
            </w:r>
          </w:p>
          <w:p w14:paraId="0B4EEF6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6.额定载重：不低于1000kg</w:t>
            </w:r>
          </w:p>
          <w:p w14:paraId="4C4EFEFE">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7.额定速度：不低于1.0m/s</w:t>
            </w:r>
          </w:p>
          <w:p w14:paraId="07FA56B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8.开门方式：中分门</w:t>
            </w:r>
          </w:p>
          <w:p w14:paraId="5132D60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9.开门方向：中分</w:t>
            </w:r>
          </w:p>
          <w:p w14:paraId="2461EE28">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10.入口尺寸：900毫米(宽) x 2100毫米(高)</w:t>
            </w:r>
          </w:p>
          <w:p w14:paraId="2DE97BE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11.井道尺寸（宽mm*深mm）：2100x2160</w:t>
            </w:r>
          </w:p>
          <w:p w14:paraId="437C07CB">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12.轿厢宽*深*高（mm)1600x1500x2400</w:t>
            </w:r>
          </w:p>
          <w:p w14:paraId="09A6B835">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13.冲顶板底净高：5200mm</w:t>
            </w:r>
          </w:p>
          <w:p w14:paraId="3C72280E">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14.基坑深度：1540mm</w:t>
            </w:r>
          </w:p>
          <w:p w14:paraId="15E3EC8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15.供电制式：三相五线</w:t>
            </w:r>
          </w:p>
          <w:p w14:paraId="160EEB8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16.轿厢装饰：</w:t>
            </w:r>
          </w:p>
          <w:p w14:paraId="2F855D0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（1）轿厢壁：发纹不锈钢板；</w:t>
            </w:r>
          </w:p>
          <w:p w14:paraId="372BB6A5">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（2）轿厢门：发纹不锈钢板；</w:t>
            </w:r>
          </w:p>
          <w:p w14:paraId="6B30F168">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（3）轿顶装饰：金属漆钢板底板，LED灯加乳白色照明板；</w:t>
            </w:r>
          </w:p>
          <w:p w14:paraId="37C59A4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（4）地板类型：PVC拼花地板；</w:t>
            </w:r>
          </w:p>
          <w:p w14:paraId="5F45468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（5）外呼显示：轿厢位置及方向显示（一体式）；</w:t>
            </w:r>
          </w:p>
          <w:p w14:paraId="16A661A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（6）厅门：发纹不锈钢板；</w:t>
            </w:r>
          </w:p>
          <w:p w14:paraId="4D746E0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（7）门套：发纹不锈钢大门套。</w:t>
            </w:r>
          </w:p>
          <w:p w14:paraId="7AD95EE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17、附加功能要求：能量回馈系统；无线五方对讲；消防联动功能；群控功能；紫外线消毒灯；ITV线缆；机房、轿厢通风控温设备。</w:t>
            </w:r>
          </w:p>
          <w:p w14:paraId="43856E0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18、电梯内监控设备保留并恢复原样，电梯安装完成后基坑防水功能恢复。</w:t>
            </w:r>
          </w:p>
          <w:p w14:paraId="6184FCE0">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19、安全钳、限速器、缓冲器等安全部件包含在电梯报价内，须与电梯整梯为同一制造商生产。</w:t>
            </w:r>
          </w:p>
          <w:p w14:paraId="2E8A664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20、基本功能要求见附件。</w:t>
            </w:r>
          </w:p>
        </w:tc>
      </w:tr>
      <w:tr w14:paraId="1BCDD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2" w:type="pct"/>
            <w:tcBorders>
              <w:top w:val="single" w:color="auto" w:sz="4" w:space="0"/>
              <w:left w:val="single" w:color="auto" w:sz="4" w:space="0"/>
              <w:bottom w:val="single" w:color="auto" w:sz="4" w:space="0"/>
              <w:right w:val="single" w:color="auto" w:sz="4" w:space="0"/>
            </w:tcBorders>
            <w:vAlign w:val="center"/>
          </w:tcPr>
          <w:p w14:paraId="020B5903">
            <w:pPr>
              <w:widowControl/>
              <w:spacing w:line="360" w:lineRule="auto"/>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4</w:t>
            </w:r>
          </w:p>
        </w:tc>
        <w:tc>
          <w:tcPr>
            <w:tcW w:w="903" w:type="pct"/>
            <w:tcBorders>
              <w:top w:val="single" w:color="auto" w:sz="4" w:space="0"/>
              <w:left w:val="single" w:color="auto" w:sz="4" w:space="0"/>
              <w:bottom w:val="single" w:color="auto" w:sz="4" w:space="0"/>
              <w:right w:val="single" w:color="auto" w:sz="4" w:space="0"/>
            </w:tcBorders>
            <w:vAlign w:val="center"/>
          </w:tcPr>
          <w:p w14:paraId="050EDADF">
            <w:pPr>
              <w:widowControl/>
              <w:spacing w:line="360" w:lineRule="auto"/>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eastAsia="zh-CN"/>
              </w:rPr>
              <w:t>有机房乘客电梯</w:t>
            </w:r>
            <w:r>
              <w:rPr>
                <w:rFonts w:hint="eastAsia" w:ascii="Times New Roman" w:hAnsi="Times New Roman" w:cs="Times New Roman"/>
                <w:kern w:val="0"/>
                <w:sz w:val="24"/>
                <w:szCs w:val="24"/>
                <w:lang w:val="en-US" w:eastAsia="zh-CN"/>
              </w:rPr>
              <w:t>DT2</w:t>
            </w:r>
          </w:p>
        </w:tc>
        <w:tc>
          <w:tcPr>
            <w:tcW w:w="472" w:type="pct"/>
            <w:tcBorders>
              <w:top w:val="single" w:color="auto" w:sz="4" w:space="0"/>
              <w:left w:val="single" w:color="auto" w:sz="4" w:space="0"/>
              <w:bottom w:val="single" w:color="auto" w:sz="4" w:space="0"/>
              <w:right w:val="single" w:color="auto" w:sz="4" w:space="0"/>
            </w:tcBorders>
            <w:vAlign w:val="center"/>
          </w:tcPr>
          <w:p w14:paraId="5A6470AC">
            <w:pPr>
              <w:spacing w:line="360" w:lineRule="auto"/>
              <w:jc w:val="center"/>
              <w:rPr>
                <w:rFonts w:hint="default"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1</w:t>
            </w:r>
          </w:p>
        </w:tc>
        <w:tc>
          <w:tcPr>
            <w:tcW w:w="483" w:type="pct"/>
            <w:tcBorders>
              <w:top w:val="single" w:color="auto" w:sz="4" w:space="0"/>
              <w:left w:val="single" w:color="auto" w:sz="4" w:space="0"/>
              <w:bottom w:val="single" w:color="auto" w:sz="4" w:space="0"/>
              <w:right w:val="single" w:color="auto" w:sz="4" w:space="0"/>
            </w:tcBorders>
            <w:vAlign w:val="center"/>
          </w:tcPr>
          <w:p w14:paraId="562A1839">
            <w:pPr>
              <w:spacing w:line="360" w:lineRule="auto"/>
              <w:jc w:val="center"/>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台</w:t>
            </w:r>
          </w:p>
        </w:tc>
        <w:tc>
          <w:tcPr>
            <w:tcW w:w="2647" w:type="pct"/>
            <w:tcBorders>
              <w:top w:val="single" w:color="auto" w:sz="4" w:space="0"/>
              <w:left w:val="single" w:color="auto" w:sz="4" w:space="0"/>
              <w:bottom w:val="single" w:color="auto" w:sz="4" w:space="0"/>
              <w:right w:val="single" w:color="auto" w:sz="4" w:space="0"/>
            </w:tcBorders>
            <w:vAlign w:val="center"/>
          </w:tcPr>
          <w:p w14:paraId="6D321FA1">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1.电梯类型：客梯或客货两用电梯</w:t>
            </w:r>
          </w:p>
          <w:p w14:paraId="0BE173A6">
            <w:pPr>
              <w:spacing w:line="360" w:lineRule="auto"/>
              <w:jc w:val="left"/>
              <w:rPr>
                <w:rFonts w:hint="eastAsia" w:ascii="Times New Roman" w:hAnsi="Times New Roman" w:cs="Times New Roman"/>
                <w:sz w:val="24"/>
                <w:szCs w:val="24"/>
                <w:lang w:eastAsia="zh-CN"/>
              </w:rPr>
            </w:pPr>
            <w:r>
              <w:rPr>
                <w:rFonts w:hint="eastAsia" w:ascii="Times New Roman" w:hAnsi="Times New Roman" w:cs="Times New Roman"/>
                <w:sz w:val="24"/>
                <w:szCs w:val="24"/>
              </w:rPr>
              <w:t xml:space="preserve">2.停站信息： </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u w:val="single"/>
                <w:lang w:val="en-US" w:eastAsia="zh-CN"/>
              </w:rPr>
              <w:t>5</w:t>
            </w:r>
            <w:r>
              <w:rPr>
                <w:rFonts w:hint="eastAsia" w:ascii="Times New Roman" w:hAnsi="Times New Roman" w:cs="Times New Roman"/>
                <w:sz w:val="24"/>
                <w:szCs w:val="24"/>
                <w:lang w:val="en-US" w:eastAsia="zh-CN"/>
              </w:rPr>
              <w:t>层</w:t>
            </w:r>
            <w:r>
              <w:rPr>
                <w:rFonts w:hint="eastAsia" w:ascii="Times New Roman" w:hAnsi="Times New Roman" w:cs="Times New Roman"/>
                <w:sz w:val="24"/>
                <w:szCs w:val="24"/>
                <w:u w:val="single"/>
                <w:lang w:val="en-US" w:eastAsia="zh-CN"/>
              </w:rPr>
              <w:t>5</w:t>
            </w:r>
            <w:r>
              <w:rPr>
                <w:rFonts w:hint="eastAsia" w:ascii="Times New Roman" w:hAnsi="Times New Roman" w:cs="Times New Roman"/>
                <w:sz w:val="24"/>
                <w:szCs w:val="24"/>
                <w:lang w:val="en-US" w:eastAsia="zh-CN"/>
              </w:rPr>
              <w:t>站</w:t>
            </w:r>
            <w:r>
              <w:rPr>
                <w:rFonts w:hint="eastAsia" w:ascii="Times New Roman" w:hAnsi="Times New Roman" w:cs="Times New Roman"/>
                <w:sz w:val="24"/>
                <w:szCs w:val="24"/>
              </w:rPr>
              <w:t xml:space="preserve"> </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总楼层/服务楼层/门为5/5/5（-1-4F）</w:t>
            </w:r>
            <w:r>
              <w:rPr>
                <w:rFonts w:hint="eastAsia" w:ascii="Times New Roman" w:hAnsi="Times New Roman" w:cs="Times New Roman"/>
                <w:sz w:val="24"/>
                <w:szCs w:val="24"/>
                <w:lang w:eastAsia="zh-CN"/>
              </w:rPr>
              <w:t>）</w:t>
            </w:r>
          </w:p>
          <w:p w14:paraId="7BE7701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3.机房设置位置：上/有</w:t>
            </w:r>
          </w:p>
          <w:p w14:paraId="691FDAF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4.驱动方式：曳引式</w:t>
            </w:r>
          </w:p>
          <w:p w14:paraId="3675CDB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5.控制方式：并联</w:t>
            </w:r>
          </w:p>
          <w:p w14:paraId="16491BB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6.额定载重：不低于1000kg</w:t>
            </w:r>
          </w:p>
          <w:p w14:paraId="6B1866F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7.额定速度：不低于1.0m/s</w:t>
            </w:r>
          </w:p>
          <w:p w14:paraId="0C29736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8.开门方式：中分门</w:t>
            </w:r>
          </w:p>
          <w:p w14:paraId="0F3D40F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9.开门方向：中分</w:t>
            </w:r>
          </w:p>
          <w:p w14:paraId="746C0083">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10.入口尺寸：900毫米(宽) x 2100毫米(高)</w:t>
            </w:r>
          </w:p>
          <w:p w14:paraId="51A01B5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11.井道尺寸（宽mm*深mm）：2060x2130</w:t>
            </w:r>
          </w:p>
          <w:p w14:paraId="4D6D7803">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12.轿厢宽*深*高（mm)1600x1500x2400</w:t>
            </w:r>
          </w:p>
          <w:p w14:paraId="54754F4F">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13.冲顶板底净高：5200mm</w:t>
            </w:r>
          </w:p>
          <w:p w14:paraId="48FF341D">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14.基坑深度：1460mm</w:t>
            </w:r>
          </w:p>
          <w:p w14:paraId="76A620BC">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15.供电制式：三相五线</w:t>
            </w:r>
          </w:p>
          <w:p w14:paraId="4A239817">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16.轿厢装饰：</w:t>
            </w:r>
          </w:p>
          <w:p w14:paraId="406ACD0A">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（1）轿厢壁：发纹不锈钢板；</w:t>
            </w:r>
          </w:p>
          <w:p w14:paraId="10D47DB5">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（2）轿厢门：发纹不锈钢板；</w:t>
            </w:r>
          </w:p>
          <w:p w14:paraId="53861754">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（3）轿顶装饰：金属漆钢板底板，LED灯加乳白色照明板；</w:t>
            </w:r>
          </w:p>
          <w:p w14:paraId="3FEF2A71">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（4）地板类型：PVC拼花地板；</w:t>
            </w:r>
          </w:p>
          <w:p w14:paraId="1EEB9AB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（5）外呼显示：轿厢位置及方向显示（一体式）；</w:t>
            </w:r>
          </w:p>
          <w:p w14:paraId="12D021F8">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（6）厅门：发纹不锈钢板；</w:t>
            </w:r>
          </w:p>
          <w:p w14:paraId="4E8E837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（7）门套：发纹不锈钢大门套。</w:t>
            </w:r>
          </w:p>
          <w:p w14:paraId="7AE92099">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17、附加功能要求：能量回馈系统；无线五方对讲；消防联动功能；群控功能；紫外线消毒灯；ITV线缆；机房、轿厢通风控温设备。</w:t>
            </w:r>
          </w:p>
          <w:p w14:paraId="7608CC12">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18、电梯内监控设备保留并恢复原样，电梯安装完成后基坑防水功能恢复。</w:t>
            </w:r>
          </w:p>
          <w:p w14:paraId="46B82A96">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19、安全钳、限速器、缓冲器等安全部件包含在电梯报价内，须与电梯整梯为同一制造商生产。</w:t>
            </w:r>
          </w:p>
          <w:p w14:paraId="3BC28D8B">
            <w:pPr>
              <w:spacing w:line="360" w:lineRule="auto"/>
              <w:jc w:val="left"/>
              <w:rPr>
                <w:rFonts w:hint="eastAsia" w:ascii="Times New Roman" w:hAnsi="Times New Roman" w:cs="Times New Roman"/>
                <w:sz w:val="24"/>
                <w:szCs w:val="24"/>
              </w:rPr>
            </w:pPr>
            <w:r>
              <w:rPr>
                <w:rFonts w:hint="eastAsia" w:ascii="Times New Roman" w:hAnsi="Times New Roman" w:cs="Times New Roman"/>
                <w:sz w:val="24"/>
                <w:szCs w:val="24"/>
              </w:rPr>
              <w:t>20、基本功能要求见附件。</w:t>
            </w:r>
          </w:p>
        </w:tc>
      </w:tr>
    </w:tbl>
    <w:p w14:paraId="0416DC78">
      <w:pPr>
        <w:spacing w:line="360" w:lineRule="auto"/>
        <w:outlineLvl w:val="0"/>
        <w:rPr>
          <w:bCs/>
          <w:color w:val="auto"/>
          <w:sz w:val="24"/>
        </w:rPr>
      </w:pPr>
      <w:r>
        <w:rPr>
          <w:rFonts w:hint="eastAsia"/>
          <w:bCs/>
          <w:color w:val="auto"/>
          <w:sz w:val="24"/>
        </w:rPr>
        <w:t>附件：</w:t>
      </w:r>
      <w:r>
        <w:rPr>
          <w:rFonts w:hint="eastAsia"/>
          <w:bCs/>
          <w:color w:val="auto"/>
          <w:sz w:val="24"/>
          <w:lang w:eastAsia="zh-CN"/>
        </w:rPr>
        <w:t>货梯、</w:t>
      </w:r>
      <w:r>
        <w:rPr>
          <w:rFonts w:hint="eastAsia"/>
          <w:bCs/>
          <w:color w:val="auto"/>
          <w:sz w:val="24"/>
        </w:rPr>
        <w:t>乘客电梯基本功能要求</w:t>
      </w:r>
    </w:p>
    <w:tbl>
      <w:tblPr>
        <w:tblStyle w:val="6"/>
        <w:tblW w:w="8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8"/>
        <w:gridCol w:w="6032"/>
      </w:tblGrid>
      <w:tr w14:paraId="6B08D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368" w:type="dxa"/>
            <w:vAlign w:val="center"/>
          </w:tcPr>
          <w:p w14:paraId="71653099">
            <w:pPr>
              <w:pStyle w:val="15"/>
              <w:jc w:val="center"/>
              <w:rPr>
                <w:rFonts w:asciiTheme="minorEastAsia" w:hAnsiTheme="minorEastAsia"/>
                <w:b/>
                <w:bCs/>
                <w:color w:val="auto"/>
                <w:szCs w:val="24"/>
              </w:rPr>
            </w:pPr>
            <w:r>
              <w:rPr>
                <w:rFonts w:hint="eastAsia" w:asciiTheme="minorEastAsia" w:hAnsiTheme="minorEastAsia"/>
                <w:b/>
                <w:bCs/>
                <w:color w:val="auto"/>
                <w:szCs w:val="24"/>
              </w:rPr>
              <w:t>功能名称</w:t>
            </w:r>
          </w:p>
        </w:tc>
        <w:tc>
          <w:tcPr>
            <w:tcW w:w="6032" w:type="dxa"/>
            <w:vAlign w:val="center"/>
          </w:tcPr>
          <w:p w14:paraId="1D93E690">
            <w:pPr>
              <w:pStyle w:val="15"/>
              <w:jc w:val="center"/>
              <w:rPr>
                <w:rFonts w:asciiTheme="minorEastAsia" w:hAnsiTheme="minorEastAsia"/>
                <w:b/>
                <w:bCs/>
                <w:color w:val="auto"/>
                <w:szCs w:val="24"/>
              </w:rPr>
            </w:pPr>
            <w:r>
              <w:rPr>
                <w:rFonts w:hint="eastAsia" w:asciiTheme="minorEastAsia" w:hAnsiTheme="minorEastAsia"/>
                <w:b/>
                <w:bCs/>
                <w:color w:val="auto"/>
                <w:szCs w:val="24"/>
              </w:rPr>
              <w:t>功能描述</w:t>
            </w:r>
          </w:p>
        </w:tc>
      </w:tr>
      <w:tr w14:paraId="19E4B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9C1D2B9">
            <w:pPr>
              <w:pStyle w:val="15"/>
              <w:rPr>
                <w:rFonts w:asciiTheme="minorEastAsia" w:hAnsiTheme="minorEastAsia"/>
                <w:color w:val="auto"/>
                <w:szCs w:val="24"/>
              </w:rPr>
            </w:pPr>
            <w:r>
              <w:rPr>
                <w:rFonts w:hint="eastAsia" w:asciiTheme="minorEastAsia" w:hAnsiTheme="minorEastAsia"/>
                <w:color w:val="auto"/>
                <w:szCs w:val="24"/>
              </w:rPr>
              <w:t>制动器冗余保护</w:t>
            </w:r>
          </w:p>
        </w:tc>
        <w:tc>
          <w:tcPr>
            <w:tcW w:w="6032" w:type="dxa"/>
            <w:vAlign w:val="center"/>
          </w:tcPr>
          <w:p w14:paraId="5E82DEA1">
            <w:pPr>
              <w:pStyle w:val="15"/>
              <w:rPr>
                <w:rFonts w:asciiTheme="minorEastAsia" w:hAnsiTheme="minorEastAsia"/>
                <w:color w:val="auto"/>
                <w:szCs w:val="24"/>
              </w:rPr>
            </w:pPr>
            <w:r>
              <w:rPr>
                <w:rFonts w:hint="eastAsia" w:asciiTheme="minorEastAsia" w:hAnsiTheme="minorEastAsia"/>
                <w:color w:val="auto"/>
                <w:szCs w:val="24"/>
              </w:rPr>
              <w:t>当一组制动器发生故障时，其余制动器也可实现电梯有效制动。</w:t>
            </w:r>
          </w:p>
        </w:tc>
      </w:tr>
      <w:tr w14:paraId="775EF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A3E6D41">
            <w:pPr>
              <w:pStyle w:val="15"/>
              <w:rPr>
                <w:rFonts w:asciiTheme="minorEastAsia" w:hAnsiTheme="minorEastAsia"/>
                <w:color w:val="auto"/>
                <w:szCs w:val="24"/>
              </w:rPr>
            </w:pPr>
            <w:r>
              <w:rPr>
                <w:rFonts w:hint="eastAsia" w:asciiTheme="minorEastAsia" w:hAnsiTheme="minorEastAsia"/>
                <w:color w:val="auto"/>
                <w:szCs w:val="24"/>
              </w:rPr>
              <w:t>电器安全回路保护</w:t>
            </w:r>
          </w:p>
        </w:tc>
        <w:tc>
          <w:tcPr>
            <w:tcW w:w="6032" w:type="dxa"/>
            <w:vAlign w:val="center"/>
          </w:tcPr>
          <w:p w14:paraId="04D14E75">
            <w:pPr>
              <w:pStyle w:val="15"/>
              <w:rPr>
                <w:rFonts w:asciiTheme="minorEastAsia" w:hAnsiTheme="minorEastAsia"/>
                <w:color w:val="auto"/>
                <w:szCs w:val="24"/>
              </w:rPr>
            </w:pPr>
            <w:r>
              <w:rPr>
                <w:rFonts w:hint="eastAsia" w:asciiTheme="minorEastAsia" w:hAnsiTheme="minorEastAsia"/>
                <w:color w:val="auto"/>
                <w:szCs w:val="24"/>
              </w:rPr>
              <w:t>串联在一起的电气安全装置一旦动作，则阻止电梯运行。</w:t>
            </w:r>
          </w:p>
        </w:tc>
      </w:tr>
      <w:tr w14:paraId="4F72E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A8E5899">
            <w:pPr>
              <w:pStyle w:val="15"/>
              <w:rPr>
                <w:rFonts w:asciiTheme="minorEastAsia" w:hAnsiTheme="minorEastAsia"/>
                <w:color w:val="auto"/>
                <w:szCs w:val="24"/>
              </w:rPr>
            </w:pPr>
            <w:r>
              <w:rPr>
                <w:rFonts w:hint="eastAsia" w:asciiTheme="minorEastAsia" w:hAnsiTheme="minorEastAsia"/>
                <w:color w:val="auto"/>
                <w:szCs w:val="24"/>
              </w:rPr>
              <w:t>层高自测定</w:t>
            </w:r>
          </w:p>
        </w:tc>
        <w:tc>
          <w:tcPr>
            <w:tcW w:w="6032" w:type="dxa"/>
            <w:vAlign w:val="center"/>
          </w:tcPr>
          <w:p w14:paraId="00776C9D">
            <w:pPr>
              <w:pStyle w:val="15"/>
              <w:rPr>
                <w:rFonts w:asciiTheme="minorEastAsia" w:hAnsiTheme="minorEastAsia"/>
                <w:color w:val="auto"/>
                <w:szCs w:val="24"/>
              </w:rPr>
            </w:pPr>
            <w:r>
              <w:rPr>
                <w:rFonts w:hint="eastAsia" w:asciiTheme="minorEastAsia" w:hAnsiTheme="minorEastAsia"/>
                <w:color w:val="auto"/>
                <w:szCs w:val="24"/>
              </w:rPr>
              <w:t>自动测量并记录层高数据。</w:t>
            </w:r>
          </w:p>
        </w:tc>
      </w:tr>
      <w:tr w14:paraId="17894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7782A26">
            <w:pPr>
              <w:pStyle w:val="15"/>
              <w:rPr>
                <w:rFonts w:asciiTheme="minorEastAsia" w:hAnsiTheme="minorEastAsia"/>
                <w:color w:val="auto"/>
                <w:szCs w:val="24"/>
              </w:rPr>
            </w:pPr>
            <w:r>
              <w:rPr>
                <w:rFonts w:hint="eastAsia" w:asciiTheme="minorEastAsia" w:hAnsiTheme="minorEastAsia"/>
                <w:color w:val="auto"/>
                <w:szCs w:val="24"/>
              </w:rPr>
              <w:t>检修操作</w:t>
            </w:r>
          </w:p>
        </w:tc>
        <w:tc>
          <w:tcPr>
            <w:tcW w:w="6032" w:type="dxa"/>
            <w:vAlign w:val="center"/>
          </w:tcPr>
          <w:p w14:paraId="76F45747">
            <w:pPr>
              <w:pStyle w:val="15"/>
              <w:rPr>
                <w:rFonts w:asciiTheme="minorEastAsia" w:hAnsiTheme="minorEastAsia"/>
                <w:color w:val="auto"/>
                <w:szCs w:val="24"/>
              </w:rPr>
            </w:pPr>
            <w:r>
              <w:rPr>
                <w:rFonts w:hint="eastAsia" w:asciiTheme="minorEastAsia" w:hAnsiTheme="minorEastAsia"/>
                <w:color w:val="auto"/>
                <w:szCs w:val="24"/>
              </w:rPr>
              <w:t>供维修人员使用的检修运行模式。</w:t>
            </w:r>
          </w:p>
        </w:tc>
      </w:tr>
      <w:tr w14:paraId="612C3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17B8A2F2">
            <w:pPr>
              <w:pStyle w:val="15"/>
              <w:rPr>
                <w:rFonts w:asciiTheme="minorEastAsia" w:hAnsiTheme="minorEastAsia"/>
                <w:color w:val="auto"/>
                <w:szCs w:val="24"/>
              </w:rPr>
            </w:pPr>
            <w:r>
              <w:rPr>
                <w:rFonts w:hint="eastAsia" w:asciiTheme="minorEastAsia" w:hAnsiTheme="minorEastAsia"/>
                <w:color w:val="auto"/>
                <w:szCs w:val="24"/>
              </w:rPr>
              <w:t>称重启动</w:t>
            </w:r>
          </w:p>
        </w:tc>
        <w:tc>
          <w:tcPr>
            <w:tcW w:w="6032" w:type="dxa"/>
            <w:vAlign w:val="center"/>
          </w:tcPr>
          <w:p w14:paraId="3F768E75">
            <w:pPr>
              <w:pStyle w:val="15"/>
              <w:rPr>
                <w:rFonts w:asciiTheme="minorEastAsia" w:hAnsiTheme="minorEastAsia"/>
                <w:color w:val="auto"/>
                <w:szCs w:val="24"/>
              </w:rPr>
            </w:pPr>
            <w:r>
              <w:rPr>
                <w:rFonts w:hint="eastAsia" w:asciiTheme="minorEastAsia" w:hAnsiTheme="minorEastAsia"/>
                <w:color w:val="auto"/>
                <w:szCs w:val="24"/>
              </w:rPr>
              <w:t>电梯根据轿厢内的负载，调整启动力矩，以使电梯启动平稳。</w:t>
            </w:r>
          </w:p>
        </w:tc>
      </w:tr>
      <w:tr w14:paraId="27A52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07D843D4">
            <w:pPr>
              <w:pStyle w:val="15"/>
              <w:rPr>
                <w:rFonts w:asciiTheme="minorEastAsia" w:hAnsiTheme="minorEastAsia"/>
                <w:color w:val="auto"/>
                <w:szCs w:val="24"/>
              </w:rPr>
            </w:pPr>
            <w:r>
              <w:rPr>
                <w:rFonts w:hint="eastAsia" w:asciiTheme="minorEastAsia" w:hAnsiTheme="minorEastAsia"/>
                <w:color w:val="auto"/>
                <w:szCs w:val="24"/>
              </w:rPr>
              <w:t>过电流保护</w:t>
            </w:r>
          </w:p>
        </w:tc>
        <w:tc>
          <w:tcPr>
            <w:tcW w:w="6032" w:type="dxa"/>
            <w:vAlign w:val="center"/>
          </w:tcPr>
          <w:p w14:paraId="76B54B5C">
            <w:pPr>
              <w:pStyle w:val="15"/>
              <w:rPr>
                <w:rFonts w:asciiTheme="minorEastAsia" w:hAnsiTheme="minorEastAsia"/>
                <w:color w:val="auto"/>
                <w:szCs w:val="24"/>
              </w:rPr>
            </w:pPr>
            <w:r>
              <w:rPr>
                <w:rFonts w:hint="eastAsia" w:asciiTheme="minorEastAsia" w:hAnsiTheme="minorEastAsia"/>
                <w:color w:val="auto"/>
                <w:szCs w:val="24"/>
              </w:rPr>
              <w:t>检测到整流装置或逆变装置电流过大，则停止电梯运行。</w:t>
            </w:r>
          </w:p>
        </w:tc>
      </w:tr>
      <w:tr w14:paraId="282FD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393CDED">
            <w:pPr>
              <w:pStyle w:val="15"/>
              <w:rPr>
                <w:rFonts w:asciiTheme="minorEastAsia" w:hAnsiTheme="minorEastAsia"/>
                <w:color w:val="auto"/>
                <w:szCs w:val="24"/>
              </w:rPr>
            </w:pPr>
            <w:r>
              <w:rPr>
                <w:rFonts w:hint="eastAsia" w:asciiTheme="minorEastAsia" w:hAnsiTheme="minorEastAsia"/>
                <w:color w:val="auto"/>
                <w:szCs w:val="24"/>
              </w:rPr>
              <w:t>超速保护</w:t>
            </w:r>
          </w:p>
        </w:tc>
        <w:tc>
          <w:tcPr>
            <w:tcW w:w="6032" w:type="dxa"/>
            <w:vAlign w:val="center"/>
          </w:tcPr>
          <w:p w14:paraId="5A94117B">
            <w:pPr>
              <w:pStyle w:val="15"/>
              <w:rPr>
                <w:rFonts w:asciiTheme="minorEastAsia" w:hAnsiTheme="minorEastAsia"/>
                <w:color w:val="auto"/>
                <w:szCs w:val="24"/>
              </w:rPr>
            </w:pPr>
            <w:r>
              <w:rPr>
                <w:rFonts w:hint="eastAsia" w:asciiTheme="minorEastAsia" w:hAnsiTheme="minorEastAsia"/>
                <w:color w:val="auto"/>
                <w:szCs w:val="24"/>
              </w:rPr>
              <w:t>检测到运行速度超出允许值，则停止电梯运行。</w:t>
            </w:r>
          </w:p>
        </w:tc>
      </w:tr>
      <w:tr w14:paraId="45901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9196EDF">
            <w:pPr>
              <w:pStyle w:val="15"/>
              <w:rPr>
                <w:rFonts w:asciiTheme="minorEastAsia" w:hAnsiTheme="minorEastAsia"/>
                <w:color w:val="auto"/>
                <w:szCs w:val="24"/>
              </w:rPr>
            </w:pPr>
            <w:r>
              <w:rPr>
                <w:rFonts w:hint="eastAsia" w:asciiTheme="minorEastAsia" w:hAnsiTheme="minorEastAsia"/>
                <w:color w:val="auto"/>
                <w:szCs w:val="24"/>
              </w:rPr>
              <w:t>电机过热保护</w:t>
            </w:r>
          </w:p>
        </w:tc>
        <w:tc>
          <w:tcPr>
            <w:tcW w:w="6032" w:type="dxa"/>
            <w:vAlign w:val="center"/>
          </w:tcPr>
          <w:p w14:paraId="5534FA48">
            <w:pPr>
              <w:pStyle w:val="15"/>
              <w:rPr>
                <w:rFonts w:asciiTheme="minorEastAsia" w:hAnsiTheme="minorEastAsia"/>
                <w:color w:val="auto"/>
                <w:szCs w:val="24"/>
              </w:rPr>
            </w:pPr>
            <w:r>
              <w:rPr>
                <w:rFonts w:hint="eastAsia" w:asciiTheme="minorEastAsia" w:hAnsiTheme="minorEastAsia"/>
                <w:color w:val="auto"/>
                <w:szCs w:val="24"/>
              </w:rPr>
              <w:t>检测到电机过热，则停止电梯运行。</w:t>
            </w:r>
          </w:p>
        </w:tc>
      </w:tr>
      <w:tr w14:paraId="0CDBC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74BB8F76">
            <w:pPr>
              <w:pStyle w:val="15"/>
              <w:rPr>
                <w:rFonts w:asciiTheme="minorEastAsia" w:hAnsiTheme="minorEastAsia"/>
                <w:color w:val="auto"/>
                <w:szCs w:val="24"/>
              </w:rPr>
            </w:pPr>
            <w:r>
              <w:rPr>
                <w:rFonts w:hint="eastAsia" w:asciiTheme="minorEastAsia" w:hAnsiTheme="minorEastAsia"/>
                <w:color w:val="auto"/>
                <w:szCs w:val="24"/>
              </w:rPr>
              <w:t>过电压保护</w:t>
            </w:r>
          </w:p>
        </w:tc>
        <w:tc>
          <w:tcPr>
            <w:tcW w:w="6032" w:type="dxa"/>
            <w:vAlign w:val="center"/>
          </w:tcPr>
          <w:p w14:paraId="153F5F1E">
            <w:pPr>
              <w:pStyle w:val="15"/>
              <w:rPr>
                <w:rFonts w:asciiTheme="minorEastAsia" w:hAnsiTheme="minorEastAsia"/>
                <w:color w:val="auto"/>
                <w:szCs w:val="24"/>
              </w:rPr>
            </w:pPr>
            <w:r>
              <w:rPr>
                <w:rFonts w:hint="eastAsia" w:asciiTheme="minorEastAsia" w:hAnsiTheme="minorEastAsia"/>
                <w:color w:val="auto"/>
                <w:szCs w:val="24"/>
              </w:rPr>
              <w:t>检测到整流装置或逆变装置电压过高，则停止电梯运行。</w:t>
            </w:r>
          </w:p>
        </w:tc>
      </w:tr>
      <w:tr w14:paraId="66213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86FFF10">
            <w:pPr>
              <w:pStyle w:val="15"/>
              <w:rPr>
                <w:rFonts w:asciiTheme="minorEastAsia" w:hAnsiTheme="minorEastAsia"/>
                <w:color w:val="auto"/>
                <w:szCs w:val="24"/>
              </w:rPr>
            </w:pPr>
            <w:r>
              <w:rPr>
                <w:rFonts w:hint="eastAsia" w:asciiTheme="minorEastAsia" w:hAnsiTheme="minorEastAsia"/>
                <w:color w:val="auto"/>
                <w:szCs w:val="24"/>
              </w:rPr>
              <w:t>电源故障保护</w:t>
            </w:r>
          </w:p>
        </w:tc>
        <w:tc>
          <w:tcPr>
            <w:tcW w:w="6032" w:type="dxa"/>
            <w:vAlign w:val="center"/>
          </w:tcPr>
          <w:p w14:paraId="7F2197F1">
            <w:pPr>
              <w:pStyle w:val="15"/>
              <w:rPr>
                <w:rFonts w:asciiTheme="minorEastAsia" w:hAnsiTheme="minorEastAsia"/>
                <w:color w:val="auto"/>
                <w:szCs w:val="24"/>
              </w:rPr>
            </w:pPr>
            <w:r>
              <w:rPr>
                <w:rFonts w:hint="eastAsia" w:asciiTheme="minorEastAsia" w:hAnsiTheme="minorEastAsia"/>
                <w:color w:val="auto"/>
                <w:szCs w:val="24"/>
              </w:rPr>
              <w:t>电源发生缺断相、欠压等故障时，则停止电梯运行。</w:t>
            </w:r>
          </w:p>
        </w:tc>
      </w:tr>
      <w:tr w14:paraId="586E1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455EAF0">
            <w:pPr>
              <w:pStyle w:val="15"/>
              <w:rPr>
                <w:rFonts w:asciiTheme="minorEastAsia" w:hAnsiTheme="minorEastAsia"/>
                <w:color w:val="auto"/>
                <w:szCs w:val="24"/>
              </w:rPr>
            </w:pPr>
            <w:r>
              <w:rPr>
                <w:rFonts w:hint="eastAsia" w:asciiTheme="minorEastAsia" w:hAnsiTheme="minorEastAsia"/>
                <w:color w:val="auto"/>
                <w:szCs w:val="24"/>
              </w:rPr>
              <w:t>上电再平层</w:t>
            </w:r>
          </w:p>
        </w:tc>
        <w:tc>
          <w:tcPr>
            <w:tcW w:w="6032" w:type="dxa"/>
            <w:vAlign w:val="center"/>
          </w:tcPr>
          <w:p w14:paraId="4813C05B">
            <w:pPr>
              <w:pStyle w:val="15"/>
              <w:rPr>
                <w:rFonts w:asciiTheme="minorEastAsia" w:hAnsiTheme="minorEastAsia"/>
                <w:color w:val="auto"/>
                <w:szCs w:val="24"/>
              </w:rPr>
            </w:pPr>
            <w:r>
              <w:rPr>
                <w:rFonts w:hint="eastAsia" w:asciiTheme="minorEastAsia" w:hAnsiTheme="minorEastAsia"/>
                <w:color w:val="auto"/>
                <w:szCs w:val="24"/>
              </w:rPr>
              <w:t>由于断电引起轿厢停在门区范围内，当电源恢复后轿厢将再平层到平层位置。</w:t>
            </w:r>
          </w:p>
        </w:tc>
      </w:tr>
      <w:tr w14:paraId="7624B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2368" w:type="dxa"/>
            <w:vAlign w:val="center"/>
          </w:tcPr>
          <w:p w14:paraId="6A90FB9F">
            <w:pPr>
              <w:pStyle w:val="15"/>
              <w:rPr>
                <w:rFonts w:asciiTheme="minorEastAsia" w:hAnsiTheme="minorEastAsia"/>
                <w:color w:val="auto"/>
                <w:szCs w:val="24"/>
              </w:rPr>
            </w:pPr>
            <w:r>
              <w:rPr>
                <w:rFonts w:hint="eastAsia" w:asciiTheme="minorEastAsia" w:hAnsiTheme="minorEastAsia"/>
                <w:color w:val="auto"/>
                <w:szCs w:val="24"/>
              </w:rPr>
              <w:t>逆行保护</w:t>
            </w:r>
          </w:p>
        </w:tc>
        <w:tc>
          <w:tcPr>
            <w:tcW w:w="6032" w:type="dxa"/>
            <w:vAlign w:val="center"/>
          </w:tcPr>
          <w:p w14:paraId="2DC7BBB4">
            <w:pPr>
              <w:pStyle w:val="15"/>
              <w:rPr>
                <w:rFonts w:asciiTheme="minorEastAsia" w:hAnsiTheme="minorEastAsia"/>
                <w:color w:val="auto"/>
                <w:szCs w:val="24"/>
              </w:rPr>
            </w:pPr>
            <w:r>
              <w:rPr>
                <w:rFonts w:hint="eastAsia" w:asciiTheme="minorEastAsia" w:hAnsiTheme="minorEastAsia"/>
                <w:color w:val="auto"/>
                <w:szCs w:val="24"/>
              </w:rPr>
              <w:t>检测到电梯逆行，则停止电梯运行。</w:t>
            </w:r>
          </w:p>
        </w:tc>
      </w:tr>
      <w:tr w14:paraId="1CF2F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A9D7432">
            <w:pPr>
              <w:pStyle w:val="15"/>
              <w:rPr>
                <w:rFonts w:asciiTheme="minorEastAsia" w:hAnsiTheme="minorEastAsia"/>
                <w:color w:val="auto"/>
                <w:szCs w:val="24"/>
              </w:rPr>
            </w:pPr>
            <w:r>
              <w:rPr>
                <w:rFonts w:hint="eastAsia" w:asciiTheme="minorEastAsia" w:hAnsiTheme="minorEastAsia"/>
                <w:color w:val="auto"/>
                <w:szCs w:val="24"/>
              </w:rPr>
              <w:t>安全停靠</w:t>
            </w:r>
          </w:p>
        </w:tc>
        <w:tc>
          <w:tcPr>
            <w:tcW w:w="6032" w:type="dxa"/>
            <w:vAlign w:val="center"/>
          </w:tcPr>
          <w:p w14:paraId="6F69841F">
            <w:pPr>
              <w:pStyle w:val="15"/>
              <w:rPr>
                <w:rFonts w:asciiTheme="minorEastAsia" w:hAnsiTheme="minorEastAsia"/>
                <w:color w:val="auto"/>
                <w:szCs w:val="24"/>
              </w:rPr>
            </w:pPr>
            <w:r>
              <w:rPr>
                <w:rFonts w:hint="eastAsia" w:asciiTheme="minorEastAsia" w:hAnsiTheme="minorEastAsia"/>
                <w:color w:val="auto"/>
                <w:szCs w:val="24"/>
              </w:rPr>
              <w:t>电梯因故停在门区外时，控制器进行安全检测，若符合启动要求，则电梯就近停层开门。</w:t>
            </w:r>
          </w:p>
        </w:tc>
      </w:tr>
      <w:tr w14:paraId="4A88F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75F9336">
            <w:pPr>
              <w:pStyle w:val="15"/>
              <w:rPr>
                <w:rFonts w:asciiTheme="minorEastAsia" w:hAnsiTheme="minorEastAsia"/>
                <w:color w:val="auto"/>
                <w:szCs w:val="24"/>
              </w:rPr>
            </w:pPr>
            <w:r>
              <w:rPr>
                <w:rFonts w:hint="eastAsia" w:asciiTheme="minorEastAsia" w:hAnsiTheme="minorEastAsia"/>
                <w:color w:val="auto"/>
                <w:szCs w:val="24"/>
              </w:rPr>
              <w:t>停层开门</w:t>
            </w:r>
          </w:p>
        </w:tc>
        <w:tc>
          <w:tcPr>
            <w:tcW w:w="6032" w:type="dxa"/>
            <w:vAlign w:val="center"/>
          </w:tcPr>
          <w:p w14:paraId="7FD58CE1">
            <w:pPr>
              <w:pStyle w:val="15"/>
              <w:rPr>
                <w:rFonts w:asciiTheme="minorEastAsia" w:hAnsiTheme="minorEastAsia"/>
                <w:color w:val="auto"/>
                <w:szCs w:val="24"/>
              </w:rPr>
            </w:pPr>
            <w:r>
              <w:rPr>
                <w:rFonts w:hint="eastAsia" w:asciiTheme="minorEastAsia" w:hAnsiTheme="minorEastAsia"/>
                <w:color w:val="auto"/>
                <w:szCs w:val="24"/>
              </w:rPr>
              <w:t>电梯停层后自动开门。</w:t>
            </w:r>
          </w:p>
        </w:tc>
      </w:tr>
      <w:tr w14:paraId="219F5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7979DE78">
            <w:pPr>
              <w:pStyle w:val="15"/>
              <w:rPr>
                <w:rFonts w:asciiTheme="minorEastAsia" w:hAnsiTheme="minorEastAsia"/>
                <w:color w:val="auto"/>
                <w:szCs w:val="24"/>
              </w:rPr>
            </w:pPr>
            <w:r>
              <w:rPr>
                <w:rFonts w:hint="eastAsia" w:asciiTheme="minorEastAsia" w:hAnsiTheme="minorEastAsia"/>
                <w:color w:val="auto"/>
                <w:szCs w:val="24"/>
              </w:rPr>
              <w:t>逆变装置高温检测</w:t>
            </w:r>
          </w:p>
        </w:tc>
        <w:tc>
          <w:tcPr>
            <w:tcW w:w="6032" w:type="dxa"/>
            <w:vAlign w:val="center"/>
          </w:tcPr>
          <w:p w14:paraId="5053159F">
            <w:pPr>
              <w:pStyle w:val="15"/>
              <w:rPr>
                <w:rFonts w:asciiTheme="minorEastAsia" w:hAnsiTheme="minorEastAsia"/>
                <w:color w:val="auto"/>
                <w:szCs w:val="24"/>
              </w:rPr>
            </w:pPr>
            <w:r>
              <w:rPr>
                <w:rFonts w:hint="eastAsia" w:asciiTheme="minorEastAsia" w:hAnsiTheme="minorEastAsia"/>
                <w:color w:val="auto"/>
                <w:szCs w:val="24"/>
              </w:rPr>
              <w:t>检测到逆变装置过热，则停止电梯运行。</w:t>
            </w:r>
          </w:p>
        </w:tc>
      </w:tr>
      <w:tr w14:paraId="73D1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0FC11B0">
            <w:pPr>
              <w:pStyle w:val="15"/>
              <w:rPr>
                <w:rFonts w:asciiTheme="minorEastAsia" w:hAnsiTheme="minorEastAsia"/>
                <w:color w:val="auto"/>
                <w:szCs w:val="24"/>
              </w:rPr>
            </w:pPr>
            <w:r>
              <w:rPr>
                <w:rFonts w:hint="eastAsia" w:asciiTheme="minorEastAsia" w:hAnsiTheme="minorEastAsia"/>
                <w:color w:val="auto"/>
                <w:szCs w:val="24"/>
              </w:rPr>
              <w:t>终端强制减速</w:t>
            </w:r>
          </w:p>
        </w:tc>
        <w:tc>
          <w:tcPr>
            <w:tcW w:w="6032" w:type="dxa"/>
            <w:vAlign w:val="center"/>
          </w:tcPr>
          <w:p w14:paraId="31D21C85">
            <w:pPr>
              <w:pStyle w:val="15"/>
              <w:rPr>
                <w:rFonts w:asciiTheme="minorEastAsia" w:hAnsiTheme="minorEastAsia"/>
                <w:color w:val="auto"/>
                <w:szCs w:val="24"/>
              </w:rPr>
            </w:pPr>
            <w:r>
              <w:rPr>
                <w:rFonts w:hint="eastAsia" w:asciiTheme="minorEastAsia" w:hAnsiTheme="minorEastAsia"/>
                <w:color w:val="auto"/>
                <w:szCs w:val="24"/>
              </w:rPr>
              <w:t>若轿厢运行到终端而速度还未减到规定值时，系统强制减速，以使轿厢正常平层。</w:t>
            </w:r>
          </w:p>
        </w:tc>
      </w:tr>
      <w:tr w14:paraId="7AA1C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0933C6A6">
            <w:pPr>
              <w:pStyle w:val="15"/>
              <w:rPr>
                <w:rFonts w:asciiTheme="minorEastAsia" w:hAnsiTheme="minorEastAsia"/>
                <w:color w:val="auto"/>
                <w:szCs w:val="24"/>
              </w:rPr>
            </w:pPr>
            <w:r>
              <w:rPr>
                <w:rFonts w:hint="eastAsia" w:asciiTheme="minorEastAsia" w:hAnsiTheme="minorEastAsia"/>
                <w:color w:val="auto"/>
                <w:szCs w:val="24"/>
              </w:rPr>
              <w:t>过低速保护</w:t>
            </w:r>
          </w:p>
        </w:tc>
        <w:tc>
          <w:tcPr>
            <w:tcW w:w="6032" w:type="dxa"/>
            <w:vAlign w:val="center"/>
          </w:tcPr>
          <w:p w14:paraId="76F6A34A">
            <w:pPr>
              <w:pStyle w:val="15"/>
              <w:rPr>
                <w:rFonts w:asciiTheme="minorEastAsia" w:hAnsiTheme="minorEastAsia"/>
                <w:color w:val="auto"/>
                <w:szCs w:val="24"/>
              </w:rPr>
            </w:pPr>
            <w:r>
              <w:rPr>
                <w:rFonts w:hint="eastAsia" w:asciiTheme="minorEastAsia" w:hAnsiTheme="minorEastAsia"/>
                <w:color w:val="auto"/>
                <w:szCs w:val="24"/>
              </w:rPr>
              <w:t>检测到运行速度低于允许值时，则停止电梯运行。</w:t>
            </w:r>
          </w:p>
        </w:tc>
      </w:tr>
      <w:tr w14:paraId="2DE7E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FD14D05">
            <w:pPr>
              <w:pStyle w:val="15"/>
              <w:rPr>
                <w:rFonts w:asciiTheme="minorEastAsia" w:hAnsiTheme="minorEastAsia"/>
                <w:color w:val="auto"/>
                <w:szCs w:val="24"/>
              </w:rPr>
            </w:pPr>
            <w:r>
              <w:rPr>
                <w:rFonts w:hint="eastAsia" w:asciiTheme="minorEastAsia" w:hAnsiTheme="minorEastAsia"/>
                <w:color w:val="auto"/>
                <w:szCs w:val="24"/>
              </w:rPr>
              <w:t>操纵箱微机异常处理</w:t>
            </w:r>
          </w:p>
        </w:tc>
        <w:tc>
          <w:tcPr>
            <w:tcW w:w="6032" w:type="dxa"/>
            <w:vAlign w:val="center"/>
          </w:tcPr>
          <w:p w14:paraId="59DB983D">
            <w:pPr>
              <w:pStyle w:val="15"/>
              <w:rPr>
                <w:rFonts w:asciiTheme="minorEastAsia" w:hAnsiTheme="minorEastAsia"/>
                <w:color w:val="auto"/>
                <w:szCs w:val="24"/>
              </w:rPr>
            </w:pPr>
            <w:r>
              <w:rPr>
                <w:rFonts w:hint="eastAsia" w:asciiTheme="minorEastAsia" w:hAnsiTheme="minorEastAsia"/>
                <w:color w:val="auto"/>
                <w:szCs w:val="24"/>
              </w:rPr>
              <w:t>当纵箱微机发生异常时，就近层停靠后，电梯不能再启动。</w:t>
            </w:r>
          </w:p>
        </w:tc>
      </w:tr>
      <w:tr w14:paraId="08302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842CFF8">
            <w:pPr>
              <w:pStyle w:val="15"/>
              <w:rPr>
                <w:rFonts w:asciiTheme="minorEastAsia" w:hAnsiTheme="minorEastAsia"/>
                <w:color w:val="auto"/>
                <w:szCs w:val="24"/>
              </w:rPr>
            </w:pPr>
            <w:r>
              <w:rPr>
                <w:rFonts w:hint="eastAsia" w:asciiTheme="minorEastAsia" w:hAnsiTheme="minorEastAsia"/>
                <w:color w:val="auto"/>
                <w:szCs w:val="24"/>
              </w:rPr>
              <w:t>轿内反向指令消除</w:t>
            </w:r>
          </w:p>
        </w:tc>
        <w:tc>
          <w:tcPr>
            <w:tcW w:w="6032" w:type="dxa"/>
            <w:vAlign w:val="center"/>
          </w:tcPr>
          <w:p w14:paraId="54C2E362">
            <w:pPr>
              <w:pStyle w:val="15"/>
              <w:rPr>
                <w:rFonts w:asciiTheme="minorEastAsia" w:hAnsiTheme="minorEastAsia"/>
                <w:color w:val="auto"/>
                <w:szCs w:val="24"/>
              </w:rPr>
            </w:pPr>
            <w:r>
              <w:rPr>
                <w:rFonts w:hint="eastAsia" w:asciiTheme="minorEastAsia" w:hAnsiTheme="minorEastAsia"/>
                <w:color w:val="auto"/>
                <w:szCs w:val="24"/>
              </w:rPr>
              <w:t>电梯自动运行时，当电梯沿途响应完最后一个轿内指令或层站召唤后，系统自动检查并消除余下的轿内指令。</w:t>
            </w:r>
          </w:p>
        </w:tc>
      </w:tr>
      <w:tr w14:paraId="241E3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7DBD669">
            <w:pPr>
              <w:pStyle w:val="15"/>
              <w:rPr>
                <w:rFonts w:asciiTheme="minorEastAsia" w:hAnsiTheme="minorEastAsia"/>
                <w:color w:val="auto"/>
                <w:szCs w:val="24"/>
              </w:rPr>
            </w:pPr>
            <w:r>
              <w:rPr>
                <w:rFonts w:hint="eastAsia" w:asciiTheme="minorEastAsia" w:hAnsiTheme="minorEastAsia"/>
                <w:color w:val="auto"/>
                <w:szCs w:val="24"/>
              </w:rPr>
              <w:t>故障自诊断</w:t>
            </w:r>
          </w:p>
        </w:tc>
        <w:tc>
          <w:tcPr>
            <w:tcW w:w="6032" w:type="dxa"/>
            <w:vAlign w:val="center"/>
          </w:tcPr>
          <w:p w14:paraId="50AD3814">
            <w:pPr>
              <w:pStyle w:val="15"/>
              <w:rPr>
                <w:rFonts w:asciiTheme="minorEastAsia" w:hAnsiTheme="minorEastAsia"/>
                <w:color w:val="auto"/>
                <w:szCs w:val="24"/>
              </w:rPr>
            </w:pPr>
            <w:r>
              <w:rPr>
                <w:rFonts w:hint="eastAsia" w:asciiTheme="minorEastAsia" w:hAnsiTheme="minorEastAsia"/>
                <w:color w:val="auto"/>
                <w:szCs w:val="24"/>
              </w:rPr>
              <w:t>对电梯运行过程中的异常及故障进行诊断。</w:t>
            </w:r>
          </w:p>
        </w:tc>
      </w:tr>
      <w:tr w14:paraId="521BF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92C3528">
            <w:pPr>
              <w:pStyle w:val="15"/>
              <w:rPr>
                <w:rFonts w:asciiTheme="minorEastAsia" w:hAnsiTheme="minorEastAsia"/>
                <w:color w:val="auto"/>
                <w:szCs w:val="24"/>
              </w:rPr>
            </w:pPr>
            <w:r>
              <w:rPr>
                <w:rFonts w:hint="eastAsia" w:asciiTheme="minorEastAsia" w:hAnsiTheme="minorEastAsia"/>
                <w:color w:val="auto"/>
                <w:szCs w:val="24"/>
              </w:rPr>
              <w:t>层站召唤自动登记</w:t>
            </w:r>
          </w:p>
        </w:tc>
        <w:tc>
          <w:tcPr>
            <w:tcW w:w="6032" w:type="dxa"/>
            <w:vAlign w:val="center"/>
          </w:tcPr>
          <w:p w14:paraId="179BD361">
            <w:pPr>
              <w:pStyle w:val="15"/>
              <w:rPr>
                <w:rFonts w:asciiTheme="minorEastAsia" w:hAnsiTheme="minorEastAsia"/>
                <w:color w:val="auto"/>
                <w:szCs w:val="24"/>
              </w:rPr>
            </w:pPr>
            <w:r>
              <w:rPr>
                <w:rFonts w:hint="eastAsia" w:asciiTheme="minorEastAsia" w:hAnsiTheme="minorEastAsia"/>
                <w:color w:val="auto"/>
                <w:szCs w:val="24"/>
              </w:rPr>
              <w:t>当一台电梯不能将所有乘客接走，该层站按钮保持登记状态，系统将自动分配另外一台电梯来服务。</w:t>
            </w:r>
          </w:p>
        </w:tc>
      </w:tr>
      <w:tr w14:paraId="72924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A62D517">
            <w:pPr>
              <w:pStyle w:val="15"/>
              <w:rPr>
                <w:rFonts w:asciiTheme="minorEastAsia" w:hAnsiTheme="minorEastAsia"/>
                <w:color w:val="auto"/>
                <w:szCs w:val="24"/>
              </w:rPr>
            </w:pPr>
            <w:r>
              <w:rPr>
                <w:rFonts w:hint="eastAsia" w:asciiTheme="minorEastAsia" w:hAnsiTheme="minorEastAsia"/>
                <w:color w:val="auto"/>
                <w:szCs w:val="24"/>
              </w:rPr>
              <w:t>层站微机异常处理</w:t>
            </w:r>
          </w:p>
        </w:tc>
        <w:tc>
          <w:tcPr>
            <w:tcW w:w="6032" w:type="dxa"/>
            <w:vAlign w:val="center"/>
          </w:tcPr>
          <w:p w14:paraId="193B1274">
            <w:pPr>
              <w:pStyle w:val="15"/>
              <w:rPr>
                <w:rFonts w:asciiTheme="minorEastAsia" w:hAnsiTheme="minorEastAsia"/>
                <w:color w:val="auto"/>
                <w:szCs w:val="24"/>
              </w:rPr>
            </w:pPr>
            <w:r>
              <w:rPr>
                <w:rFonts w:hint="eastAsia" w:asciiTheme="minorEastAsia" w:hAnsiTheme="minorEastAsia"/>
                <w:color w:val="auto"/>
                <w:szCs w:val="24"/>
              </w:rPr>
              <w:t>当层站微机发生异常时，就近层停靠后，电梯不能再启动。</w:t>
            </w:r>
          </w:p>
        </w:tc>
      </w:tr>
      <w:tr w14:paraId="09D09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317FD5C">
            <w:pPr>
              <w:pStyle w:val="15"/>
              <w:rPr>
                <w:rFonts w:asciiTheme="minorEastAsia" w:hAnsiTheme="minorEastAsia"/>
                <w:color w:val="auto"/>
                <w:szCs w:val="24"/>
              </w:rPr>
            </w:pPr>
            <w:r>
              <w:rPr>
                <w:rFonts w:hint="eastAsia" w:asciiTheme="minorEastAsia" w:hAnsiTheme="minorEastAsia"/>
                <w:color w:val="auto"/>
                <w:szCs w:val="24"/>
              </w:rPr>
              <w:t>层站运行控制开关</w:t>
            </w:r>
          </w:p>
        </w:tc>
        <w:tc>
          <w:tcPr>
            <w:tcW w:w="6032" w:type="dxa"/>
            <w:vAlign w:val="center"/>
          </w:tcPr>
          <w:p w14:paraId="352E6A35">
            <w:pPr>
              <w:pStyle w:val="15"/>
              <w:rPr>
                <w:rFonts w:asciiTheme="minorEastAsia" w:hAnsiTheme="minorEastAsia"/>
                <w:color w:val="auto"/>
                <w:szCs w:val="24"/>
              </w:rPr>
            </w:pPr>
            <w:r>
              <w:rPr>
                <w:rFonts w:hint="eastAsia" w:asciiTheme="minorEastAsia" w:hAnsiTheme="minorEastAsia"/>
                <w:color w:val="auto"/>
                <w:szCs w:val="24"/>
              </w:rPr>
              <w:t>通过操作指定层站上安装的“运行</w:t>
            </w:r>
            <w:r>
              <w:rPr>
                <w:rFonts w:asciiTheme="minorEastAsia" w:hAnsiTheme="minorEastAsia"/>
                <w:color w:val="auto"/>
                <w:szCs w:val="24"/>
              </w:rPr>
              <w:t>/</w:t>
            </w:r>
            <w:r>
              <w:rPr>
                <w:rFonts w:hint="eastAsia" w:asciiTheme="minorEastAsia" w:hAnsiTheme="minorEastAsia"/>
                <w:color w:val="auto"/>
                <w:szCs w:val="24"/>
              </w:rPr>
              <w:t>停止”钥匙开关，</w:t>
            </w:r>
          </w:p>
          <w:p w14:paraId="61EC3D03">
            <w:pPr>
              <w:pStyle w:val="15"/>
              <w:rPr>
                <w:rFonts w:asciiTheme="minorEastAsia" w:hAnsiTheme="minorEastAsia"/>
                <w:color w:val="auto"/>
                <w:szCs w:val="24"/>
              </w:rPr>
            </w:pPr>
            <w:r>
              <w:rPr>
                <w:rFonts w:hint="eastAsia" w:asciiTheme="minorEastAsia" w:hAnsiTheme="minorEastAsia"/>
                <w:color w:val="auto"/>
                <w:szCs w:val="24"/>
              </w:rPr>
              <w:t>开启或关闭电梯。</w:t>
            </w:r>
          </w:p>
        </w:tc>
      </w:tr>
      <w:tr w14:paraId="1BA10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F3BF07A">
            <w:pPr>
              <w:pStyle w:val="15"/>
              <w:rPr>
                <w:rFonts w:asciiTheme="minorEastAsia" w:hAnsiTheme="minorEastAsia"/>
                <w:color w:val="auto"/>
                <w:szCs w:val="24"/>
              </w:rPr>
            </w:pPr>
            <w:r>
              <w:rPr>
                <w:rFonts w:hint="eastAsia" w:asciiTheme="minorEastAsia" w:hAnsiTheme="minorEastAsia"/>
                <w:color w:val="auto"/>
                <w:szCs w:val="24"/>
              </w:rPr>
              <w:t>电梯不启动报警</w:t>
            </w:r>
          </w:p>
        </w:tc>
        <w:tc>
          <w:tcPr>
            <w:tcW w:w="6032" w:type="dxa"/>
            <w:vAlign w:val="center"/>
          </w:tcPr>
          <w:p w14:paraId="49D0BFC0">
            <w:pPr>
              <w:pStyle w:val="15"/>
              <w:rPr>
                <w:rFonts w:asciiTheme="minorEastAsia" w:hAnsiTheme="minorEastAsia"/>
                <w:color w:val="auto"/>
                <w:szCs w:val="24"/>
              </w:rPr>
            </w:pPr>
            <w:r>
              <w:rPr>
                <w:rFonts w:hint="eastAsia" w:asciiTheme="minorEastAsia" w:hAnsiTheme="minorEastAsia"/>
                <w:color w:val="auto"/>
                <w:szCs w:val="24"/>
              </w:rPr>
              <w:t>当层站召唤、轿内指令已登记，但电梯在预定时间内不能启动，则清除已分配的层站召唤，保留轿内指令，异常灯点亮，异常警铃鸣响。</w:t>
            </w:r>
          </w:p>
        </w:tc>
      </w:tr>
      <w:tr w14:paraId="1358B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AD2A167">
            <w:pPr>
              <w:pStyle w:val="15"/>
              <w:rPr>
                <w:rFonts w:asciiTheme="minorEastAsia" w:hAnsiTheme="minorEastAsia"/>
                <w:color w:val="auto"/>
                <w:szCs w:val="24"/>
              </w:rPr>
            </w:pPr>
            <w:r>
              <w:rPr>
                <w:rFonts w:hint="eastAsia" w:asciiTheme="minorEastAsia" w:hAnsiTheme="minorEastAsia"/>
                <w:color w:val="auto"/>
                <w:szCs w:val="24"/>
              </w:rPr>
              <w:t>次层停靠</w:t>
            </w:r>
          </w:p>
        </w:tc>
        <w:tc>
          <w:tcPr>
            <w:tcW w:w="6032" w:type="dxa"/>
            <w:vAlign w:val="center"/>
          </w:tcPr>
          <w:p w14:paraId="4270B997">
            <w:pPr>
              <w:pStyle w:val="15"/>
              <w:rPr>
                <w:rFonts w:asciiTheme="minorEastAsia" w:hAnsiTheme="minorEastAsia"/>
                <w:color w:val="auto"/>
                <w:szCs w:val="24"/>
              </w:rPr>
            </w:pPr>
            <w:r>
              <w:rPr>
                <w:rFonts w:hint="eastAsia" w:asciiTheme="minorEastAsia" w:hAnsiTheme="minorEastAsia"/>
                <w:color w:val="auto"/>
                <w:szCs w:val="24"/>
              </w:rPr>
              <w:t>电梯到达目的层后，若轿厢门不能完全开启，则关门后继续向下一层运行，直到门能完全开启后，恢复正常运行。</w:t>
            </w:r>
          </w:p>
        </w:tc>
      </w:tr>
      <w:tr w14:paraId="7A369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7B8BC67">
            <w:pPr>
              <w:pStyle w:val="15"/>
              <w:rPr>
                <w:rFonts w:asciiTheme="minorEastAsia" w:hAnsiTheme="minorEastAsia"/>
                <w:color w:val="auto"/>
                <w:szCs w:val="24"/>
              </w:rPr>
            </w:pPr>
            <w:r>
              <w:rPr>
                <w:rFonts w:hint="eastAsia" w:asciiTheme="minorEastAsia" w:hAnsiTheme="minorEastAsia"/>
                <w:color w:val="auto"/>
                <w:szCs w:val="24"/>
              </w:rPr>
              <w:t>超载报警</w:t>
            </w:r>
          </w:p>
        </w:tc>
        <w:tc>
          <w:tcPr>
            <w:tcW w:w="6032" w:type="dxa"/>
            <w:vAlign w:val="center"/>
          </w:tcPr>
          <w:p w14:paraId="2A631F5A">
            <w:pPr>
              <w:pStyle w:val="15"/>
              <w:rPr>
                <w:rFonts w:asciiTheme="minorEastAsia" w:hAnsiTheme="minorEastAsia"/>
                <w:color w:val="auto"/>
                <w:szCs w:val="24"/>
              </w:rPr>
            </w:pPr>
            <w:r>
              <w:rPr>
                <w:rFonts w:hint="eastAsia" w:asciiTheme="minorEastAsia" w:hAnsiTheme="minorEastAsia"/>
                <w:color w:val="auto"/>
                <w:szCs w:val="24"/>
              </w:rPr>
              <w:t>轿厢超载时，电梯保持开门且轿内蜂鸣器鸣响。</w:t>
            </w:r>
          </w:p>
        </w:tc>
      </w:tr>
      <w:tr w14:paraId="5AB07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244720A">
            <w:pPr>
              <w:pStyle w:val="15"/>
              <w:rPr>
                <w:rFonts w:asciiTheme="minorEastAsia" w:hAnsiTheme="minorEastAsia"/>
                <w:color w:val="auto"/>
                <w:szCs w:val="24"/>
              </w:rPr>
            </w:pPr>
            <w:r>
              <w:rPr>
                <w:rFonts w:hint="eastAsia" w:asciiTheme="minorEastAsia" w:hAnsiTheme="minorEastAsia"/>
                <w:color w:val="auto"/>
                <w:szCs w:val="24"/>
              </w:rPr>
              <w:t>轿厢应急照明</w:t>
            </w:r>
          </w:p>
        </w:tc>
        <w:tc>
          <w:tcPr>
            <w:tcW w:w="6032" w:type="dxa"/>
            <w:vAlign w:val="center"/>
          </w:tcPr>
          <w:p w14:paraId="72DCFFCA">
            <w:pPr>
              <w:pStyle w:val="15"/>
              <w:rPr>
                <w:rFonts w:asciiTheme="minorEastAsia" w:hAnsiTheme="minorEastAsia"/>
                <w:color w:val="auto"/>
                <w:szCs w:val="24"/>
              </w:rPr>
            </w:pPr>
            <w:r>
              <w:rPr>
                <w:rFonts w:hint="eastAsia" w:asciiTheme="minorEastAsia" w:hAnsiTheme="minorEastAsia"/>
                <w:color w:val="auto"/>
                <w:szCs w:val="24"/>
              </w:rPr>
              <w:t>当正常照明电源断电时，立即提供轿厢照明。</w:t>
            </w:r>
          </w:p>
        </w:tc>
      </w:tr>
      <w:tr w14:paraId="61D7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7C292D97">
            <w:pPr>
              <w:pStyle w:val="15"/>
              <w:rPr>
                <w:rFonts w:asciiTheme="minorEastAsia" w:hAnsiTheme="minorEastAsia"/>
                <w:color w:val="auto"/>
                <w:szCs w:val="24"/>
              </w:rPr>
            </w:pPr>
            <w:r>
              <w:rPr>
                <w:rFonts w:hint="eastAsia" w:asciiTheme="minorEastAsia" w:hAnsiTheme="minorEastAsia"/>
                <w:color w:val="auto"/>
                <w:szCs w:val="24"/>
              </w:rPr>
              <w:t>警铃</w:t>
            </w:r>
          </w:p>
        </w:tc>
        <w:tc>
          <w:tcPr>
            <w:tcW w:w="6032" w:type="dxa"/>
            <w:vAlign w:val="center"/>
          </w:tcPr>
          <w:p w14:paraId="0502C3AC">
            <w:pPr>
              <w:pStyle w:val="15"/>
              <w:rPr>
                <w:rFonts w:asciiTheme="minorEastAsia" w:hAnsiTheme="minorEastAsia"/>
                <w:color w:val="auto"/>
                <w:szCs w:val="24"/>
              </w:rPr>
            </w:pPr>
            <w:r>
              <w:rPr>
                <w:rFonts w:hint="eastAsia" w:asciiTheme="minorEastAsia" w:hAnsiTheme="minorEastAsia"/>
                <w:color w:val="auto"/>
                <w:szCs w:val="24"/>
              </w:rPr>
              <w:t>紧急时按下该警铃，警铃和通话装置鸣响。</w:t>
            </w:r>
          </w:p>
        </w:tc>
      </w:tr>
      <w:tr w14:paraId="6EE94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03D9C31C">
            <w:pPr>
              <w:pStyle w:val="15"/>
              <w:rPr>
                <w:rFonts w:asciiTheme="minorEastAsia" w:hAnsiTheme="minorEastAsia"/>
                <w:color w:val="auto"/>
                <w:szCs w:val="24"/>
              </w:rPr>
            </w:pPr>
            <w:r>
              <w:rPr>
                <w:rFonts w:hint="eastAsia" w:asciiTheme="minorEastAsia" w:hAnsiTheme="minorEastAsia"/>
                <w:color w:val="auto"/>
                <w:szCs w:val="24"/>
              </w:rPr>
              <w:t>关门保护</w:t>
            </w:r>
          </w:p>
        </w:tc>
        <w:tc>
          <w:tcPr>
            <w:tcW w:w="6032" w:type="dxa"/>
            <w:vAlign w:val="center"/>
          </w:tcPr>
          <w:p w14:paraId="26FF0B56">
            <w:pPr>
              <w:pStyle w:val="15"/>
              <w:rPr>
                <w:rFonts w:asciiTheme="minorEastAsia" w:hAnsiTheme="minorEastAsia"/>
                <w:color w:val="auto"/>
                <w:szCs w:val="24"/>
              </w:rPr>
            </w:pPr>
            <w:r>
              <w:rPr>
                <w:rFonts w:hint="eastAsia" w:asciiTheme="minorEastAsia" w:hAnsiTheme="minorEastAsia"/>
                <w:color w:val="auto"/>
                <w:szCs w:val="24"/>
              </w:rPr>
              <w:t>当轿厢门不能完全关闭时，门反向开启。</w:t>
            </w:r>
          </w:p>
        </w:tc>
      </w:tr>
      <w:tr w14:paraId="075AA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7A3D527E">
            <w:pPr>
              <w:pStyle w:val="15"/>
              <w:rPr>
                <w:rFonts w:asciiTheme="minorEastAsia" w:hAnsiTheme="minorEastAsia"/>
                <w:color w:val="auto"/>
                <w:szCs w:val="24"/>
              </w:rPr>
            </w:pPr>
            <w:r>
              <w:rPr>
                <w:rFonts w:hint="eastAsia" w:asciiTheme="minorEastAsia" w:hAnsiTheme="minorEastAsia"/>
                <w:color w:val="auto"/>
                <w:szCs w:val="24"/>
              </w:rPr>
              <w:t>换向重开门</w:t>
            </w:r>
          </w:p>
        </w:tc>
        <w:tc>
          <w:tcPr>
            <w:tcW w:w="6032" w:type="dxa"/>
            <w:vAlign w:val="center"/>
          </w:tcPr>
          <w:p w14:paraId="5873D6D9">
            <w:pPr>
              <w:pStyle w:val="15"/>
              <w:rPr>
                <w:rFonts w:asciiTheme="minorEastAsia" w:hAnsiTheme="minorEastAsia"/>
                <w:color w:val="auto"/>
                <w:szCs w:val="24"/>
              </w:rPr>
            </w:pPr>
            <w:r>
              <w:rPr>
                <w:rFonts w:hint="eastAsia" w:asciiTheme="minorEastAsia" w:hAnsiTheme="minorEastAsia"/>
                <w:color w:val="auto"/>
                <w:szCs w:val="24"/>
              </w:rPr>
              <w:t>电梯门开状态，前行方向上没有轿内指令和层站召唤，且该层站的相反方向的层站召唤已被登记，电梯关门后立即重开。</w:t>
            </w:r>
          </w:p>
        </w:tc>
      </w:tr>
      <w:tr w14:paraId="5AF2D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4192C56">
            <w:pPr>
              <w:pStyle w:val="15"/>
              <w:rPr>
                <w:rFonts w:asciiTheme="minorEastAsia" w:hAnsiTheme="minorEastAsia"/>
                <w:color w:val="auto"/>
                <w:szCs w:val="24"/>
              </w:rPr>
            </w:pPr>
            <w:r>
              <w:rPr>
                <w:rFonts w:hint="eastAsia" w:asciiTheme="minorEastAsia" w:hAnsiTheme="minorEastAsia"/>
                <w:color w:val="auto"/>
                <w:szCs w:val="24"/>
              </w:rPr>
              <w:t>门负载检测</w:t>
            </w:r>
          </w:p>
        </w:tc>
        <w:tc>
          <w:tcPr>
            <w:tcW w:w="6032" w:type="dxa"/>
            <w:vAlign w:val="center"/>
          </w:tcPr>
          <w:p w14:paraId="5C01D7ED">
            <w:pPr>
              <w:pStyle w:val="15"/>
              <w:rPr>
                <w:rFonts w:asciiTheme="minorEastAsia" w:hAnsiTheme="minorEastAsia"/>
                <w:color w:val="auto"/>
                <w:szCs w:val="24"/>
              </w:rPr>
            </w:pPr>
            <w:r>
              <w:rPr>
                <w:rFonts w:hint="eastAsia" w:asciiTheme="minorEastAsia" w:hAnsiTheme="minorEastAsia"/>
                <w:color w:val="auto"/>
                <w:szCs w:val="24"/>
              </w:rPr>
              <w:t>如果门由于过载导致不能完全打开或关闭，电梯门将会反向动作。</w:t>
            </w:r>
          </w:p>
        </w:tc>
      </w:tr>
      <w:tr w14:paraId="38A98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6FF1C00">
            <w:pPr>
              <w:pStyle w:val="15"/>
              <w:rPr>
                <w:rFonts w:asciiTheme="minorEastAsia" w:hAnsiTheme="minorEastAsia"/>
                <w:color w:val="auto"/>
                <w:szCs w:val="24"/>
              </w:rPr>
            </w:pPr>
            <w:r>
              <w:rPr>
                <w:rFonts w:hint="eastAsia" w:asciiTheme="minorEastAsia" w:hAnsiTheme="minorEastAsia"/>
                <w:color w:val="auto"/>
                <w:szCs w:val="24"/>
              </w:rPr>
              <w:t>开门受阻控制</w:t>
            </w:r>
          </w:p>
        </w:tc>
        <w:tc>
          <w:tcPr>
            <w:tcW w:w="6032" w:type="dxa"/>
            <w:vAlign w:val="center"/>
          </w:tcPr>
          <w:p w14:paraId="57F2F2FB">
            <w:pPr>
              <w:pStyle w:val="15"/>
              <w:rPr>
                <w:rFonts w:asciiTheme="minorEastAsia" w:hAnsiTheme="minorEastAsia"/>
                <w:color w:val="auto"/>
                <w:szCs w:val="24"/>
              </w:rPr>
            </w:pPr>
            <w:r>
              <w:rPr>
                <w:rFonts w:hint="eastAsia" w:asciiTheme="minorEastAsia" w:hAnsiTheme="minorEastAsia"/>
                <w:color w:val="auto"/>
                <w:szCs w:val="24"/>
              </w:rPr>
              <w:t>如果电梯开门受阻，立即关门。</w:t>
            </w:r>
          </w:p>
        </w:tc>
      </w:tr>
      <w:tr w14:paraId="15DE4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7D11792D">
            <w:pPr>
              <w:pStyle w:val="15"/>
              <w:rPr>
                <w:rFonts w:asciiTheme="minorEastAsia" w:hAnsiTheme="minorEastAsia"/>
                <w:color w:val="auto"/>
                <w:szCs w:val="24"/>
              </w:rPr>
            </w:pPr>
            <w:r>
              <w:rPr>
                <w:rFonts w:hint="eastAsia" w:asciiTheme="minorEastAsia" w:hAnsiTheme="minorEastAsia"/>
                <w:color w:val="auto"/>
                <w:szCs w:val="24"/>
              </w:rPr>
              <w:t>开门保持时间自动调整</w:t>
            </w:r>
          </w:p>
        </w:tc>
        <w:tc>
          <w:tcPr>
            <w:tcW w:w="6032" w:type="dxa"/>
            <w:vAlign w:val="center"/>
          </w:tcPr>
          <w:p w14:paraId="68B54F77">
            <w:pPr>
              <w:pStyle w:val="15"/>
              <w:rPr>
                <w:rFonts w:asciiTheme="minorEastAsia" w:hAnsiTheme="minorEastAsia"/>
                <w:color w:val="auto"/>
                <w:szCs w:val="24"/>
              </w:rPr>
            </w:pPr>
            <w:r>
              <w:rPr>
                <w:rFonts w:hint="eastAsia" w:asciiTheme="minorEastAsia" w:hAnsiTheme="minorEastAsia"/>
                <w:color w:val="auto"/>
                <w:szCs w:val="24"/>
              </w:rPr>
              <w:t>根据层站召唤或轿内指令自动调整开门保持时间。</w:t>
            </w:r>
          </w:p>
        </w:tc>
      </w:tr>
      <w:tr w14:paraId="53DD1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A61211E">
            <w:pPr>
              <w:pStyle w:val="15"/>
              <w:rPr>
                <w:rFonts w:asciiTheme="minorEastAsia" w:hAnsiTheme="minorEastAsia"/>
                <w:color w:val="auto"/>
                <w:szCs w:val="24"/>
              </w:rPr>
            </w:pPr>
            <w:r>
              <w:rPr>
                <w:rFonts w:hint="eastAsia" w:asciiTheme="minorEastAsia" w:hAnsiTheme="minorEastAsia"/>
                <w:color w:val="auto"/>
                <w:szCs w:val="24"/>
              </w:rPr>
              <w:t>关门力矩控制</w:t>
            </w:r>
          </w:p>
        </w:tc>
        <w:tc>
          <w:tcPr>
            <w:tcW w:w="6032" w:type="dxa"/>
            <w:vAlign w:val="center"/>
          </w:tcPr>
          <w:p w14:paraId="7060B743">
            <w:pPr>
              <w:pStyle w:val="15"/>
              <w:rPr>
                <w:rFonts w:asciiTheme="minorEastAsia" w:hAnsiTheme="minorEastAsia"/>
                <w:color w:val="auto"/>
                <w:szCs w:val="24"/>
              </w:rPr>
            </w:pPr>
            <w:r>
              <w:rPr>
                <w:rFonts w:hint="eastAsia" w:asciiTheme="minorEastAsia" w:hAnsiTheme="minorEastAsia"/>
                <w:color w:val="auto"/>
                <w:szCs w:val="24"/>
              </w:rPr>
              <w:t>电梯关门遇到额外阻力时，门系统自动增大力矩。</w:t>
            </w:r>
          </w:p>
        </w:tc>
      </w:tr>
      <w:tr w14:paraId="34EFA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9E2F960">
            <w:pPr>
              <w:pStyle w:val="15"/>
              <w:rPr>
                <w:rFonts w:asciiTheme="minorEastAsia" w:hAnsiTheme="minorEastAsia"/>
                <w:color w:val="auto"/>
                <w:szCs w:val="24"/>
              </w:rPr>
            </w:pPr>
            <w:r>
              <w:rPr>
                <w:rFonts w:hint="eastAsia" w:asciiTheme="minorEastAsia" w:hAnsiTheme="minorEastAsia"/>
                <w:color w:val="auto"/>
                <w:szCs w:val="24"/>
              </w:rPr>
              <w:t>即时关门</w:t>
            </w:r>
          </w:p>
        </w:tc>
        <w:tc>
          <w:tcPr>
            <w:tcW w:w="6032" w:type="dxa"/>
            <w:vAlign w:val="center"/>
          </w:tcPr>
          <w:p w14:paraId="3457E793">
            <w:pPr>
              <w:pStyle w:val="15"/>
              <w:rPr>
                <w:rFonts w:asciiTheme="minorEastAsia" w:hAnsiTheme="minorEastAsia"/>
                <w:color w:val="auto"/>
                <w:szCs w:val="24"/>
              </w:rPr>
            </w:pPr>
            <w:r>
              <w:rPr>
                <w:rFonts w:hint="eastAsia" w:asciiTheme="minorEastAsia" w:hAnsiTheme="minorEastAsia"/>
                <w:color w:val="auto"/>
                <w:szCs w:val="24"/>
              </w:rPr>
              <w:t>电梯停站开门后，按下关门按钮，门立即关闭。</w:t>
            </w:r>
          </w:p>
        </w:tc>
      </w:tr>
      <w:tr w14:paraId="79360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D061695">
            <w:pPr>
              <w:pStyle w:val="15"/>
              <w:rPr>
                <w:rFonts w:asciiTheme="minorEastAsia" w:hAnsiTheme="minorEastAsia"/>
                <w:color w:val="auto"/>
                <w:szCs w:val="24"/>
              </w:rPr>
            </w:pPr>
            <w:r>
              <w:rPr>
                <w:rFonts w:hint="eastAsia" w:asciiTheme="minorEastAsia" w:hAnsiTheme="minorEastAsia"/>
                <w:color w:val="auto"/>
                <w:szCs w:val="24"/>
              </w:rPr>
              <w:t>强制关门</w:t>
            </w:r>
          </w:p>
        </w:tc>
        <w:tc>
          <w:tcPr>
            <w:tcW w:w="6032" w:type="dxa"/>
            <w:vAlign w:val="center"/>
          </w:tcPr>
          <w:p w14:paraId="35C1C50F">
            <w:pPr>
              <w:pStyle w:val="15"/>
              <w:rPr>
                <w:rFonts w:asciiTheme="minorEastAsia" w:hAnsiTheme="minorEastAsia"/>
                <w:color w:val="auto"/>
                <w:szCs w:val="24"/>
              </w:rPr>
            </w:pPr>
            <w:r>
              <w:rPr>
                <w:rFonts w:hint="eastAsia" w:asciiTheme="minorEastAsia" w:hAnsiTheme="minorEastAsia"/>
                <w:color w:val="auto"/>
                <w:szCs w:val="24"/>
              </w:rPr>
              <w:t>如果电梯开门保持时间超过预定值，电梯暂时忽略非接触式门传感器的作用，强制关门。</w:t>
            </w:r>
          </w:p>
        </w:tc>
      </w:tr>
      <w:tr w14:paraId="29911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740552F">
            <w:pPr>
              <w:pStyle w:val="15"/>
              <w:rPr>
                <w:rFonts w:asciiTheme="minorEastAsia" w:hAnsiTheme="minorEastAsia"/>
                <w:color w:val="auto"/>
                <w:szCs w:val="24"/>
              </w:rPr>
            </w:pPr>
            <w:r>
              <w:rPr>
                <w:rFonts w:hint="eastAsia" w:asciiTheme="minorEastAsia" w:hAnsiTheme="minorEastAsia"/>
                <w:color w:val="auto"/>
                <w:szCs w:val="24"/>
              </w:rPr>
              <w:t>重复关门</w:t>
            </w:r>
          </w:p>
        </w:tc>
        <w:tc>
          <w:tcPr>
            <w:tcW w:w="6032" w:type="dxa"/>
            <w:vAlign w:val="center"/>
          </w:tcPr>
          <w:p w14:paraId="28606495">
            <w:pPr>
              <w:pStyle w:val="15"/>
              <w:rPr>
                <w:rFonts w:asciiTheme="minorEastAsia" w:hAnsiTheme="minorEastAsia"/>
                <w:color w:val="auto"/>
                <w:szCs w:val="24"/>
              </w:rPr>
            </w:pPr>
            <w:r>
              <w:rPr>
                <w:rFonts w:hint="eastAsia" w:asciiTheme="minorEastAsia" w:hAnsiTheme="minorEastAsia"/>
                <w:color w:val="auto"/>
                <w:szCs w:val="24"/>
              </w:rPr>
              <w:t>如果关门受阻，电梯就会重复关门动作，直到杂物被清除。</w:t>
            </w:r>
          </w:p>
        </w:tc>
      </w:tr>
      <w:tr w14:paraId="5F59D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8DC2CD1">
            <w:pPr>
              <w:pStyle w:val="15"/>
              <w:rPr>
                <w:rFonts w:asciiTheme="minorEastAsia" w:hAnsiTheme="minorEastAsia"/>
                <w:color w:val="auto"/>
                <w:szCs w:val="24"/>
              </w:rPr>
            </w:pPr>
            <w:r>
              <w:rPr>
                <w:rFonts w:hint="eastAsia" w:asciiTheme="minorEastAsia" w:hAnsiTheme="minorEastAsia"/>
                <w:color w:val="auto"/>
                <w:szCs w:val="24"/>
              </w:rPr>
              <w:t>本层再开门</w:t>
            </w:r>
          </w:p>
        </w:tc>
        <w:tc>
          <w:tcPr>
            <w:tcW w:w="6032" w:type="dxa"/>
            <w:vAlign w:val="center"/>
          </w:tcPr>
          <w:p w14:paraId="4FFA61D7">
            <w:pPr>
              <w:pStyle w:val="15"/>
              <w:rPr>
                <w:rFonts w:asciiTheme="minorEastAsia" w:hAnsiTheme="minorEastAsia"/>
                <w:color w:val="auto"/>
                <w:szCs w:val="24"/>
              </w:rPr>
            </w:pPr>
            <w:r>
              <w:rPr>
                <w:rFonts w:hint="eastAsia" w:asciiTheme="minorEastAsia" w:hAnsiTheme="minorEastAsia"/>
                <w:color w:val="auto"/>
                <w:szCs w:val="24"/>
              </w:rPr>
              <w:t>关门过程中，按同方向层站召唤按钮，电梯重新开门。</w:t>
            </w:r>
          </w:p>
        </w:tc>
      </w:tr>
      <w:tr w14:paraId="34BBE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0C56567A">
            <w:pPr>
              <w:pStyle w:val="15"/>
              <w:rPr>
                <w:rFonts w:asciiTheme="minorEastAsia" w:hAnsiTheme="minorEastAsia"/>
                <w:color w:val="auto"/>
                <w:szCs w:val="24"/>
              </w:rPr>
            </w:pPr>
            <w:r>
              <w:rPr>
                <w:rFonts w:hint="eastAsia" w:asciiTheme="minorEastAsia" w:hAnsiTheme="minorEastAsia"/>
                <w:color w:val="auto"/>
                <w:szCs w:val="24"/>
              </w:rPr>
              <w:t>轿内运行方向指示</w:t>
            </w:r>
          </w:p>
        </w:tc>
        <w:tc>
          <w:tcPr>
            <w:tcW w:w="6032" w:type="dxa"/>
            <w:vAlign w:val="center"/>
          </w:tcPr>
          <w:p w14:paraId="6E04784F">
            <w:pPr>
              <w:pStyle w:val="15"/>
              <w:rPr>
                <w:rFonts w:asciiTheme="minorEastAsia" w:hAnsiTheme="minorEastAsia"/>
                <w:color w:val="auto"/>
                <w:szCs w:val="24"/>
              </w:rPr>
            </w:pPr>
            <w:r>
              <w:rPr>
                <w:rFonts w:hint="eastAsia" w:asciiTheme="minorEastAsia" w:hAnsiTheme="minorEastAsia"/>
                <w:color w:val="auto"/>
                <w:szCs w:val="24"/>
              </w:rPr>
              <w:t>在轿厢内用箭头表示电梯的运行方向。</w:t>
            </w:r>
          </w:p>
        </w:tc>
      </w:tr>
      <w:tr w14:paraId="308E1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802DD26">
            <w:pPr>
              <w:pStyle w:val="15"/>
              <w:rPr>
                <w:rFonts w:asciiTheme="minorEastAsia" w:hAnsiTheme="minorEastAsia"/>
                <w:color w:val="auto"/>
                <w:szCs w:val="24"/>
              </w:rPr>
            </w:pPr>
            <w:r>
              <w:rPr>
                <w:rFonts w:hint="eastAsia" w:asciiTheme="minorEastAsia" w:hAnsiTheme="minorEastAsia"/>
                <w:color w:val="auto"/>
                <w:szCs w:val="24"/>
              </w:rPr>
              <w:t>层站运行方向指示</w:t>
            </w:r>
          </w:p>
        </w:tc>
        <w:tc>
          <w:tcPr>
            <w:tcW w:w="6032" w:type="dxa"/>
            <w:vAlign w:val="center"/>
          </w:tcPr>
          <w:p w14:paraId="06F3B9BD">
            <w:pPr>
              <w:pStyle w:val="15"/>
              <w:rPr>
                <w:rFonts w:asciiTheme="minorEastAsia" w:hAnsiTheme="minorEastAsia"/>
                <w:color w:val="auto"/>
                <w:szCs w:val="24"/>
              </w:rPr>
            </w:pPr>
            <w:r>
              <w:rPr>
                <w:rFonts w:hint="eastAsia" w:asciiTheme="minorEastAsia" w:hAnsiTheme="minorEastAsia"/>
                <w:color w:val="auto"/>
                <w:szCs w:val="24"/>
              </w:rPr>
              <w:t>在层站用箭头表示电梯的运行方向。</w:t>
            </w:r>
          </w:p>
        </w:tc>
      </w:tr>
      <w:tr w14:paraId="44D76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6BED72B6">
            <w:pPr>
              <w:pStyle w:val="15"/>
              <w:rPr>
                <w:rFonts w:asciiTheme="minorEastAsia" w:hAnsiTheme="minorEastAsia"/>
                <w:color w:val="auto"/>
                <w:szCs w:val="24"/>
              </w:rPr>
            </w:pPr>
            <w:r>
              <w:rPr>
                <w:rFonts w:hint="eastAsia" w:asciiTheme="minorEastAsia" w:hAnsiTheme="minorEastAsia"/>
                <w:color w:val="auto"/>
                <w:szCs w:val="24"/>
              </w:rPr>
              <w:t>关门按钮响应指示</w:t>
            </w:r>
          </w:p>
        </w:tc>
        <w:tc>
          <w:tcPr>
            <w:tcW w:w="6032" w:type="dxa"/>
            <w:vAlign w:val="center"/>
          </w:tcPr>
          <w:p w14:paraId="0963D007">
            <w:pPr>
              <w:pStyle w:val="15"/>
              <w:rPr>
                <w:rFonts w:asciiTheme="minorEastAsia" w:hAnsiTheme="minorEastAsia"/>
                <w:color w:val="auto"/>
                <w:szCs w:val="24"/>
              </w:rPr>
            </w:pPr>
            <w:r>
              <w:rPr>
                <w:rFonts w:hint="eastAsia" w:asciiTheme="minorEastAsia" w:hAnsiTheme="minorEastAsia"/>
                <w:color w:val="auto"/>
                <w:szCs w:val="24"/>
              </w:rPr>
              <w:t>按下关门按钮时关门按钮灯同时点亮。</w:t>
            </w:r>
          </w:p>
        </w:tc>
      </w:tr>
      <w:tr w14:paraId="0CBA6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CD106E0">
            <w:pPr>
              <w:pStyle w:val="15"/>
              <w:rPr>
                <w:rFonts w:asciiTheme="minorEastAsia" w:hAnsiTheme="minorEastAsia"/>
                <w:color w:val="auto"/>
                <w:szCs w:val="24"/>
              </w:rPr>
            </w:pPr>
            <w:r>
              <w:rPr>
                <w:rFonts w:hint="eastAsia" w:asciiTheme="minorEastAsia" w:hAnsiTheme="minorEastAsia"/>
                <w:color w:val="auto"/>
                <w:szCs w:val="24"/>
              </w:rPr>
              <w:t>开门按钮响应指示</w:t>
            </w:r>
          </w:p>
        </w:tc>
        <w:tc>
          <w:tcPr>
            <w:tcW w:w="6032" w:type="dxa"/>
            <w:vAlign w:val="center"/>
          </w:tcPr>
          <w:p w14:paraId="0C8391E2">
            <w:pPr>
              <w:pStyle w:val="15"/>
              <w:rPr>
                <w:rFonts w:asciiTheme="minorEastAsia" w:hAnsiTheme="minorEastAsia"/>
                <w:color w:val="auto"/>
                <w:szCs w:val="24"/>
              </w:rPr>
            </w:pPr>
            <w:r>
              <w:rPr>
                <w:rFonts w:hint="eastAsia" w:asciiTheme="minorEastAsia" w:hAnsiTheme="minorEastAsia"/>
                <w:color w:val="auto"/>
                <w:szCs w:val="24"/>
              </w:rPr>
              <w:t>按下开门按钮时开门按钮灯同时点亮。</w:t>
            </w:r>
          </w:p>
        </w:tc>
      </w:tr>
      <w:tr w14:paraId="39B00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2AA2286">
            <w:pPr>
              <w:pStyle w:val="15"/>
              <w:rPr>
                <w:rFonts w:asciiTheme="minorEastAsia" w:hAnsiTheme="minorEastAsia"/>
                <w:color w:val="auto"/>
                <w:szCs w:val="24"/>
              </w:rPr>
            </w:pPr>
            <w:r>
              <w:rPr>
                <w:rFonts w:hint="eastAsia" w:asciiTheme="minorEastAsia" w:hAnsiTheme="minorEastAsia"/>
                <w:color w:val="auto"/>
                <w:szCs w:val="24"/>
              </w:rPr>
              <w:t>电梯受阻失速保护</w:t>
            </w:r>
          </w:p>
        </w:tc>
        <w:tc>
          <w:tcPr>
            <w:tcW w:w="6032" w:type="dxa"/>
            <w:vAlign w:val="center"/>
          </w:tcPr>
          <w:p w14:paraId="2302E820">
            <w:pPr>
              <w:pStyle w:val="15"/>
              <w:rPr>
                <w:rFonts w:asciiTheme="minorEastAsia" w:hAnsiTheme="minorEastAsia"/>
                <w:color w:val="auto"/>
                <w:szCs w:val="24"/>
              </w:rPr>
            </w:pPr>
            <w:r>
              <w:rPr>
                <w:rFonts w:hint="eastAsia" w:asciiTheme="minorEastAsia" w:hAnsiTheme="minorEastAsia"/>
                <w:color w:val="auto"/>
                <w:szCs w:val="24"/>
              </w:rPr>
              <w:t>当曳引钢丝绳打滑达到预定时间时，电梯停止运行。</w:t>
            </w:r>
          </w:p>
        </w:tc>
      </w:tr>
      <w:tr w14:paraId="225E8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E1C03A7">
            <w:pPr>
              <w:pStyle w:val="15"/>
              <w:rPr>
                <w:rFonts w:asciiTheme="minorEastAsia" w:hAnsiTheme="minorEastAsia"/>
                <w:color w:val="auto"/>
                <w:szCs w:val="24"/>
              </w:rPr>
            </w:pPr>
            <w:r>
              <w:rPr>
                <w:rFonts w:hint="eastAsia" w:asciiTheme="minorEastAsia" w:hAnsiTheme="minorEastAsia"/>
                <w:color w:val="auto"/>
                <w:szCs w:val="24"/>
              </w:rPr>
              <w:t>选层器修正</w:t>
            </w:r>
          </w:p>
        </w:tc>
        <w:tc>
          <w:tcPr>
            <w:tcW w:w="6032" w:type="dxa"/>
            <w:vAlign w:val="center"/>
          </w:tcPr>
          <w:p w14:paraId="069D6DAA">
            <w:pPr>
              <w:pStyle w:val="15"/>
              <w:rPr>
                <w:rFonts w:asciiTheme="minorEastAsia" w:hAnsiTheme="minorEastAsia"/>
                <w:color w:val="auto"/>
                <w:szCs w:val="24"/>
              </w:rPr>
            </w:pPr>
            <w:r>
              <w:rPr>
                <w:rFonts w:hint="eastAsia" w:asciiTheme="minorEastAsia" w:hAnsiTheme="minorEastAsia"/>
                <w:color w:val="auto"/>
                <w:szCs w:val="24"/>
              </w:rPr>
              <w:t>电梯在运行过程中，对选层器进行修正。</w:t>
            </w:r>
          </w:p>
        </w:tc>
      </w:tr>
      <w:tr w14:paraId="2DA0D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0FF77A5">
            <w:pPr>
              <w:pStyle w:val="15"/>
              <w:rPr>
                <w:rFonts w:asciiTheme="minorEastAsia" w:hAnsiTheme="minorEastAsia"/>
                <w:color w:val="auto"/>
                <w:szCs w:val="24"/>
              </w:rPr>
            </w:pPr>
            <w:r>
              <w:rPr>
                <w:rFonts w:hint="eastAsia" w:asciiTheme="minorEastAsia" w:hAnsiTheme="minorEastAsia"/>
                <w:color w:val="auto"/>
                <w:szCs w:val="24"/>
              </w:rPr>
              <w:t>电梯计时计次仪</w:t>
            </w:r>
          </w:p>
        </w:tc>
        <w:tc>
          <w:tcPr>
            <w:tcW w:w="6032" w:type="dxa"/>
            <w:vAlign w:val="center"/>
          </w:tcPr>
          <w:p w14:paraId="56A10B9F">
            <w:pPr>
              <w:pStyle w:val="15"/>
              <w:rPr>
                <w:rFonts w:asciiTheme="minorEastAsia" w:hAnsiTheme="minorEastAsia"/>
                <w:color w:val="auto"/>
                <w:szCs w:val="24"/>
              </w:rPr>
            </w:pPr>
            <w:r>
              <w:rPr>
                <w:rFonts w:hint="eastAsia" w:asciiTheme="minorEastAsia" w:hAnsiTheme="minorEastAsia"/>
                <w:color w:val="auto"/>
                <w:szCs w:val="24"/>
              </w:rPr>
              <w:t>计数计次的功能。</w:t>
            </w:r>
          </w:p>
        </w:tc>
      </w:tr>
      <w:tr w14:paraId="5C9BB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51A37C1">
            <w:pPr>
              <w:pStyle w:val="15"/>
              <w:rPr>
                <w:rFonts w:asciiTheme="minorEastAsia" w:hAnsiTheme="minorEastAsia"/>
                <w:color w:val="auto"/>
                <w:szCs w:val="24"/>
              </w:rPr>
            </w:pPr>
            <w:r>
              <w:rPr>
                <w:rFonts w:hint="eastAsia" w:asciiTheme="minorEastAsia" w:hAnsiTheme="minorEastAsia"/>
                <w:color w:val="auto"/>
                <w:szCs w:val="24"/>
              </w:rPr>
              <w:t>多方通话装置</w:t>
            </w:r>
          </w:p>
        </w:tc>
        <w:tc>
          <w:tcPr>
            <w:tcW w:w="6032" w:type="dxa"/>
            <w:vAlign w:val="center"/>
          </w:tcPr>
          <w:p w14:paraId="06F00E5F">
            <w:pPr>
              <w:pStyle w:val="15"/>
              <w:rPr>
                <w:rFonts w:asciiTheme="minorEastAsia" w:hAnsiTheme="minorEastAsia"/>
                <w:color w:val="auto"/>
                <w:szCs w:val="24"/>
              </w:rPr>
            </w:pPr>
            <w:r>
              <w:rPr>
                <w:rFonts w:hint="eastAsia" w:asciiTheme="minorEastAsia" w:hAnsiTheme="minorEastAsia"/>
                <w:color w:val="auto"/>
                <w:szCs w:val="24"/>
              </w:rPr>
              <w:t>紧急时，轿内或轿顶或底坑的人可以通过该装置与机房或监控室的人通话。</w:t>
            </w:r>
          </w:p>
        </w:tc>
      </w:tr>
      <w:tr w14:paraId="0C572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94D2C0D">
            <w:pPr>
              <w:pStyle w:val="15"/>
              <w:rPr>
                <w:rFonts w:asciiTheme="minorEastAsia" w:hAnsiTheme="minorEastAsia"/>
                <w:color w:val="auto"/>
                <w:szCs w:val="24"/>
              </w:rPr>
            </w:pPr>
            <w:r>
              <w:rPr>
                <w:rFonts w:hint="eastAsia" w:asciiTheme="minorEastAsia" w:hAnsiTheme="minorEastAsia"/>
                <w:color w:val="auto"/>
                <w:szCs w:val="24"/>
              </w:rPr>
              <w:t>层站按钮闪烁指示</w:t>
            </w:r>
          </w:p>
        </w:tc>
        <w:tc>
          <w:tcPr>
            <w:tcW w:w="6032" w:type="dxa"/>
            <w:vAlign w:val="center"/>
          </w:tcPr>
          <w:p w14:paraId="53F176AD">
            <w:pPr>
              <w:pStyle w:val="15"/>
              <w:rPr>
                <w:rFonts w:asciiTheme="minorEastAsia" w:hAnsiTheme="minorEastAsia"/>
                <w:color w:val="auto"/>
                <w:szCs w:val="24"/>
              </w:rPr>
            </w:pPr>
            <w:r>
              <w:rPr>
                <w:rFonts w:hint="eastAsia" w:asciiTheme="minorEastAsia" w:hAnsiTheme="minorEastAsia"/>
                <w:color w:val="auto"/>
                <w:szCs w:val="24"/>
              </w:rPr>
              <w:t>电梯到站停靠，开始开门时，同方向的层站召唤按钮灯闪烁，提醒乘客有电梯到达，当电梯关门到位后，按钮熄灭。</w:t>
            </w:r>
          </w:p>
        </w:tc>
      </w:tr>
      <w:tr w14:paraId="0D703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1986F595">
            <w:pPr>
              <w:pStyle w:val="15"/>
              <w:rPr>
                <w:rFonts w:asciiTheme="minorEastAsia" w:hAnsiTheme="minorEastAsia"/>
                <w:color w:val="auto"/>
                <w:szCs w:val="24"/>
              </w:rPr>
            </w:pPr>
            <w:r>
              <w:rPr>
                <w:rFonts w:hint="eastAsia" w:asciiTheme="minorEastAsia" w:hAnsiTheme="minorEastAsia"/>
                <w:color w:val="auto"/>
                <w:szCs w:val="24"/>
              </w:rPr>
              <w:t>独立运行</w:t>
            </w:r>
          </w:p>
        </w:tc>
        <w:tc>
          <w:tcPr>
            <w:tcW w:w="6032" w:type="dxa"/>
            <w:vAlign w:val="center"/>
          </w:tcPr>
          <w:p w14:paraId="7C8E946B">
            <w:pPr>
              <w:pStyle w:val="15"/>
              <w:rPr>
                <w:rFonts w:asciiTheme="minorEastAsia" w:hAnsiTheme="minorEastAsia"/>
                <w:color w:val="auto"/>
                <w:szCs w:val="24"/>
              </w:rPr>
            </w:pPr>
            <w:r>
              <w:rPr>
                <w:rFonts w:hint="eastAsia" w:asciiTheme="minorEastAsia" w:hAnsiTheme="minorEastAsia"/>
                <w:color w:val="auto"/>
                <w:szCs w:val="24"/>
              </w:rPr>
              <w:t>使用操纵箱内的独立开关，可以在不中断运行的情况下，只响应轿内指令而不响应层站指令。</w:t>
            </w:r>
          </w:p>
        </w:tc>
      </w:tr>
      <w:tr w14:paraId="0F679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7BC8549">
            <w:pPr>
              <w:pStyle w:val="15"/>
              <w:rPr>
                <w:rFonts w:asciiTheme="minorEastAsia" w:hAnsiTheme="minorEastAsia"/>
                <w:color w:val="auto"/>
                <w:szCs w:val="24"/>
              </w:rPr>
            </w:pPr>
            <w:r>
              <w:rPr>
                <w:rFonts w:hint="eastAsia" w:asciiTheme="minorEastAsia" w:hAnsiTheme="minorEastAsia"/>
                <w:color w:val="auto"/>
                <w:szCs w:val="24"/>
              </w:rPr>
              <w:t>分散待机</w:t>
            </w:r>
          </w:p>
        </w:tc>
        <w:tc>
          <w:tcPr>
            <w:tcW w:w="6032" w:type="dxa"/>
            <w:vAlign w:val="center"/>
          </w:tcPr>
          <w:p w14:paraId="3301E95B">
            <w:pPr>
              <w:pStyle w:val="15"/>
              <w:rPr>
                <w:rFonts w:asciiTheme="minorEastAsia" w:hAnsiTheme="minorEastAsia"/>
                <w:color w:val="auto"/>
                <w:szCs w:val="24"/>
              </w:rPr>
            </w:pPr>
            <w:r>
              <w:rPr>
                <w:rFonts w:hint="eastAsia" w:asciiTheme="minorEastAsia" w:hAnsiTheme="minorEastAsia"/>
                <w:color w:val="auto"/>
                <w:szCs w:val="24"/>
              </w:rPr>
              <w:t>群控电梯在没有任何指令或召唤时，将电梯分散在主层站和中间层待机。</w:t>
            </w:r>
          </w:p>
        </w:tc>
      </w:tr>
      <w:tr w14:paraId="6AF57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6288D1F">
            <w:pPr>
              <w:pStyle w:val="15"/>
              <w:rPr>
                <w:rFonts w:asciiTheme="minorEastAsia" w:hAnsiTheme="minorEastAsia"/>
                <w:color w:val="auto"/>
                <w:szCs w:val="24"/>
              </w:rPr>
            </w:pPr>
            <w:r>
              <w:rPr>
                <w:rFonts w:hint="eastAsia" w:asciiTheme="minorEastAsia" w:hAnsiTheme="minorEastAsia"/>
                <w:color w:val="auto"/>
                <w:szCs w:val="24"/>
              </w:rPr>
              <w:t>连续服务</w:t>
            </w:r>
          </w:p>
        </w:tc>
        <w:tc>
          <w:tcPr>
            <w:tcW w:w="6032" w:type="dxa"/>
            <w:vAlign w:val="center"/>
          </w:tcPr>
          <w:p w14:paraId="183925C4">
            <w:pPr>
              <w:pStyle w:val="15"/>
              <w:rPr>
                <w:rFonts w:asciiTheme="minorEastAsia" w:hAnsiTheme="minorEastAsia"/>
                <w:color w:val="auto"/>
                <w:szCs w:val="24"/>
              </w:rPr>
            </w:pPr>
            <w:r>
              <w:rPr>
                <w:rFonts w:hint="eastAsia" w:asciiTheme="minorEastAsia" w:hAnsiTheme="minorEastAsia"/>
                <w:color w:val="auto"/>
                <w:szCs w:val="24"/>
              </w:rPr>
              <w:t>为确保整个群内电梯正常工作，当某台电梯不能响应已登记的层站召唤时，它将被排除在层站召唤服务外，由其它电梯来服务。</w:t>
            </w:r>
          </w:p>
        </w:tc>
      </w:tr>
      <w:tr w14:paraId="75A5E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DE509C6">
            <w:pPr>
              <w:pStyle w:val="15"/>
              <w:rPr>
                <w:rFonts w:asciiTheme="minorEastAsia" w:hAnsiTheme="minorEastAsia"/>
                <w:color w:val="auto"/>
                <w:szCs w:val="24"/>
              </w:rPr>
            </w:pPr>
            <w:r>
              <w:rPr>
                <w:rFonts w:hint="eastAsia" w:asciiTheme="minorEastAsia" w:hAnsiTheme="minorEastAsia"/>
                <w:color w:val="auto"/>
                <w:szCs w:val="24"/>
              </w:rPr>
              <w:t>自动再平层</w:t>
            </w:r>
          </w:p>
        </w:tc>
        <w:tc>
          <w:tcPr>
            <w:tcW w:w="6032" w:type="dxa"/>
            <w:vAlign w:val="center"/>
          </w:tcPr>
          <w:p w14:paraId="58EB00FA">
            <w:pPr>
              <w:pStyle w:val="15"/>
              <w:rPr>
                <w:rFonts w:asciiTheme="minorEastAsia" w:hAnsiTheme="minorEastAsia"/>
                <w:color w:val="auto"/>
                <w:szCs w:val="24"/>
              </w:rPr>
            </w:pPr>
            <w:r>
              <w:rPr>
                <w:rFonts w:hint="eastAsia" w:asciiTheme="minorEastAsia" w:hAnsiTheme="minorEastAsia"/>
                <w:color w:val="auto"/>
                <w:szCs w:val="24"/>
              </w:rPr>
              <w:t>轿厢到站停靠后,轿厢地坎上平面与层门地坎上平面之间垂直方向的偏差超过预定值时,电梯自动在平层。</w:t>
            </w:r>
          </w:p>
        </w:tc>
      </w:tr>
      <w:tr w14:paraId="25502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99B29B6">
            <w:pPr>
              <w:pStyle w:val="15"/>
              <w:rPr>
                <w:rFonts w:asciiTheme="minorEastAsia" w:hAnsiTheme="minorEastAsia"/>
                <w:color w:val="auto"/>
                <w:szCs w:val="24"/>
              </w:rPr>
            </w:pPr>
            <w:r>
              <w:rPr>
                <w:rFonts w:hint="eastAsia" w:asciiTheme="minorEastAsia" w:hAnsiTheme="minorEastAsia"/>
                <w:color w:val="auto"/>
                <w:szCs w:val="24"/>
              </w:rPr>
              <w:t>电梯受阻失速保护</w:t>
            </w:r>
          </w:p>
        </w:tc>
        <w:tc>
          <w:tcPr>
            <w:tcW w:w="6032" w:type="dxa"/>
            <w:vAlign w:val="center"/>
          </w:tcPr>
          <w:p w14:paraId="270D5548">
            <w:pPr>
              <w:pStyle w:val="15"/>
              <w:rPr>
                <w:rFonts w:asciiTheme="minorEastAsia" w:hAnsiTheme="minorEastAsia"/>
                <w:color w:val="auto"/>
                <w:szCs w:val="24"/>
              </w:rPr>
            </w:pPr>
            <w:r>
              <w:rPr>
                <w:rFonts w:hint="eastAsia" w:asciiTheme="minorEastAsia" w:hAnsiTheme="minorEastAsia"/>
                <w:color w:val="auto"/>
                <w:szCs w:val="24"/>
              </w:rPr>
              <w:t>当曳引机钢丝绳打滑或电机堵转达到预定时间时,电梯停止运行。</w:t>
            </w:r>
          </w:p>
        </w:tc>
      </w:tr>
      <w:tr w14:paraId="53930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27605882">
            <w:pPr>
              <w:pStyle w:val="15"/>
              <w:rPr>
                <w:rFonts w:asciiTheme="minorEastAsia" w:hAnsiTheme="minorEastAsia"/>
                <w:color w:val="auto"/>
                <w:szCs w:val="24"/>
              </w:rPr>
            </w:pPr>
            <w:r>
              <w:rPr>
                <w:rFonts w:hint="eastAsia" w:asciiTheme="minorEastAsia" w:hAnsiTheme="minorEastAsia"/>
                <w:color w:val="auto"/>
                <w:szCs w:val="24"/>
              </w:rPr>
              <w:t>选层修正器</w:t>
            </w:r>
          </w:p>
        </w:tc>
        <w:tc>
          <w:tcPr>
            <w:tcW w:w="6032" w:type="dxa"/>
            <w:vAlign w:val="center"/>
          </w:tcPr>
          <w:p w14:paraId="6FD89663">
            <w:pPr>
              <w:pStyle w:val="15"/>
              <w:rPr>
                <w:rFonts w:asciiTheme="minorEastAsia" w:hAnsiTheme="minorEastAsia"/>
                <w:color w:val="auto"/>
                <w:szCs w:val="24"/>
              </w:rPr>
            </w:pPr>
            <w:r>
              <w:rPr>
                <w:rFonts w:hint="eastAsia" w:asciiTheme="minorEastAsia" w:hAnsiTheme="minorEastAsia"/>
                <w:color w:val="auto"/>
                <w:szCs w:val="24"/>
              </w:rPr>
              <w:t>电梯在运行过程中,对选层器进行修正。</w:t>
            </w:r>
          </w:p>
        </w:tc>
      </w:tr>
      <w:tr w14:paraId="242E5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2368" w:type="dxa"/>
            <w:vAlign w:val="center"/>
          </w:tcPr>
          <w:p w14:paraId="39B4DC72">
            <w:pPr>
              <w:pStyle w:val="15"/>
              <w:rPr>
                <w:rFonts w:asciiTheme="minorEastAsia" w:hAnsiTheme="minorEastAsia"/>
                <w:color w:val="auto"/>
                <w:szCs w:val="24"/>
              </w:rPr>
            </w:pPr>
            <w:r>
              <w:rPr>
                <w:rFonts w:hint="eastAsia" w:asciiTheme="minorEastAsia" w:hAnsiTheme="minorEastAsia"/>
                <w:color w:val="auto"/>
                <w:szCs w:val="24"/>
              </w:rPr>
              <w:t>运行次数与时间统计</w:t>
            </w:r>
          </w:p>
        </w:tc>
        <w:tc>
          <w:tcPr>
            <w:tcW w:w="6032" w:type="dxa"/>
            <w:vAlign w:val="center"/>
          </w:tcPr>
          <w:p w14:paraId="24E2F470">
            <w:pPr>
              <w:pStyle w:val="15"/>
              <w:rPr>
                <w:rFonts w:asciiTheme="minorEastAsia" w:hAnsiTheme="minorEastAsia"/>
                <w:color w:val="auto"/>
                <w:szCs w:val="24"/>
              </w:rPr>
            </w:pPr>
            <w:r>
              <w:rPr>
                <w:rFonts w:hint="eastAsia" w:asciiTheme="minorEastAsia" w:hAnsiTheme="minorEastAsia"/>
                <w:color w:val="auto"/>
                <w:szCs w:val="24"/>
              </w:rPr>
              <w:t>记录电梯运行次数以及运行时间。</w:t>
            </w:r>
          </w:p>
        </w:tc>
      </w:tr>
    </w:tbl>
    <w:p w14:paraId="2D5EC821">
      <w:pPr>
        <w:spacing w:line="360" w:lineRule="auto"/>
        <w:ind w:firstLine="480" w:firstLineChars="200"/>
        <w:outlineLvl w:val="0"/>
        <w:rPr>
          <w:rFonts w:ascii="Times New Roman" w:hAnsi="Times New Roman" w:cs="Times New Roman"/>
          <w:sz w:val="24"/>
        </w:rPr>
      </w:pPr>
    </w:p>
    <w:p w14:paraId="7CECA00A">
      <w:pPr>
        <w:spacing w:line="360" w:lineRule="auto"/>
        <w:ind w:firstLine="480" w:firstLineChars="200"/>
        <w:outlineLvl w:val="0"/>
        <w:rPr>
          <w:rFonts w:ascii="Times New Roman" w:hAnsi="Times New Roman" w:cs="Times New Roman"/>
          <w:sz w:val="24"/>
        </w:rPr>
      </w:pPr>
      <w:r>
        <w:rPr>
          <w:rFonts w:ascii="Times New Roman" w:hAnsi="Times New Roman" w:cs="Times New Roman"/>
          <w:sz w:val="24"/>
        </w:rPr>
        <w:t>注：</w:t>
      </w:r>
    </w:p>
    <w:p w14:paraId="7F2F47F6">
      <w:pPr>
        <w:spacing w:line="360" w:lineRule="auto"/>
        <w:ind w:firstLine="480" w:firstLineChars="200"/>
        <w:outlineLvl w:val="0"/>
        <w:rPr>
          <w:rFonts w:ascii="Times New Roman" w:hAnsi="Times New Roman" w:cs="Times New Roman"/>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52F10942">
      <w:pPr>
        <w:spacing w:line="360" w:lineRule="auto"/>
        <w:ind w:firstLine="480" w:firstLineChars="200"/>
        <w:rPr>
          <w:rFonts w:ascii="Times New Roman" w:hAnsi="Times New Roman" w:cs="Times New Roman"/>
          <w:sz w:val="24"/>
        </w:rPr>
      </w:pPr>
      <w:r>
        <w:rPr>
          <w:rFonts w:ascii="Times New Roman" w:hAnsi="Times New Roman" w:cs="Times New Roman"/>
          <w:sz w:val="24"/>
        </w:rPr>
        <w:t>加注“▲”号的产品为核心产品（如项目需求书中未明确核心产品，则视为全部产品均为核心产品）。</w:t>
      </w:r>
    </w:p>
    <w:p w14:paraId="5F284A7C">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五</w:t>
      </w:r>
      <w:r>
        <w:rPr>
          <w:rFonts w:ascii="Times New Roman" w:hAnsi="Times New Roman" w:cs="Times New Roman"/>
          <w:b/>
          <w:sz w:val="24"/>
          <w:szCs w:val="24"/>
        </w:rPr>
        <w:t>、商务要求</w:t>
      </w:r>
    </w:p>
    <w:p w14:paraId="4EF49F96">
      <w:pPr>
        <w:autoSpaceDE w:val="0"/>
        <w:autoSpaceDN w:val="0"/>
        <w:adjustRightInd w:val="0"/>
        <w:spacing w:line="360" w:lineRule="auto"/>
        <w:ind w:firstLine="480" w:firstLineChars="200"/>
        <w:rPr>
          <w:color w:val="000000"/>
          <w:sz w:val="24"/>
        </w:rPr>
      </w:pPr>
      <w:r>
        <w:rPr>
          <w:rFonts w:hint="eastAsia"/>
          <w:color w:val="000000"/>
          <w:sz w:val="24"/>
          <w:lang w:val="en-US" w:eastAsia="zh-CN"/>
        </w:rPr>
        <w:t>1.</w:t>
      </w:r>
      <w:r>
        <w:rPr>
          <w:color w:val="000000"/>
          <w:sz w:val="24"/>
        </w:rPr>
        <w:t>报价要求</w:t>
      </w:r>
    </w:p>
    <w:p w14:paraId="34EA668D">
      <w:pPr>
        <w:autoSpaceDE w:val="0"/>
        <w:autoSpaceDN w:val="0"/>
        <w:adjustRightInd w:val="0"/>
        <w:spacing w:line="360" w:lineRule="auto"/>
        <w:ind w:firstLine="480" w:firstLineChars="200"/>
        <w:rPr>
          <w:color w:val="000000"/>
          <w:sz w:val="24"/>
        </w:rPr>
      </w:pPr>
      <w:r>
        <w:rPr>
          <w:rFonts w:hint="eastAsia"/>
          <w:color w:val="000000"/>
          <w:sz w:val="24"/>
          <w:lang w:eastAsia="zh-CN"/>
        </w:rPr>
        <w:t>（</w:t>
      </w:r>
      <w:r>
        <w:rPr>
          <w:rFonts w:hint="eastAsia"/>
          <w:color w:val="000000"/>
          <w:sz w:val="24"/>
          <w:lang w:val="en-US" w:eastAsia="zh-CN"/>
        </w:rPr>
        <w:t>1</w:t>
      </w:r>
      <w:r>
        <w:rPr>
          <w:rFonts w:hint="eastAsia"/>
          <w:color w:val="000000"/>
          <w:sz w:val="24"/>
          <w:lang w:eastAsia="zh-CN"/>
        </w:rPr>
        <w:t>）</w:t>
      </w:r>
      <w:r>
        <w:rPr>
          <w:color w:val="000000"/>
          <w:sz w:val="24"/>
        </w:rPr>
        <w:t>投标报价以人民币填列。</w:t>
      </w:r>
    </w:p>
    <w:p w14:paraId="1C7C7B6D">
      <w:pPr>
        <w:autoSpaceDE w:val="0"/>
        <w:autoSpaceDN w:val="0"/>
        <w:adjustRightInd w:val="0"/>
        <w:spacing w:line="360" w:lineRule="auto"/>
        <w:ind w:firstLine="480" w:firstLineChars="200"/>
        <w:rPr>
          <w:color w:val="000000"/>
          <w:sz w:val="24"/>
        </w:rPr>
      </w:pPr>
      <w:r>
        <w:rPr>
          <w:rFonts w:hint="eastAsia"/>
          <w:color w:val="000000"/>
          <w:sz w:val="24"/>
          <w:lang w:eastAsia="zh-CN"/>
        </w:rPr>
        <w:t>（</w:t>
      </w:r>
      <w:r>
        <w:rPr>
          <w:rFonts w:hint="eastAsia"/>
          <w:color w:val="000000"/>
          <w:sz w:val="24"/>
          <w:lang w:val="en-US" w:eastAsia="zh-CN"/>
        </w:rPr>
        <w:t>2</w:t>
      </w:r>
      <w:r>
        <w:rPr>
          <w:rFonts w:hint="eastAsia"/>
          <w:color w:val="000000"/>
          <w:sz w:val="24"/>
          <w:lang w:eastAsia="zh-CN"/>
        </w:rPr>
        <w:t>）</w:t>
      </w:r>
      <w:r>
        <w:rPr>
          <w:color w:val="000000"/>
          <w:sz w:val="24"/>
        </w:rPr>
        <w:t>投标人的报价应包括：</w:t>
      </w:r>
      <w:r>
        <w:rPr>
          <w:rFonts w:hint="eastAsia"/>
          <w:color w:val="000000"/>
          <w:sz w:val="24"/>
        </w:rPr>
        <w:t>设备货款、标准附件、备品备件、专用工具、包装、运输、装卸、保险、税金、货到就位以及安装、调试、验收、</w:t>
      </w:r>
      <w:r>
        <w:rPr>
          <w:rFonts w:hint="eastAsia"/>
          <w:color w:val="000000"/>
          <w:sz w:val="24"/>
          <w:lang w:eastAsia="zh-CN"/>
        </w:rPr>
        <w:t>电梯检验取证、</w:t>
      </w:r>
      <w:r>
        <w:rPr>
          <w:rFonts w:hint="eastAsia"/>
          <w:color w:val="000000"/>
          <w:sz w:val="24"/>
        </w:rPr>
        <w:t>培训、保修、</w:t>
      </w:r>
      <w:r>
        <w:rPr>
          <w:rFonts w:hint="eastAsia"/>
          <w:sz w:val="24"/>
        </w:rPr>
        <w:t>配套工程费（含旧设备拆除，拆除设备实物及残值由采购人处置）、电梯相关整改费（包含但不限于土建、供电）</w:t>
      </w:r>
      <w:r>
        <w:rPr>
          <w:rFonts w:hint="eastAsia"/>
          <w:color w:val="000000"/>
          <w:sz w:val="24"/>
        </w:rPr>
        <w:t>及利润税金等为完成招标文件规定的全部要求所需的一切费用。</w:t>
      </w:r>
      <w:r>
        <w:rPr>
          <w:rFonts w:hint="eastAsia"/>
          <w:color w:val="000000"/>
          <w:sz w:val="24"/>
          <w:lang w:eastAsia="zh-CN"/>
        </w:rPr>
        <w:t>项目为交钥匙项目，</w:t>
      </w:r>
      <w:r>
        <w:rPr>
          <w:color w:val="000000"/>
          <w:sz w:val="24"/>
        </w:rPr>
        <w:t>投标人所报价为货到现场安装调试完成并验收合格的最终优惠价格。</w:t>
      </w:r>
    </w:p>
    <w:p w14:paraId="512DFFB4">
      <w:pPr>
        <w:autoSpaceDE w:val="0"/>
        <w:autoSpaceDN w:val="0"/>
        <w:adjustRightInd w:val="0"/>
        <w:spacing w:line="360" w:lineRule="auto"/>
        <w:ind w:firstLine="480" w:firstLineChars="200"/>
        <w:rPr>
          <w:color w:val="000000"/>
          <w:sz w:val="24"/>
        </w:rPr>
      </w:pPr>
      <w:r>
        <w:rPr>
          <w:rFonts w:hint="eastAsia"/>
          <w:color w:val="000000"/>
          <w:sz w:val="24"/>
          <w:lang w:eastAsia="zh-CN"/>
        </w:rPr>
        <w:t>（</w:t>
      </w:r>
      <w:r>
        <w:rPr>
          <w:rFonts w:hint="eastAsia"/>
          <w:color w:val="000000"/>
          <w:sz w:val="24"/>
          <w:lang w:val="en-US" w:eastAsia="zh-CN"/>
        </w:rPr>
        <w:t>3</w:t>
      </w:r>
      <w:r>
        <w:rPr>
          <w:rFonts w:hint="eastAsia"/>
          <w:color w:val="000000"/>
          <w:sz w:val="24"/>
          <w:lang w:eastAsia="zh-CN"/>
        </w:rPr>
        <w:t>）</w:t>
      </w:r>
      <w:r>
        <w:rPr>
          <w:color w:val="000000"/>
          <w:sz w:val="24"/>
        </w:rPr>
        <w:t>验收及相关费用由投标人负责。</w:t>
      </w:r>
    </w:p>
    <w:p w14:paraId="09501E6B">
      <w:pPr>
        <w:spacing w:line="360" w:lineRule="auto"/>
        <w:ind w:firstLine="480" w:firstLineChars="200"/>
        <w:rPr>
          <w:rFonts w:asciiTheme="minorEastAsia" w:hAnsiTheme="minorEastAsia" w:eastAsiaTheme="minorEastAsia"/>
          <w:color w:val="auto"/>
          <w:sz w:val="24"/>
          <w:highlight w:val="none"/>
        </w:rPr>
      </w:pPr>
      <w:r>
        <w:rPr>
          <w:rFonts w:hint="eastAsia" w:ascii="Times New Roman" w:hAnsi="Times New Roman" w:cs="Times New Roman"/>
          <w:color w:val="auto"/>
          <w:sz w:val="24"/>
          <w:szCs w:val="24"/>
          <w:highlight w:val="none"/>
          <w:lang w:val="en-US" w:eastAsia="zh-CN"/>
        </w:rPr>
        <w:t>2</w:t>
      </w:r>
      <w:r>
        <w:rPr>
          <w:rFonts w:ascii="Times New Roman" w:hAnsi="Times New Roman" w:cs="Times New Roman"/>
          <w:color w:val="auto"/>
          <w:sz w:val="24"/>
          <w:szCs w:val="24"/>
          <w:highlight w:val="none"/>
        </w:rPr>
        <w:t>.</w:t>
      </w:r>
      <w:r>
        <w:rPr>
          <w:rFonts w:hint="eastAsia" w:asciiTheme="minorEastAsia" w:hAnsiTheme="minorEastAsia" w:eastAsiaTheme="minorEastAsia"/>
          <w:color w:val="auto"/>
          <w:sz w:val="24"/>
          <w:highlight w:val="none"/>
        </w:rPr>
        <w:t>投标人提供所投产品</w:t>
      </w:r>
      <w:r>
        <w:rPr>
          <w:rFonts w:hint="eastAsia" w:asciiTheme="minorEastAsia" w:hAnsiTheme="minorEastAsia" w:eastAsiaTheme="minorEastAsia"/>
          <w:color w:val="auto"/>
          <w:sz w:val="24"/>
          <w:highlight w:val="none"/>
          <w:lang w:eastAsia="zh-CN"/>
        </w:rPr>
        <w:t>不少于</w:t>
      </w:r>
      <w:r>
        <w:rPr>
          <w:rFonts w:hint="eastAsia" w:asciiTheme="minorEastAsia" w:hAnsiTheme="minorEastAsia" w:eastAsiaTheme="minorEastAsia"/>
          <w:color w:val="auto"/>
          <w:sz w:val="24"/>
          <w:highlight w:val="none"/>
          <w:lang w:val="en-US" w:eastAsia="zh-CN"/>
        </w:rPr>
        <w:t>2</w:t>
      </w:r>
      <w:r>
        <w:rPr>
          <w:rFonts w:hint="eastAsia" w:asciiTheme="minorEastAsia" w:hAnsiTheme="minorEastAsia" w:eastAsiaTheme="minorEastAsia"/>
          <w:color w:val="auto"/>
          <w:sz w:val="24"/>
          <w:highlight w:val="none"/>
        </w:rPr>
        <w:t>年的质保</w:t>
      </w:r>
      <w:r>
        <w:rPr>
          <w:rFonts w:hint="eastAsia" w:asciiTheme="minorEastAsia" w:hAnsiTheme="minorEastAsia"/>
          <w:color w:val="auto"/>
          <w:sz w:val="24"/>
          <w:highlight w:val="none"/>
          <w:lang w:eastAsia="zh-CN"/>
        </w:rPr>
        <w:t>（质保期期间包含</w:t>
      </w:r>
      <w:r>
        <w:rPr>
          <w:rFonts w:hint="eastAsia" w:asciiTheme="minorEastAsia" w:hAnsiTheme="minorEastAsia" w:eastAsiaTheme="minorEastAsia"/>
          <w:color w:val="auto"/>
          <w:sz w:val="24"/>
          <w:highlight w:val="none"/>
        </w:rPr>
        <w:t>全免费维保服务</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投标人免费维修及更换零配件</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，终身维修。</w:t>
      </w:r>
      <w:r>
        <w:rPr>
          <w:rFonts w:hint="eastAsia" w:asciiTheme="minorEastAsia" w:hAnsiTheme="minorEastAsia"/>
          <w:color w:val="auto"/>
          <w:sz w:val="24"/>
          <w:highlight w:val="none"/>
          <w:lang w:eastAsia="zh-CN"/>
        </w:rPr>
        <w:t>电梯发生事故后半小时内到达现场进行处理。保修期</w:t>
      </w:r>
      <w:r>
        <w:rPr>
          <w:rFonts w:hint="eastAsia" w:asciiTheme="minorEastAsia" w:hAnsiTheme="minorEastAsia" w:eastAsiaTheme="minorEastAsia"/>
          <w:color w:val="auto"/>
          <w:sz w:val="24"/>
          <w:highlight w:val="none"/>
        </w:rPr>
        <w:t>自</w:t>
      </w:r>
      <w:r>
        <w:rPr>
          <w:rFonts w:asciiTheme="minorEastAsia" w:hAnsiTheme="minorEastAsia" w:eastAsiaTheme="minorEastAsia"/>
          <w:color w:val="auto"/>
          <w:sz w:val="24"/>
          <w:szCs w:val="24"/>
          <w:highlight w:val="none"/>
        </w:rPr>
        <w:t>获得特种设备监督检验机构颁发的电梯检验合格证之日起计算</w:t>
      </w:r>
      <w:r>
        <w:rPr>
          <w:rFonts w:hint="eastAsia" w:asciiTheme="minorEastAsia" w:hAnsiTheme="minorEastAsia"/>
          <w:color w:val="auto"/>
          <w:sz w:val="24"/>
          <w:szCs w:val="24"/>
          <w:highlight w:val="none"/>
          <w:lang w:eastAsia="zh-CN"/>
        </w:rPr>
        <w:t>；</w:t>
      </w:r>
      <w:r>
        <w:rPr>
          <w:rFonts w:hint="eastAsia" w:asciiTheme="minorEastAsia" w:hAnsiTheme="minorEastAsia" w:eastAsiaTheme="minorEastAsia"/>
          <w:color w:val="auto"/>
          <w:sz w:val="24"/>
          <w:highlight w:val="none"/>
        </w:rPr>
        <w:t>提供所投电梯核心部件（曳引机、控制柜、门机、安全钳、限速器等）</w:t>
      </w:r>
      <w:r>
        <w:rPr>
          <w:rFonts w:hint="eastAsia" w:asciiTheme="minorEastAsia" w:hAnsiTheme="minorEastAsia" w:eastAsiaTheme="minorEastAsia"/>
          <w:color w:val="auto"/>
          <w:sz w:val="24"/>
          <w:highlight w:val="none"/>
          <w:lang w:eastAsia="zh-CN"/>
        </w:rPr>
        <w:t>不低于</w:t>
      </w:r>
      <w:r>
        <w:rPr>
          <w:rFonts w:hint="eastAsia" w:asciiTheme="minorEastAsia" w:hAnsiTheme="minorEastAsia" w:eastAsiaTheme="minorEastAsia"/>
          <w:color w:val="auto"/>
          <w:sz w:val="24"/>
          <w:highlight w:val="none"/>
          <w:lang w:val="en-US" w:eastAsia="zh-CN"/>
        </w:rPr>
        <w:t>5</w:t>
      </w:r>
      <w:r>
        <w:rPr>
          <w:rFonts w:hint="eastAsia" w:asciiTheme="minorEastAsia" w:hAnsiTheme="minorEastAsia" w:eastAsiaTheme="minorEastAsia"/>
          <w:color w:val="auto"/>
          <w:sz w:val="24"/>
          <w:highlight w:val="none"/>
        </w:rPr>
        <w:t>年质保，质保期自验收合格之日起计算。</w:t>
      </w:r>
    </w:p>
    <w:p w14:paraId="7FAA2267">
      <w:pPr>
        <w:tabs>
          <w:tab w:val="left" w:pos="210"/>
        </w:tabs>
        <w:autoSpaceDE w:val="0"/>
        <w:autoSpaceDN w:val="0"/>
        <w:adjustRightInd w:val="0"/>
        <w:spacing w:line="360" w:lineRule="auto"/>
        <w:ind w:firstLine="480" w:firstLineChars="200"/>
        <w:outlineLvl w:val="0"/>
        <w:rPr>
          <w:rFonts w:hint="eastAsia" w:ascii="宋体" w:hAnsi="宋体" w:eastAsia="宋体" w:cs="宋体"/>
          <w:color w:val="auto"/>
          <w:sz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 xml:space="preserve">. </w:t>
      </w:r>
      <w:r>
        <w:rPr>
          <w:rFonts w:hint="eastAsia" w:ascii="宋体" w:hAnsi="宋体" w:eastAsia="宋体" w:cs="宋体"/>
          <w:color w:val="auto"/>
          <w:sz w:val="24"/>
        </w:rPr>
        <w:t>货到时间：签订合同之日起</w:t>
      </w:r>
      <w:r>
        <w:rPr>
          <w:rFonts w:hint="eastAsia" w:ascii="宋体" w:hAnsi="宋体" w:eastAsia="宋体" w:cs="宋体"/>
          <w:color w:val="auto"/>
          <w:sz w:val="24"/>
          <w:lang w:val="en-US" w:eastAsia="zh-CN"/>
        </w:rPr>
        <w:t>5</w:t>
      </w:r>
      <w:r>
        <w:rPr>
          <w:rFonts w:hint="eastAsia" w:ascii="宋体" w:hAnsi="宋体" w:eastAsia="宋体" w:cs="宋体"/>
          <w:color w:val="auto"/>
          <w:sz w:val="24"/>
        </w:rPr>
        <w:t>日内中标供应商</w:t>
      </w:r>
      <w:r>
        <w:rPr>
          <w:rFonts w:hint="eastAsia" w:ascii="宋体" w:hAnsi="宋体" w:eastAsia="宋体" w:cs="宋体"/>
          <w:color w:val="auto"/>
          <w:sz w:val="24"/>
          <w:szCs w:val="24"/>
        </w:rPr>
        <w:t>提供三种或以上轿厢样式设计供采购人选择，待采购人确定样式后</w:t>
      </w:r>
      <w:r>
        <w:rPr>
          <w:rFonts w:hint="eastAsia" w:ascii="宋体" w:hAnsi="宋体" w:eastAsia="宋体" w:cs="宋体"/>
          <w:color w:val="auto"/>
          <w:sz w:val="24"/>
          <w:lang w:val="en-US" w:eastAsia="zh-CN"/>
        </w:rPr>
        <w:t>30</w:t>
      </w:r>
      <w:r>
        <w:rPr>
          <w:rFonts w:hint="eastAsia" w:ascii="宋体" w:hAnsi="宋体" w:eastAsia="宋体" w:cs="宋体"/>
          <w:color w:val="auto"/>
          <w:sz w:val="24"/>
        </w:rPr>
        <w:t>日内到货（特殊情况以合同为准）。安装完成：货到之日起10日内（特殊情况以合同为准）。</w:t>
      </w:r>
    </w:p>
    <w:p w14:paraId="511FDE2D">
      <w:pPr>
        <w:autoSpaceDE w:val="0"/>
        <w:autoSpaceDN w:val="0"/>
        <w:adjustRightInd w:val="0"/>
        <w:spacing w:line="360" w:lineRule="auto"/>
        <w:ind w:firstLine="480" w:firstLineChars="200"/>
        <w:rPr>
          <w:rFonts w:ascii="Times New Roman" w:hAnsi="Times New Roman" w:cs="Times New Roman"/>
          <w:color w:val="000000"/>
          <w:sz w:val="24"/>
        </w:rPr>
      </w:pPr>
      <w:r>
        <w:rPr>
          <w:rFonts w:hint="eastAsia" w:ascii="Times New Roman" w:hAnsi="Times New Roman" w:cs="Times New Roman"/>
          <w:sz w:val="24"/>
          <w:szCs w:val="24"/>
          <w:lang w:val="en-US" w:eastAsia="zh-CN"/>
        </w:rPr>
        <w:t>4.</w:t>
      </w:r>
      <w:r>
        <w:rPr>
          <w:rFonts w:ascii="Times New Roman" w:hAnsi="Times New Roman" w:cs="Times New Roman"/>
          <w:sz w:val="24"/>
          <w:szCs w:val="24"/>
        </w:rPr>
        <w:t xml:space="preserve"> </w:t>
      </w:r>
      <w:r>
        <w:rPr>
          <w:rFonts w:ascii="Times New Roman" w:hAnsi="Times New Roman" w:cs="Times New Roman"/>
          <w:color w:val="000000"/>
          <w:sz w:val="24"/>
        </w:rPr>
        <w:t>付款方式：</w:t>
      </w:r>
    </w:p>
    <w:p w14:paraId="59406474">
      <w:pPr>
        <w:autoSpaceDE w:val="0"/>
        <w:autoSpaceDN w:val="0"/>
        <w:adjustRightInd w:val="0"/>
        <w:spacing w:line="360" w:lineRule="auto"/>
        <w:ind w:firstLine="480" w:firstLineChars="200"/>
        <w:rPr>
          <w:color w:val="auto"/>
          <w:sz w:val="24"/>
        </w:rPr>
      </w:pPr>
      <w:r>
        <w:rPr>
          <w:rFonts w:hint="eastAsia" w:ascii="宋体" w:hAnsi="宋体"/>
          <w:color w:val="auto"/>
          <w:sz w:val="24"/>
        </w:rPr>
        <w:t>合同签订后</w:t>
      </w:r>
      <w:r>
        <w:rPr>
          <w:rFonts w:hint="eastAsia" w:ascii="宋体" w:hAnsi="宋体"/>
          <w:color w:val="auto"/>
          <w:sz w:val="24"/>
          <w:lang w:val="en-US" w:eastAsia="zh-CN"/>
        </w:rPr>
        <w:t>20</w:t>
      </w:r>
      <w:r>
        <w:rPr>
          <w:rFonts w:hint="eastAsia" w:ascii="宋体" w:hAnsi="宋体"/>
          <w:color w:val="auto"/>
          <w:sz w:val="24"/>
        </w:rPr>
        <w:t>个工作日内支付合同总额的</w:t>
      </w:r>
      <w:r>
        <w:rPr>
          <w:rFonts w:hint="eastAsia"/>
          <w:color w:val="auto"/>
          <w:sz w:val="24"/>
          <w:lang w:val="en-US" w:eastAsia="zh-CN"/>
        </w:rPr>
        <w:t>30</w:t>
      </w:r>
      <w:r>
        <w:rPr>
          <w:rFonts w:hint="eastAsia"/>
          <w:color w:val="auto"/>
          <w:sz w:val="24"/>
        </w:rPr>
        <w:t>%</w:t>
      </w:r>
      <w:r>
        <w:rPr>
          <w:rFonts w:hint="eastAsia" w:ascii="宋体" w:hAnsi="宋体"/>
          <w:color w:val="auto"/>
          <w:sz w:val="24"/>
        </w:rPr>
        <w:t>，货到采购人按照指定地点安装、调试完毕</w:t>
      </w:r>
      <w:r>
        <w:rPr>
          <w:rFonts w:hint="eastAsia" w:ascii="宋体" w:hAnsi="宋体"/>
          <w:color w:val="auto"/>
          <w:sz w:val="24"/>
          <w:lang w:eastAsia="zh-CN"/>
        </w:rPr>
        <w:t>后支付合同总额的</w:t>
      </w:r>
      <w:r>
        <w:rPr>
          <w:rFonts w:hint="eastAsia" w:ascii="宋体" w:hAnsi="宋体"/>
          <w:color w:val="auto"/>
          <w:sz w:val="24"/>
          <w:lang w:val="en-US" w:eastAsia="zh-CN"/>
        </w:rPr>
        <w:t>40%，特种设备检测机构检测合格并取得</w:t>
      </w:r>
      <w:r>
        <w:rPr>
          <w:rFonts w:hint="eastAsia" w:asciiTheme="minorEastAsia" w:hAnsiTheme="minorEastAsia" w:eastAsiaTheme="minorEastAsia"/>
          <w:color w:val="auto"/>
          <w:sz w:val="24"/>
        </w:rPr>
        <w:t>《电梯监督检验报告》</w:t>
      </w:r>
      <w:r>
        <w:rPr>
          <w:rFonts w:hint="eastAsia" w:asciiTheme="minorEastAsia" w:hAnsiTheme="minorEastAsia"/>
          <w:color w:val="auto"/>
          <w:sz w:val="24"/>
          <w:lang w:eastAsia="zh-CN"/>
        </w:rPr>
        <w:t>、</w:t>
      </w:r>
      <w:r>
        <w:rPr>
          <w:rFonts w:asciiTheme="minorEastAsia" w:hAnsiTheme="minorEastAsia" w:eastAsiaTheme="minorEastAsia"/>
          <w:color w:val="auto"/>
          <w:sz w:val="24"/>
          <w:szCs w:val="24"/>
          <w:highlight w:val="none"/>
        </w:rPr>
        <w:t>特种设备监督检验机构颁发的电梯检验合格证</w:t>
      </w:r>
      <w:r>
        <w:rPr>
          <w:rFonts w:hint="eastAsia" w:asciiTheme="minorEastAsia" w:hAnsiTheme="minorEastAsia" w:eastAsiaTheme="minorEastAsia"/>
          <w:color w:val="auto"/>
          <w:sz w:val="24"/>
          <w:lang w:eastAsia="zh-CN"/>
        </w:rPr>
        <w:t>后</w:t>
      </w:r>
      <w:r>
        <w:rPr>
          <w:rFonts w:hint="eastAsia" w:ascii="宋体" w:hAnsi="宋体"/>
          <w:color w:val="auto"/>
          <w:sz w:val="24"/>
        </w:rPr>
        <w:t>支付合同总额的</w:t>
      </w:r>
      <w:r>
        <w:rPr>
          <w:rFonts w:hint="eastAsia" w:ascii="宋体" w:hAnsi="宋体"/>
          <w:color w:val="auto"/>
          <w:sz w:val="24"/>
          <w:lang w:val="en-US" w:eastAsia="zh-CN"/>
        </w:rPr>
        <w:t>30</w:t>
      </w:r>
      <w:r>
        <w:rPr>
          <w:rFonts w:hint="eastAsia"/>
          <w:color w:val="auto"/>
          <w:sz w:val="24"/>
        </w:rPr>
        <w:t>%</w:t>
      </w:r>
      <w:r>
        <w:rPr>
          <w:color w:val="auto"/>
          <w:sz w:val="24"/>
        </w:rPr>
        <w:t>（特殊情况以合同为准）。</w:t>
      </w:r>
    </w:p>
    <w:p w14:paraId="210771F2">
      <w:pPr>
        <w:autoSpaceDE w:val="0"/>
        <w:autoSpaceDN w:val="0"/>
        <w:adjustRightInd w:val="0"/>
        <w:spacing w:line="360" w:lineRule="auto"/>
        <w:ind w:firstLine="480" w:firstLineChars="200"/>
        <w:rPr>
          <w:rFonts w:hint="eastAsia" w:ascii="Times New Roman" w:hAnsi="Times New Roman" w:cs="Times New Roman" w:eastAsiaTheme="minorEastAsia"/>
          <w:color w:val="auto"/>
          <w:sz w:val="24"/>
          <w:lang w:eastAsia="zh-CN"/>
        </w:rPr>
      </w:pPr>
      <w:r>
        <w:rPr>
          <w:rFonts w:hint="eastAsia" w:ascii="Times New Roman" w:hAnsi="Times New Roman" w:cs="Times New Roman"/>
          <w:color w:val="auto"/>
          <w:sz w:val="24"/>
          <w:lang w:val="en-US" w:eastAsia="zh-CN"/>
        </w:rPr>
        <w:t>5</w:t>
      </w:r>
      <w:r>
        <w:rPr>
          <w:rFonts w:ascii="Times New Roman" w:hAnsi="Times New Roman" w:cs="Times New Roman"/>
          <w:color w:val="auto"/>
          <w:sz w:val="24"/>
        </w:rPr>
        <w:t>. 涉及旧电梯拆除</w:t>
      </w:r>
      <w:r>
        <w:rPr>
          <w:rFonts w:hint="eastAsia" w:ascii="Times New Roman" w:hAnsi="Times New Roman" w:cs="Times New Roman"/>
          <w:color w:val="auto"/>
          <w:sz w:val="24"/>
          <w:lang w:eastAsia="zh-CN"/>
        </w:rPr>
        <w:t>，</w:t>
      </w:r>
      <w:r>
        <w:rPr>
          <w:rFonts w:ascii="Times New Roman" w:hAnsi="Times New Roman" w:cs="Times New Roman"/>
          <w:color w:val="auto"/>
          <w:sz w:val="24"/>
        </w:rPr>
        <w:t>拆除费用</w:t>
      </w:r>
      <w:r>
        <w:rPr>
          <w:rFonts w:hint="eastAsia" w:ascii="Times New Roman" w:hAnsi="Times New Roman" w:cs="Times New Roman"/>
          <w:color w:val="auto"/>
          <w:sz w:val="24"/>
          <w:lang w:eastAsia="zh-CN"/>
        </w:rPr>
        <w:t>包含在投标报价内</w:t>
      </w:r>
      <w:r>
        <w:rPr>
          <w:rFonts w:ascii="Times New Roman" w:hAnsi="Times New Roman" w:cs="Times New Roman"/>
          <w:color w:val="auto"/>
          <w:sz w:val="24"/>
        </w:rPr>
        <w:t>，</w:t>
      </w:r>
      <w:r>
        <w:rPr>
          <w:rFonts w:hint="eastAsia"/>
          <w:color w:val="auto"/>
          <w:sz w:val="24"/>
        </w:rPr>
        <w:t>拆除设备实物及残值由采购人处置</w:t>
      </w:r>
      <w:r>
        <w:rPr>
          <w:rFonts w:hint="eastAsia"/>
          <w:color w:val="auto"/>
          <w:sz w:val="24"/>
          <w:lang w:eastAsia="zh-CN"/>
        </w:rPr>
        <w:t>。</w:t>
      </w:r>
    </w:p>
    <w:p w14:paraId="21D733DF">
      <w:pPr>
        <w:autoSpaceDE w:val="0"/>
        <w:autoSpaceDN w:val="0"/>
        <w:spacing w:line="360" w:lineRule="auto"/>
        <w:ind w:firstLine="482" w:firstLineChars="200"/>
        <w:rPr>
          <w:b/>
          <w:sz w:val="24"/>
        </w:rPr>
      </w:pPr>
      <w:r>
        <w:rPr>
          <w:rFonts w:hint="eastAsia"/>
          <w:b/>
          <w:sz w:val="24"/>
        </w:rPr>
        <w:t>六、验收标准</w:t>
      </w:r>
    </w:p>
    <w:p w14:paraId="7E64B219">
      <w:pPr>
        <w:autoSpaceDE w:val="0"/>
        <w:autoSpaceDN w:val="0"/>
        <w:adjustRightInd w:val="0"/>
        <w:spacing w:line="360" w:lineRule="auto"/>
        <w:ind w:firstLine="480" w:firstLineChars="200"/>
        <w:rPr>
          <w:color w:val="000000"/>
          <w:sz w:val="24"/>
        </w:rPr>
      </w:pPr>
      <w:r>
        <w:rPr>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350E9DB">
      <w:pPr>
        <w:numPr>
          <w:ilvl w:val="0"/>
          <w:numId w:val="2"/>
        </w:numPr>
        <w:spacing w:line="360" w:lineRule="auto"/>
        <w:ind w:firstLine="482" w:firstLineChars="200"/>
        <w:outlineLvl w:val="0"/>
        <w:rPr>
          <w:rFonts w:hint="eastAsia"/>
          <w:b/>
          <w:sz w:val="24"/>
        </w:rPr>
      </w:pPr>
      <w:r>
        <w:rPr>
          <w:rFonts w:hint="eastAsia"/>
          <w:b/>
          <w:sz w:val="24"/>
        </w:rPr>
        <w:t>其他要求</w:t>
      </w:r>
    </w:p>
    <w:p w14:paraId="2ECF1CF6">
      <w:pPr>
        <w:spacing w:line="360" w:lineRule="auto"/>
        <w:ind w:firstLine="480" w:firstLineChars="200"/>
        <w:outlineLvl w:val="0"/>
        <w:rPr>
          <w:rFonts w:hint="eastAsia"/>
          <w:sz w:val="24"/>
          <w:lang w:val="en-US" w:eastAsia="zh-CN"/>
        </w:rPr>
      </w:pPr>
      <w:r>
        <w:rPr>
          <w:rFonts w:hint="eastAsia"/>
          <w:sz w:val="24"/>
          <w:lang w:val="en-US" w:eastAsia="zh-CN"/>
        </w:rPr>
        <w:t>（一）技术要求</w:t>
      </w:r>
    </w:p>
    <w:p w14:paraId="7C9BE03C">
      <w:pPr>
        <w:spacing w:line="360" w:lineRule="auto"/>
        <w:ind w:firstLine="480" w:firstLineChars="200"/>
        <w:outlineLvl w:val="0"/>
        <w:rPr>
          <w:sz w:val="24"/>
        </w:rPr>
      </w:pPr>
      <w:r>
        <w:rPr>
          <w:rFonts w:hint="eastAsia"/>
          <w:sz w:val="24"/>
          <w:lang w:val="en-US" w:eastAsia="zh-CN"/>
        </w:rPr>
        <w:t>1.</w:t>
      </w:r>
      <w:r>
        <w:rPr>
          <w:sz w:val="24"/>
        </w:rPr>
        <w:t>投标人须承诺所投产品和服务符合相关强制性规定。交货时采购人有权要求投标人出具所投产品、服务符合上述规定的证明文件。</w:t>
      </w:r>
    </w:p>
    <w:p w14:paraId="4A88E0BE">
      <w:pPr>
        <w:spacing w:line="360" w:lineRule="auto"/>
        <w:ind w:firstLine="480" w:firstLineChars="200"/>
        <w:outlineLvl w:val="0"/>
        <w:rPr>
          <w:rFonts w:hint="eastAsia"/>
          <w:sz w:val="24"/>
          <w:lang w:eastAsia="zh-CN"/>
        </w:rPr>
      </w:pPr>
      <w:r>
        <w:rPr>
          <w:rFonts w:hint="eastAsia"/>
          <w:sz w:val="24"/>
          <w:lang w:val="en-US" w:eastAsia="zh-CN"/>
        </w:rPr>
        <w:t>2.</w:t>
      </w:r>
      <w:r>
        <w:rPr>
          <w:sz w:val="24"/>
        </w:rPr>
        <w:t>投标人负责施工现场旧电梯拆除、搬离，以及地面恢复、安装时造成的墙面及地面破损恢复等根据实际需要的安装、土建</w:t>
      </w:r>
      <w:r>
        <w:rPr>
          <w:rFonts w:hint="eastAsia"/>
          <w:sz w:val="24"/>
          <w:lang w:eastAsia="zh-CN"/>
        </w:rPr>
        <w:t>、供电</w:t>
      </w:r>
      <w:r>
        <w:rPr>
          <w:sz w:val="24"/>
        </w:rPr>
        <w:t>等项目均含在项目中。中标供应商需要完成电梯</w:t>
      </w:r>
      <w:r>
        <w:rPr>
          <w:rFonts w:hint="eastAsia"/>
          <w:sz w:val="24"/>
          <w:lang w:eastAsia="zh-CN"/>
        </w:rPr>
        <w:t>安装</w:t>
      </w:r>
      <w:r>
        <w:rPr>
          <w:sz w:val="24"/>
        </w:rPr>
        <w:t>，检验合格后交付给采购方</w:t>
      </w:r>
      <w:r>
        <w:rPr>
          <w:rFonts w:hint="eastAsia"/>
          <w:sz w:val="24"/>
          <w:lang w:eastAsia="zh-CN"/>
        </w:rPr>
        <w:t>，为交钥匙项目。</w:t>
      </w:r>
    </w:p>
    <w:p w14:paraId="708FC8CC">
      <w:pPr>
        <w:spacing w:line="360" w:lineRule="auto"/>
        <w:ind w:firstLine="480" w:firstLineChars="200"/>
        <w:outlineLvl w:val="0"/>
        <w:rPr>
          <w:rFonts w:hint="eastAsia"/>
          <w:sz w:val="24"/>
          <w:lang w:val="en-US" w:eastAsia="zh-CN"/>
        </w:rPr>
      </w:pPr>
      <w:r>
        <w:rPr>
          <w:rFonts w:hint="eastAsia"/>
          <w:sz w:val="24"/>
          <w:lang w:val="en-US" w:eastAsia="zh-CN"/>
        </w:rPr>
        <w:t>（二）服务要求</w:t>
      </w:r>
    </w:p>
    <w:p w14:paraId="7E3EA134">
      <w:pPr>
        <w:spacing w:line="360" w:lineRule="auto"/>
        <w:ind w:firstLine="480" w:firstLineChars="200"/>
        <w:outlineLvl w:val="0"/>
        <w:rPr>
          <w:rFonts w:asciiTheme="minorEastAsia" w:hAnsiTheme="minorEastAsia" w:eastAsiaTheme="minorEastAsia"/>
          <w:sz w:val="24"/>
        </w:rPr>
      </w:pPr>
      <w:r>
        <w:rPr>
          <w:rFonts w:hint="eastAsia"/>
          <w:sz w:val="24"/>
        </w:rPr>
        <w:t xml:space="preserve"> </w:t>
      </w:r>
      <w:r>
        <w:rPr>
          <w:rFonts w:hint="eastAsia" w:asciiTheme="minorEastAsia" w:hAnsiTheme="minorEastAsia" w:eastAsiaTheme="minorEastAsia"/>
          <w:sz w:val="24"/>
        </w:rPr>
        <w:t>1. 所投电梯的电梯制造商须按照《特种设备安全法》、《特种设备安全监察条例》等国家及天津市强制性规定提供电梯的安装、改造、修理服务，提供电梯制造商的全包维保服务内容、价格清单及质保期满后的折扣率。若采购人或其服务单位有需要，电梯制造商须按照本次采购的价格及折扣率提供相应服务。</w:t>
      </w:r>
    </w:p>
    <w:p w14:paraId="3FB8FCAF">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2. 投标人须在天津地区设有常驻分支机构或售后服务机构，投标文件中应提供常驻分支机构或售后服务机构的营业执照或租赁合同或委托服务合同。</w:t>
      </w:r>
    </w:p>
    <w:p w14:paraId="095DAD25">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3. 投标人须具有完善的售后服务体系和制度，应提供服务计划与内容、维修服务人员名单、维保服务的内容、货物备品备件。</w:t>
      </w:r>
    </w:p>
    <w:p w14:paraId="1AEAAD4F">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4. 售后服务</w:t>
      </w:r>
    </w:p>
    <w:p w14:paraId="63784C63">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验收合格后，投标人应提供售后服务。投标人</w:t>
      </w:r>
      <w:r>
        <w:rPr>
          <w:rFonts w:hint="eastAsia" w:asciiTheme="minorEastAsia" w:hAnsiTheme="minorEastAsia"/>
          <w:sz w:val="24"/>
          <w:lang w:eastAsia="zh-CN"/>
        </w:rPr>
        <w:t>需</w:t>
      </w:r>
      <w:r>
        <w:rPr>
          <w:rFonts w:hint="eastAsia" w:asciiTheme="minorEastAsia" w:hAnsiTheme="minorEastAsia" w:eastAsiaTheme="minorEastAsia"/>
          <w:sz w:val="24"/>
        </w:rPr>
        <w:t>制定售后服务方案，内容包括质保期、维护保养、维修（热线支持、响应时间及解决问题时间）、售后服务机构/网点、应急预案等。</w:t>
      </w:r>
    </w:p>
    <w:p w14:paraId="66985DBD">
      <w:pPr>
        <w:spacing w:line="360" w:lineRule="auto"/>
        <w:ind w:firstLine="480" w:firstLineChars="200"/>
        <w:outlineLvl w:val="0"/>
        <w:rPr>
          <w:rFonts w:hint="eastAsia" w:eastAsiaTheme="minorEastAsia"/>
          <w:sz w:val="24"/>
          <w:lang w:eastAsia="zh-CN"/>
        </w:rPr>
      </w:pPr>
      <w:r>
        <w:rPr>
          <w:rFonts w:hint="eastAsia"/>
          <w:sz w:val="24"/>
          <w:lang w:eastAsia="zh-CN"/>
        </w:rPr>
        <w:t>（</w:t>
      </w:r>
      <w:r>
        <w:rPr>
          <w:rFonts w:hint="eastAsia"/>
          <w:sz w:val="24"/>
          <w:lang w:val="en-US" w:eastAsia="zh-CN"/>
        </w:rPr>
        <w:t>1</w:t>
      </w:r>
      <w:r>
        <w:rPr>
          <w:rFonts w:hint="eastAsia"/>
          <w:sz w:val="24"/>
          <w:lang w:eastAsia="zh-CN"/>
        </w:rPr>
        <w:t>）质保期</w:t>
      </w:r>
      <w:r>
        <w:rPr>
          <w:rFonts w:hint="eastAsia" w:asciiTheme="minorEastAsia" w:hAnsiTheme="minorEastAsia" w:eastAsiaTheme="minorEastAsia"/>
          <w:color w:val="auto"/>
          <w:sz w:val="24"/>
          <w:highlight w:val="none"/>
        </w:rPr>
        <w:t>投标人提供所投产品</w:t>
      </w:r>
      <w:r>
        <w:rPr>
          <w:rFonts w:hint="eastAsia" w:asciiTheme="minorEastAsia" w:hAnsiTheme="minorEastAsia" w:eastAsiaTheme="minorEastAsia"/>
          <w:color w:val="auto"/>
          <w:sz w:val="24"/>
          <w:highlight w:val="none"/>
          <w:lang w:eastAsia="zh-CN"/>
        </w:rPr>
        <w:t>不少于</w:t>
      </w:r>
      <w:r>
        <w:rPr>
          <w:rFonts w:hint="eastAsia" w:asciiTheme="minorEastAsia" w:hAnsiTheme="minorEastAsia" w:eastAsiaTheme="minorEastAsia"/>
          <w:color w:val="auto"/>
          <w:sz w:val="24"/>
          <w:highlight w:val="none"/>
          <w:lang w:val="en-US" w:eastAsia="zh-CN"/>
        </w:rPr>
        <w:t>2</w:t>
      </w:r>
      <w:r>
        <w:rPr>
          <w:rFonts w:hint="eastAsia" w:asciiTheme="minorEastAsia" w:hAnsiTheme="minorEastAsia" w:eastAsiaTheme="minorEastAsia"/>
          <w:color w:val="auto"/>
          <w:sz w:val="24"/>
          <w:highlight w:val="none"/>
        </w:rPr>
        <w:t>年的质保</w:t>
      </w:r>
      <w:r>
        <w:rPr>
          <w:rFonts w:hint="eastAsia" w:asciiTheme="minorEastAsia" w:hAnsiTheme="minorEastAsia"/>
          <w:color w:val="auto"/>
          <w:sz w:val="24"/>
          <w:highlight w:val="none"/>
          <w:lang w:eastAsia="zh-CN"/>
        </w:rPr>
        <w:t>（质保期期间包含</w:t>
      </w:r>
      <w:r>
        <w:rPr>
          <w:rFonts w:hint="eastAsia" w:asciiTheme="minorEastAsia" w:hAnsiTheme="minorEastAsia" w:eastAsiaTheme="minorEastAsia"/>
          <w:color w:val="auto"/>
          <w:sz w:val="24"/>
          <w:highlight w:val="none"/>
        </w:rPr>
        <w:t>全免费维保服务</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投标人免费维修及更换零配件</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，终身维修。</w:t>
      </w:r>
      <w:r>
        <w:rPr>
          <w:rFonts w:hint="eastAsia" w:asciiTheme="minorEastAsia" w:hAnsiTheme="minorEastAsia"/>
          <w:color w:val="auto"/>
          <w:sz w:val="24"/>
          <w:highlight w:val="none"/>
          <w:lang w:eastAsia="zh-CN"/>
        </w:rPr>
        <w:t>电梯发生事故后半小时内到达现场进行处理。保修期</w:t>
      </w:r>
      <w:r>
        <w:rPr>
          <w:rFonts w:hint="eastAsia" w:asciiTheme="minorEastAsia" w:hAnsiTheme="minorEastAsia" w:eastAsiaTheme="minorEastAsia"/>
          <w:color w:val="auto"/>
          <w:sz w:val="24"/>
          <w:highlight w:val="none"/>
        </w:rPr>
        <w:t>自</w:t>
      </w:r>
      <w:r>
        <w:rPr>
          <w:rFonts w:asciiTheme="minorEastAsia" w:hAnsiTheme="minorEastAsia" w:eastAsiaTheme="minorEastAsia"/>
          <w:color w:val="auto"/>
          <w:sz w:val="24"/>
          <w:szCs w:val="24"/>
          <w:highlight w:val="none"/>
        </w:rPr>
        <w:t>获得特种设备监督检验机构颁发的电梯检验合格证之日起计算</w:t>
      </w:r>
      <w:r>
        <w:rPr>
          <w:rFonts w:hint="eastAsia" w:asciiTheme="minorEastAsia" w:hAnsiTheme="minorEastAsia"/>
          <w:color w:val="auto"/>
          <w:sz w:val="24"/>
          <w:szCs w:val="24"/>
          <w:highlight w:val="none"/>
          <w:lang w:eastAsia="zh-CN"/>
        </w:rPr>
        <w:t>；</w:t>
      </w:r>
      <w:r>
        <w:rPr>
          <w:rFonts w:hint="eastAsia" w:asciiTheme="minorEastAsia" w:hAnsiTheme="minorEastAsia" w:eastAsiaTheme="minorEastAsia"/>
          <w:color w:val="auto"/>
          <w:sz w:val="24"/>
          <w:highlight w:val="none"/>
        </w:rPr>
        <w:t>提供所投电梯核心部件（曳引机、控制柜、门机、安全钳、限速器等）</w:t>
      </w:r>
      <w:r>
        <w:rPr>
          <w:rFonts w:hint="eastAsia" w:asciiTheme="minorEastAsia" w:hAnsiTheme="minorEastAsia" w:eastAsiaTheme="minorEastAsia"/>
          <w:color w:val="auto"/>
          <w:sz w:val="24"/>
          <w:highlight w:val="none"/>
          <w:lang w:eastAsia="zh-CN"/>
        </w:rPr>
        <w:t>不低于</w:t>
      </w:r>
      <w:r>
        <w:rPr>
          <w:rFonts w:hint="eastAsia" w:asciiTheme="minorEastAsia" w:hAnsiTheme="minorEastAsia" w:eastAsiaTheme="minorEastAsia"/>
          <w:color w:val="auto"/>
          <w:sz w:val="24"/>
          <w:highlight w:val="none"/>
          <w:lang w:val="en-US" w:eastAsia="zh-CN"/>
        </w:rPr>
        <w:t>5</w:t>
      </w:r>
      <w:r>
        <w:rPr>
          <w:rFonts w:hint="eastAsia" w:asciiTheme="minorEastAsia" w:hAnsiTheme="minorEastAsia" w:eastAsiaTheme="minorEastAsia"/>
          <w:color w:val="auto"/>
          <w:sz w:val="24"/>
          <w:highlight w:val="none"/>
        </w:rPr>
        <w:t>年质保，质保期自验收合格之日起计算。</w:t>
      </w:r>
      <w:r>
        <w:rPr>
          <w:rFonts w:hint="eastAsia" w:asciiTheme="minorEastAsia" w:hAnsiTheme="minorEastAsia"/>
          <w:color w:val="auto"/>
          <w:sz w:val="24"/>
          <w:highlight w:val="none"/>
          <w:lang w:eastAsia="zh-CN"/>
        </w:rPr>
        <w:t>具体质保时间在满足招标文件要求基础上按照投标人投标文件相关承诺执行。</w:t>
      </w:r>
    </w:p>
    <w:p w14:paraId="206A0374">
      <w:pPr>
        <w:spacing w:line="360" w:lineRule="auto"/>
        <w:ind w:firstLine="480" w:firstLineChars="200"/>
        <w:outlineLvl w:val="0"/>
        <w:rPr>
          <w:rFonts w:hint="eastAsia"/>
          <w:sz w:val="24"/>
        </w:rPr>
      </w:pPr>
      <w:r>
        <w:rPr>
          <w:rFonts w:hint="eastAsia"/>
          <w:sz w:val="24"/>
        </w:rPr>
        <w:t>（</w:t>
      </w:r>
      <w:r>
        <w:rPr>
          <w:rFonts w:hint="eastAsia"/>
          <w:sz w:val="24"/>
          <w:lang w:val="en-US" w:eastAsia="zh-CN"/>
        </w:rPr>
        <w:t>2</w:t>
      </w:r>
      <w:r>
        <w:rPr>
          <w:rFonts w:hint="eastAsia"/>
          <w:sz w:val="24"/>
        </w:rPr>
        <w:t>）维护保养</w:t>
      </w:r>
    </w:p>
    <w:p w14:paraId="5E233816">
      <w:pPr>
        <w:spacing w:line="360" w:lineRule="auto"/>
        <w:ind w:firstLine="480" w:firstLineChars="200"/>
        <w:outlineLvl w:val="0"/>
        <w:rPr>
          <w:rFonts w:hint="eastAsia"/>
          <w:sz w:val="24"/>
        </w:rPr>
      </w:pPr>
      <w:r>
        <w:rPr>
          <w:rFonts w:hint="eastAsia"/>
          <w:sz w:val="24"/>
          <w:lang w:eastAsia="zh-CN"/>
        </w:rPr>
        <w:t>在质保期内，</w:t>
      </w:r>
      <w:r>
        <w:rPr>
          <w:rFonts w:hint="eastAsia"/>
          <w:sz w:val="24"/>
        </w:rPr>
        <w:t>为保证产品正常运行，投标人应制定维保操作规则及程序，以供采购人监督，并对所投产品进行定期上门例行检查及做好记录，同时建立产品维保档案，跟踪产品使用过程中的质量情况。维修保养内容包括但不限于：a、每月提供两次定期保养；保养须在非繁忙时间进行。b、24小时应急服务，并不收取法定工作日和日常工作时间以外的附加费用。 c、普通故障的修复时间为不大于8小时；如果需要更换曳引机之类的笨重部件，其修复时间允许适当延长但不能超过基准值72小时。修复时间从投标人接到故障通知时计算。注明由谁提供维修保养服务，如果不是制造商提供维修保养服务，则需提供制造商的委托书，制造商承担连带责任。</w:t>
      </w:r>
    </w:p>
    <w:p w14:paraId="77A2FF66">
      <w:pPr>
        <w:spacing w:line="360" w:lineRule="auto"/>
        <w:ind w:firstLine="480" w:firstLineChars="200"/>
        <w:outlineLvl w:val="0"/>
        <w:rPr>
          <w:rFonts w:hint="eastAsia"/>
          <w:sz w:val="24"/>
        </w:rPr>
      </w:pPr>
      <w:r>
        <w:rPr>
          <w:rFonts w:hint="eastAsia"/>
          <w:sz w:val="24"/>
        </w:rPr>
        <w:t>（</w:t>
      </w:r>
      <w:r>
        <w:rPr>
          <w:rFonts w:hint="eastAsia"/>
          <w:sz w:val="24"/>
          <w:lang w:val="en-US" w:eastAsia="zh-CN"/>
        </w:rPr>
        <w:t>3</w:t>
      </w:r>
      <w:r>
        <w:rPr>
          <w:rFonts w:hint="eastAsia"/>
          <w:sz w:val="24"/>
        </w:rPr>
        <w:t>）应急预案</w:t>
      </w:r>
    </w:p>
    <w:p w14:paraId="21F15DB4">
      <w:pPr>
        <w:spacing w:line="360" w:lineRule="auto"/>
        <w:ind w:firstLine="480" w:firstLineChars="200"/>
        <w:outlineLvl w:val="0"/>
        <w:rPr>
          <w:rFonts w:hint="eastAsia"/>
          <w:sz w:val="24"/>
        </w:rPr>
      </w:pPr>
      <w:r>
        <w:rPr>
          <w:rFonts w:hint="eastAsia"/>
          <w:sz w:val="24"/>
        </w:rPr>
        <w:t>投标人应制定应急预案，应急预案即在面对因产品本身或重大服务质量问题产生的突发事件，给采购人或社会公众的安全或利益造成严重威胁或重大损害的情况下，投标人所提供的应急管理、指挥、救援措施等预先规划方案。</w:t>
      </w:r>
    </w:p>
    <w:p w14:paraId="6AD5CAAF">
      <w:pPr>
        <w:spacing w:line="360" w:lineRule="auto"/>
        <w:ind w:firstLine="480" w:firstLineChars="200"/>
        <w:outlineLvl w:val="0"/>
        <w:rPr>
          <w:rFonts w:hint="eastAsia"/>
          <w:sz w:val="24"/>
        </w:rPr>
      </w:pPr>
      <w:r>
        <w:rPr>
          <w:rFonts w:hint="eastAsia"/>
          <w:sz w:val="24"/>
        </w:rPr>
        <w:t>5. 投标人须提供接报后能到达现场提供应急服务的最短时间、解救困人时间承诺和排除常规故障时限承诺及维保协议文件。</w:t>
      </w:r>
    </w:p>
    <w:p w14:paraId="47763E32">
      <w:pPr>
        <w:spacing w:line="360" w:lineRule="auto"/>
        <w:ind w:firstLine="480" w:firstLineChars="200"/>
        <w:outlineLvl w:val="0"/>
        <w:rPr>
          <w:rFonts w:hint="eastAsia"/>
          <w:sz w:val="24"/>
        </w:rPr>
      </w:pPr>
      <w:r>
        <w:rPr>
          <w:rFonts w:hint="eastAsia"/>
          <w:sz w:val="24"/>
        </w:rPr>
        <w:t>6. 投标人近三年内未发生过重大安全责任事故，在本项目安装维保过程中不得发生任何安全责任事故，否则一切责任由投标人承担并须赔偿由此给采购人造成的所有损失。</w:t>
      </w:r>
    </w:p>
    <w:p w14:paraId="1769FD03">
      <w:pPr>
        <w:spacing w:line="360" w:lineRule="auto"/>
        <w:ind w:firstLine="480" w:firstLineChars="200"/>
        <w:outlineLvl w:val="0"/>
        <w:rPr>
          <w:rFonts w:hint="eastAsia"/>
          <w:sz w:val="24"/>
        </w:rPr>
      </w:pPr>
      <w:r>
        <w:rPr>
          <w:rFonts w:hint="eastAsia"/>
          <w:sz w:val="24"/>
        </w:rPr>
        <w:t>7. 投标人须提供所投产品制造商服务机构情况，包括地址、联系方式及技术人员数量等。</w:t>
      </w:r>
    </w:p>
    <w:p w14:paraId="430ECC36">
      <w:pPr>
        <w:spacing w:line="360" w:lineRule="auto"/>
        <w:ind w:firstLine="480" w:firstLineChars="200"/>
        <w:outlineLvl w:val="0"/>
        <w:rPr>
          <w:rFonts w:hint="eastAsia"/>
          <w:sz w:val="24"/>
        </w:rPr>
      </w:pPr>
      <w:r>
        <w:rPr>
          <w:rFonts w:hint="eastAsia"/>
          <w:sz w:val="24"/>
        </w:rPr>
        <w:t>8. 所投产品包装应符合国家或行业标准规定。由于包装不善导致货物锈蚀、失缺或损坏，由供货商承担一切责任。</w:t>
      </w:r>
    </w:p>
    <w:p w14:paraId="5382D9F9">
      <w:pPr>
        <w:spacing w:line="360" w:lineRule="auto"/>
        <w:ind w:firstLine="480" w:firstLineChars="200"/>
        <w:outlineLvl w:val="0"/>
        <w:rPr>
          <w:rFonts w:hint="eastAsia"/>
          <w:sz w:val="24"/>
        </w:rPr>
      </w:pPr>
      <w:r>
        <w:rPr>
          <w:rFonts w:hint="eastAsia"/>
          <w:sz w:val="24"/>
        </w:rPr>
        <w:t>9. 运输</w:t>
      </w:r>
    </w:p>
    <w:p w14:paraId="08B33DCD">
      <w:pPr>
        <w:spacing w:line="360" w:lineRule="auto"/>
        <w:ind w:firstLine="480" w:firstLineChars="200"/>
        <w:outlineLvl w:val="0"/>
        <w:rPr>
          <w:rFonts w:hint="eastAsia"/>
          <w:sz w:val="24"/>
        </w:rPr>
      </w:pPr>
      <w:r>
        <w:rPr>
          <w:rFonts w:hint="eastAsia"/>
          <w:sz w:val="24"/>
        </w:rPr>
        <w:t>投标人应制定供应运输方案，内容包括运输方式、配送能力、运输管理等。</w:t>
      </w:r>
    </w:p>
    <w:p w14:paraId="4F548DFF">
      <w:pPr>
        <w:spacing w:line="360" w:lineRule="auto"/>
        <w:ind w:firstLine="480" w:firstLineChars="200"/>
        <w:outlineLvl w:val="0"/>
        <w:rPr>
          <w:rFonts w:hint="eastAsia"/>
          <w:sz w:val="24"/>
        </w:rPr>
      </w:pPr>
      <w:r>
        <w:rPr>
          <w:rFonts w:hint="eastAsia"/>
          <w:sz w:val="24"/>
        </w:rPr>
        <w:t>10. 安装、调试、取证</w:t>
      </w:r>
    </w:p>
    <w:p w14:paraId="5752BB07">
      <w:pPr>
        <w:spacing w:line="360" w:lineRule="auto"/>
        <w:ind w:firstLine="480" w:firstLineChars="200"/>
        <w:outlineLvl w:val="0"/>
        <w:rPr>
          <w:rFonts w:hint="eastAsia"/>
          <w:sz w:val="24"/>
        </w:rPr>
      </w:pPr>
      <w:r>
        <w:rPr>
          <w:rFonts w:hint="eastAsia"/>
          <w:sz w:val="24"/>
        </w:rPr>
        <w:t>投标人须根据学校楼宇电梯使用的实际情况制定科学合理的安装、调试方案，统筹协调安装进度、人员配置等，按时保质保量的完成安装、调试，确保师生电梯使用需求。</w:t>
      </w:r>
    </w:p>
    <w:p w14:paraId="643E1B86">
      <w:pPr>
        <w:spacing w:line="360" w:lineRule="auto"/>
        <w:ind w:firstLine="480" w:firstLineChars="200"/>
        <w:outlineLvl w:val="0"/>
        <w:rPr>
          <w:rFonts w:hint="eastAsia"/>
          <w:sz w:val="24"/>
        </w:rPr>
      </w:pPr>
      <w:r>
        <w:rPr>
          <w:rFonts w:hint="eastAsia"/>
          <w:sz w:val="24"/>
        </w:rPr>
        <w:t>投标人须派出技术人员到现场负责指导或直接进行安装、调试，确保所提供的产品能按技术要求顺利安装、正确调试、可靠地启动运行。</w:t>
      </w:r>
    </w:p>
    <w:p w14:paraId="23F8FC0E">
      <w:pPr>
        <w:spacing w:line="360" w:lineRule="auto"/>
        <w:ind w:firstLine="480" w:firstLineChars="200"/>
        <w:outlineLvl w:val="0"/>
        <w:rPr>
          <w:rFonts w:hint="eastAsia"/>
          <w:sz w:val="24"/>
        </w:rPr>
      </w:pPr>
      <w:r>
        <w:rPr>
          <w:rFonts w:hint="eastAsia"/>
          <w:sz w:val="24"/>
        </w:rPr>
        <w:t>投标人在申请正式检验前，安装单位需依据制造标准和安装规范，对电梯的安装质量和运行性能进行全面自检，确保电梯状态已满足监督检验的条件。由投标人向所在地的特种设备检验机构提交安装监督检验申请，完成现场检测，检测合格后取得《电梯监督检验报告》。</w:t>
      </w:r>
    </w:p>
    <w:p w14:paraId="4C5199A5">
      <w:pPr>
        <w:spacing w:line="360" w:lineRule="auto"/>
        <w:ind w:firstLine="480" w:firstLineChars="200"/>
        <w:outlineLvl w:val="0"/>
        <w:rPr>
          <w:rFonts w:hint="eastAsia"/>
          <w:sz w:val="24"/>
        </w:rPr>
      </w:pPr>
      <w:r>
        <w:rPr>
          <w:rFonts w:hint="eastAsia"/>
          <w:sz w:val="24"/>
        </w:rPr>
        <w:t>11.技术培训</w:t>
      </w:r>
    </w:p>
    <w:p w14:paraId="34D06B18">
      <w:pPr>
        <w:spacing w:line="360" w:lineRule="auto"/>
        <w:ind w:firstLine="480" w:firstLineChars="200"/>
        <w:outlineLvl w:val="0"/>
        <w:rPr>
          <w:rFonts w:hint="eastAsia"/>
          <w:sz w:val="24"/>
        </w:rPr>
      </w:pPr>
      <w:r>
        <w:rPr>
          <w:rFonts w:hint="eastAsia"/>
          <w:sz w:val="24"/>
        </w:rPr>
        <w:t>投标人提供技术培训，内容包括培训计划、培训方式、培训目标、培训内容等。</w:t>
      </w:r>
    </w:p>
    <w:p w14:paraId="4B9D8656">
      <w:pPr>
        <w:spacing w:line="360" w:lineRule="auto"/>
        <w:ind w:firstLine="480" w:firstLineChars="200"/>
        <w:outlineLvl w:val="0"/>
        <w:rPr>
          <w:rFonts w:hint="eastAsia"/>
          <w:sz w:val="24"/>
        </w:rPr>
      </w:pPr>
      <w:r>
        <w:rPr>
          <w:rFonts w:hint="eastAsia"/>
          <w:sz w:val="24"/>
        </w:rPr>
        <w:t>投标人须按照如下要求进行相关培训。</w:t>
      </w:r>
    </w:p>
    <w:p w14:paraId="7EA0AA85">
      <w:pPr>
        <w:spacing w:line="360" w:lineRule="auto"/>
        <w:ind w:firstLine="480" w:firstLineChars="200"/>
        <w:outlineLvl w:val="0"/>
        <w:rPr>
          <w:rFonts w:hint="eastAsia"/>
          <w:sz w:val="24"/>
        </w:rPr>
      </w:pPr>
      <w:r>
        <w:rPr>
          <w:rFonts w:hint="eastAsia"/>
          <w:sz w:val="24"/>
        </w:rPr>
        <w:t>供货完毕后，委派培训人员去现场对采购人进行全面培训，包含产品的原理、操作、维护、维修和保养等相关培训。</w:t>
      </w:r>
    </w:p>
    <w:p w14:paraId="119B0476">
      <w:pPr>
        <w:spacing w:line="360" w:lineRule="auto"/>
        <w:ind w:firstLine="480" w:firstLineChars="200"/>
        <w:outlineLvl w:val="0"/>
        <w:rPr>
          <w:rFonts w:hint="eastAsia"/>
          <w:sz w:val="24"/>
        </w:rPr>
      </w:pPr>
      <w:r>
        <w:rPr>
          <w:rFonts w:hint="eastAsia"/>
          <w:sz w:val="24"/>
        </w:rPr>
        <w:t>12.原有电梯拆除技术要求及工期要求</w:t>
      </w:r>
    </w:p>
    <w:p w14:paraId="169F8185">
      <w:pPr>
        <w:spacing w:line="360" w:lineRule="auto"/>
        <w:ind w:firstLine="480" w:firstLineChars="200"/>
        <w:outlineLvl w:val="0"/>
        <w:rPr>
          <w:rFonts w:hint="eastAsia"/>
          <w:sz w:val="24"/>
        </w:rPr>
      </w:pPr>
      <w:r>
        <w:rPr>
          <w:rFonts w:hint="eastAsia"/>
          <w:sz w:val="24"/>
        </w:rPr>
        <w:t>（1）供方应制定电梯拆除方案，如电梯拆除顺序、安全作业等相应要求，严格按照方案执行。做好拆旧装新的时间衔接，每台电梯拆旧装新空窗期不超24小时。</w:t>
      </w:r>
    </w:p>
    <w:p w14:paraId="04444216">
      <w:pPr>
        <w:spacing w:line="360" w:lineRule="auto"/>
        <w:ind w:firstLine="480" w:firstLineChars="200"/>
        <w:outlineLvl w:val="0"/>
        <w:rPr>
          <w:rFonts w:hint="eastAsia"/>
          <w:sz w:val="24"/>
        </w:rPr>
      </w:pPr>
      <w:r>
        <w:rPr>
          <w:rFonts w:hint="eastAsia"/>
          <w:sz w:val="24"/>
        </w:rPr>
        <w:t>（2）所有进入现场的施工人员自觉遵守有关起重运安全技术的规定，正确使用劳动保护用品。</w:t>
      </w:r>
    </w:p>
    <w:p w14:paraId="2A80B209">
      <w:pPr>
        <w:spacing w:line="360" w:lineRule="auto"/>
        <w:ind w:firstLine="480" w:firstLineChars="200"/>
        <w:outlineLvl w:val="0"/>
        <w:rPr>
          <w:rFonts w:hint="eastAsia"/>
          <w:sz w:val="24"/>
        </w:rPr>
      </w:pPr>
      <w:r>
        <w:rPr>
          <w:rFonts w:hint="eastAsia"/>
          <w:sz w:val="24"/>
        </w:rPr>
        <w:t>（3）明确拆除顺序，作业之前认真检查拆梯所用工具的磨损情况，检查各索具的规格，正确使用各自的索具运相应的构件。</w:t>
      </w:r>
    </w:p>
    <w:p w14:paraId="05BB762F">
      <w:pPr>
        <w:spacing w:line="360" w:lineRule="auto"/>
        <w:ind w:firstLine="480" w:firstLineChars="200"/>
        <w:outlineLvl w:val="0"/>
        <w:rPr>
          <w:rFonts w:hint="eastAsia"/>
          <w:sz w:val="24"/>
        </w:rPr>
      </w:pPr>
      <w:r>
        <w:rPr>
          <w:rFonts w:hint="eastAsia"/>
          <w:sz w:val="24"/>
        </w:rPr>
        <w:t>（4）现场要设一名专人指挥人员、配备施工人员（电梯修理）、施工人员（电工）、施工人员（电焊工）。</w:t>
      </w:r>
    </w:p>
    <w:p w14:paraId="6F7F363A">
      <w:pPr>
        <w:spacing w:line="360" w:lineRule="auto"/>
        <w:ind w:firstLine="480" w:firstLineChars="200"/>
        <w:outlineLvl w:val="0"/>
        <w:rPr>
          <w:rFonts w:hint="eastAsia"/>
          <w:sz w:val="24"/>
        </w:rPr>
      </w:pPr>
      <w:r>
        <w:rPr>
          <w:rFonts w:hint="eastAsia"/>
          <w:sz w:val="24"/>
        </w:rPr>
        <w:t>（5）严格按照消防要求施工，检查消防隐患，做好消防防护。</w:t>
      </w:r>
    </w:p>
    <w:p w14:paraId="453FD7BB">
      <w:pPr>
        <w:spacing w:line="360" w:lineRule="auto"/>
        <w:ind w:firstLine="480" w:firstLineChars="200"/>
        <w:outlineLvl w:val="0"/>
        <w:rPr>
          <w:rFonts w:hint="eastAsia"/>
          <w:sz w:val="24"/>
        </w:rPr>
      </w:pPr>
      <w:r>
        <w:rPr>
          <w:rFonts w:hint="eastAsia"/>
          <w:sz w:val="24"/>
        </w:rPr>
        <w:t>（6）旧电梯拆除后存放于学校指定地点，实物及残值由</w:t>
      </w:r>
      <w:r>
        <w:rPr>
          <w:rFonts w:hint="eastAsia"/>
          <w:sz w:val="24"/>
          <w:lang w:eastAsia="zh-CN"/>
        </w:rPr>
        <w:t>采购人</w:t>
      </w:r>
      <w:r>
        <w:rPr>
          <w:rFonts w:hint="eastAsia"/>
          <w:sz w:val="24"/>
        </w:rPr>
        <w:t>处理。</w:t>
      </w:r>
    </w:p>
    <w:p w14:paraId="469FC1B4">
      <w:pPr>
        <w:spacing w:line="360" w:lineRule="auto"/>
        <w:ind w:firstLine="480" w:firstLineChars="200"/>
        <w:outlineLvl w:val="0"/>
        <w:rPr>
          <w:rFonts w:hint="eastAsia"/>
          <w:sz w:val="24"/>
        </w:rPr>
      </w:pPr>
      <w:r>
        <w:rPr>
          <w:rFonts w:hint="eastAsia"/>
          <w:sz w:val="24"/>
        </w:rPr>
        <w:t>（7）每台电梯拆除施工周期不超3天。</w:t>
      </w:r>
    </w:p>
    <w:p w14:paraId="227306C7">
      <w:pPr>
        <w:spacing w:line="360" w:lineRule="auto"/>
        <w:ind w:firstLine="480" w:firstLineChars="200"/>
        <w:outlineLvl w:val="0"/>
        <w:rPr>
          <w:rFonts w:hint="eastAsia"/>
          <w:sz w:val="24"/>
        </w:rPr>
      </w:pPr>
      <w:r>
        <w:rPr>
          <w:rFonts w:hint="eastAsia"/>
          <w:sz w:val="24"/>
        </w:rPr>
        <w:t xml:space="preserve">13.保密、免责要求     </w:t>
      </w:r>
    </w:p>
    <w:p w14:paraId="3A932C12">
      <w:pPr>
        <w:spacing w:line="360" w:lineRule="auto"/>
        <w:ind w:firstLine="480" w:firstLineChars="200"/>
        <w:outlineLvl w:val="0"/>
        <w:rPr>
          <w:rFonts w:hint="eastAsia"/>
          <w:sz w:val="24"/>
        </w:rPr>
      </w:pPr>
      <w:r>
        <w:rPr>
          <w:rFonts w:hint="eastAsia"/>
          <w:sz w:val="24"/>
        </w:rPr>
        <w:t>（1）在电梯拆装、服务过程中投标人须听从采购人指挥，自觉接受需方监督。如在拆装、服务过程中造成采购人建筑物本体及相关设施的损坏，投标人应予以修复或赔偿。</w:t>
      </w:r>
    </w:p>
    <w:p w14:paraId="420A9684">
      <w:pPr>
        <w:spacing w:line="360" w:lineRule="auto"/>
        <w:ind w:firstLine="480" w:firstLineChars="200"/>
        <w:outlineLvl w:val="0"/>
        <w:rPr>
          <w:rFonts w:hint="eastAsia"/>
          <w:sz w:val="24"/>
        </w:rPr>
      </w:pPr>
      <w:r>
        <w:rPr>
          <w:rFonts w:hint="eastAsia"/>
          <w:sz w:val="24"/>
        </w:rPr>
        <w:t>（2）在拆装、服务过程中发生一切安全事故，投标人负全责，采购人不负任何责任。如因投标人原因导致采购人对外承担责任，采购人有权向投标人追偿。</w:t>
      </w:r>
    </w:p>
    <w:p w14:paraId="5DDE1275">
      <w:pPr>
        <w:spacing w:line="360" w:lineRule="auto"/>
        <w:ind w:firstLine="480" w:firstLineChars="200"/>
        <w:outlineLvl w:val="0"/>
        <w:rPr>
          <w:rFonts w:hint="eastAsia"/>
          <w:sz w:val="24"/>
        </w:rPr>
      </w:pPr>
      <w:r>
        <w:rPr>
          <w:rFonts w:hint="eastAsia"/>
          <w:sz w:val="24"/>
        </w:rPr>
        <w:t>（3）投标人必须按时足额向其提供的服务人员支付薪酬，本项目涉及的投标人服务人员的任何劳动争议、劳务纠纷均由投标人负责并承担责任，与采购人无关。</w:t>
      </w:r>
    </w:p>
    <w:p w14:paraId="03BF13FA">
      <w:pPr>
        <w:spacing w:line="360" w:lineRule="auto"/>
        <w:ind w:firstLine="480" w:firstLineChars="200"/>
        <w:outlineLvl w:val="0"/>
        <w:rPr>
          <w:rFonts w:hint="eastAsia"/>
          <w:sz w:val="24"/>
        </w:rPr>
      </w:pPr>
      <w:r>
        <w:rPr>
          <w:rFonts w:hint="eastAsia"/>
          <w:sz w:val="24"/>
        </w:rPr>
        <w:t>（4）投标人未经采购人批准不得在服务场所拍照、录音、录像。</w:t>
      </w:r>
    </w:p>
    <w:p w14:paraId="051C5B92">
      <w:pPr>
        <w:spacing w:line="360" w:lineRule="auto"/>
        <w:ind w:firstLine="480" w:firstLineChars="200"/>
        <w:outlineLvl w:val="0"/>
        <w:rPr>
          <w:rFonts w:hint="eastAsia"/>
          <w:sz w:val="24"/>
        </w:rPr>
      </w:pPr>
      <w:r>
        <w:rPr>
          <w:rFonts w:hint="eastAsia"/>
          <w:sz w:val="24"/>
        </w:rPr>
        <w:t>（5）投标人在服务场所发现遗留的文件资料、U盘、光盘等物品及时上交采购人，严禁留存、翻阅、录像、复制、传抄。</w:t>
      </w:r>
    </w:p>
    <w:p w14:paraId="5444439D">
      <w:pPr>
        <w:spacing w:line="360" w:lineRule="auto"/>
        <w:ind w:firstLine="480" w:firstLineChars="200"/>
        <w:outlineLvl w:val="0"/>
        <w:rPr>
          <w:rFonts w:hint="eastAsia"/>
          <w:sz w:val="24"/>
        </w:rPr>
      </w:pPr>
      <w:r>
        <w:rPr>
          <w:rFonts w:hint="eastAsia"/>
          <w:sz w:val="24"/>
        </w:rPr>
        <w:t>（6）投标人不得向无关人员透漏涉及服务对象职责、人员、车辆、工作情况等敏感信息。</w:t>
      </w:r>
    </w:p>
    <w:p w14:paraId="06CD5588">
      <w:pPr>
        <w:numPr>
          <w:ilvl w:val="0"/>
          <w:numId w:val="0"/>
        </w:numPr>
        <w:spacing w:line="360" w:lineRule="auto"/>
        <w:outlineLvl w:val="0"/>
        <w:rPr>
          <w:rFonts w:hint="eastAsia"/>
          <w:b/>
          <w:sz w:val="24"/>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4FF729"/>
    <w:multiLevelType w:val="singleLevel"/>
    <w:tmpl w:val="E94FF729"/>
    <w:lvl w:ilvl="0" w:tentative="0">
      <w:start w:val="7"/>
      <w:numFmt w:val="chineseCounting"/>
      <w:suff w:val="nothing"/>
      <w:lvlText w:val="%1、"/>
      <w:lvlJc w:val="left"/>
      <w:rPr>
        <w:rFonts w:hint="eastAsia"/>
      </w:rPr>
    </w:lvl>
  </w:abstractNum>
  <w:abstractNum w:abstractNumId="1">
    <w:nsid w:val="4537010C"/>
    <w:multiLevelType w:val="multilevel"/>
    <w:tmpl w:val="4537010C"/>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32B"/>
    <w:rsid w:val="00075C3A"/>
    <w:rsid w:val="000E2B47"/>
    <w:rsid w:val="002319D2"/>
    <w:rsid w:val="002A59E1"/>
    <w:rsid w:val="002E6BF0"/>
    <w:rsid w:val="002F0B4E"/>
    <w:rsid w:val="003A2301"/>
    <w:rsid w:val="003C441E"/>
    <w:rsid w:val="003C6DC4"/>
    <w:rsid w:val="005864BD"/>
    <w:rsid w:val="005D766F"/>
    <w:rsid w:val="00662F9C"/>
    <w:rsid w:val="007977AA"/>
    <w:rsid w:val="007D4A67"/>
    <w:rsid w:val="007F55EE"/>
    <w:rsid w:val="00872661"/>
    <w:rsid w:val="00883DE2"/>
    <w:rsid w:val="008E3078"/>
    <w:rsid w:val="00A14146"/>
    <w:rsid w:val="00AE0B51"/>
    <w:rsid w:val="00AE0C88"/>
    <w:rsid w:val="00B753DF"/>
    <w:rsid w:val="00C065E4"/>
    <w:rsid w:val="00C3232B"/>
    <w:rsid w:val="00C35F77"/>
    <w:rsid w:val="00CE3488"/>
    <w:rsid w:val="00CE3B69"/>
    <w:rsid w:val="00D76DA9"/>
    <w:rsid w:val="00DD10D5"/>
    <w:rsid w:val="00E4639F"/>
    <w:rsid w:val="00EE1AC7"/>
    <w:rsid w:val="00F574BF"/>
    <w:rsid w:val="00F8731A"/>
    <w:rsid w:val="00FC459C"/>
    <w:rsid w:val="03327908"/>
    <w:rsid w:val="058B6F7C"/>
    <w:rsid w:val="0A1C23DE"/>
    <w:rsid w:val="0F16541F"/>
    <w:rsid w:val="15F80BFE"/>
    <w:rsid w:val="1E3C03AE"/>
    <w:rsid w:val="1FE12702"/>
    <w:rsid w:val="267203AC"/>
    <w:rsid w:val="27283679"/>
    <w:rsid w:val="2CF41827"/>
    <w:rsid w:val="32432D5F"/>
    <w:rsid w:val="345B0C5C"/>
    <w:rsid w:val="3D567E34"/>
    <w:rsid w:val="47CD234C"/>
    <w:rsid w:val="48D77C98"/>
    <w:rsid w:val="5C71038F"/>
    <w:rsid w:val="62F05413"/>
    <w:rsid w:val="7028481C"/>
    <w:rsid w:val="71657B69"/>
    <w:rsid w:val="7C1B7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ody Text"/>
    <w:basedOn w:val="1"/>
    <w:qFormat/>
    <w:uiPriority w:val="0"/>
    <w:rPr>
      <w:sz w:val="28"/>
    </w:rPr>
  </w:style>
  <w:style w:type="paragraph" w:styleId="3">
    <w:name w:val="footer"/>
    <w:basedOn w:val="1"/>
    <w:link w:val="14"/>
    <w:unhideWhenUsed/>
    <w:qFormat/>
    <w:uiPriority w:val="99"/>
    <w:pPr>
      <w:tabs>
        <w:tab w:val="center" w:pos="4153"/>
        <w:tab w:val="right" w:pos="8306"/>
      </w:tabs>
      <w:snapToGrid w:val="0"/>
      <w:jc w:val="left"/>
    </w:pPr>
    <w:rPr>
      <w:sz w:val="18"/>
      <w:szCs w:val="18"/>
    </w:rPr>
  </w:style>
  <w:style w:type="paragraph" w:styleId="4">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9"/>
    <w:qFormat/>
    <w:uiPriority w:val="10"/>
    <w:pPr>
      <w:spacing w:before="240" w:after="60"/>
      <w:jc w:val="center"/>
      <w:outlineLvl w:val="0"/>
    </w:pPr>
    <w:rPr>
      <w:rFonts w:eastAsia="宋体" w:asciiTheme="majorHAnsi" w:hAnsiTheme="majorHAnsi" w:cstheme="majorBidi"/>
      <w:b/>
      <w:bCs/>
      <w:sz w:val="32"/>
      <w:szCs w:val="32"/>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标题 Char"/>
    <w:basedOn w:val="8"/>
    <w:link w:val="5"/>
    <w:qFormat/>
    <w:uiPriority w:val="10"/>
    <w:rPr>
      <w:rFonts w:eastAsia="宋体" w:asciiTheme="majorHAnsi" w:hAnsiTheme="majorHAnsi" w:cstheme="majorBidi"/>
      <w:b/>
      <w:bCs/>
      <w:sz w:val="32"/>
      <w:szCs w:val="32"/>
    </w:rPr>
  </w:style>
  <w:style w:type="paragraph" w:customStyle="1" w:styleId="10">
    <w:name w:val="Default"/>
    <w:link w:val="1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Default Char"/>
    <w:link w:val="10"/>
    <w:qFormat/>
    <w:locked/>
    <w:uiPriority w:val="0"/>
    <w:rPr>
      <w:rFonts w:ascii="......." w:hAnsi="Calibri" w:eastAsia="......." w:cs="......."/>
      <w:color w:val="000000"/>
      <w:kern w:val="0"/>
      <w:sz w:val="24"/>
      <w:szCs w:val="24"/>
    </w:rPr>
  </w:style>
  <w:style w:type="paragraph" w:styleId="12">
    <w:name w:val="List Paragraph"/>
    <w:basedOn w:val="1"/>
    <w:qFormat/>
    <w:uiPriority w:val="34"/>
    <w:pPr>
      <w:ind w:firstLine="420" w:firstLineChars="200"/>
    </w:pPr>
  </w:style>
  <w:style w:type="character" w:customStyle="1" w:styleId="13">
    <w:name w:val="页眉 Char"/>
    <w:basedOn w:val="8"/>
    <w:link w:val="4"/>
    <w:qFormat/>
    <w:uiPriority w:val="99"/>
    <w:rPr>
      <w:sz w:val="18"/>
      <w:szCs w:val="18"/>
    </w:rPr>
  </w:style>
  <w:style w:type="character" w:customStyle="1" w:styleId="14">
    <w:name w:val="页脚 Char"/>
    <w:basedOn w:val="8"/>
    <w:link w:val="3"/>
    <w:qFormat/>
    <w:uiPriority w:val="99"/>
    <w:rPr>
      <w:sz w:val="18"/>
      <w:szCs w:val="18"/>
    </w:rPr>
  </w:style>
  <w:style w:type="paragraph" w:customStyle="1" w:styleId="15">
    <w:name w:val="首行缩进"/>
    <w:basedOn w:val="1"/>
    <w:autoRedefine/>
    <w:qFormat/>
    <w:uiPriority w:val="0"/>
    <w:pPr>
      <w:spacing w:line="400" w:lineRule="exact"/>
    </w:pPr>
    <w:rPr>
      <w:rFonts w:asciiTheme="minorHAnsi" w:hAnsiTheme="minorHAnsi" w:eastAsiaTheme="minorEastAsia" w:cstheme="minorBidi"/>
      <w:sz w:val="24"/>
      <w:szCs w:val="22"/>
      <w:lang w:val="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14</Pages>
  <Words>7596</Words>
  <Characters>8029</Characters>
  <Lines>9</Lines>
  <Paragraphs>2</Paragraphs>
  <TotalTime>0</TotalTime>
  <ScaleCrop>false</ScaleCrop>
  <LinksUpToDate>false</LinksUpToDate>
  <CharactersWithSpaces>8069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2021-06-11T03:30:00Z</dcterms:created>
  <dc:creator>未定义</dc:creator>
  <cp:lastModifiedBy>片羽时光[咖啡]</cp:lastModifiedBy>
  <dcterms:modified xsi:type="dcterms:W3CDTF">2026-06-05T01:29:06Z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eyJoZGlkIjoiMGRkMTBjYzYwOTM4M2JlZmIxMjRiNmI0YzNmOTJmZDAiLCJ1c2VySWQiOiI3NTk1MzM0MzEifQ==</vt:lpwstr>
  </property>
  <property fmtid="{D5CDD505-2E9C-101B-9397-08002B2CF9AE}" pid="3" name="KSOProductBuildVer">
    <vt:lpwstr>2052-12.1.0.26895</vt:lpwstr>
  </property>
  <property fmtid="{D5CDD505-2E9C-101B-9397-08002B2CF9AE}" pid="4" name="ICV">
    <vt:lpwstr>E532FA0CE20146A4834AD84254F13CC1_12</vt:lpwstr>
  </property>
</Properties>
</file>