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851F0E">
      <w:pPr>
        <w:pStyle w:val="2"/>
        <w:rPr>
          <w:rFonts w:hint="eastAsia"/>
        </w:rPr>
      </w:pPr>
      <w:r>
        <w:rPr>
          <w:rFonts w:hint="eastAsia"/>
        </w:rPr>
        <w:t>项目需求书（货物</w:t>
      </w:r>
      <w:r>
        <w:t>-</w:t>
      </w:r>
      <w:r>
        <w:rPr>
          <w:rFonts w:hint="eastAsia"/>
        </w:rPr>
        <w:t>通用类）</w:t>
      </w:r>
    </w:p>
    <w:p w14:paraId="45CE5516">
      <w:pPr>
        <w:spacing w:line="360" w:lineRule="auto"/>
        <w:ind w:firstLine="480" w:firstLineChars="200"/>
        <w:rPr>
          <w:sz w:val="24"/>
        </w:rPr>
      </w:pPr>
    </w:p>
    <w:p w14:paraId="121224F7">
      <w:pPr>
        <w:spacing w:line="360" w:lineRule="auto"/>
        <w:ind w:firstLine="482" w:firstLineChars="200"/>
        <w:rPr>
          <w:rFonts w:hint="eastAsia" w:ascii="宋体" w:hAnsi="宋体"/>
          <w:b/>
          <w:sz w:val="24"/>
        </w:rPr>
      </w:pPr>
      <w:r>
        <w:rPr>
          <w:rFonts w:hint="eastAsia" w:ascii="宋体" w:hAnsi="宋体"/>
          <w:b/>
          <w:sz w:val="24"/>
        </w:rPr>
        <w:t>一、项目背景</w:t>
      </w:r>
    </w:p>
    <w:p w14:paraId="470FCA9A">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lang w:val="en-US" w:eastAsia="zh-CN"/>
        </w:rPr>
        <w:t>我院内镜中心目前信息化水平相对薄弱，缺乏统一集成的内镜专用信息平台，诊疗数据分散、流程管理不规范，难以支撑高质量内镜业务开展。配套在用的内镜工作站共3套，其中设备6台为 2019年前购置，设备老化、运行卡顿、兼容性差，已不能满足内镜业务系统稳定运行需求。</w:t>
      </w:r>
      <w:r>
        <w:rPr>
          <w:rFonts w:hint="eastAsia" w:ascii="Times New Roman" w:hAnsi="Times New Roman" w:cs="Times New Roman"/>
          <w:sz w:val="24"/>
          <w:szCs w:val="24"/>
        </w:rPr>
        <w:t xml:space="preserve">造成在科研统计，教学分析工作方面带来诸多不便，无法进行疾病相关性的深层次挖掘与分析； </w:t>
      </w:r>
    </w:p>
    <w:p w14:paraId="40F3B875">
      <w:pPr>
        <w:spacing w:line="360" w:lineRule="auto"/>
        <w:ind w:firstLine="480" w:firstLineChars="200"/>
        <w:rPr>
          <w:rFonts w:ascii="Times New Roman" w:hAnsi="Times New Roman" w:cs="Times New Roman"/>
          <w:b/>
          <w:sz w:val="24"/>
          <w:szCs w:val="24"/>
          <w:highlight w:val="yellow"/>
        </w:rPr>
      </w:pPr>
      <w:r>
        <w:rPr>
          <w:rFonts w:hint="eastAsia" w:ascii="Times New Roman" w:hAnsi="Times New Roman" w:cs="Times New Roman"/>
          <w:sz w:val="24"/>
          <w:szCs w:val="24"/>
        </w:rPr>
        <w:t>依托人工智能、内镜影像智能分析技术，更新消化内镜图文系统，搭建一体化内镜诊疗智能质控体系；实现内镜全流程质控智能化、内镜数据管理规范化，全面提升消化内镜诊疗质量、降低漏诊风险，同时打通内镜临床数据价值，高效支撑院内科研统计、教学复盘及疾病深度分析工作。</w:t>
      </w:r>
    </w:p>
    <w:p w14:paraId="78B6E747">
      <w:pPr>
        <w:spacing w:line="360" w:lineRule="auto"/>
        <w:ind w:firstLine="482" w:firstLineChars="200"/>
        <w:rPr>
          <w:b/>
          <w:sz w:val="24"/>
        </w:rPr>
      </w:pPr>
      <w:r>
        <w:rPr>
          <w:b/>
          <w:sz w:val="24"/>
        </w:rPr>
        <w:t>二、项目预算</w:t>
      </w:r>
    </w:p>
    <w:p w14:paraId="3A981E82">
      <w:pPr>
        <w:spacing w:line="360" w:lineRule="auto"/>
        <w:ind w:firstLine="480" w:firstLineChars="200"/>
        <w:rPr>
          <w:sz w:val="24"/>
        </w:rPr>
      </w:pPr>
      <w:r>
        <w:rPr>
          <w:rFonts w:hint="eastAsia"/>
          <w:sz w:val="24"/>
        </w:rPr>
        <w:t>第一包：</w:t>
      </w:r>
      <w:r>
        <w:rPr>
          <w:rFonts w:hint="eastAsia" w:ascii="Times New Roman" w:hAnsi="Times New Roman" w:eastAsia="宋体" w:cs="Times New Roman"/>
          <w:sz w:val="24"/>
          <w:szCs w:val="24"/>
        </w:rPr>
        <w:t>¥132,5000.00元</w:t>
      </w:r>
      <w:r>
        <w:rPr>
          <w:rFonts w:hint="eastAsia"/>
          <w:sz w:val="24"/>
        </w:rPr>
        <w:t>；</w:t>
      </w:r>
    </w:p>
    <w:p w14:paraId="3854527D">
      <w:pPr>
        <w:spacing w:line="360" w:lineRule="auto"/>
        <w:ind w:firstLine="482" w:firstLineChars="200"/>
        <w:rPr>
          <w:rFonts w:hint="eastAsia" w:ascii="宋体" w:hAnsi="宋体"/>
          <w:b/>
          <w:sz w:val="24"/>
        </w:rPr>
      </w:pPr>
      <w:r>
        <w:rPr>
          <w:rFonts w:hint="eastAsia" w:ascii="宋体" w:hAnsi="宋体"/>
          <w:b/>
          <w:sz w:val="24"/>
        </w:rPr>
        <w:t>三、资格要求</w:t>
      </w:r>
    </w:p>
    <w:p w14:paraId="208EA2CC">
      <w:pPr>
        <w:spacing w:line="360" w:lineRule="auto"/>
        <w:ind w:firstLine="480" w:firstLineChars="200"/>
        <w:rPr>
          <w:rFonts w:ascii="宋体" w:hAnsi="宋体"/>
          <w:sz w:val="24"/>
        </w:rPr>
      </w:pPr>
      <w:r>
        <w:rPr>
          <w:rFonts w:hint="eastAsia" w:ascii="宋体" w:hAnsi="宋体"/>
          <w:sz w:val="24"/>
        </w:rPr>
        <w:t>（一）</w:t>
      </w:r>
      <w:r>
        <w:rPr>
          <w:rFonts w:hint="eastAsia" w:ascii="宋体" w:hAnsi="宋体"/>
          <w:color w:val="FF0000"/>
          <w:sz w:val="24"/>
        </w:rPr>
        <w:t>根据现行法律法规的要求，设置供应商投标的特定资格条件</w:t>
      </w:r>
      <w:r>
        <w:rPr>
          <w:rFonts w:hint="eastAsia" w:ascii="宋体" w:hAnsi="宋体"/>
          <w:sz w:val="24"/>
        </w:rPr>
        <w:t>。</w:t>
      </w:r>
    </w:p>
    <w:p w14:paraId="31371A34">
      <w:pPr>
        <w:spacing w:line="360" w:lineRule="auto"/>
        <w:ind w:left="210" w:leftChars="100" w:firstLine="480" w:firstLineChars="200"/>
        <w:rPr>
          <w:rFonts w:hint="eastAsia" w:ascii="宋体" w:hAnsi="宋体"/>
          <w:sz w:val="24"/>
        </w:rPr>
      </w:pPr>
      <w:r>
        <w:rPr>
          <w:rFonts w:hint="eastAsia" w:ascii="宋体" w:hAnsi="宋体"/>
          <w:sz w:val="24"/>
        </w:rPr>
        <w:t>1.投标人须在中华人民共和国境内注册，具有独立承担民事责任的能力和经营许可，向采购人提供货物和服务的法人、其他组织或自然人，须提供相关证明材料，其中：</w:t>
      </w:r>
    </w:p>
    <w:p w14:paraId="2B607752">
      <w:pPr>
        <w:spacing w:line="360" w:lineRule="auto"/>
        <w:ind w:firstLine="480" w:firstLineChars="200"/>
        <w:rPr>
          <w:rFonts w:hint="eastAsia" w:ascii="宋体" w:hAnsi="宋体"/>
          <w:sz w:val="24"/>
        </w:rPr>
      </w:pPr>
      <w:r>
        <w:rPr>
          <w:rFonts w:hint="eastAsia" w:ascii="宋体" w:hAnsi="宋体"/>
          <w:sz w:val="24"/>
        </w:rPr>
        <w:t>1)供应商是企业（包括合伙企业）的，应提供其在市场监督管理部门注册的有效“企业法人营业执照”或“营业执照”的复印件；</w:t>
      </w:r>
    </w:p>
    <w:p w14:paraId="55BE65CD">
      <w:pPr>
        <w:spacing w:line="360" w:lineRule="auto"/>
        <w:ind w:firstLine="480" w:firstLineChars="200"/>
        <w:rPr>
          <w:rFonts w:hint="eastAsia" w:ascii="宋体" w:hAnsi="宋体"/>
          <w:sz w:val="24"/>
        </w:rPr>
      </w:pPr>
      <w:r>
        <w:rPr>
          <w:rFonts w:hint="eastAsia" w:ascii="宋体" w:hAnsi="宋体"/>
          <w:sz w:val="24"/>
        </w:rPr>
        <w:t>2)供应商是事业单位的，应提供其有效的“事业单位法人证书”复印件；</w:t>
      </w:r>
    </w:p>
    <w:p w14:paraId="28AB2A5C">
      <w:pPr>
        <w:spacing w:line="360" w:lineRule="auto"/>
        <w:ind w:firstLine="480" w:firstLineChars="200"/>
        <w:rPr>
          <w:rFonts w:hint="eastAsia" w:ascii="宋体" w:hAnsi="宋体"/>
          <w:sz w:val="24"/>
        </w:rPr>
      </w:pPr>
      <w:r>
        <w:rPr>
          <w:rFonts w:hint="eastAsia" w:ascii="宋体" w:hAnsi="宋体"/>
          <w:sz w:val="24"/>
        </w:rPr>
        <w:t>3)供应商是非企业专业服务机构的，应提供其有效的执业许可证复印件；</w:t>
      </w:r>
    </w:p>
    <w:p w14:paraId="0930C286">
      <w:pPr>
        <w:spacing w:line="360" w:lineRule="auto"/>
        <w:ind w:firstLine="480" w:firstLineChars="200"/>
        <w:rPr>
          <w:rFonts w:hint="eastAsia" w:ascii="宋体" w:hAnsi="宋体"/>
          <w:sz w:val="24"/>
        </w:rPr>
      </w:pPr>
      <w:r>
        <w:rPr>
          <w:rFonts w:hint="eastAsia" w:ascii="宋体" w:hAnsi="宋体"/>
          <w:sz w:val="24"/>
        </w:rPr>
        <w:t>4)供应商是个体工商户的，应提供其有效的“个体工商户营业执照”复印件；</w:t>
      </w:r>
    </w:p>
    <w:p w14:paraId="19F00458">
      <w:pPr>
        <w:spacing w:line="360" w:lineRule="auto"/>
        <w:ind w:firstLine="480" w:firstLineChars="200"/>
        <w:rPr>
          <w:rFonts w:hint="eastAsia" w:ascii="宋体" w:hAnsi="宋体"/>
          <w:sz w:val="24"/>
        </w:rPr>
      </w:pPr>
      <w:r>
        <w:rPr>
          <w:rFonts w:hint="eastAsia" w:ascii="宋体" w:hAnsi="宋体"/>
          <w:sz w:val="24"/>
        </w:rPr>
        <w:t>5)供应商是自然人的，应提供其有效的自然人身份证明。</w:t>
      </w:r>
    </w:p>
    <w:p w14:paraId="75EF8717">
      <w:pPr>
        <w:spacing w:line="360" w:lineRule="auto"/>
        <w:ind w:firstLine="480" w:firstLineChars="200"/>
        <w:rPr>
          <w:rFonts w:hint="eastAsia" w:ascii="宋体" w:hAnsi="宋体"/>
          <w:sz w:val="24"/>
        </w:rPr>
      </w:pPr>
      <w:r>
        <w:rPr>
          <w:rFonts w:hint="eastAsia" w:ascii="宋体" w:hAnsi="宋体"/>
          <w:sz w:val="24"/>
        </w:rPr>
        <w:t>2.投标人须具有依法缴纳税收和社会保障资金的良好记录，须提供相关证明材料，其中：</w:t>
      </w:r>
    </w:p>
    <w:p w14:paraId="5E33F4B8">
      <w:pPr>
        <w:spacing w:line="360" w:lineRule="auto"/>
        <w:ind w:firstLine="480" w:firstLineChars="200"/>
        <w:rPr>
          <w:rFonts w:hint="eastAsia" w:ascii="宋体" w:hAnsi="宋体"/>
          <w:sz w:val="24"/>
        </w:rPr>
      </w:pPr>
      <w:r>
        <w:rPr>
          <w:rFonts w:hint="eastAsia" w:ascii="宋体" w:hAnsi="宋体"/>
          <w:sz w:val="24"/>
        </w:rPr>
        <w:t>1)供应商是法人的，缴纳税收的证明材料，应提供开标前三个月内任意一个月的依法缴税凭据复印件；</w:t>
      </w:r>
    </w:p>
    <w:p w14:paraId="52B9F619">
      <w:pPr>
        <w:spacing w:line="360" w:lineRule="auto"/>
        <w:ind w:firstLine="480" w:firstLineChars="200"/>
        <w:rPr>
          <w:rFonts w:hint="eastAsia" w:ascii="宋体" w:hAnsi="宋体"/>
          <w:sz w:val="24"/>
        </w:rPr>
      </w:pPr>
      <w:r>
        <w:rPr>
          <w:rFonts w:hint="eastAsia" w:ascii="宋体" w:hAnsi="宋体"/>
          <w:sz w:val="24"/>
        </w:rPr>
        <w:t>2)供应商是法人的，缴纳社会保障资金的证明材料，应提供开标前三个月内任意一个月的缴纳社会保险的凭据（专用收据或社会保险缴纳清单）复印件；</w:t>
      </w:r>
    </w:p>
    <w:p w14:paraId="42A57449">
      <w:pPr>
        <w:spacing w:line="360" w:lineRule="auto"/>
        <w:ind w:firstLine="480" w:firstLineChars="200"/>
        <w:rPr>
          <w:rFonts w:hint="eastAsia" w:ascii="宋体" w:hAnsi="宋体"/>
          <w:sz w:val="24"/>
        </w:rPr>
      </w:pPr>
      <w:r>
        <w:rPr>
          <w:rFonts w:hint="eastAsia" w:ascii="宋体" w:hAnsi="宋体"/>
          <w:sz w:val="24"/>
        </w:rPr>
        <w:t>3)供应商是其他组织和自然人的，需要提供开标前三个月内任意一个月的缴纳税收和社会保险的凭据。</w:t>
      </w:r>
    </w:p>
    <w:p w14:paraId="7209708D">
      <w:pPr>
        <w:spacing w:line="360" w:lineRule="auto"/>
        <w:ind w:firstLine="480" w:firstLineChars="200"/>
        <w:rPr>
          <w:rFonts w:hint="eastAsia" w:ascii="宋体" w:hAnsi="宋体"/>
          <w:sz w:val="24"/>
        </w:rPr>
      </w:pPr>
      <w:r>
        <w:rPr>
          <w:rFonts w:hint="eastAsia" w:ascii="宋体" w:hAnsi="宋体"/>
          <w:sz w:val="24"/>
        </w:rPr>
        <w:t>注：依法免税或不需要缴纳社会保障资金的供应商，须提供相应文件证明其依法免税或不需要缴纳社会保障资金。</w:t>
      </w:r>
    </w:p>
    <w:p w14:paraId="0DEC58F7">
      <w:pPr>
        <w:spacing w:line="360" w:lineRule="auto"/>
        <w:ind w:firstLine="480" w:firstLineChars="200"/>
        <w:rPr>
          <w:rFonts w:hint="eastAsia" w:ascii="宋体" w:hAnsi="宋体"/>
          <w:sz w:val="24"/>
        </w:rPr>
      </w:pPr>
      <w:r>
        <w:rPr>
          <w:rFonts w:hint="eastAsia" w:ascii="宋体" w:hAnsi="宋体"/>
          <w:sz w:val="24"/>
        </w:rPr>
        <w:t>3.近三年内（本项目投标截止期前）投标人在经营活动中没有重大违法记录，其中：</w:t>
      </w:r>
    </w:p>
    <w:p w14:paraId="4AC2210C">
      <w:pPr>
        <w:spacing w:line="360" w:lineRule="auto"/>
        <w:ind w:firstLine="480" w:firstLineChars="200"/>
        <w:rPr>
          <w:rFonts w:hint="eastAsia" w:ascii="宋体" w:hAnsi="宋体"/>
          <w:sz w:val="24"/>
        </w:rPr>
      </w:pPr>
      <w:r>
        <w:rPr>
          <w:rFonts w:hint="eastAsia" w:ascii="宋体" w:hAnsi="宋体"/>
          <w:sz w:val="24"/>
        </w:rPr>
        <w:t>1)重大违法记录是指供应商因违法经营受到刑事处罚或者责令停产停业、吊销许可证或者执照、较大数额</w:t>
      </w:r>
      <w:bookmarkStart w:id="4" w:name="_GoBack"/>
      <w:bookmarkEnd w:id="4"/>
      <w:r>
        <w:rPr>
          <w:rFonts w:hint="eastAsia" w:ascii="宋体" w:hAnsi="宋体"/>
          <w:sz w:val="24"/>
        </w:rPr>
        <w:t>罚款等行政处罚；</w:t>
      </w:r>
    </w:p>
    <w:p w14:paraId="70568BAD">
      <w:pPr>
        <w:spacing w:line="360" w:lineRule="auto"/>
        <w:ind w:firstLine="480" w:firstLineChars="200"/>
        <w:rPr>
          <w:rFonts w:hint="eastAsia" w:ascii="宋体" w:hAnsi="宋体"/>
          <w:sz w:val="24"/>
        </w:rPr>
      </w:pPr>
      <w:r>
        <w:rPr>
          <w:rFonts w:hint="eastAsia" w:ascii="宋体" w:hAnsi="宋体"/>
          <w:sz w:val="24"/>
        </w:rPr>
        <w:t>2)供应商须提供参与本采购活动前三年内在经营活动中没有重大违法记录的书面声明。</w:t>
      </w:r>
    </w:p>
    <w:p w14:paraId="350CE7CA">
      <w:pPr>
        <w:spacing w:line="360" w:lineRule="auto"/>
        <w:ind w:firstLine="480" w:firstLineChars="200"/>
        <w:rPr>
          <w:rFonts w:hint="eastAsia" w:ascii="宋体" w:hAnsi="宋体"/>
          <w:sz w:val="24"/>
        </w:rPr>
      </w:pPr>
      <w:r>
        <w:rPr>
          <w:rFonts w:hint="eastAsia" w:ascii="宋体" w:hAnsi="宋体"/>
          <w:sz w:val="24"/>
        </w:rPr>
        <w:t>4.投标人被“信用中国”网站（www.creditchina.gov.cn）列入失信被执行人和重大税收违法案件当事人名单的、被“中国政府采购网”网站（www.ccgp.gov.cn）列入政府采购严重违法失信行为记录名单（处罚期限尚未届满的），不得参与本项目的政府采购活动，供应商须提供没有上述失信行为和重大税收违法案件记录的书面声明。</w:t>
      </w:r>
    </w:p>
    <w:p w14:paraId="4ABD9C2A">
      <w:pPr>
        <w:spacing w:line="360" w:lineRule="auto"/>
        <w:ind w:firstLine="480" w:firstLineChars="200"/>
        <w:rPr>
          <w:rFonts w:hint="eastAsia" w:ascii="宋体" w:hAnsi="宋体"/>
          <w:sz w:val="24"/>
        </w:rPr>
      </w:pPr>
      <w:r>
        <w:rPr>
          <w:rFonts w:hint="eastAsia" w:ascii="宋体" w:hAnsi="宋体"/>
          <w:sz w:val="24"/>
        </w:rPr>
        <w:t>同时，采购人或采购代理机构依法对投标人的资格进行审查时，将于本项目查询截止时点在“信用中国”和“中国政府采购网”网站上对供应商进行没有上款所述失信行为和重大税收违法案件记录查询并打印查询记录，查询截止时点为：本项目投标截止期当日。对经查询被“信用中国”网站列入失信被执行人和重大税收违法案件当事人名单的、被“中国政府采购网”网站列入政府采购严重违法失信行为记录名单（处罚期限尚未届满的）的供应商，其投标将按无效投标处理。</w:t>
      </w:r>
    </w:p>
    <w:p w14:paraId="1760E8DC">
      <w:pPr>
        <w:spacing w:line="360" w:lineRule="auto"/>
        <w:ind w:firstLine="480" w:firstLineChars="200"/>
        <w:rPr>
          <w:rFonts w:hint="eastAsia" w:ascii="宋体" w:hAnsi="宋体"/>
          <w:sz w:val="24"/>
        </w:rPr>
      </w:pPr>
      <w:r>
        <w:rPr>
          <w:rFonts w:hint="eastAsia" w:ascii="宋体" w:hAnsi="宋体"/>
          <w:sz w:val="24"/>
        </w:rPr>
        <w:t>5.单位负责人为同一人或者存在直接控股、管理关系的不同供应商，不得参加同一包的投标或者未划分包的同一招标项目的投标，投标人须提供声明。</w:t>
      </w:r>
    </w:p>
    <w:p w14:paraId="00774F76">
      <w:pPr>
        <w:spacing w:line="360" w:lineRule="auto"/>
        <w:ind w:firstLine="480" w:firstLineChars="200"/>
        <w:rPr>
          <w:rFonts w:hint="eastAsia" w:ascii="宋体" w:hAnsi="宋体"/>
          <w:sz w:val="24"/>
        </w:rPr>
      </w:pPr>
      <w:r>
        <w:rPr>
          <w:rFonts w:hint="eastAsia" w:ascii="宋体" w:hAnsi="宋体"/>
          <w:sz w:val="24"/>
        </w:rPr>
        <w:t>6.投标人已按照招标公告要求购买了招标文件。</w:t>
      </w:r>
    </w:p>
    <w:p w14:paraId="04C0B3C7">
      <w:pPr>
        <w:spacing w:line="360" w:lineRule="auto"/>
        <w:ind w:firstLine="480" w:firstLineChars="200"/>
        <w:rPr>
          <w:sz w:val="24"/>
        </w:rPr>
      </w:pPr>
      <w:r>
        <w:rPr>
          <w:rFonts w:hint="eastAsia"/>
          <w:sz w:val="24"/>
        </w:rPr>
        <w:t>（二）投标人须具备《中华人民共和国政府采购法》第二十二条第一款规定的条件。</w:t>
      </w:r>
    </w:p>
    <w:p w14:paraId="1A2EBD19">
      <w:pPr>
        <w:spacing w:line="360" w:lineRule="auto"/>
        <w:ind w:firstLine="480" w:firstLineChars="200"/>
        <w:rPr>
          <w:sz w:val="24"/>
        </w:rPr>
      </w:pPr>
      <w:r>
        <w:rPr>
          <w:rFonts w:hint="eastAsia"/>
          <w:sz w:val="24"/>
        </w:rPr>
        <w:t>（三）本项目</w:t>
      </w:r>
      <w:r>
        <w:rPr>
          <w:rFonts w:hint="eastAsia"/>
          <w:color w:val="FF0000"/>
          <w:sz w:val="24"/>
        </w:rPr>
        <w:t>接受/不接受</w:t>
      </w:r>
      <w:r>
        <w:rPr>
          <w:rFonts w:hint="eastAsia"/>
          <w:sz w:val="24"/>
        </w:rPr>
        <w:t>联合体。</w:t>
      </w:r>
    </w:p>
    <w:p w14:paraId="6989FC60">
      <w:pPr>
        <w:spacing w:line="360" w:lineRule="auto"/>
        <w:ind w:firstLine="482" w:firstLineChars="200"/>
        <w:rPr>
          <w:rFonts w:hint="eastAsia" w:ascii="宋体" w:hAnsi="宋体"/>
          <w:b/>
          <w:sz w:val="24"/>
        </w:rPr>
      </w:pPr>
      <w:r>
        <w:rPr>
          <w:rFonts w:hint="eastAsia" w:ascii="宋体" w:hAnsi="宋体"/>
          <w:b/>
          <w:sz w:val="24"/>
        </w:rPr>
        <w:t>四、技术要求</w:t>
      </w:r>
    </w:p>
    <w:p w14:paraId="41893769">
      <w:pPr>
        <w:spacing w:line="360" w:lineRule="auto"/>
        <w:ind w:firstLine="480" w:firstLineChars="200"/>
        <w:rPr>
          <w:rFonts w:hint="eastAsia" w:ascii="宋体" w:hAnsi="宋体"/>
          <w:color w:val="FF0000"/>
          <w:sz w:val="24"/>
        </w:rPr>
      </w:pPr>
      <w:r>
        <w:rPr>
          <w:rFonts w:hint="eastAsia" w:ascii="宋体" w:hAnsi="宋体"/>
          <w:color w:val="FF0000"/>
          <w:sz w:val="24"/>
        </w:rPr>
        <w:t>示例：</w:t>
      </w:r>
    </w:p>
    <w:p w14:paraId="48F65E8A">
      <w:pPr>
        <w:spacing w:line="360" w:lineRule="auto"/>
        <w:ind w:firstLine="480" w:firstLineChars="200"/>
        <w:rPr>
          <w:rFonts w:ascii="宋体" w:hAnsi="宋体"/>
          <w:sz w:val="24"/>
        </w:rPr>
      </w:pPr>
      <w:r>
        <w:rPr>
          <w:rFonts w:hint="eastAsia" w:ascii="宋体" w:hAnsi="宋体"/>
          <w:sz w:val="24"/>
        </w:rPr>
        <w:t>第一包：智能化内镜网络信息系统</w:t>
      </w:r>
    </w:p>
    <w:tbl>
      <w:tblPr>
        <w:tblStyle w:val="3"/>
        <w:tblW w:w="61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288"/>
        <w:gridCol w:w="4522"/>
        <w:gridCol w:w="534"/>
        <w:gridCol w:w="601"/>
        <w:gridCol w:w="1502"/>
        <w:gridCol w:w="1204"/>
      </w:tblGrid>
      <w:tr w14:paraId="7B0A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noWrap w:val="0"/>
            <w:vAlign w:val="center"/>
          </w:tcPr>
          <w:p w14:paraId="60EE2EC6">
            <w:pPr>
              <w:jc w:val="center"/>
              <w:rPr>
                <w:szCs w:val="21"/>
              </w:rPr>
            </w:pPr>
            <w:r>
              <w:rPr>
                <w:szCs w:val="21"/>
              </w:rPr>
              <w:t>序号</w:t>
            </w:r>
          </w:p>
        </w:tc>
        <w:tc>
          <w:tcPr>
            <w:tcW w:w="617" w:type="pct"/>
            <w:noWrap w:val="0"/>
            <w:vAlign w:val="center"/>
          </w:tcPr>
          <w:p w14:paraId="20FCC9A5">
            <w:pPr>
              <w:jc w:val="center"/>
              <w:rPr>
                <w:szCs w:val="21"/>
              </w:rPr>
            </w:pPr>
            <w:r>
              <w:rPr>
                <w:rFonts w:hint="eastAsia"/>
                <w:szCs w:val="21"/>
              </w:rPr>
              <w:t>标的</w:t>
            </w:r>
            <w:r>
              <w:rPr>
                <w:szCs w:val="21"/>
              </w:rPr>
              <w:t>名称</w:t>
            </w:r>
          </w:p>
        </w:tc>
        <w:tc>
          <w:tcPr>
            <w:tcW w:w="2167" w:type="pct"/>
            <w:noWrap w:val="0"/>
            <w:vAlign w:val="center"/>
          </w:tcPr>
          <w:p w14:paraId="4199DA5C">
            <w:pPr>
              <w:jc w:val="center"/>
              <w:rPr>
                <w:szCs w:val="21"/>
              </w:rPr>
            </w:pPr>
            <w:r>
              <w:rPr>
                <w:szCs w:val="21"/>
              </w:rPr>
              <w:t>技术要求</w:t>
            </w:r>
          </w:p>
        </w:tc>
        <w:tc>
          <w:tcPr>
            <w:tcW w:w="256" w:type="pct"/>
            <w:noWrap w:val="0"/>
            <w:vAlign w:val="center"/>
          </w:tcPr>
          <w:p w14:paraId="7F3FFF96">
            <w:pPr>
              <w:jc w:val="center"/>
              <w:rPr>
                <w:szCs w:val="21"/>
              </w:rPr>
            </w:pPr>
            <w:r>
              <w:rPr>
                <w:szCs w:val="21"/>
              </w:rPr>
              <w:t>单位</w:t>
            </w:r>
          </w:p>
        </w:tc>
        <w:tc>
          <w:tcPr>
            <w:tcW w:w="288" w:type="pct"/>
            <w:noWrap w:val="0"/>
            <w:vAlign w:val="center"/>
          </w:tcPr>
          <w:p w14:paraId="2C6E0497">
            <w:pPr>
              <w:jc w:val="center"/>
              <w:rPr>
                <w:szCs w:val="21"/>
              </w:rPr>
            </w:pPr>
            <w:r>
              <w:rPr>
                <w:szCs w:val="21"/>
              </w:rPr>
              <w:t>数量</w:t>
            </w:r>
          </w:p>
        </w:tc>
        <w:tc>
          <w:tcPr>
            <w:tcW w:w="720" w:type="pct"/>
            <w:noWrap w:val="0"/>
            <w:vAlign w:val="center"/>
          </w:tcPr>
          <w:p w14:paraId="0788E71E">
            <w:pPr>
              <w:jc w:val="center"/>
              <w:rPr>
                <w:szCs w:val="21"/>
              </w:rPr>
            </w:pPr>
            <w:r>
              <w:rPr>
                <w:szCs w:val="21"/>
              </w:rPr>
              <w:t>是否属于现行节能产品政府采购清单强制采购范围</w:t>
            </w:r>
          </w:p>
        </w:tc>
        <w:tc>
          <w:tcPr>
            <w:tcW w:w="577" w:type="pct"/>
            <w:noWrap w:val="0"/>
            <w:vAlign w:val="center"/>
          </w:tcPr>
          <w:p w14:paraId="0C2A5AAF">
            <w:pPr>
              <w:jc w:val="center"/>
              <w:rPr>
                <w:szCs w:val="21"/>
              </w:rPr>
            </w:pPr>
            <w:r>
              <w:rPr>
                <w:szCs w:val="21"/>
              </w:rPr>
              <w:t>是否属于集采目录内产品</w:t>
            </w:r>
          </w:p>
        </w:tc>
      </w:tr>
      <w:tr w14:paraId="48C8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noWrap w:val="0"/>
            <w:vAlign w:val="center"/>
          </w:tcPr>
          <w:p w14:paraId="39D1EB19">
            <w:pPr>
              <w:jc w:val="center"/>
              <w:rPr>
                <w:szCs w:val="21"/>
              </w:rPr>
            </w:pPr>
            <w:r>
              <w:rPr>
                <w:szCs w:val="21"/>
              </w:rPr>
              <w:t>1</w:t>
            </w:r>
          </w:p>
        </w:tc>
        <w:tc>
          <w:tcPr>
            <w:tcW w:w="617" w:type="pct"/>
            <w:noWrap w:val="0"/>
            <w:vAlign w:val="center"/>
          </w:tcPr>
          <w:p w14:paraId="7DF94FF9">
            <w:pPr>
              <w:rPr>
                <w:szCs w:val="21"/>
              </w:rPr>
            </w:pPr>
            <w:r>
              <w:rPr>
                <w:rFonts w:hint="eastAsia"/>
                <w:color w:val="000000"/>
                <w:kern w:val="0"/>
                <w:szCs w:val="21"/>
              </w:rPr>
              <w:t>消化内镜网络服务端模块</w:t>
            </w:r>
          </w:p>
        </w:tc>
        <w:tc>
          <w:tcPr>
            <w:tcW w:w="2167" w:type="pct"/>
            <w:noWrap w:val="0"/>
            <w:vAlign w:val="center"/>
          </w:tcPr>
          <w:p w14:paraId="17C7D43C">
            <w:pPr>
              <w:rPr>
                <w:rFonts w:hint="eastAsia" w:ascii="宋体" w:hAnsi="宋体" w:cs="宋体"/>
                <w:szCs w:val="21"/>
              </w:rPr>
            </w:pPr>
            <w:r>
              <w:rPr>
                <w:rFonts w:hint="eastAsia" w:ascii="宋体" w:hAnsi="宋体" w:cs="宋体"/>
                <w:szCs w:val="21"/>
              </w:rPr>
              <w:t>1.</w:t>
            </w:r>
            <w:r>
              <w:rPr>
                <w:rFonts w:hint="eastAsia" w:ascii="宋体" w:hAnsi="宋体" w:cs="宋体"/>
                <w:szCs w:val="21"/>
              </w:rPr>
              <w:tab/>
            </w:r>
            <w:r>
              <w:rPr>
                <w:rFonts w:hint="eastAsia" w:ascii="宋体" w:hAnsi="宋体" w:cs="宋体"/>
                <w:szCs w:val="21"/>
              </w:rPr>
              <w:t>基于当前主流操作系统和数据库设计。</w:t>
            </w:r>
          </w:p>
          <w:p w14:paraId="6B6D976A">
            <w:pPr>
              <w:rPr>
                <w:rFonts w:hint="eastAsia" w:ascii="宋体" w:hAnsi="宋体" w:cs="宋体"/>
                <w:szCs w:val="21"/>
              </w:rPr>
            </w:pPr>
            <w:r>
              <w:rPr>
                <w:rFonts w:hint="eastAsia" w:ascii="宋体" w:hAnsi="宋体" w:cs="宋体"/>
                <w:szCs w:val="21"/>
              </w:rPr>
              <w:t>2.</w:t>
            </w:r>
            <w:r>
              <w:rPr>
                <w:rFonts w:hint="eastAsia" w:ascii="宋体" w:hAnsi="宋体" w:cs="宋体"/>
                <w:szCs w:val="21"/>
              </w:rPr>
              <w:tab/>
            </w:r>
            <w:r>
              <w:rPr>
                <w:rFonts w:hint="eastAsia" w:ascii="宋体" w:hAnsi="宋体" w:cs="宋体"/>
                <w:szCs w:val="21"/>
              </w:rPr>
              <w:t>整套系统采用平台化、一体化的设计，平台上各个系统采用同源同构的设计，相互之间可以实现无缝集成。</w:t>
            </w:r>
          </w:p>
          <w:p w14:paraId="05C58233">
            <w:pPr>
              <w:rPr>
                <w:rFonts w:hint="eastAsia" w:ascii="宋体" w:hAnsi="宋体" w:cs="宋体"/>
                <w:szCs w:val="21"/>
              </w:rPr>
            </w:pPr>
            <w:r>
              <w:rPr>
                <w:rFonts w:hint="eastAsia" w:ascii="宋体" w:hAnsi="宋体" w:cs="宋体"/>
                <w:szCs w:val="21"/>
              </w:rPr>
              <w:t>3.</w:t>
            </w:r>
            <w:r>
              <w:rPr>
                <w:rFonts w:hint="eastAsia" w:ascii="宋体" w:hAnsi="宋体" w:cs="宋体"/>
                <w:szCs w:val="21"/>
              </w:rPr>
              <w:tab/>
            </w:r>
            <w:r>
              <w:rPr>
                <w:rFonts w:hint="eastAsia" w:ascii="宋体" w:hAnsi="宋体" w:cs="宋体"/>
                <w:szCs w:val="21"/>
              </w:rPr>
              <w:t>客户端支持WIN 7/WIN 10（32位或64位）操作系统。</w:t>
            </w:r>
          </w:p>
          <w:p w14:paraId="784F103C">
            <w:pPr>
              <w:rPr>
                <w:rFonts w:hint="eastAsia" w:ascii="宋体" w:hAnsi="宋体" w:cs="宋体"/>
                <w:szCs w:val="21"/>
              </w:rPr>
            </w:pPr>
            <w:r>
              <w:rPr>
                <w:rFonts w:hint="eastAsia" w:ascii="宋体" w:hAnsi="宋体" w:cs="宋体"/>
                <w:szCs w:val="21"/>
              </w:rPr>
              <w:t>4.</w:t>
            </w:r>
            <w:r>
              <w:rPr>
                <w:rFonts w:hint="eastAsia" w:ascii="宋体" w:hAnsi="宋体" w:cs="宋体"/>
                <w:szCs w:val="21"/>
              </w:rPr>
              <w:tab/>
            </w:r>
            <w:r>
              <w:rPr>
                <w:rFonts w:hint="eastAsia" w:ascii="宋体" w:hAnsi="宋体" w:cs="宋体"/>
                <w:szCs w:val="21"/>
              </w:rPr>
              <w:t>系统提供7×24小时运行。</w:t>
            </w:r>
          </w:p>
          <w:p w14:paraId="2E6F941A">
            <w:pPr>
              <w:rPr>
                <w:rFonts w:hint="eastAsia" w:ascii="宋体" w:hAnsi="宋体" w:cs="宋体"/>
                <w:szCs w:val="21"/>
              </w:rPr>
            </w:pPr>
            <w:r>
              <w:rPr>
                <w:rFonts w:hint="eastAsia" w:ascii="宋体" w:hAnsi="宋体" w:cs="宋体"/>
                <w:szCs w:val="21"/>
              </w:rPr>
              <w:t>5.</w:t>
            </w:r>
            <w:r>
              <w:rPr>
                <w:rFonts w:hint="eastAsia" w:ascii="宋体" w:hAnsi="宋体" w:cs="宋体"/>
                <w:szCs w:val="21"/>
              </w:rPr>
              <w:tab/>
            </w:r>
            <w:r>
              <w:rPr>
                <w:rFonts w:hint="eastAsia" w:ascii="宋体" w:hAnsi="宋体" w:cs="宋体"/>
                <w:szCs w:val="21"/>
              </w:rPr>
              <w:t>系统在生产环境部署，项目实施工作不能影响医院现有工作。</w:t>
            </w:r>
          </w:p>
          <w:p w14:paraId="43EDCD48">
            <w:pPr>
              <w:rPr>
                <w:rFonts w:hint="eastAsia" w:ascii="宋体" w:hAnsi="宋体" w:cs="宋体"/>
                <w:szCs w:val="21"/>
              </w:rPr>
            </w:pPr>
            <w:r>
              <w:rPr>
                <w:rFonts w:hint="eastAsia" w:ascii="宋体" w:hAnsi="宋体" w:cs="宋体"/>
                <w:szCs w:val="21"/>
              </w:rPr>
              <w:t>6.</w:t>
            </w:r>
            <w:r>
              <w:rPr>
                <w:rFonts w:hint="eastAsia" w:ascii="宋体" w:hAnsi="宋体" w:cs="宋体"/>
                <w:szCs w:val="21"/>
              </w:rPr>
              <w:tab/>
            </w:r>
            <w:r>
              <w:rPr>
                <w:rFonts w:hint="eastAsia" w:ascii="宋体" w:hAnsi="宋体" w:cs="宋体"/>
                <w:szCs w:val="21"/>
              </w:rPr>
              <w:t>完整的权限控制，合法用户方可使用。</w:t>
            </w:r>
          </w:p>
          <w:p w14:paraId="2AD94A28">
            <w:pPr>
              <w:rPr>
                <w:rFonts w:hint="eastAsia" w:ascii="宋体" w:hAnsi="宋体" w:cs="宋体"/>
                <w:szCs w:val="21"/>
              </w:rPr>
            </w:pPr>
            <w:r>
              <w:rPr>
                <w:rFonts w:hint="eastAsia" w:ascii="宋体" w:hAnsi="宋体" w:cs="宋体"/>
                <w:szCs w:val="21"/>
              </w:rPr>
              <w:t>7.</w:t>
            </w:r>
            <w:r>
              <w:rPr>
                <w:rFonts w:hint="eastAsia" w:ascii="宋体" w:hAnsi="宋体" w:cs="宋体"/>
                <w:szCs w:val="21"/>
              </w:rPr>
              <w:tab/>
            </w:r>
            <w:r>
              <w:rPr>
                <w:rFonts w:hint="eastAsia" w:ascii="宋体" w:hAnsi="宋体" w:cs="宋体"/>
                <w:szCs w:val="21"/>
              </w:rPr>
              <w:t>新购设备能顺畅接入系统。</w:t>
            </w:r>
          </w:p>
          <w:p w14:paraId="3357B799">
            <w:pPr>
              <w:rPr>
                <w:rFonts w:hint="eastAsia" w:ascii="宋体" w:hAnsi="宋体" w:cs="宋体"/>
                <w:szCs w:val="21"/>
              </w:rPr>
            </w:pPr>
            <w:r>
              <w:rPr>
                <w:rFonts w:hint="eastAsia" w:ascii="宋体" w:hAnsi="宋体" w:cs="宋体"/>
                <w:szCs w:val="21"/>
              </w:rPr>
              <w:t>8.</w:t>
            </w:r>
            <w:r>
              <w:rPr>
                <w:rFonts w:hint="eastAsia" w:ascii="宋体" w:hAnsi="宋体" w:cs="宋体"/>
                <w:szCs w:val="21"/>
              </w:rPr>
              <w:tab/>
            </w:r>
            <w:r>
              <w:rPr>
                <w:rFonts w:hint="eastAsia" w:ascii="宋体" w:hAnsi="宋体" w:cs="宋体"/>
                <w:szCs w:val="21"/>
              </w:rPr>
              <w:t>系统遵循DICOM3.0、HL7、IHE国际标准。</w:t>
            </w:r>
          </w:p>
          <w:p w14:paraId="3FFF9840">
            <w:pPr>
              <w:rPr>
                <w:rFonts w:hint="eastAsia" w:ascii="宋体" w:hAnsi="宋体" w:cs="宋体"/>
                <w:szCs w:val="21"/>
              </w:rPr>
            </w:pPr>
            <w:r>
              <w:rPr>
                <w:rFonts w:hint="eastAsia" w:ascii="宋体" w:hAnsi="宋体" w:cs="宋体"/>
                <w:szCs w:val="21"/>
              </w:rPr>
              <w:t>9.</w:t>
            </w:r>
            <w:r>
              <w:rPr>
                <w:rFonts w:hint="eastAsia" w:ascii="宋体" w:hAnsi="宋体" w:cs="宋体"/>
                <w:szCs w:val="21"/>
              </w:rPr>
              <w:tab/>
            </w:r>
            <w:r>
              <w:rPr>
                <w:rFonts w:hint="eastAsia" w:ascii="宋体" w:hAnsi="宋体" w:cs="宋体"/>
                <w:szCs w:val="21"/>
              </w:rPr>
              <w:t>支持DICOM 3.0 Storage SCP（影像存储）、SCU（影像发送）、Query/Retrieve（查询获取）。</w:t>
            </w:r>
          </w:p>
          <w:p w14:paraId="7E0819AA">
            <w:pPr>
              <w:rPr>
                <w:rFonts w:hint="eastAsia" w:ascii="宋体" w:hAnsi="宋体" w:cs="宋体"/>
                <w:szCs w:val="21"/>
              </w:rPr>
            </w:pPr>
            <w:r>
              <w:rPr>
                <w:rFonts w:hint="eastAsia" w:ascii="宋体" w:hAnsi="宋体" w:cs="宋体"/>
                <w:szCs w:val="21"/>
              </w:rPr>
              <w:t>10.</w:t>
            </w:r>
            <w:r>
              <w:rPr>
                <w:rFonts w:hint="eastAsia" w:ascii="宋体" w:hAnsi="宋体" w:cs="宋体"/>
                <w:szCs w:val="21"/>
              </w:rPr>
              <w:tab/>
            </w:r>
            <w:r>
              <w:rPr>
                <w:rFonts w:hint="eastAsia" w:ascii="宋体" w:hAnsi="宋体" w:cs="宋体"/>
                <w:szCs w:val="21"/>
              </w:rPr>
              <w:t>支持DICOM 3.0压缩服务和存储验证服务。</w:t>
            </w:r>
          </w:p>
          <w:p w14:paraId="61B41BE5">
            <w:pPr>
              <w:rPr>
                <w:rFonts w:hint="eastAsia" w:ascii="宋体" w:hAnsi="宋体" w:cs="宋体"/>
                <w:szCs w:val="21"/>
              </w:rPr>
            </w:pPr>
            <w:r>
              <w:rPr>
                <w:rFonts w:hint="eastAsia" w:ascii="宋体" w:hAnsi="宋体" w:cs="宋体"/>
                <w:szCs w:val="21"/>
              </w:rPr>
              <w:t>11.</w:t>
            </w:r>
            <w:r>
              <w:rPr>
                <w:rFonts w:hint="eastAsia" w:ascii="宋体" w:hAnsi="宋体" w:cs="宋体"/>
                <w:szCs w:val="21"/>
              </w:rPr>
              <w:tab/>
            </w:r>
            <w:r>
              <w:rPr>
                <w:rFonts w:hint="eastAsia" w:ascii="宋体" w:hAnsi="宋体" w:cs="宋体"/>
                <w:szCs w:val="21"/>
              </w:rPr>
              <w:t>为杜绝形成信息孤岛，系统需符合IHE（Integrating the Healthcare Enterprise）医疗信息系统集成规范。</w:t>
            </w:r>
          </w:p>
          <w:p w14:paraId="07475E2A">
            <w:pPr>
              <w:rPr>
                <w:szCs w:val="21"/>
              </w:rPr>
            </w:pPr>
            <w:r>
              <w:rPr>
                <w:rFonts w:hint="eastAsia" w:ascii="宋体" w:hAnsi="宋体" w:cs="宋体"/>
                <w:szCs w:val="21"/>
              </w:rPr>
              <w:t>12.</w:t>
            </w:r>
            <w:r>
              <w:rPr>
                <w:rFonts w:hint="eastAsia" w:ascii="宋体" w:hAnsi="宋体" w:cs="宋体"/>
                <w:szCs w:val="21"/>
              </w:rPr>
              <w:tab/>
            </w:r>
            <w:r>
              <w:rPr>
                <w:rFonts w:hint="eastAsia" w:ascii="宋体" w:hAnsi="宋体" w:cs="宋体"/>
                <w:szCs w:val="21"/>
              </w:rPr>
              <w:t>支持HL7标准,WebService或中间件方式的集成方式。</w:t>
            </w:r>
          </w:p>
        </w:tc>
        <w:tc>
          <w:tcPr>
            <w:tcW w:w="256" w:type="pct"/>
            <w:noWrap w:val="0"/>
            <w:vAlign w:val="center"/>
          </w:tcPr>
          <w:p w14:paraId="1231C54D">
            <w:pPr>
              <w:rPr>
                <w:szCs w:val="21"/>
              </w:rPr>
            </w:pPr>
            <w:r>
              <w:rPr>
                <w:rFonts w:hint="eastAsia"/>
                <w:szCs w:val="21"/>
              </w:rPr>
              <w:t>套</w:t>
            </w:r>
          </w:p>
        </w:tc>
        <w:tc>
          <w:tcPr>
            <w:tcW w:w="288" w:type="pct"/>
            <w:noWrap w:val="0"/>
            <w:vAlign w:val="center"/>
          </w:tcPr>
          <w:p w14:paraId="33734DDA">
            <w:pPr>
              <w:rPr>
                <w:szCs w:val="21"/>
              </w:rPr>
            </w:pPr>
            <w:r>
              <w:rPr>
                <w:szCs w:val="21"/>
              </w:rPr>
              <w:t>1</w:t>
            </w:r>
          </w:p>
        </w:tc>
        <w:tc>
          <w:tcPr>
            <w:tcW w:w="720" w:type="pct"/>
            <w:noWrap w:val="0"/>
            <w:vAlign w:val="center"/>
          </w:tcPr>
          <w:p w14:paraId="07AD74FF">
            <w:pPr>
              <w:jc w:val="center"/>
              <w:rPr>
                <w:szCs w:val="21"/>
              </w:rPr>
            </w:pPr>
          </w:p>
        </w:tc>
        <w:tc>
          <w:tcPr>
            <w:tcW w:w="577" w:type="pct"/>
            <w:noWrap w:val="0"/>
            <w:vAlign w:val="center"/>
          </w:tcPr>
          <w:p w14:paraId="67DF088D">
            <w:pPr>
              <w:jc w:val="center"/>
              <w:rPr>
                <w:szCs w:val="21"/>
              </w:rPr>
            </w:pPr>
            <w:r>
              <w:rPr>
                <w:szCs w:val="21"/>
              </w:rPr>
              <w:t>否</w:t>
            </w:r>
          </w:p>
        </w:tc>
      </w:tr>
      <w:tr w14:paraId="56AA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4183AE66">
            <w:pPr>
              <w:jc w:val="center"/>
              <w:rPr>
                <w:szCs w:val="21"/>
              </w:rPr>
            </w:pPr>
            <w:r>
              <w:rPr>
                <w:szCs w:val="21"/>
              </w:rPr>
              <w:t>2</w:t>
            </w:r>
          </w:p>
        </w:tc>
        <w:tc>
          <w:tcPr>
            <w:tcW w:w="617" w:type="pct"/>
            <w:noWrap w:val="0"/>
            <w:vAlign w:val="center"/>
          </w:tcPr>
          <w:p w14:paraId="75793573">
            <w:pPr>
              <w:widowControl/>
              <w:rPr>
                <w:kern w:val="0"/>
                <w:szCs w:val="21"/>
              </w:rPr>
            </w:pPr>
            <w:r>
              <w:rPr>
                <w:rFonts w:hint="eastAsia" w:ascii="等线" w:hAnsi="等线" w:cs="仿宋"/>
                <w:bCs/>
                <w:color w:val="000000"/>
                <w:kern w:val="0"/>
                <w:szCs w:val="21"/>
              </w:rPr>
              <w:t>预约登记系统</w:t>
            </w:r>
          </w:p>
        </w:tc>
        <w:tc>
          <w:tcPr>
            <w:tcW w:w="2167" w:type="pct"/>
            <w:noWrap w:val="0"/>
            <w:vAlign w:val="center"/>
          </w:tcPr>
          <w:p w14:paraId="47844579">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可根据HIS提供的信息，将病人基本资料及临床检查信息自动获取模块。</w:t>
            </w:r>
          </w:p>
          <w:p w14:paraId="06563AEF">
            <w:pPr>
              <w:widowControl/>
              <w:snapToGrid w:val="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提供患者登记功能，产生患者排队队列。</w:t>
            </w:r>
          </w:p>
          <w:p w14:paraId="096D34FC">
            <w:pPr>
              <w:widowControl/>
              <w:snapToGrid w:val="0"/>
              <w:jc w:val="left"/>
              <w:rPr>
                <w:rFonts w:ascii="等线" w:hAnsi="等线" w:cs="仿宋"/>
                <w:bCs/>
                <w:color w:val="000000"/>
                <w:kern w:val="0"/>
                <w:szCs w:val="21"/>
              </w:rPr>
            </w:pPr>
            <w:r>
              <w:rPr>
                <w:rFonts w:hint="eastAsia" w:ascii="等线" w:hAnsi="等线" w:cs="仿宋"/>
                <w:bCs/>
                <w:color w:val="000000"/>
                <w:kern w:val="0"/>
                <w:szCs w:val="21"/>
              </w:rPr>
              <w:t>3.</w:t>
            </w:r>
            <w:r>
              <w:rPr>
                <w:rFonts w:hint="eastAsia" w:ascii="等线" w:hAnsi="等线" w:cs="仿宋"/>
                <w:bCs/>
                <w:color w:val="000000"/>
                <w:kern w:val="0"/>
                <w:szCs w:val="21"/>
              </w:rPr>
              <w:tab/>
            </w:r>
            <w:r>
              <w:rPr>
                <w:rFonts w:hint="eastAsia" w:ascii="等线" w:hAnsi="等线" w:cs="仿宋"/>
                <w:bCs/>
                <w:color w:val="000000"/>
                <w:kern w:val="0"/>
                <w:szCs w:val="21"/>
              </w:rPr>
              <w:t>对不同申请类型的病人显示不同的颜色和优先级。</w:t>
            </w:r>
          </w:p>
          <w:p w14:paraId="4154DFB0">
            <w:pPr>
              <w:widowControl/>
              <w:snapToGrid w:val="0"/>
              <w:jc w:val="left"/>
              <w:rPr>
                <w:rFonts w:ascii="等线" w:hAnsi="等线" w:cs="仿宋"/>
                <w:bCs/>
                <w:color w:val="000000"/>
                <w:kern w:val="0"/>
                <w:szCs w:val="21"/>
              </w:rPr>
            </w:pPr>
            <w:r>
              <w:rPr>
                <w:rFonts w:hint="eastAsia" w:ascii="等线" w:hAnsi="等线" w:cs="仿宋"/>
                <w:bCs/>
                <w:color w:val="000000"/>
                <w:kern w:val="0"/>
                <w:szCs w:val="21"/>
              </w:rPr>
              <w:t>4.</w:t>
            </w:r>
            <w:r>
              <w:rPr>
                <w:rFonts w:hint="eastAsia" w:ascii="等线" w:hAnsi="等线" w:cs="仿宋"/>
                <w:bCs/>
                <w:color w:val="000000"/>
                <w:kern w:val="0"/>
                <w:szCs w:val="21"/>
              </w:rPr>
              <w:tab/>
            </w:r>
            <w:r>
              <w:rPr>
                <w:rFonts w:hint="eastAsia" w:ascii="等线" w:hAnsi="等线" w:cs="仿宋"/>
                <w:bCs/>
                <w:color w:val="000000"/>
                <w:kern w:val="0"/>
                <w:szCs w:val="21"/>
              </w:rPr>
              <w:t>可直观显示各个检查室的患者分配情况。</w:t>
            </w:r>
          </w:p>
          <w:p w14:paraId="3DF03161">
            <w:pPr>
              <w:widowControl/>
              <w:snapToGrid w:val="0"/>
              <w:jc w:val="left"/>
              <w:rPr>
                <w:rFonts w:ascii="等线" w:hAnsi="等线" w:cs="仿宋"/>
                <w:bCs/>
                <w:color w:val="000000"/>
                <w:kern w:val="0"/>
                <w:szCs w:val="21"/>
              </w:rPr>
            </w:pPr>
            <w:r>
              <w:rPr>
                <w:rFonts w:hint="eastAsia" w:ascii="等线" w:hAnsi="等线" w:cs="仿宋"/>
                <w:bCs/>
                <w:color w:val="000000"/>
                <w:kern w:val="0"/>
                <w:szCs w:val="21"/>
              </w:rPr>
              <w:t>5.</w:t>
            </w:r>
            <w:r>
              <w:rPr>
                <w:rFonts w:hint="eastAsia" w:ascii="等线" w:hAnsi="等线" w:cs="仿宋"/>
                <w:bCs/>
                <w:color w:val="000000"/>
                <w:kern w:val="0"/>
                <w:szCs w:val="21"/>
              </w:rPr>
              <w:tab/>
            </w:r>
            <w:r>
              <w:rPr>
                <w:rFonts w:hint="eastAsia" w:ascii="等线" w:hAnsi="等线" w:cs="仿宋"/>
                <w:bCs/>
                <w:color w:val="000000"/>
                <w:kern w:val="0"/>
                <w:szCs w:val="21"/>
              </w:rPr>
              <w:t>提供数据检索功能，可以通过各种条件检索预约登记的患者信息。</w:t>
            </w:r>
          </w:p>
          <w:p w14:paraId="3E84EDB5">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6.</w:t>
            </w:r>
            <w:r>
              <w:rPr>
                <w:rFonts w:hint="eastAsia" w:ascii="等线" w:hAnsi="等线" w:cs="仿宋"/>
                <w:bCs/>
                <w:color w:val="000000"/>
                <w:kern w:val="0"/>
                <w:szCs w:val="21"/>
              </w:rPr>
              <w:tab/>
            </w:r>
            <w:r>
              <w:rPr>
                <w:rFonts w:hint="eastAsia" w:ascii="等线" w:hAnsi="等线" w:cs="仿宋"/>
                <w:bCs/>
                <w:color w:val="000000"/>
                <w:kern w:val="0"/>
                <w:szCs w:val="21"/>
              </w:rPr>
              <w:t>支持可视化的排队安排界面，护士可快速对病人进行预约排队安排。</w:t>
            </w:r>
          </w:p>
          <w:p w14:paraId="7968DEFE">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7.</w:t>
            </w:r>
            <w:r>
              <w:rPr>
                <w:rFonts w:hint="eastAsia" w:ascii="等线" w:hAnsi="等线" w:cs="仿宋"/>
                <w:bCs/>
                <w:color w:val="000000"/>
                <w:kern w:val="0"/>
                <w:szCs w:val="21"/>
              </w:rPr>
              <w:tab/>
            </w:r>
            <w:r>
              <w:rPr>
                <w:rFonts w:hint="eastAsia" w:ascii="等线" w:hAnsi="等线" w:cs="仿宋"/>
                <w:bCs/>
                <w:color w:val="000000"/>
                <w:kern w:val="0"/>
                <w:szCs w:val="21"/>
              </w:rPr>
              <w:t>预约签到：对于已预约病人，根据预约信息签到并安排检查。并可补充登记检查信息。</w:t>
            </w:r>
          </w:p>
          <w:p w14:paraId="2AC3F15E">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8.</w:t>
            </w:r>
            <w:r>
              <w:rPr>
                <w:rFonts w:hint="eastAsia" w:ascii="等线" w:hAnsi="等线" w:cs="仿宋"/>
                <w:bCs/>
                <w:color w:val="000000"/>
                <w:kern w:val="0"/>
                <w:szCs w:val="21"/>
              </w:rPr>
              <w:tab/>
            </w:r>
            <w:r>
              <w:rPr>
                <w:rFonts w:hint="eastAsia" w:ascii="等线" w:hAnsi="等线" w:cs="仿宋"/>
                <w:bCs/>
                <w:color w:val="000000"/>
                <w:kern w:val="0"/>
                <w:szCs w:val="21"/>
              </w:rPr>
              <w:t>分诊调整：对因故不能立即检查的病人，可人工调整其分诊排队顺序。对急诊病人，也可提前排队顺序。</w:t>
            </w:r>
          </w:p>
          <w:p w14:paraId="76EA6931">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9.</w:t>
            </w:r>
            <w:r>
              <w:rPr>
                <w:rFonts w:hint="eastAsia" w:ascii="等线" w:hAnsi="等线" w:cs="仿宋"/>
                <w:bCs/>
                <w:color w:val="000000"/>
                <w:kern w:val="0"/>
                <w:szCs w:val="21"/>
              </w:rPr>
              <w:tab/>
            </w:r>
            <w:r>
              <w:rPr>
                <w:rFonts w:hint="eastAsia" w:ascii="等线" w:hAnsi="等线" w:cs="仿宋"/>
                <w:bCs/>
                <w:color w:val="000000"/>
                <w:kern w:val="0"/>
                <w:szCs w:val="21"/>
              </w:rPr>
              <w:t>语音叫号：分诊台可播放语音叫号。语音信息需能读出病人中文姓名等各种信息。可由用户自行设定。</w:t>
            </w:r>
          </w:p>
          <w:p w14:paraId="62BFE612">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10.</w:t>
            </w:r>
            <w:r>
              <w:rPr>
                <w:rFonts w:hint="eastAsia" w:ascii="等线" w:hAnsi="等线" w:cs="仿宋"/>
                <w:bCs/>
                <w:color w:val="000000"/>
                <w:kern w:val="0"/>
                <w:szCs w:val="21"/>
              </w:rPr>
              <w:tab/>
            </w:r>
            <w:r>
              <w:rPr>
                <w:rFonts w:hint="eastAsia" w:ascii="等线" w:hAnsi="等线" w:cs="仿宋"/>
                <w:bCs/>
                <w:color w:val="000000"/>
                <w:kern w:val="0"/>
                <w:szCs w:val="21"/>
              </w:rPr>
              <w:t>分诊大屏：分诊信息可以显示在病人集中候诊处的大屏幕显示器上。</w:t>
            </w:r>
          </w:p>
          <w:p w14:paraId="652E80B0">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11.</w:t>
            </w:r>
            <w:r>
              <w:rPr>
                <w:rFonts w:hint="eastAsia" w:ascii="等线" w:hAnsi="等线" w:cs="仿宋"/>
                <w:bCs/>
                <w:color w:val="000000"/>
                <w:kern w:val="0"/>
                <w:szCs w:val="21"/>
              </w:rPr>
              <w:tab/>
            </w:r>
            <w:r>
              <w:rPr>
                <w:rFonts w:hint="eastAsia" w:ascii="等线" w:hAnsi="等线" w:cs="仿宋"/>
                <w:bCs/>
                <w:color w:val="000000"/>
                <w:kern w:val="0"/>
                <w:szCs w:val="21"/>
              </w:rPr>
              <w:t>绿色通道病人处理：对于因各种紧急或特殊情况未正常挂号、登记、收费的病人提供特别处理流程。非特殊病人必须先收费后检查。</w:t>
            </w:r>
          </w:p>
          <w:p w14:paraId="3C8FD761">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12.</w:t>
            </w:r>
            <w:r>
              <w:rPr>
                <w:rFonts w:hint="eastAsia" w:ascii="等线" w:hAnsi="等线" w:cs="仿宋"/>
                <w:bCs/>
                <w:color w:val="000000"/>
                <w:kern w:val="0"/>
                <w:szCs w:val="21"/>
              </w:rPr>
              <w:tab/>
            </w:r>
            <w:r>
              <w:rPr>
                <w:rFonts w:hint="eastAsia" w:ascii="等线" w:hAnsi="等线" w:cs="仿宋"/>
                <w:bCs/>
                <w:color w:val="000000"/>
                <w:kern w:val="0"/>
                <w:szCs w:val="21"/>
              </w:rPr>
              <w:t>医生操作终端具有顺序呼叫、重复呼叫、选择呼叫功能。</w:t>
            </w:r>
          </w:p>
        </w:tc>
        <w:tc>
          <w:tcPr>
            <w:tcW w:w="256" w:type="pct"/>
            <w:noWrap w:val="0"/>
            <w:vAlign w:val="center"/>
          </w:tcPr>
          <w:p w14:paraId="4294F4DF">
            <w:pPr>
              <w:rPr>
                <w:szCs w:val="21"/>
              </w:rPr>
            </w:pPr>
            <w:r>
              <w:rPr>
                <w:rFonts w:hint="eastAsia"/>
                <w:szCs w:val="21"/>
              </w:rPr>
              <w:t>套</w:t>
            </w:r>
          </w:p>
        </w:tc>
        <w:tc>
          <w:tcPr>
            <w:tcW w:w="288" w:type="pct"/>
            <w:noWrap w:val="0"/>
            <w:vAlign w:val="center"/>
          </w:tcPr>
          <w:p w14:paraId="439DBCB3">
            <w:pPr>
              <w:rPr>
                <w:szCs w:val="21"/>
              </w:rPr>
            </w:pPr>
            <w:r>
              <w:rPr>
                <w:rFonts w:hint="eastAsia"/>
                <w:szCs w:val="21"/>
              </w:rPr>
              <w:t>2</w:t>
            </w:r>
          </w:p>
        </w:tc>
        <w:tc>
          <w:tcPr>
            <w:tcW w:w="720" w:type="pct"/>
            <w:noWrap w:val="0"/>
            <w:vAlign w:val="center"/>
          </w:tcPr>
          <w:p w14:paraId="02876D61">
            <w:pPr>
              <w:jc w:val="center"/>
              <w:rPr>
                <w:szCs w:val="21"/>
              </w:rPr>
            </w:pPr>
          </w:p>
        </w:tc>
        <w:tc>
          <w:tcPr>
            <w:tcW w:w="577" w:type="pct"/>
            <w:noWrap w:val="0"/>
            <w:vAlign w:val="center"/>
          </w:tcPr>
          <w:p w14:paraId="0D5EC42E">
            <w:pPr>
              <w:jc w:val="center"/>
              <w:rPr>
                <w:szCs w:val="21"/>
              </w:rPr>
            </w:pPr>
            <w:r>
              <w:rPr>
                <w:szCs w:val="21"/>
              </w:rPr>
              <w:t>否</w:t>
            </w:r>
          </w:p>
        </w:tc>
      </w:tr>
      <w:tr w14:paraId="0A6B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12F73089">
            <w:pPr>
              <w:jc w:val="center"/>
              <w:rPr>
                <w:szCs w:val="21"/>
              </w:rPr>
            </w:pPr>
            <w:r>
              <w:rPr>
                <w:rFonts w:hint="eastAsia"/>
                <w:szCs w:val="21"/>
              </w:rPr>
              <w:t>3</w:t>
            </w:r>
          </w:p>
        </w:tc>
        <w:tc>
          <w:tcPr>
            <w:tcW w:w="617" w:type="pct"/>
            <w:noWrap w:val="0"/>
            <w:vAlign w:val="center"/>
          </w:tcPr>
          <w:p w14:paraId="65BC0BCB">
            <w:pPr>
              <w:widowControl/>
              <w:rPr>
                <w:szCs w:val="21"/>
              </w:rPr>
            </w:pPr>
            <w:r>
              <w:rPr>
                <w:rFonts w:hint="eastAsia"/>
                <w:szCs w:val="21"/>
              </w:rPr>
              <w:t>内镜图文报告系统</w:t>
            </w:r>
          </w:p>
        </w:tc>
        <w:tc>
          <w:tcPr>
            <w:tcW w:w="2167" w:type="pct"/>
            <w:noWrap w:val="0"/>
            <w:vAlign w:val="center"/>
          </w:tcPr>
          <w:p w14:paraId="29C75013">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候诊队列可根据房间、检查类型进行过滤显示。</w:t>
            </w:r>
          </w:p>
          <w:p w14:paraId="3C0A2AD0">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可通过患者预约信息条码快速定位病人，并进行检查前的二次确认。</w:t>
            </w:r>
          </w:p>
          <w:p w14:paraId="3A6F6692">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3.</w:t>
            </w:r>
            <w:r>
              <w:rPr>
                <w:rFonts w:hint="eastAsia" w:ascii="等线" w:hAnsi="等线" w:cs="仿宋"/>
                <w:bCs/>
                <w:color w:val="000000"/>
                <w:kern w:val="0"/>
                <w:szCs w:val="21"/>
              </w:rPr>
              <w:tab/>
            </w:r>
            <w:r>
              <w:rPr>
                <w:rFonts w:hint="eastAsia" w:ascii="等线" w:hAnsi="等线" w:cs="仿宋"/>
                <w:bCs/>
                <w:color w:val="000000"/>
                <w:kern w:val="0"/>
                <w:szCs w:val="21"/>
              </w:rPr>
              <w:t>支持各种内镜视频接口，包括DVI、SDI、RGB/YUV、S-VIDEO、复合视频。</w:t>
            </w:r>
          </w:p>
          <w:p w14:paraId="1D6688AD">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4.</w:t>
            </w:r>
            <w:r>
              <w:rPr>
                <w:rFonts w:hint="eastAsia" w:ascii="等线" w:hAnsi="等线" w:cs="仿宋"/>
                <w:bCs/>
                <w:color w:val="000000"/>
                <w:kern w:val="0"/>
                <w:szCs w:val="21"/>
              </w:rPr>
              <w:tab/>
            </w:r>
            <w:r>
              <w:rPr>
                <w:rFonts w:hint="eastAsia" w:ascii="等线" w:hAnsi="等线" w:cs="仿宋"/>
                <w:bCs/>
                <w:color w:val="000000"/>
                <w:kern w:val="0"/>
                <w:szCs w:val="21"/>
              </w:rPr>
              <w:t>支持内镜、超声高清信号采集，分辨率最大可1920*1080。</w:t>
            </w:r>
          </w:p>
          <w:p w14:paraId="00249CD2">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5.</w:t>
            </w:r>
            <w:r>
              <w:rPr>
                <w:rFonts w:hint="eastAsia" w:ascii="等线" w:hAnsi="等线" w:cs="仿宋"/>
                <w:bCs/>
                <w:color w:val="000000"/>
                <w:kern w:val="0"/>
                <w:szCs w:val="21"/>
              </w:rPr>
              <w:tab/>
            </w:r>
            <w:r>
              <w:rPr>
                <w:rFonts w:hint="eastAsia" w:ascii="等线" w:hAnsi="等线" w:cs="仿宋"/>
                <w:bCs/>
                <w:color w:val="000000"/>
                <w:kern w:val="0"/>
                <w:szCs w:val="21"/>
              </w:rPr>
              <w:t>DICOM3.0标准：全面符合DICOM影像标准, 标准化图像采集与归档。</w:t>
            </w:r>
          </w:p>
          <w:p w14:paraId="4079F8FD">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6.</w:t>
            </w:r>
            <w:r>
              <w:rPr>
                <w:rFonts w:hint="eastAsia" w:ascii="等线" w:hAnsi="等线" w:cs="仿宋"/>
                <w:bCs/>
                <w:color w:val="000000"/>
                <w:kern w:val="0"/>
                <w:szCs w:val="21"/>
              </w:rPr>
              <w:tab/>
            </w:r>
            <w:r>
              <w:rPr>
                <w:rFonts w:hint="eastAsia" w:ascii="等线" w:hAnsi="等线" w:cs="仿宋"/>
                <w:bCs/>
                <w:color w:val="000000"/>
                <w:kern w:val="0"/>
                <w:szCs w:val="21"/>
              </w:rPr>
              <w:t>支持图像的自动裁剪，报告打印时系统可将黑边剪切掉。</w:t>
            </w:r>
          </w:p>
          <w:p w14:paraId="5A006A2A">
            <w:pPr>
              <w:widowControl/>
              <w:snapToGrid w:val="0"/>
              <w:jc w:val="left"/>
              <w:rPr>
                <w:rFonts w:ascii="等线" w:hAnsi="等线" w:cs="仿宋"/>
                <w:bCs/>
                <w:color w:val="000000"/>
                <w:kern w:val="0"/>
                <w:szCs w:val="21"/>
              </w:rPr>
            </w:pPr>
            <w:r>
              <w:rPr>
                <w:rFonts w:hint="eastAsia" w:ascii="等线" w:hAnsi="等线" w:cs="仿宋"/>
                <w:bCs/>
                <w:color w:val="000000"/>
                <w:kern w:val="0"/>
                <w:szCs w:val="21"/>
              </w:rPr>
              <w:t>7.</w:t>
            </w:r>
            <w:r>
              <w:rPr>
                <w:rFonts w:hint="eastAsia" w:ascii="等线" w:hAnsi="等线" w:cs="仿宋"/>
                <w:bCs/>
                <w:color w:val="000000"/>
                <w:kern w:val="0"/>
                <w:szCs w:val="21"/>
              </w:rPr>
              <w:tab/>
            </w:r>
            <w:r>
              <w:rPr>
                <w:rFonts w:hint="eastAsia" w:ascii="等线" w:hAnsi="等线" w:cs="仿宋"/>
                <w:bCs/>
                <w:color w:val="000000"/>
                <w:kern w:val="0"/>
                <w:szCs w:val="21"/>
              </w:rPr>
              <w:t>提供脚踏开关控制采集图片操作。</w:t>
            </w:r>
          </w:p>
          <w:p w14:paraId="1A91A859">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8.</w:t>
            </w:r>
            <w:r>
              <w:rPr>
                <w:rFonts w:hint="eastAsia" w:ascii="等线" w:hAnsi="等线" w:cs="仿宋"/>
                <w:bCs/>
                <w:color w:val="000000"/>
                <w:kern w:val="0"/>
                <w:szCs w:val="21"/>
              </w:rPr>
              <w:tab/>
            </w:r>
            <w:r>
              <w:rPr>
                <w:rFonts w:hint="eastAsia" w:ascii="等线" w:hAnsi="等线" w:cs="仿宋"/>
                <w:bCs/>
                <w:color w:val="000000"/>
                <w:kern w:val="0"/>
                <w:szCs w:val="21"/>
              </w:rPr>
              <w:t>工作站支持图像定格自动采集图片，无需通过鼠标点击、脚踏开关或内镜手柄按钮进行图像采集。（需提软件截图和现场程序演示）</w:t>
            </w:r>
          </w:p>
          <w:p w14:paraId="008011A3">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9.</w:t>
            </w:r>
            <w:r>
              <w:rPr>
                <w:rFonts w:hint="eastAsia" w:ascii="等线" w:hAnsi="等线" w:cs="仿宋"/>
                <w:bCs/>
                <w:color w:val="000000"/>
                <w:kern w:val="0"/>
                <w:szCs w:val="21"/>
              </w:rPr>
              <w:tab/>
            </w:r>
            <w:r>
              <w:rPr>
                <w:rFonts w:hint="eastAsia" w:ascii="等线" w:hAnsi="等线" w:cs="仿宋"/>
                <w:bCs/>
                <w:color w:val="000000"/>
                <w:kern w:val="0"/>
                <w:szCs w:val="21"/>
              </w:rPr>
              <w:t>报告界面上，鼠标选停在所采集的图片，图片即可自动放大显示，无需鼠标单击或双击打开图片即可查看图片的完整/清晰内容，减少无效操作，提高工作效率。（需提软件截图和现场程序演示）</w:t>
            </w:r>
          </w:p>
          <w:p w14:paraId="7795F662">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10.</w:t>
            </w:r>
            <w:r>
              <w:rPr>
                <w:rFonts w:hint="eastAsia" w:ascii="等线" w:hAnsi="等线" w:cs="仿宋"/>
                <w:bCs/>
                <w:color w:val="000000"/>
                <w:kern w:val="0"/>
                <w:szCs w:val="21"/>
              </w:rPr>
              <w:tab/>
            </w:r>
            <w:r>
              <w:rPr>
                <w:rFonts w:hint="eastAsia" w:ascii="等线" w:hAnsi="等线" w:cs="仿宋"/>
                <w:bCs/>
                <w:color w:val="000000"/>
                <w:kern w:val="0"/>
                <w:szCs w:val="21"/>
              </w:rPr>
              <w:t>可将图像导出成BMP、JPG、DCM计算机通用格式。</w:t>
            </w:r>
          </w:p>
          <w:p w14:paraId="77F9D8A6">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11.</w:t>
            </w:r>
            <w:r>
              <w:rPr>
                <w:rFonts w:hint="eastAsia" w:ascii="等线" w:hAnsi="等线" w:cs="仿宋"/>
                <w:bCs/>
                <w:color w:val="000000"/>
                <w:kern w:val="0"/>
                <w:szCs w:val="21"/>
              </w:rPr>
              <w:tab/>
            </w:r>
            <w:r>
              <w:rPr>
                <w:rFonts w:hint="eastAsia" w:ascii="等线" w:hAnsi="等线" w:cs="仿宋"/>
                <w:bCs/>
                <w:color w:val="000000"/>
                <w:kern w:val="0"/>
                <w:szCs w:val="21"/>
              </w:rPr>
              <w:t>采集的动态视频可进行二次提取。</w:t>
            </w:r>
          </w:p>
          <w:p w14:paraId="1533F61C">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12.</w:t>
            </w:r>
            <w:r>
              <w:rPr>
                <w:rFonts w:hint="eastAsia" w:ascii="等线" w:hAnsi="等线" w:cs="仿宋"/>
                <w:bCs/>
                <w:color w:val="000000"/>
                <w:kern w:val="0"/>
                <w:szCs w:val="21"/>
              </w:rPr>
              <w:tab/>
            </w:r>
            <w:r>
              <w:rPr>
                <w:rFonts w:hint="eastAsia" w:ascii="等线" w:hAnsi="等线" w:cs="仿宋"/>
                <w:bCs/>
                <w:color w:val="000000"/>
                <w:kern w:val="0"/>
                <w:szCs w:val="21"/>
              </w:rPr>
              <w:t>静态影像与动态影像采集可同时进行，互不影响。</w:t>
            </w:r>
          </w:p>
          <w:p w14:paraId="278557DC">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13.</w:t>
            </w:r>
            <w:r>
              <w:rPr>
                <w:rFonts w:hint="eastAsia" w:ascii="等线" w:hAnsi="等线" w:cs="仿宋"/>
                <w:bCs/>
                <w:color w:val="000000"/>
                <w:kern w:val="0"/>
                <w:szCs w:val="21"/>
              </w:rPr>
              <w:tab/>
            </w:r>
            <w:r>
              <w:rPr>
                <w:rFonts w:hint="eastAsia" w:ascii="等线" w:hAnsi="等线" w:cs="仿宋"/>
                <w:bCs/>
                <w:color w:val="000000"/>
                <w:kern w:val="0"/>
                <w:szCs w:val="21"/>
              </w:rPr>
              <w:t>采集的图像转换为标准DICOM格式统一存储。</w:t>
            </w:r>
          </w:p>
          <w:p w14:paraId="24F7F4A4">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14.</w:t>
            </w:r>
            <w:r>
              <w:rPr>
                <w:rFonts w:hint="eastAsia" w:ascii="等线" w:hAnsi="等线" w:cs="仿宋"/>
                <w:bCs/>
                <w:color w:val="000000"/>
                <w:kern w:val="0"/>
                <w:szCs w:val="21"/>
              </w:rPr>
              <w:tab/>
            </w:r>
            <w:r>
              <w:rPr>
                <w:rFonts w:hint="eastAsia" w:ascii="等线" w:hAnsi="等线" w:cs="仿宋"/>
                <w:bCs/>
                <w:color w:val="000000"/>
                <w:kern w:val="0"/>
                <w:szCs w:val="21"/>
              </w:rPr>
              <w:t>支持内镜标清，高清信号动态采集（录像）。采集帧数大于等于25帧/秒。采集段数不受限制，采集时间大于30分钟。</w:t>
            </w:r>
          </w:p>
          <w:p w14:paraId="6F25453B">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15.</w:t>
            </w:r>
            <w:r>
              <w:rPr>
                <w:rFonts w:hint="eastAsia" w:ascii="等线" w:hAnsi="等线" w:cs="仿宋"/>
                <w:bCs/>
                <w:color w:val="000000"/>
                <w:kern w:val="0"/>
                <w:szCs w:val="21"/>
              </w:rPr>
              <w:tab/>
            </w:r>
            <w:r>
              <w:rPr>
                <w:rFonts w:hint="eastAsia" w:ascii="等线" w:hAnsi="等线" w:cs="仿宋"/>
                <w:bCs/>
                <w:color w:val="000000"/>
                <w:kern w:val="0"/>
                <w:szCs w:val="21"/>
              </w:rPr>
              <w:t>支持超声内镜标清，高清信号动态采集（录像）。采集帧数大于等于25帧/秒。采集段数不受限制，采集时间大于30分钟。</w:t>
            </w:r>
          </w:p>
          <w:p w14:paraId="77509BB9">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16.</w:t>
            </w:r>
            <w:r>
              <w:rPr>
                <w:rFonts w:hint="eastAsia" w:ascii="等线" w:hAnsi="等线" w:cs="仿宋"/>
                <w:bCs/>
                <w:color w:val="000000"/>
                <w:kern w:val="0"/>
                <w:szCs w:val="21"/>
              </w:rPr>
              <w:tab/>
            </w:r>
            <w:r>
              <w:rPr>
                <w:rFonts w:hint="eastAsia" w:ascii="等线" w:hAnsi="等线" w:cs="仿宋"/>
                <w:bCs/>
                <w:color w:val="000000"/>
                <w:kern w:val="0"/>
                <w:szCs w:val="21"/>
              </w:rPr>
              <w:t>支持X光信号的动态采集（录像）。采集帧率大于等于25帧/秒。采集段数不受限制，采集时间大于30分钟。</w:t>
            </w:r>
          </w:p>
          <w:p w14:paraId="52DFAFA6">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17.</w:t>
            </w:r>
            <w:r>
              <w:rPr>
                <w:rFonts w:hint="eastAsia" w:ascii="等线" w:hAnsi="等线" w:cs="仿宋"/>
                <w:bCs/>
                <w:color w:val="000000"/>
                <w:kern w:val="0"/>
                <w:szCs w:val="21"/>
              </w:rPr>
              <w:tab/>
            </w:r>
            <w:r>
              <w:rPr>
                <w:rFonts w:hint="eastAsia" w:ascii="等线" w:hAnsi="等线" w:cs="仿宋"/>
                <w:bCs/>
                <w:color w:val="000000"/>
                <w:kern w:val="0"/>
                <w:szCs w:val="21"/>
              </w:rPr>
              <w:t>ERCP工作站具备放射线、内镜2路视频信号的同录同播功能，即放射线视频和内镜视频可以一键同步录像；录制的视频文件可以一键回放，回放的放射线视频和内镜视频是基于同一时间轴回放。（需提软件截图和现场程序演示）</w:t>
            </w:r>
          </w:p>
          <w:p w14:paraId="5338BDEC">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18.</w:t>
            </w:r>
            <w:r>
              <w:rPr>
                <w:rFonts w:hint="eastAsia" w:ascii="等线" w:hAnsi="等线" w:cs="仿宋"/>
                <w:bCs/>
                <w:color w:val="000000"/>
                <w:kern w:val="0"/>
                <w:szCs w:val="21"/>
              </w:rPr>
              <w:tab/>
            </w:r>
            <w:r>
              <w:rPr>
                <w:rFonts w:hint="eastAsia" w:ascii="等线" w:hAnsi="等线" w:cs="仿宋"/>
                <w:bCs/>
                <w:color w:val="000000"/>
                <w:kern w:val="0"/>
                <w:szCs w:val="21"/>
              </w:rPr>
              <w:t>超声内镜工作站具备超声、内镜2路视频信号的同录同播功能，即超声视频和内镜视频可以一键同步录像；录制的视频文件可以一键回放，回放的超声视频和内镜视频是基于同一时间轴回放。</w:t>
            </w:r>
          </w:p>
          <w:p w14:paraId="686C3C45">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19.</w:t>
            </w:r>
            <w:r>
              <w:rPr>
                <w:rFonts w:hint="eastAsia" w:ascii="等线" w:hAnsi="等线" w:cs="仿宋"/>
                <w:bCs/>
                <w:color w:val="000000"/>
                <w:kern w:val="0"/>
                <w:szCs w:val="21"/>
              </w:rPr>
              <w:tab/>
            </w:r>
            <w:r>
              <w:rPr>
                <w:rFonts w:hint="eastAsia" w:ascii="等线" w:hAnsi="等线" w:cs="仿宋"/>
                <w:bCs/>
                <w:color w:val="000000"/>
                <w:kern w:val="0"/>
                <w:szCs w:val="21"/>
              </w:rPr>
              <w:t>多线程操作：允许在编辑上一病人报告同时采集其他病人的图像。</w:t>
            </w:r>
          </w:p>
          <w:p w14:paraId="374B82F4">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20.</w:t>
            </w:r>
            <w:r>
              <w:rPr>
                <w:rFonts w:hint="eastAsia" w:ascii="等线" w:hAnsi="等线" w:cs="仿宋"/>
                <w:bCs/>
                <w:color w:val="000000"/>
                <w:kern w:val="0"/>
                <w:szCs w:val="21"/>
              </w:rPr>
              <w:tab/>
            </w:r>
            <w:r>
              <w:rPr>
                <w:rFonts w:hint="eastAsia" w:ascii="等线" w:hAnsi="等线" w:cs="仿宋"/>
                <w:bCs/>
                <w:color w:val="000000"/>
                <w:kern w:val="0"/>
                <w:szCs w:val="21"/>
              </w:rPr>
              <w:t>报告书写时，患者列表可根据科室需求自定义类别分类显示。</w:t>
            </w:r>
          </w:p>
          <w:p w14:paraId="7936033B">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21.</w:t>
            </w:r>
            <w:r>
              <w:rPr>
                <w:rFonts w:hint="eastAsia" w:ascii="等线" w:hAnsi="等线" w:cs="仿宋"/>
                <w:bCs/>
                <w:color w:val="000000"/>
                <w:kern w:val="0"/>
                <w:szCs w:val="21"/>
              </w:rPr>
              <w:tab/>
            </w:r>
            <w:r>
              <w:rPr>
                <w:rFonts w:hint="eastAsia" w:ascii="等线" w:hAnsi="等线" w:cs="仿宋"/>
                <w:bCs/>
                <w:color w:val="000000"/>
                <w:kern w:val="0"/>
                <w:szCs w:val="21"/>
              </w:rPr>
              <w:t>报告模板：根据患者的诊断部位调用已定义的典型报告模板，模板调入后可加以编辑，快速生成影像诊断报告。</w:t>
            </w:r>
          </w:p>
          <w:p w14:paraId="43091EF6">
            <w:pPr>
              <w:widowControl/>
              <w:snapToGrid w:val="0"/>
              <w:jc w:val="left"/>
              <w:rPr>
                <w:rFonts w:ascii="等线" w:hAnsi="等线" w:cs="仿宋"/>
                <w:bCs/>
                <w:color w:val="000000"/>
                <w:kern w:val="0"/>
                <w:szCs w:val="21"/>
              </w:rPr>
            </w:pPr>
            <w:r>
              <w:rPr>
                <w:rFonts w:hint="eastAsia" w:ascii="等线" w:hAnsi="等线" w:cs="仿宋"/>
                <w:bCs/>
                <w:color w:val="000000"/>
                <w:kern w:val="0"/>
                <w:szCs w:val="21"/>
              </w:rPr>
              <w:t>22.</w:t>
            </w:r>
            <w:r>
              <w:rPr>
                <w:rFonts w:hint="eastAsia" w:ascii="等线" w:hAnsi="等线" w:cs="仿宋"/>
                <w:bCs/>
                <w:color w:val="000000"/>
                <w:kern w:val="0"/>
                <w:szCs w:val="21"/>
              </w:rPr>
              <w:tab/>
            </w:r>
            <w:r>
              <w:rPr>
                <w:rFonts w:hint="eastAsia" w:ascii="等线" w:hAnsi="等线" w:cs="仿宋"/>
                <w:bCs/>
                <w:color w:val="000000"/>
                <w:kern w:val="0"/>
                <w:szCs w:val="21"/>
              </w:rPr>
              <w:t>支持病例“阳性”标记，可以统计阳性率。</w:t>
            </w:r>
          </w:p>
          <w:p w14:paraId="1B0BC024">
            <w:pPr>
              <w:widowControl/>
              <w:snapToGrid w:val="0"/>
              <w:jc w:val="left"/>
              <w:rPr>
                <w:rFonts w:ascii="等线" w:hAnsi="等线" w:cs="仿宋"/>
                <w:bCs/>
                <w:color w:val="000000"/>
                <w:kern w:val="0"/>
                <w:szCs w:val="21"/>
              </w:rPr>
            </w:pPr>
            <w:r>
              <w:rPr>
                <w:rFonts w:hint="eastAsia" w:ascii="等线" w:hAnsi="等线" w:cs="仿宋"/>
                <w:bCs/>
                <w:color w:val="000000"/>
                <w:kern w:val="0"/>
                <w:szCs w:val="21"/>
              </w:rPr>
              <w:t>23.</w:t>
            </w:r>
            <w:r>
              <w:rPr>
                <w:rFonts w:hint="eastAsia" w:ascii="等线" w:hAnsi="等线" w:cs="仿宋"/>
                <w:bCs/>
                <w:color w:val="000000"/>
                <w:kern w:val="0"/>
                <w:szCs w:val="21"/>
              </w:rPr>
              <w:tab/>
            </w:r>
            <w:r>
              <w:rPr>
                <w:rFonts w:hint="eastAsia" w:ascii="等线" w:hAnsi="等线" w:cs="仿宋"/>
                <w:bCs/>
                <w:color w:val="000000"/>
                <w:kern w:val="0"/>
                <w:szCs w:val="21"/>
              </w:rPr>
              <w:t>可以将病例标记为“典型病例”。</w:t>
            </w:r>
          </w:p>
          <w:p w14:paraId="7D93C646">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24.</w:t>
            </w:r>
            <w:r>
              <w:rPr>
                <w:rFonts w:hint="eastAsia" w:ascii="等线" w:hAnsi="等线" w:cs="仿宋"/>
                <w:bCs/>
                <w:color w:val="000000"/>
                <w:kern w:val="0"/>
                <w:szCs w:val="21"/>
              </w:rPr>
              <w:tab/>
            </w:r>
            <w:r>
              <w:rPr>
                <w:rFonts w:hint="eastAsia" w:ascii="等线" w:hAnsi="等线" w:cs="仿宋"/>
                <w:bCs/>
                <w:color w:val="000000"/>
                <w:kern w:val="0"/>
                <w:szCs w:val="21"/>
              </w:rPr>
              <w:t>以供科研和教学使用。医生可以建立个人病例收藏夹。</w:t>
            </w:r>
          </w:p>
          <w:p w14:paraId="2D5693FC">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25.</w:t>
            </w:r>
            <w:r>
              <w:rPr>
                <w:rFonts w:hint="eastAsia" w:ascii="等线" w:hAnsi="等线" w:cs="仿宋"/>
                <w:bCs/>
                <w:color w:val="000000"/>
                <w:kern w:val="0"/>
                <w:szCs w:val="21"/>
              </w:rPr>
              <w:tab/>
            </w:r>
            <w:r>
              <w:rPr>
                <w:rFonts w:hint="eastAsia" w:ascii="等线" w:hAnsi="等线" w:cs="仿宋"/>
                <w:bCs/>
                <w:color w:val="000000"/>
                <w:kern w:val="0"/>
                <w:szCs w:val="21"/>
              </w:rPr>
              <w:t>支持多条件组合模糊查询。具有快速检索、高级检索多种方式。</w:t>
            </w:r>
          </w:p>
          <w:p w14:paraId="579B0627">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26.</w:t>
            </w:r>
            <w:r>
              <w:rPr>
                <w:rFonts w:hint="eastAsia" w:ascii="等线" w:hAnsi="等线" w:cs="仿宋"/>
                <w:bCs/>
                <w:color w:val="000000"/>
                <w:kern w:val="0"/>
                <w:szCs w:val="21"/>
              </w:rPr>
              <w:tab/>
            </w:r>
            <w:r>
              <w:rPr>
                <w:rFonts w:hint="eastAsia" w:ascii="等线" w:hAnsi="等线" w:cs="仿宋"/>
                <w:bCs/>
                <w:color w:val="000000"/>
                <w:kern w:val="0"/>
                <w:szCs w:val="21"/>
              </w:rPr>
              <w:t>报告的打印格式支持客户化定制，打印输出时，支持根据用户选择图像的数量智能选取报告格式。</w:t>
            </w:r>
          </w:p>
          <w:p w14:paraId="4327C744">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27.</w:t>
            </w:r>
            <w:r>
              <w:rPr>
                <w:rFonts w:hint="eastAsia" w:ascii="等线" w:hAnsi="等线" w:cs="仿宋"/>
                <w:bCs/>
                <w:color w:val="000000"/>
                <w:kern w:val="0"/>
                <w:szCs w:val="21"/>
              </w:rPr>
              <w:tab/>
            </w:r>
            <w:r>
              <w:rPr>
                <w:rFonts w:hint="eastAsia" w:ascii="等线" w:hAnsi="等线" w:cs="仿宋"/>
                <w:bCs/>
                <w:color w:val="000000"/>
                <w:kern w:val="0"/>
                <w:szCs w:val="21"/>
              </w:rPr>
              <w:t>图像描述：支持报告中对图像性质的描述，其文字内容由诊断医生输入，并在报告上打印出来。</w:t>
            </w:r>
          </w:p>
          <w:p w14:paraId="4AE33E3A">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28.</w:t>
            </w:r>
            <w:r>
              <w:rPr>
                <w:rFonts w:hint="eastAsia" w:ascii="等线" w:hAnsi="等线" w:cs="仿宋"/>
                <w:bCs/>
                <w:color w:val="000000"/>
                <w:kern w:val="0"/>
                <w:szCs w:val="21"/>
              </w:rPr>
              <w:tab/>
            </w:r>
            <w:r>
              <w:rPr>
                <w:rFonts w:hint="eastAsia" w:ascii="等线" w:hAnsi="等线" w:cs="仿宋"/>
                <w:bCs/>
                <w:color w:val="000000"/>
                <w:kern w:val="0"/>
                <w:szCs w:val="21"/>
              </w:rPr>
              <w:t>实现图片导出时自动增加水印功能。在系统中可自定义水印的内容、字体大小，导出图片时，可自动在图片中增加水印（需提供软件截图和现场程序演示）。</w:t>
            </w:r>
          </w:p>
          <w:p w14:paraId="51F5BEBA">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29.</w:t>
            </w:r>
            <w:r>
              <w:rPr>
                <w:rFonts w:hint="eastAsia" w:ascii="等线" w:hAnsi="等线" w:cs="仿宋"/>
                <w:bCs/>
                <w:color w:val="000000"/>
                <w:kern w:val="0"/>
                <w:szCs w:val="21"/>
              </w:rPr>
              <w:tab/>
            </w:r>
            <w:r>
              <w:rPr>
                <w:rFonts w:hint="eastAsia" w:ascii="等线" w:hAnsi="等线" w:cs="仿宋"/>
                <w:bCs/>
                <w:color w:val="000000"/>
                <w:kern w:val="0"/>
                <w:szCs w:val="21"/>
              </w:rPr>
              <w:t>具有开放的解剖示意图库功能。可对各个部位的解剖示意图进行编辑，连同报告一起打印出。</w:t>
            </w:r>
          </w:p>
          <w:p w14:paraId="5261729A">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30.</w:t>
            </w:r>
            <w:r>
              <w:rPr>
                <w:rFonts w:hint="eastAsia" w:ascii="等线" w:hAnsi="等线" w:cs="仿宋"/>
                <w:bCs/>
                <w:color w:val="000000"/>
                <w:kern w:val="0"/>
                <w:szCs w:val="21"/>
              </w:rPr>
              <w:tab/>
            </w:r>
            <w:r>
              <w:rPr>
                <w:rFonts w:hint="eastAsia" w:ascii="等线" w:hAnsi="等线" w:cs="仿宋"/>
                <w:bCs/>
                <w:color w:val="000000"/>
                <w:kern w:val="0"/>
                <w:szCs w:val="21"/>
              </w:rPr>
              <w:t>支持自动患者匹配功能，如该患者以前在本科室有过检查历史，则自动将多次检查归入同一患者名下。</w:t>
            </w:r>
          </w:p>
          <w:p w14:paraId="425457D4">
            <w:pPr>
              <w:widowControl/>
              <w:snapToGrid w:val="0"/>
              <w:jc w:val="left"/>
              <w:rPr>
                <w:rFonts w:ascii="等线" w:hAnsi="等线" w:cs="仿宋"/>
                <w:bCs/>
                <w:color w:val="000000"/>
                <w:kern w:val="0"/>
                <w:szCs w:val="21"/>
              </w:rPr>
            </w:pPr>
            <w:r>
              <w:rPr>
                <w:rFonts w:hint="eastAsia" w:ascii="等线" w:hAnsi="等线" w:cs="仿宋"/>
                <w:bCs/>
                <w:color w:val="000000"/>
                <w:kern w:val="0"/>
                <w:szCs w:val="21"/>
              </w:rPr>
              <w:t>31.</w:t>
            </w:r>
            <w:r>
              <w:rPr>
                <w:rFonts w:hint="eastAsia" w:ascii="等线" w:hAnsi="等线" w:cs="仿宋"/>
                <w:bCs/>
                <w:color w:val="000000"/>
                <w:kern w:val="0"/>
                <w:szCs w:val="21"/>
              </w:rPr>
              <w:tab/>
            </w:r>
            <w:r>
              <w:rPr>
                <w:rFonts w:hint="eastAsia" w:ascii="等线" w:hAnsi="等线" w:cs="仿宋"/>
                <w:bCs/>
                <w:color w:val="000000"/>
                <w:kern w:val="0"/>
                <w:szCs w:val="21"/>
              </w:rPr>
              <w:t>根据图像数量，自动选择报告格式。</w:t>
            </w:r>
          </w:p>
        </w:tc>
        <w:tc>
          <w:tcPr>
            <w:tcW w:w="256" w:type="pct"/>
            <w:noWrap w:val="0"/>
            <w:vAlign w:val="center"/>
          </w:tcPr>
          <w:p w14:paraId="3C69DF8D">
            <w:pPr>
              <w:rPr>
                <w:szCs w:val="21"/>
              </w:rPr>
            </w:pPr>
            <w:r>
              <w:rPr>
                <w:rFonts w:hint="eastAsia"/>
                <w:szCs w:val="21"/>
              </w:rPr>
              <w:t>套</w:t>
            </w:r>
          </w:p>
        </w:tc>
        <w:tc>
          <w:tcPr>
            <w:tcW w:w="288" w:type="pct"/>
            <w:noWrap w:val="0"/>
            <w:vAlign w:val="center"/>
          </w:tcPr>
          <w:p w14:paraId="337983FE">
            <w:pPr>
              <w:rPr>
                <w:szCs w:val="21"/>
              </w:rPr>
            </w:pPr>
            <w:r>
              <w:rPr>
                <w:rFonts w:hint="eastAsia"/>
                <w:szCs w:val="21"/>
              </w:rPr>
              <w:t>8</w:t>
            </w:r>
          </w:p>
        </w:tc>
        <w:tc>
          <w:tcPr>
            <w:tcW w:w="720" w:type="pct"/>
            <w:noWrap w:val="0"/>
            <w:vAlign w:val="center"/>
          </w:tcPr>
          <w:p w14:paraId="50A5D5F6">
            <w:pPr>
              <w:jc w:val="center"/>
              <w:rPr>
                <w:szCs w:val="21"/>
              </w:rPr>
            </w:pPr>
          </w:p>
        </w:tc>
        <w:tc>
          <w:tcPr>
            <w:tcW w:w="577" w:type="pct"/>
            <w:noWrap w:val="0"/>
            <w:vAlign w:val="center"/>
          </w:tcPr>
          <w:p w14:paraId="338FBB67">
            <w:pPr>
              <w:jc w:val="center"/>
              <w:rPr>
                <w:szCs w:val="21"/>
              </w:rPr>
            </w:pPr>
            <w:r>
              <w:rPr>
                <w:szCs w:val="21"/>
              </w:rPr>
              <w:t>否</w:t>
            </w:r>
          </w:p>
        </w:tc>
      </w:tr>
      <w:tr w14:paraId="57CE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401E73C7">
            <w:pPr>
              <w:jc w:val="center"/>
              <w:rPr>
                <w:szCs w:val="21"/>
              </w:rPr>
            </w:pPr>
            <w:r>
              <w:rPr>
                <w:rFonts w:hint="eastAsia"/>
                <w:szCs w:val="21"/>
              </w:rPr>
              <w:t>4</w:t>
            </w:r>
          </w:p>
        </w:tc>
        <w:tc>
          <w:tcPr>
            <w:tcW w:w="617" w:type="pct"/>
            <w:noWrap w:val="0"/>
            <w:vAlign w:val="center"/>
          </w:tcPr>
          <w:p w14:paraId="0C431C2B">
            <w:pPr>
              <w:widowControl/>
              <w:rPr>
                <w:szCs w:val="21"/>
              </w:rPr>
            </w:pPr>
            <w:r>
              <w:rPr>
                <w:rFonts w:hint="eastAsia"/>
                <w:szCs w:val="21"/>
              </w:rPr>
              <w:t>主任审核工作站（科室管理）</w:t>
            </w:r>
          </w:p>
        </w:tc>
        <w:tc>
          <w:tcPr>
            <w:tcW w:w="2167" w:type="pct"/>
            <w:noWrap w:val="0"/>
            <w:vAlign w:val="center"/>
          </w:tcPr>
          <w:p w14:paraId="5266FE21">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支持按用户类别或者组类别赋予使用权限。</w:t>
            </w:r>
          </w:p>
          <w:p w14:paraId="19F3B43F">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系统的所有用户由系统管理员统一创建，并根据该用户在业务流程中担任的角色设置用户权限，还可根据用户需求设置初始密码。可按用户或者组类别赋予使用权限，支持对个别用户或者用户组，分配使用或者变更系统资源及数据的使用控制功能。</w:t>
            </w:r>
          </w:p>
          <w:p w14:paraId="450126F2">
            <w:pPr>
              <w:widowControl/>
              <w:snapToGrid w:val="0"/>
              <w:jc w:val="left"/>
              <w:rPr>
                <w:rFonts w:ascii="等线" w:hAnsi="等线" w:cs="仿宋"/>
                <w:bCs/>
                <w:color w:val="000000"/>
                <w:kern w:val="0"/>
                <w:szCs w:val="21"/>
              </w:rPr>
            </w:pPr>
            <w:r>
              <w:rPr>
                <w:rFonts w:hint="eastAsia" w:ascii="等线" w:hAnsi="等线" w:cs="仿宋"/>
                <w:bCs/>
                <w:color w:val="000000"/>
                <w:kern w:val="0"/>
                <w:szCs w:val="21"/>
              </w:rPr>
              <w:t>3.</w:t>
            </w:r>
            <w:r>
              <w:rPr>
                <w:rFonts w:hint="eastAsia" w:ascii="等线" w:hAnsi="等线" w:cs="仿宋"/>
                <w:bCs/>
                <w:color w:val="000000"/>
                <w:kern w:val="0"/>
                <w:szCs w:val="21"/>
              </w:rPr>
              <w:tab/>
            </w:r>
            <w:r>
              <w:rPr>
                <w:rFonts w:hint="eastAsia" w:ascii="等线" w:hAnsi="等线" w:cs="仿宋"/>
                <w:bCs/>
                <w:color w:val="000000"/>
                <w:kern w:val="0"/>
                <w:szCs w:val="21"/>
              </w:rPr>
              <w:t>每个用户必须使用各自的ID和密码登录系统，访问系统中的数据。</w:t>
            </w:r>
          </w:p>
          <w:p w14:paraId="37862F6B">
            <w:pPr>
              <w:widowControl/>
              <w:snapToGrid w:val="0"/>
              <w:jc w:val="left"/>
              <w:rPr>
                <w:rFonts w:ascii="等线" w:hAnsi="等线" w:cs="仿宋"/>
                <w:bCs/>
                <w:color w:val="000000"/>
                <w:kern w:val="0"/>
                <w:szCs w:val="21"/>
              </w:rPr>
            </w:pPr>
            <w:r>
              <w:rPr>
                <w:rFonts w:hint="eastAsia" w:ascii="等线" w:hAnsi="等线" w:cs="仿宋"/>
                <w:bCs/>
                <w:color w:val="000000"/>
                <w:kern w:val="0"/>
                <w:szCs w:val="21"/>
              </w:rPr>
              <w:t>4.</w:t>
            </w:r>
            <w:r>
              <w:rPr>
                <w:rFonts w:hint="eastAsia" w:ascii="等线" w:hAnsi="等线" w:cs="仿宋"/>
                <w:bCs/>
                <w:color w:val="000000"/>
                <w:kern w:val="0"/>
                <w:szCs w:val="21"/>
              </w:rPr>
              <w:tab/>
            </w:r>
            <w:r>
              <w:rPr>
                <w:rFonts w:hint="eastAsia" w:ascii="等线" w:hAnsi="等线" w:cs="仿宋"/>
                <w:bCs/>
                <w:color w:val="000000"/>
                <w:kern w:val="0"/>
                <w:szCs w:val="21"/>
              </w:rPr>
              <w:t>支持特殊疾病的统计和查询。</w:t>
            </w:r>
          </w:p>
          <w:p w14:paraId="79EF29A1">
            <w:pPr>
              <w:widowControl/>
              <w:snapToGrid w:val="0"/>
              <w:jc w:val="left"/>
              <w:rPr>
                <w:rFonts w:ascii="等线" w:hAnsi="等线" w:cs="仿宋"/>
                <w:bCs/>
                <w:color w:val="000000"/>
                <w:kern w:val="0"/>
                <w:szCs w:val="21"/>
              </w:rPr>
            </w:pPr>
            <w:r>
              <w:rPr>
                <w:rFonts w:hint="eastAsia" w:ascii="等线" w:hAnsi="等线" w:cs="仿宋"/>
                <w:bCs/>
                <w:color w:val="000000"/>
                <w:kern w:val="0"/>
                <w:szCs w:val="21"/>
              </w:rPr>
              <w:t>5.</w:t>
            </w:r>
            <w:r>
              <w:rPr>
                <w:rFonts w:hint="eastAsia" w:ascii="等线" w:hAnsi="等线" w:cs="仿宋"/>
                <w:bCs/>
                <w:color w:val="000000"/>
                <w:kern w:val="0"/>
                <w:szCs w:val="21"/>
              </w:rPr>
              <w:tab/>
            </w:r>
            <w:r>
              <w:rPr>
                <w:rFonts w:hint="eastAsia" w:ascii="等线" w:hAnsi="等线" w:cs="仿宋"/>
                <w:bCs/>
                <w:color w:val="000000"/>
                <w:kern w:val="0"/>
                <w:szCs w:val="21"/>
              </w:rPr>
              <w:t>支持阳性率统计。</w:t>
            </w:r>
          </w:p>
          <w:p w14:paraId="09CBF5AF">
            <w:pPr>
              <w:widowControl/>
              <w:snapToGrid w:val="0"/>
              <w:jc w:val="left"/>
              <w:rPr>
                <w:rFonts w:ascii="等线" w:hAnsi="等线" w:cs="仿宋"/>
                <w:bCs/>
                <w:color w:val="000000"/>
                <w:kern w:val="0"/>
                <w:szCs w:val="21"/>
              </w:rPr>
            </w:pPr>
            <w:r>
              <w:rPr>
                <w:rFonts w:hint="eastAsia" w:ascii="等线" w:hAnsi="等线" w:cs="仿宋"/>
                <w:bCs/>
                <w:color w:val="000000"/>
                <w:kern w:val="0"/>
                <w:szCs w:val="21"/>
              </w:rPr>
              <w:t>6.</w:t>
            </w:r>
            <w:r>
              <w:rPr>
                <w:rFonts w:hint="eastAsia" w:ascii="等线" w:hAnsi="等线" w:cs="仿宋"/>
                <w:bCs/>
                <w:color w:val="000000"/>
                <w:kern w:val="0"/>
                <w:szCs w:val="21"/>
              </w:rPr>
              <w:tab/>
            </w:r>
            <w:r>
              <w:rPr>
                <w:rFonts w:hint="eastAsia" w:ascii="等线" w:hAnsi="等线" w:cs="仿宋"/>
                <w:bCs/>
                <w:color w:val="000000"/>
                <w:kern w:val="0"/>
                <w:szCs w:val="21"/>
              </w:rPr>
              <w:t>支持将检查信息导出到Excel。</w:t>
            </w:r>
          </w:p>
          <w:p w14:paraId="372470D7">
            <w:pPr>
              <w:widowControl/>
              <w:snapToGrid w:val="0"/>
              <w:jc w:val="left"/>
              <w:rPr>
                <w:rFonts w:ascii="等线" w:hAnsi="等线" w:cs="仿宋"/>
                <w:bCs/>
                <w:color w:val="000000"/>
                <w:kern w:val="0"/>
                <w:szCs w:val="21"/>
              </w:rPr>
            </w:pPr>
            <w:r>
              <w:rPr>
                <w:rFonts w:hint="eastAsia" w:ascii="等线" w:hAnsi="等线" w:cs="仿宋"/>
                <w:bCs/>
                <w:color w:val="000000"/>
                <w:kern w:val="0"/>
                <w:szCs w:val="21"/>
              </w:rPr>
              <w:t>7.</w:t>
            </w:r>
            <w:r>
              <w:rPr>
                <w:rFonts w:hint="eastAsia" w:ascii="等线" w:hAnsi="等线" w:cs="仿宋"/>
                <w:bCs/>
                <w:color w:val="000000"/>
                <w:kern w:val="0"/>
                <w:szCs w:val="21"/>
              </w:rPr>
              <w:tab/>
            </w:r>
            <w:r>
              <w:rPr>
                <w:rFonts w:hint="eastAsia" w:ascii="等线" w:hAnsi="等线" w:cs="仿宋"/>
                <w:bCs/>
                <w:color w:val="000000"/>
                <w:kern w:val="0"/>
                <w:szCs w:val="21"/>
              </w:rPr>
              <w:t>支持登记员工作量统计。</w:t>
            </w:r>
          </w:p>
          <w:p w14:paraId="6D6BA055">
            <w:pPr>
              <w:widowControl/>
              <w:snapToGrid w:val="0"/>
              <w:jc w:val="left"/>
              <w:rPr>
                <w:rFonts w:ascii="等线" w:hAnsi="等线" w:cs="仿宋"/>
                <w:bCs/>
                <w:color w:val="000000"/>
                <w:kern w:val="0"/>
                <w:szCs w:val="21"/>
              </w:rPr>
            </w:pPr>
            <w:r>
              <w:rPr>
                <w:rFonts w:hint="eastAsia" w:ascii="等线" w:hAnsi="等线" w:cs="仿宋"/>
                <w:bCs/>
                <w:color w:val="000000"/>
                <w:kern w:val="0"/>
                <w:szCs w:val="21"/>
              </w:rPr>
              <w:t>8.</w:t>
            </w:r>
            <w:r>
              <w:rPr>
                <w:rFonts w:hint="eastAsia" w:ascii="等线" w:hAnsi="等线" w:cs="仿宋"/>
                <w:bCs/>
                <w:color w:val="000000"/>
                <w:kern w:val="0"/>
                <w:szCs w:val="21"/>
              </w:rPr>
              <w:tab/>
            </w:r>
            <w:r>
              <w:rPr>
                <w:rFonts w:hint="eastAsia" w:ascii="等线" w:hAnsi="等线" w:cs="仿宋"/>
                <w:bCs/>
                <w:color w:val="000000"/>
                <w:kern w:val="0"/>
                <w:szCs w:val="21"/>
              </w:rPr>
              <w:t>支持按时间段工作量统计。</w:t>
            </w:r>
          </w:p>
          <w:p w14:paraId="19E161C2">
            <w:pPr>
              <w:widowControl/>
              <w:snapToGrid w:val="0"/>
              <w:jc w:val="left"/>
              <w:rPr>
                <w:rFonts w:ascii="等线" w:hAnsi="等线" w:cs="仿宋"/>
                <w:bCs/>
                <w:color w:val="000000"/>
                <w:kern w:val="0"/>
                <w:szCs w:val="21"/>
              </w:rPr>
            </w:pPr>
            <w:r>
              <w:rPr>
                <w:rFonts w:hint="eastAsia" w:ascii="等线" w:hAnsi="等线" w:cs="仿宋"/>
                <w:bCs/>
                <w:color w:val="000000"/>
                <w:kern w:val="0"/>
                <w:szCs w:val="21"/>
              </w:rPr>
              <w:t>9.</w:t>
            </w:r>
            <w:r>
              <w:rPr>
                <w:rFonts w:hint="eastAsia" w:ascii="等线" w:hAnsi="等线" w:cs="仿宋"/>
                <w:bCs/>
                <w:color w:val="000000"/>
                <w:kern w:val="0"/>
                <w:szCs w:val="21"/>
              </w:rPr>
              <w:tab/>
            </w:r>
            <w:r>
              <w:rPr>
                <w:rFonts w:hint="eastAsia" w:ascii="等线" w:hAnsi="等线" w:cs="仿宋"/>
                <w:bCs/>
                <w:color w:val="000000"/>
                <w:kern w:val="0"/>
                <w:szCs w:val="21"/>
              </w:rPr>
              <w:t>支持检查项目明细统计。</w:t>
            </w:r>
          </w:p>
          <w:p w14:paraId="261DE10B">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10.</w:t>
            </w:r>
            <w:r>
              <w:rPr>
                <w:rFonts w:hint="eastAsia" w:ascii="等线" w:hAnsi="等线" w:cs="仿宋"/>
                <w:bCs/>
                <w:color w:val="000000"/>
                <w:kern w:val="0"/>
                <w:szCs w:val="21"/>
              </w:rPr>
              <w:tab/>
            </w:r>
            <w:r>
              <w:rPr>
                <w:rFonts w:hint="eastAsia" w:ascii="等线" w:hAnsi="等线" w:cs="仿宋"/>
                <w:bCs/>
                <w:color w:val="000000"/>
                <w:kern w:val="0"/>
                <w:szCs w:val="21"/>
              </w:rPr>
              <w:t>支持申请科室明细统计。</w:t>
            </w:r>
          </w:p>
          <w:p w14:paraId="760707C9">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11.</w:t>
            </w:r>
            <w:r>
              <w:rPr>
                <w:rFonts w:hint="eastAsia" w:ascii="等线" w:hAnsi="等线" w:cs="仿宋"/>
                <w:bCs/>
                <w:color w:val="000000"/>
                <w:kern w:val="0"/>
                <w:szCs w:val="21"/>
              </w:rPr>
              <w:tab/>
            </w:r>
            <w:r>
              <w:rPr>
                <w:rFonts w:hint="eastAsia" w:ascii="等线" w:hAnsi="等线" w:cs="仿宋"/>
                <w:bCs/>
                <w:color w:val="000000"/>
                <w:kern w:val="0"/>
                <w:szCs w:val="21"/>
              </w:rPr>
              <w:t>支持报告医生工作量统计。</w:t>
            </w:r>
          </w:p>
        </w:tc>
        <w:tc>
          <w:tcPr>
            <w:tcW w:w="256" w:type="pct"/>
            <w:noWrap w:val="0"/>
            <w:vAlign w:val="center"/>
          </w:tcPr>
          <w:p w14:paraId="7ECA0F30">
            <w:pPr>
              <w:rPr>
                <w:szCs w:val="21"/>
              </w:rPr>
            </w:pPr>
            <w:r>
              <w:rPr>
                <w:rFonts w:hint="eastAsia"/>
                <w:szCs w:val="21"/>
              </w:rPr>
              <w:t>套</w:t>
            </w:r>
          </w:p>
        </w:tc>
        <w:tc>
          <w:tcPr>
            <w:tcW w:w="288" w:type="pct"/>
            <w:noWrap w:val="0"/>
            <w:vAlign w:val="center"/>
          </w:tcPr>
          <w:p w14:paraId="07A9E3F7">
            <w:pPr>
              <w:rPr>
                <w:szCs w:val="21"/>
              </w:rPr>
            </w:pPr>
            <w:r>
              <w:rPr>
                <w:rFonts w:hint="eastAsia"/>
                <w:szCs w:val="21"/>
              </w:rPr>
              <w:t>2</w:t>
            </w:r>
          </w:p>
        </w:tc>
        <w:tc>
          <w:tcPr>
            <w:tcW w:w="720" w:type="pct"/>
            <w:noWrap w:val="0"/>
            <w:vAlign w:val="center"/>
          </w:tcPr>
          <w:p w14:paraId="1969B9D5">
            <w:pPr>
              <w:jc w:val="center"/>
              <w:rPr>
                <w:szCs w:val="21"/>
              </w:rPr>
            </w:pPr>
          </w:p>
        </w:tc>
        <w:tc>
          <w:tcPr>
            <w:tcW w:w="577" w:type="pct"/>
            <w:noWrap w:val="0"/>
            <w:vAlign w:val="center"/>
          </w:tcPr>
          <w:p w14:paraId="35730EF5">
            <w:pPr>
              <w:jc w:val="center"/>
              <w:rPr>
                <w:szCs w:val="21"/>
              </w:rPr>
            </w:pPr>
            <w:r>
              <w:rPr>
                <w:szCs w:val="21"/>
              </w:rPr>
              <w:t>否</w:t>
            </w:r>
          </w:p>
        </w:tc>
      </w:tr>
      <w:tr w14:paraId="6049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762BABD0">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5</w:t>
            </w:r>
          </w:p>
        </w:tc>
        <w:tc>
          <w:tcPr>
            <w:tcW w:w="617" w:type="pct"/>
            <w:noWrap w:val="0"/>
            <w:vAlign w:val="center"/>
          </w:tcPr>
          <w:p w14:paraId="47AF3E05">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内镜智能质控管理服务端</w:t>
            </w:r>
          </w:p>
        </w:tc>
        <w:tc>
          <w:tcPr>
            <w:tcW w:w="2167" w:type="pct"/>
            <w:noWrap w:val="0"/>
            <w:vAlign w:val="center"/>
          </w:tcPr>
          <w:p w14:paraId="48F3F90B">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提供面向所有内镜工作站所采集的图片智能化识别。</w:t>
            </w:r>
          </w:p>
          <w:p w14:paraId="6E285061">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支持消化内镜诊疗质控指标的量化、自动采集、上报，可无缝对接国家消化内镜质控中心信息管理平台。具体包含国家消化内镜质控中心发布的18个消化内镜质控指标。</w:t>
            </w:r>
          </w:p>
        </w:tc>
        <w:tc>
          <w:tcPr>
            <w:tcW w:w="256" w:type="pct"/>
            <w:noWrap w:val="0"/>
            <w:vAlign w:val="center"/>
          </w:tcPr>
          <w:p w14:paraId="7BEECE11">
            <w:pPr>
              <w:rPr>
                <w:szCs w:val="21"/>
              </w:rPr>
            </w:pPr>
            <w:r>
              <w:rPr>
                <w:rFonts w:hint="eastAsia"/>
                <w:szCs w:val="21"/>
              </w:rPr>
              <w:t>套</w:t>
            </w:r>
          </w:p>
        </w:tc>
        <w:tc>
          <w:tcPr>
            <w:tcW w:w="288" w:type="pct"/>
            <w:noWrap w:val="0"/>
            <w:vAlign w:val="center"/>
          </w:tcPr>
          <w:p w14:paraId="41C3FF83">
            <w:pPr>
              <w:rPr>
                <w:szCs w:val="21"/>
              </w:rPr>
            </w:pPr>
            <w:r>
              <w:rPr>
                <w:rFonts w:hint="eastAsia"/>
                <w:szCs w:val="21"/>
              </w:rPr>
              <w:t>1</w:t>
            </w:r>
          </w:p>
        </w:tc>
        <w:tc>
          <w:tcPr>
            <w:tcW w:w="720" w:type="pct"/>
            <w:noWrap w:val="0"/>
            <w:vAlign w:val="center"/>
          </w:tcPr>
          <w:p w14:paraId="466510C4">
            <w:pPr>
              <w:jc w:val="center"/>
              <w:rPr>
                <w:szCs w:val="21"/>
              </w:rPr>
            </w:pPr>
          </w:p>
        </w:tc>
        <w:tc>
          <w:tcPr>
            <w:tcW w:w="577" w:type="pct"/>
            <w:noWrap w:val="0"/>
            <w:vAlign w:val="center"/>
          </w:tcPr>
          <w:p w14:paraId="40BFD683">
            <w:pPr>
              <w:jc w:val="center"/>
              <w:rPr>
                <w:szCs w:val="21"/>
              </w:rPr>
            </w:pPr>
            <w:r>
              <w:rPr>
                <w:szCs w:val="21"/>
              </w:rPr>
              <w:t>否</w:t>
            </w:r>
          </w:p>
        </w:tc>
      </w:tr>
      <w:tr w14:paraId="7984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5FA826CF">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6</w:t>
            </w:r>
          </w:p>
        </w:tc>
        <w:tc>
          <w:tcPr>
            <w:tcW w:w="617" w:type="pct"/>
            <w:noWrap w:val="0"/>
            <w:vAlign w:val="center"/>
          </w:tcPr>
          <w:p w14:paraId="46FF645E">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内镜智能质控管理诊室端</w:t>
            </w:r>
          </w:p>
        </w:tc>
        <w:tc>
          <w:tcPr>
            <w:tcW w:w="2167" w:type="pct"/>
            <w:noWrap w:val="0"/>
            <w:vAlign w:val="center"/>
          </w:tcPr>
          <w:p w14:paraId="140F6922">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质控模块深度嵌入当前消化内镜系统界面，非第三方外挂系统。UI设计规范和操作规范与当前系统一致。</w:t>
            </w:r>
          </w:p>
          <w:p w14:paraId="789A242E">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所有图文报告工作站（带有采集卡的）均具有人工智能智能识别功能。</w:t>
            </w:r>
          </w:p>
          <w:p w14:paraId="025636CB">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3.</w:t>
            </w:r>
            <w:r>
              <w:rPr>
                <w:rFonts w:hint="eastAsia" w:ascii="等线" w:hAnsi="等线" w:cs="仿宋"/>
                <w:bCs/>
                <w:color w:val="000000"/>
                <w:kern w:val="0"/>
                <w:szCs w:val="21"/>
              </w:rPr>
              <w:tab/>
            </w:r>
            <w:r>
              <w:rPr>
                <w:rFonts w:hint="eastAsia" w:ascii="等线" w:hAnsi="等线" w:cs="仿宋"/>
                <w:bCs/>
                <w:color w:val="000000"/>
                <w:kern w:val="0"/>
                <w:szCs w:val="21"/>
              </w:rPr>
              <w:t>每台工作站每采集一张图片，可通过人工智能进行识别，识别上消化道部位，部位分类包括至少30个位置。系统内置示意图，示意图分割至少30个部位，每识别到一个部位，则自动填充示意图。（需提软件截图）</w:t>
            </w:r>
          </w:p>
        </w:tc>
        <w:tc>
          <w:tcPr>
            <w:tcW w:w="256" w:type="pct"/>
            <w:noWrap w:val="0"/>
            <w:vAlign w:val="center"/>
          </w:tcPr>
          <w:p w14:paraId="6C6E8458">
            <w:pPr>
              <w:rPr>
                <w:szCs w:val="21"/>
              </w:rPr>
            </w:pPr>
            <w:r>
              <w:rPr>
                <w:rFonts w:hint="eastAsia"/>
                <w:szCs w:val="21"/>
              </w:rPr>
              <w:t>套</w:t>
            </w:r>
          </w:p>
        </w:tc>
        <w:tc>
          <w:tcPr>
            <w:tcW w:w="288" w:type="pct"/>
            <w:noWrap w:val="0"/>
            <w:vAlign w:val="center"/>
          </w:tcPr>
          <w:p w14:paraId="3E13E536">
            <w:pPr>
              <w:rPr>
                <w:szCs w:val="21"/>
              </w:rPr>
            </w:pPr>
            <w:r>
              <w:rPr>
                <w:rFonts w:hint="eastAsia"/>
                <w:szCs w:val="21"/>
              </w:rPr>
              <w:t>8</w:t>
            </w:r>
          </w:p>
        </w:tc>
        <w:tc>
          <w:tcPr>
            <w:tcW w:w="720" w:type="pct"/>
            <w:noWrap w:val="0"/>
            <w:vAlign w:val="center"/>
          </w:tcPr>
          <w:p w14:paraId="11FED2EE">
            <w:pPr>
              <w:jc w:val="center"/>
              <w:rPr>
                <w:szCs w:val="21"/>
              </w:rPr>
            </w:pPr>
          </w:p>
        </w:tc>
        <w:tc>
          <w:tcPr>
            <w:tcW w:w="577" w:type="pct"/>
            <w:noWrap w:val="0"/>
            <w:vAlign w:val="center"/>
          </w:tcPr>
          <w:p w14:paraId="5FD9B367">
            <w:pPr>
              <w:jc w:val="center"/>
              <w:rPr>
                <w:szCs w:val="21"/>
              </w:rPr>
            </w:pPr>
            <w:r>
              <w:rPr>
                <w:szCs w:val="21"/>
              </w:rPr>
              <w:t>否</w:t>
            </w:r>
          </w:p>
        </w:tc>
      </w:tr>
      <w:tr w14:paraId="59AE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35D26B44">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7</w:t>
            </w:r>
          </w:p>
        </w:tc>
        <w:tc>
          <w:tcPr>
            <w:tcW w:w="617" w:type="pct"/>
            <w:noWrap w:val="0"/>
            <w:vAlign w:val="center"/>
          </w:tcPr>
          <w:p w14:paraId="13782BB0">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质控看板</w:t>
            </w:r>
          </w:p>
        </w:tc>
        <w:tc>
          <w:tcPr>
            <w:tcW w:w="2167" w:type="pct"/>
            <w:noWrap w:val="0"/>
            <w:vAlign w:val="center"/>
          </w:tcPr>
          <w:p w14:paraId="560C9C87">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 xml:space="preserve">科室质控数据实时显示，支持国家消化内镜最新18项质控指标（2022版）的计算。 </w:t>
            </w:r>
          </w:p>
          <w:p w14:paraId="1217A007">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可显示关键指标的一段周期内的变化情况。例如自动计算显示10周内：上消化道检查完整率，结直肠准备优良率，结直肠检查退镜时长≥6分钟，结直肠镜插管成功率这四个指标的趋势变化图。（需提软件截图）</w:t>
            </w:r>
          </w:p>
        </w:tc>
        <w:tc>
          <w:tcPr>
            <w:tcW w:w="256" w:type="pct"/>
            <w:noWrap w:val="0"/>
            <w:vAlign w:val="center"/>
          </w:tcPr>
          <w:p w14:paraId="7DF7F93B">
            <w:pPr>
              <w:rPr>
                <w:szCs w:val="21"/>
              </w:rPr>
            </w:pPr>
            <w:r>
              <w:rPr>
                <w:rFonts w:hint="eastAsia"/>
                <w:szCs w:val="21"/>
              </w:rPr>
              <w:t>套</w:t>
            </w:r>
          </w:p>
        </w:tc>
        <w:tc>
          <w:tcPr>
            <w:tcW w:w="288" w:type="pct"/>
            <w:noWrap w:val="0"/>
            <w:vAlign w:val="center"/>
          </w:tcPr>
          <w:p w14:paraId="06A308B6">
            <w:pPr>
              <w:rPr>
                <w:szCs w:val="21"/>
              </w:rPr>
            </w:pPr>
            <w:r>
              <w:rPr>
                <w:rFonts w:hint="eastAsia"/>
                <w:szCs w:val="21"/>
              </w:rPr>
              <w:t>1</w:t>
            </w:r>
          </w:p>
        </w:tc>
        <w:tc>
          <w:tcPr>
            <w:tcW w:w="720" w:type="pct"/>
            <w:noWrap w:val="0"/>
            <w:vAlign w:val="center"/>
          </w:tcPr>
          <w:p w14:paraId="2B189809">
            <w:pPr>
              <w:jc w:val="center"/>
              <w:rPr>
                <w:szCs w:val="21"/>
              </w:rPr>
            </w:pPr>
          </w:p>
        </w:tc>
        <w:tc>
          <w:tcPr>
            <w:tcW w:w="577" w:type="pct"/>
            <w:noWrap w:val="0"/>
            <w:vAlign w:val="center"/>
          </w:tcPr>
          <w:p w14:paraId="16BF6F6D">
            <w:pPr>
              <w:jc w:val="center"/>
              <w:rPr>
                <w:szCs w:val="21"/>
              </w:rPr>
            </w:pPr>
            <w:r>
              <w:rPr>
                <w:szCs w:val="21"/>
              </w:rPr>
              <w:t>否</w:t>
            </w:r>
          </w:p>
        </w:tc>
      </w:tr>
      <w:tr w14:paraId="09EC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2C3B9FC6">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8</w:t>
            </w:r>
          </w:p>
        </w:tc>
        <w:tc>
          <w:tcPr>
            <w:tcW w:w="617" w:type="pct"/>
            <w:noWrap w:val="0"/>
            <w:vAlign w:val="center"/>
          </w:tcPr>
          <w:p w14:paraId="38B6CE2B">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示教系统服务端</w:t>
            </w:r>
          </w:p>
        </w:tc>
        <w:tc>
          <w:tcPr>
            <w:tcW w:w="2167" w:type="pct"/>
            <w:noWrap w:val="0"/>
            <w:vAlign w:val="center"/>
          </w:tcPr>
          <w:p w14:paraId="2BE3982B">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采用B/S架构，支持所有录播服务单元的影像采集模块的集中管理以及直播，为用户管理和访问分散设备提供入口；</w:t>
            </w:r>
          </w:p>
          <w:p w14:paraId="568FB885">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系统采用B/S（浏览器/服务器）与C/S（客户端/服务器）混合架构，具备所有录播服务单元的影像采集模块的集中管理以及直播，为用户管理和访问分散设备提供高效的入口；</w:t>
            </w:r>
          </w:p>
          <w:p w14:paraId="5A31AEEF">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3.</w:t>
            </w:r>
            <w:r>
              <w:rPr>
                <w:rFonts w:hint="eastAsia" w:ascii="等线" w:hAnsi="等线" w:cs="仿宋"/>
                <w:bCs/>
                <w:color w:val="000000"/>
                <w:kern w:val="0"/>
                <w:szCs w:val="21"/>
              </w:rPr>
              <w:tab/>
            </w:r>
            <w:r>
              <w:rPr>
                <w:rFonts w:hint="eastAsia" w:ascii="等线" w:hAnsi="等线" w:cs="仿宋"/>
                <w:bCs/>
                <w:color w:val="000000"/>
                <w:kern w:val="0"/>
                <w:szCs w:val="21"/>
              </w:rPr>
              <w:t>具备服务器管理、医院管理、用户管理、角色管理、权限管理、终端管理等功能；</w:t>
            </w:r>
          </w:p>
          <w:p w14:paraId="787D0BFB">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4.</w:t>
            </w:r>
            <w:r>
              <w:rPr>
                <w:rFonts w:hint="eastAsia" w:ascii="等线" w:hAnsi="等线" w:cs="仿宋"/>
                <w:bCs/>
                <w:color w:val="000000"/>
                <w:kern w:val="0"/>
                <w:szCs w:val="21"/>
              </w:rPr>
              <w:tab/>
            </w:r>
            <w:r>
              <w:rPr>
                <w:rFonts w:hint="eastAsia" w:ascii="等线" w:hAnsi="等线" w:cs="仿宋"/>
                <w:bCs/>
                <w:color w:val="000000"/>
                <w:kern w:val="0"/>
                <w:szCs w:val="21"/>
              </w:rPr>
              <w:t>支持系统管理员、主任、医生、护士等多级角色权限管理，系统管理员具备最高权限；</w:t>
            </w:r>
          </w:p>
          <w:p w14:paraId="5F27D76C">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5.</w:t>
            </w:r>
            <w:r>
              <w:rPr>
                <w:rFonts w:hint="eastAsia" w:ascii="等线" w:hAnsi="等线" w:cs="仿宋"/>
                <w:bCs/>
                <w:color w:val="000000"/>
                <w:kern w:val="0"/>
                <w:szCs w:val="21"/>
              </w:rPr>
              <w:tab/>
            </w:r>
            <w:r>
              <w:rPr>
                <w:rFonts w:hint="eastAsia" w:ascii="等线" w:hAnsi="等线" w:cs="仿宋"/>
                <w:bCs/>
                <w:color w:val="000000"/>
                <w:kern w:val="0"/>
                <w:szCs w:val="21"/>
              </w:rPr>
              <w:t>具备网络扫描技术智能识别自动注册终端设备;</w:t>
            </w:r>
          </w:p>
          <w:p w14:paraId="6710B69B">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6.</w:t>
            </w:r>
            <w:r>
              <w:rPr>
                <w:rFonts w:hint="eastAsia" w:ascii="等线" w:hAnsi="等线" w:cs="仿宋"/>
                <w:bCs/>
                <w:color w:val="000000"/>
                <w:kern w:val="0"/>
                <w:szCs w:val="21"/>
              </w:rPr>
              <w:tab/>
            </w:r>
            <w:r>
              <w:rPr>
                <w:rFonts w:hint="eastAsia" w:ascii="等线" w:hAnsi="等线" w:cs="仿宋"/>
                <w:bCs/>
                <w:color w:val="000000"/>
                <w:kern w:val="0"/>
                <w:szCs w:val="21"/>
              </w:rPr>
              <w:t>具备所有录播服务单元、客户端的统一集中参数配置与权限管理，每项功能都可以单独设置权限开启；</w:t>
            </w:r>
          </w:p>
          <w:p w14:paraId="762720D5">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7.</w:t>
            </w:r>
            <w:r>
              <w:rPr>
                <w:rFonts w:hint="eastAsia" w:ascii="等线" w:hAnsi="等线" w:cs="仿宋"/>
                <w:bCs/>
                <w:color w:val="000000"/>
                <w:kern w:val="0"/>
                <w:szCs w:val="21"/>
              </w:rPr>
              <w:tab/>
            </w:r>
            <w:r>
              <w:rPr>
                <w:rFonts w:hint="eastAsia" w:ascii="等线" w:hAnsi="等线" w:cs="仿宋"/>
                <w:bCs/>
                <w:color w:val="000000"/>
                <w:kern w:val="0"/>
                <w:szCs w:val="21"/>
              </w:rPr>
              <w:t xml:space="preserve">具备手术直播，手术转播、手术录像、视频点播、手术室视频列表查看; </w:t>
            </w:r>
          </w:p>
          <w:p w14:paraId="40283543">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8.</w:t>
            </w:r>
            <w:r>
              <w:rPr>
                <w:rFonts w:hint="eastAsia" w:ascii="等线" w:hAnsi="等线" w:cs="仿宋"/>
                <w:bCs/>
                <w:color w:val="000000"/>
                <w:kern w:val="0"/>
                <w:szCs w:val="21"/>
              </w:rPr>
              <w:tab/>
            </w:r>
            <w:r>
              <w:rPr>
                <w:rFonts w:hint="eastAsia" w:ascii="等线" w:hAnsi="等线" w:cs="仿宋"/>
                <w:bCs/>
                <w:color w:val="000000"/>
                <w:kern w:val="0"/>
                <w:szCs w:val="21"/>
              </w:rPr>
              <w:t>具备各类医学视频的图像采集、网络传输、存储、分享的功能;</w:t>
            </w:r>
          </w:p>
          <w:p w14:paraId="495F0F68">
            <w:pPr>
              <w:widowControl/>
              <w:snapToGrid w:val="0"/>
              <w:ind w:left="210" w:hanging="210" w:hangingChars="100"/>
              <w:jc w:val="left"/>
              <w:rPr>
                <w:rFonts w:ascii="等线" w:hAnsi="等线" w:cs="仿宋"/>
                <w:bCs/>
                <w:color w:val="000000"/>
                <w:kern w:val="0"/>
                <w:szCs w:val="21"/>
              </w:rPr>
            </w:pPr>
            <w:r>
              <w:rPr>
                <w:rFonts w:hint="eastAsia" w:ascii="等线" w:hAnsi="等线" w:cs="仿宋"/>
                <w:bCs/>
                <w:color w:val="000000"/>
                <w:kern w:val="0"/>
                <w:szCs w:val="21"/>
              </w:rPr>
              <w:t>9.</w:t>
            </w:r>
            <w:r>
              <w:rPr>
                <w:rFonts w:hint="eastAsia" w:ascii="等线" w:hAnsi="等线" w:cs="仿宋"/>
                <w:bCs/>
                <w:color w:val="000000"/>
                <w:kern w:val="0"/>
                <w:szCs w:val="21"/>
              </w:rPr>
              <w:tab/>
            </w:r>
            <w:r>
              <w:rPr>
                <w:rFonts w:hint="eastAsia" w:ascii="等线" w:hAnsi="等线" w:cs="仿宋"/>
                <w:bCs/>
                <w:color w:val="000000"/>
                <w:kern w:val="0"/>
                <w:szCs w:val="21"/>
              </w:rPr>
              <w:t>具备与医学视频传输示教系统相关的计算机软件著作权登记证书,证书上须包含“医学视频”和“网络传输”的关键词；</w:t>
            </w:r>
          </w:p>
          <w:p w14:paraId="0A28E527">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10.</w:t>
            </w:r>
            <w:r>
              <w:rPr>
                <w:rFonts w:hint="eastAsia" w:ascii="等线" w:hAnsi="等线" w:cs="仿宋"/>
                <w:bCs/>
                <w:color w:val="000000"/>
                <w:kern w:val="0"/>
                <w:szCs w:val="21"/>
              </w:rPr>
              <w:tab/>
            </w:r>
            <w:r>
              <w:rPr>
                <w:rFonts w:hint="eastAsia" w:ascii="等线" w:hAnsi="等线" w:cs="仿宋"/>
                <w:bCs/>
                <w:color w:val="000000"/>
                <w:kern w:val="0"/>
                <w:szCs w:val="21"/>
              </w:rPr>
              <w:t xml:space="preserve">终端具备窗口播放优先级自定义，支持视频信号优先级设置； </w:t>
            </w:r>
          </w:p>
          <w:p w14:paraId="7ACE6825">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11.</w:t>
            </w:r>
            <w:r>
              <w:rPr>
                <w:rFonts w:hint="eastAsia" w:ascii="等线" w:hAnsi="等线" w:cs="仿宋"/>
                <w:bCs/>
                <w:color w:val="000000"/>
                <w:kern w:val="0"/>
                <w:szCs w:val="21"/>
              </w:rPr>
              <w:tab/>
            </w:r>
            <w:r>
              <w:rPr>
                <w:rFonts w:hint="eastAsia" w:ascii="等线" w:hAnsi="等线" w:cs="仿宋"/>
                <w:bCs/>
                <w:color w:val="000000"/>
                <w:kern w:val="0"/>
                <w:szCs w:val="21"/>
              </w:rPr>
              <w:t>具备多个手术室同时接入的多方通话功能 （须提供功能截图）</w:t>
            </w:r>
          </w:p>
          <w:p w14:paraId="08751FEC">
            <w:pPr>
              <w:widowControl/>
              <w:snapToGrid w:val="0"/>
              <w:ind w:left="420" w:hanging="420" w:hangingChars="200"/>
              <w:jc w:val="left"/>
              <w:rPr>
                <w:rFonts w:ascii="等线" w:hAnsi="等线" w:cs="仿宋"/>
                <w:bCs/>
                <w:color w:val="000000"/>
                <w:kern w:val="0"/>
                <w:szCs w:val="21"/>
              </w:rPr>
            </w:pPr>
            <w:r>
              <w:rPr>
                <w:rFonts w:hint="eastAsia" w:ascii="等线" w:hAnsi="等线" w:cs="仿宋"/>
                <w:bCs/>
                <w:color w:val="000000"/>
                <w:kern w:val="0"/>
                <w:szCs w:val="21"/>
              </w:rPr>
              <w:t>12.</w:t>
            </w:r>
            <w:r>
              <w:rPr>
                <w:rFonts w:hint="eastAsia" w:ascii="等线" w:hAnsi="等线" w:cs="仿宋"/>
                <w:bCs/>
                <w:color w:val="000000"/>
                <w:kern w:val="0"/>
                <w:szCs w:val="21"/>
              </w:rPr>
              <w:tab/>
            </w:r>
            <w:r>
              <w:rPr>
                <w:rFonts w:hint="eastAsia" w:ascii="等线" w:hAnsi="等线" w:cs="仿宋"/>
                <w:bCs/>
                <w:color w:val="000000"/>
                <w:kern w:val="0"/>
                <w:szCs w:val="21"/>
              </w:rPr>
              <w:t>具备按手术日期、科室、患者姓名等多维度进行分类检索;</w:t>
            </w:r>
          </w:p>
          <w:p w14:paraId="743D2592">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13.</w:t>
            </w:r>
            <w:r>
              <w:rPr>
                <w:rFonts w:hint="eastAsia" w:ascii="等线" w:hAnsi="等线" w:cs="仿宋"/>
                <w:bCs/>
                <w:color w:val="000000"/>
                <w:kern w:val="0"/>
                <w:szCs w:val="21"/>
              </w:rPr>
              <w:tab/>
            </w:r>
            <w:r>
              <w:rPr>
                <w:rFonts w:hint="eastAsia" w:ascii="等线" w:hAnsi="等线" w:cs="仿宋"/>
                <w:bCs/>
                <w:color w:val="000000"/>
                <w:kern w:val="0"/>
                <w:szCs w:val="21"/>
              </w:rPr>
              <w:t>具备病人信息及录像关联化集中管理;</w:t>
            </w:r>
          </w:p>
          <w:p w14:paraId="24A2960B">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14.</w:t>
            </w:r>
            <w:r>
              <w:rPr>
                <w:rFonts w:hint="eastAsia" w:ascii="等线" w:hAnsi="等线" w:cs="仿宋"/>
                <w:bCs/>
                <w:color w:val="000000"/>
                <w:kern w:val="0"/>
                <w:szCs w:val="21"/>
              </w:rPr>
              <w:tab/>
            </w:r>
            <w:r>
              <w:rPr>
                <w:rFonts w:hint="eastAsia" w:ascii="等线" w:hAnsi="等线" w:cs="仿宋"/>
                <w:bCs/>
                <w:color w:val="000000"/>
                <w:kern w:val="0"/>
                <w:szCs w:val="21"/>
              </w:rPr>
              <w:t>具备多台客户端的同时访问与管理;</w:t>
            </w:r>
          </w:p>
          <w:p w14:paraId="691112F7">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15.</w:t>
            </w:r>
            <w:r>
              <w:rPr>
                <w:rFonts w:hint="eastAsia" w:ascii="等线" w:hAnsi="等线" w:cs="仿宋"/>
                <w:bCs/>
                <w:color w:val="000000"/>
                <w:kern w:val="0"/>
                <w:szCs w:val="21"/>
              </w:rPr>
              <w:tab/>
            </w:r>
            <w:r>
              <w:rPr>
                <w:rFonts w:hint="eastAsia" w:ascii="等线" w:hAnsi="等线" w:cs="仿宋"/>
                <w:bCs/>
                <w:color w:val="000000"/>
                <w:kern w:val="0"/>
                <w:szCs w:val="21"/>
              </w:rPr>
              <w:t>支持日志记录及查询；</w:t>
            </w:r>
          </w:p>
          <w:p w14:paraId="492CDE05">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16.</w:t>
            </w:r>
            <w:r>
              <w:rPr>
                <w:rFonts w:hint="eastAsia" w:ascii="等线" w:hAnsi="等线" w:cs="仿宋"/>
                <w:bCs/>
                <w:color w:val="000000"/>
                <w:kern w:val="0"/>
                <w:szCs w:val="21"/>
              </w:rPr>
              <w:tab/>
            </w:r>
            <w:r>
              <w:rPr>
                <w:rFonts w:hint="eastAsia" w:ascii="等线" w:hAnsi="等线" w:cs="仿宋"/>
                <w:bCs/>
                <w:color w:val="000000"/>
                <w:kern w:val="0"/>
                <w:szCs w:val="21"/>
              </w:rPr>
              <w:t>系统具备 7×24 小时运行；</w:t>
            </w:r>
          </w:p>
          <w:p w14:paraId="7DD5F2BF">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17.</w:t>
            </w:r>
            <w:r>
              <w:rPr>
                <w:rFonts w:hint="eastAsia" w:ascii="等线" w:hAnsi="等线" w:cs="仿宋"/>
                <w:bCs/>
                <w:color w:val="000000"/>
                <w:kern w:val="0"/>
                <w:szCs w:val="21"/>
              </w:rPr>
              <w:tab/>
            </w:r>
            <w:r>
              <w:rPr>
                <w:rFonts w:hint="eastAsia" w:ascii="等线" w:hAnsi="等线" w:cs="仿宋"/>
                <w:bCs/>
                <w:color w:val="000000"/>
                <w:kern w:val="0"/>
                <w:szCs w:val="21"/>
              </w:rPr>
              <w:t>系统具备数据备份与恢复功能；</w:t>
            </w:r>
          </w:p>
        </w:tc>
        <w:tc>
          <w:tcPr>
            <w:tcW w:w="256" w:type="pct"/>
            <w:noWrap w:val="0"/>
            <w:vAlign w:val="center"/>
          </w:tcPr>
          <w:p w14:paraId="63624528">
            <w:pPr>
              <w:rPr>
                <w:szCs w:val="21"/>
              </w:rPr>
            </w:pPr>
            <w:r>
              <w:rPr>
                <w:rFonts w:hint="eastAsia"/>
                <w:szCs w:val="21"/>
              </w:rPr>
              <w:t>套</w:t>
            </w:r>
          </w:p>
        </w:tc>
        <w:tc>
          <w:tcPr>
            <w:tcW w:w="288" w:type="pct"/>
            <w:noWrap w:val="0"/>
            <w:vAlign w:val="center"/>
          </w:tcPr>
          <w:p w14:paraId="40D7A254">
            <w:pPr>
              <w:rPr>
                <w:szCs w:val="21"/>
              </w:rPr>
            </w:pPr>
            <w:r>
              <w:rPr>
                <w:rFonts w:hint="eastAsia"/>
                <w:szCs w:val="21"/>
              </w:rPr>
              <w:t>1</w:t>
            </w:r>
          </w:p>
        </w:tc>
        <w:tc>
          <w:tcPr>
            <w:tcW w:w="720" w:type="pct"/>
            <w:noWrap w:val="0"/>
            <w:vAlign w:val="center"/>
          </w:tcPr>
          <w:p w14:paraId="25627071">
            <w:pPr>
              <w:jc w:val="center"/>
              <w:rPr>
                <w:szCs w:val="21"/>
              </w:rPr>
            </w:pPr>
          </w:p>
        </w:tc>
        <w:tc>
          <w:tcPr>
            <w:tcW w:w="577" w:type="pct"/>
            <w:noWrap w:val="0"/>
            <w:vAlign w:val="center"/>
          </w:tcPr>
          <w:p w14:paraId="52DE1540">
            <w:pPr>
              <w:jc w:val="center"/>
              <w:rPr>
                <w:szCs w:val="21"/>
              </w:rPr>
            </w:pPr>
            <w:r>
              <w:rPr>
                <w:szCs w:val="21"/>
              </w:rPr>
              <w:t>否</w:t>
            </w:r>
          </w:p>
        </w:tc>
      </w:tr>
      <w:tr w14:paraId="59C14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73D01E2A">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9</w:t>
            </w:r>
          </w:p>
        </w:tc>
        <w:tc>
          <w:tcPr>
            <w:tcW w:w="617" w:type="pct"/>
            <w:noWrap w:val="0"/>
            <w:vAlign w:val="center"/>
          </w:tcPr>
          <w:p w14:paraId="2E981631">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手术示教录播服务单元（4路高清）</w:t>
            </w:r>
          </w:p>
        </w:tc>
        <w:tc>
          <w:tcPr>
            <w:tcW w:w="2167" w:type="pct"/>
            <w:noWrap w:val="0"/>
            <w:vAlign w:val="center"/>
          </w:tcPr>
          <w:p w14:paraId="77ABDB63">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外景摄像机</w:t>
            </w:r>
          </w:p>
          <w:p w14:paraId="7319FE5E">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1）COMS传感器≥1/2.8英寸；</w:t>
            </w:r>
          </w:p>
          <w:p w14:paraId="027CFF7A">
            <w:pPr>
              <w:widowControl/>
              <w:snapToGrid w:val="0"/>
              <w:jc w:val="left"/>
              <w:rPr>
                <w:rFonts w:ascii="等线" w:hAnsi="等线" w:cs="仿宋"/>
                <w:bCs/>
                <w:color w:val="000000"/>
                <w:kern w:val="0"/>
                <w:szCs w:val="21"/>
              </w:rPr>
            </w:pPr>
            <w:r>
              <w:rPr>
                <w:rFonts w:hint="eastAsia" w:ascii="等线" w:hAnsi="等线" w:cs="仿宋"/>
                <w:bCs/>
                <w:color w:val="000000"/>
                <w:kern w:val="0"/>
                <w:szCs w:val="21"/>
              </w:rPr>
              <w:t>2）视频格式≥1080P-60HZ；</w:t>
            </w:r>
          </w:p>
          <w:p w14:paraId="57B547D2">
            <w:pPr>
              <w:widowControl/>
              <w:snapToGrid w:val="0"/>
              <w:jc w:val="left"/>
              <w:rPr>
                <w:rFonts w:ascii="等线" w:hAnsi="等线" w:cs="仿宋"/>
                <w:bCs/>
                <w:color w:val="000000"/>
                <w:kern w:val="0"/>
                <w:szCs w:val="21"/>
              </w:rPr>
            </w:pPr>
            <w:r>
              <w:rPr>
                <w:rFonts w:hint="eastAsia" w:ascii="等线" w:hAnsi="等线" w:cs="仿宋"/>
                <w:bCs/>
                <w:color w:val="000000"/>
                <w:kern w:val="0"/>
                <w:szCs w:val="21"/>
              </w:rPr>
              <w:t>3）光学变焦≥12倍；</w:t>
            </w:r>
          </w:p>
          <w:p w14:paraId="688A878C">
            <w:pPr>
              <w:widowControl/>
              <w:snapToGrid w:val="0"/>
              <w:jc w:val="left"/>
              <w:rPr>
                <w:rFonts w:ascii="等线" w:hAnsi="等线" w:cs="仿宋"/>
                <w:bCs/>
                <w:color w:val="000000"/>
                <w:kern w:val="0"/>
                <w:szCs w:val="21"/>
              </w:rPr>
            </w:pPr>
            <w:r>
              <w:rPr>
                <w:rFonts w:hint="eastAsia" w:ascii="等线" w:hAnsi="等线" w:cs="仿宋"/>
                <w:bCs/>
                <w:color w:val="000000"/>
                <w:kern w:val="0"/>
                <w:szCs w:val="21"/>
              </w:rPr>
              <w:t>4）最低照度≥0.5lux，信噪比&gt;55dB；</w:t>
            </w:r>
          </w:p>
          <w:p w14:paraId="7AA5C792">
            <w:pPr>
              <w:widowControl/>
              <w:snapToGrid w:val="0"/>
              <w:jc w:val="left"/>
              <w:rPr>
                <w:rFonts w:ascii="等线" w:hAnsi="等线" w:cs="仿宋"/>
                <w:bCs/>
                <w:color w:val="000000"/>
                <w:kern w:val="0"/>
                <w:szCs w:val="21"/>
              </w:rPr>
            </w:pPr>
            <w:r>
              <w:rPr>
                <w:rFonts w:hint="eastAsia" w:ascii="等线" w:hAnsi="等线" w:cs="仿宋"/>
                <w:bCs/>
                <w:color w:val="000000"/>
                <w:kern w:val="0"/>
                <w:szCs w:val="21"/>
              </w:rPr>
              <w:t>5）视频接口：HDMI输出≥1路、3GSDI输出≥1路；</w:t>
            </w:r>
          </w:p>
          <w:p w14:paraId="1193A28C">
            <w:pPr>
              <w:widowControl/>
              <w:snapToGrid w:val="0"/>
              <w:jc w:val="left"/>
              <w:rPr>
                <w:rFonts w:ascii="等线" w:hAnsi="等线" w:cs="仿宋"/>
                <w:bCs/>
                <w:color w:val="000000"/>
                <w:kern w:val="0"/>
                <w:szCs w:val="21"/>
              </w:rPr>
            </w:pPr>
            <w:r>
              <w:rPr>
                <w:rFonts w:hint="eastAsia" w:ascii="等线" w:hAnsi="等线" w:cs="仿宋"/>
                <w:bCs/>
                <w:color w:val="000000"/>
                <w:kern w:val="0"/>
                <w:szCs w:val="21"/>
              </w:rPr>
              <w:t>6）支持IP编码；</w:t>
            </w:r>
          </w:p>
          <w:p w14:paraId="529045BC">
            <w:pPr>
              <w:widowControl/>
              <w:snapToGrid w:val="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无线耳麦</w:t>
            </w:r>
          </w:p>
          <w:p w14:paraId="75B7F6AA">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通话时间长8小时以上，待机36小时以上</w:t>
            </w:r>
          </w:p>
          <w:p w14:paraId="0D066D59">
            <w:pPr>
              <w:widowControl/>
              <w:snapToGrid w:val="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可选择的自动休眠模式</w:t>
            </w:r>
          </w:p>
          <w:p w14:paraId="5D33BCB1">
            <w:pPr>
              <w:widowControl/>
              <w:snapToGrid w:val="0"/>
              <w:jc w:val="left"/>
              <w:rPr>
                <w:rFonts w:ascii="等线" w:hAnsi="等线" w:cs="仿宋"/>
                <w:bCs/>
                <w:color w:val="000000"/>
                <w:kern w:val="0"/>
                <w:szCs w:val="21"/>
              </w:rPr>
            </w:pPr>
            <w:r>
              <w:rPr>
                <w:rFonts w:hint="eastAsia" w:ascii="等线" w:hAnsi="等线" w:cs="仿宋"/>
                <w:bCs/>
                <w:color w:val="000000"/>
                <w:kern w:val="0"/>
                <w:szCs w:val="21"/>
              </w:rPr>
              <w:t>3)</w:t>
            </w:r>
            <w:r>
              <w:rPr>
                <w:rFonts w:hint="eastAsia" w:ascii="等线" w:hAnsi="等线" w:cs="仿宋"/>
                <w:bCs/>
                <w:color w:val="000000"/>
                <w:kern w:val="0"/>
                <w:szCs w:val="21"/>
              </w:rPr>
              <w:tab/>
            </w:r>
            <w:r>
              <w:rPr>
                <w:rFonts w:hint="eastAsia" w:ascii="等线" w:hAnsi="等线" w:cs="仿宋"/>
                <w:bCs/>
                <w:color w:val="000000"/>
                <w:kern w:val="0"/>
                <w:szCs w:val="21"/>
              </w:rPr>
              <w:t>降噪麦克风</w:t>
            </w:r>
          </w:p>
          <w:p w14:paraId="2BD18FA7">
            <w:pPr>
              <w:widowControl/>
              <w:snapToGrid w:val="0"/>
              <w:jc w:val="left"/>
              <w:rPr>
                <w:rFonts w:ascii="等线" w:hAnsi="等线" w:cs="仿宋"/>
                <w:bCs/>
                <w:color w:val="000000"/>
                <w:kern w:val="0"/>
                <w:szCs w:val="21"/>
              </w:rPr>
            </w:pPr>
            <w:r>
              <w:rPr>
                <w:rFonts w:hint="eastAsia" w:ascii="等线" w:hAnsi="等线" w:cs="仿宋"/>
                <w:bCs/>
                <w:color w:val="000000"/>
                <w:kern w:val="0"/>
                <w:szCs w:val="21"/>
              </w:rPr>
              <w:t>4)</w:t>
            </w:r>
            <w:r>
              <w:rPr>
                <w:rFonts w:hint="eastAsia" w:ascii="等线" w:hAnsi="等线" w:cs="仿宋"/>
                <w:bCs/>
                <w:color w:val="000000"/>
                <w:kern w:val="0"/>
                <w:szCs w:val="21"/>
              </w:rPr>
              <w:tab/>
            </w:r>
            <w:r>
              <w:rPr>
                <w:rFonts w:hint="eastAsia" w:ascii="等线" w:hAnsi="等线" w:cs="仿宋"/>
                <w:bCs/>
                <w:color w:val="000000"/>
                <w:kern w:val="0"/>
                <w:szCs w:val="21"/>
              </w:rPr>
              <w:t>头戴式</w:t>
            </w:r>
          </w:p>
          <w:p w14:paraId="5E2F3005">
            <w:pPr>
              <w:widowControl/>
              <w:snapToGrid w:val="0"/>
              <w:jc w:val="left"/>
              <w:rPr>
                <w:rFonts w:ascii="等线" w:hAnsi="等线" w:cs="仿宋"/>
                <w:bCs/>
                <w:color w:val="000000"/>
                <w:kern w:val="0"/>
                <w:szCs w:val="21"/>
              </w:rPr>
            </w:pPr>
            <w:r>
              <w:rPr>
                <w:rFonts w:hint="eastAsia" w:ascii="等线" w:hAnsi="等线" w:cs="仿宋"/>
                <w:bCs/>
                <w:color w:val="000000"/>
                <w:kern w:val="0"/>
                <w:szCs w:val="21"/>
              </w:rPr>
              <w:t>3.</w:t>
            </w:r>
            <w:r>
              <w:rPr>
                <w:rFonts w:hint="eastAsia" w:ascii="等线" w:hAnsi="等线" w:cs="仿宋"/>
                <w:bCs/>
                <w:color w:val="000000"/>
                <w:kern w:val="0"/>
                <w:szCs w:val="21"/>
              </w:rPr>
              <w:tab/>
            </w:r>
            <w:r>
              <w:rPr>
                <w:rFonts w:hint="eastAsia" w:ascii="等线" w:hAnsi="等线" w:cs="仿宋"/>
                <w:bCs/>
                <w:color w:val="000000"/>
                <w:kern w:val="0"/>
                <w:szCs w:val="21"/>
              </w:rPr>
              <w:t>医技协同终端</w:t>
            </w:r>
          </w:p>
          <w:p w14:paraId="1DBBA709">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全嵌入式设计，高性能 SoC 处理器，集成先进 CPU、GPU、DSP 等多元处理单元，具备7×24 小时不间断运行；</w:t>
            </w:r>
          </w:p>
          <w:p w14:paraId="1D32122D">
            <w:pPr>
              <w:widowControl/>
              <w:snapToGrid w:val="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具备4路高清医学影像并行编码；</w:t>
            </w:r>
          </w:p>
          <w:p w14:paraId="59D0B23A">
            <w:pPr>
              <w:widowControl/>
              <w:snapToGrid w:val="0"/>
              <w:jc w:val="left"/>
              <w:rPr>
                <w:rFonts w:ascii="等线" w:hAnsi="等线" w:cs="仿宋"/>
                <w:bCs/>
                <w:color w:val="000000"/>
                <w:kern w:val="0"/>
                <w:szCs w:val="21"/>
              </w:rPr>
            </w:pPr>
            <w:r>
              <w:rPr>
                <w:rFonts w:hint="eastAsia" w:ascii="等线" w:hAnsi="等线" w:cs="仿宋"/>
                <w:bCs/>
                <w:color w:val="000000"/>
                <w:kern w:val="0"/>
                <w:szCs w:val="21"/>
              </w:rPr>
              <w:t>3)</w:t>
            </w:r>
            <w:r>
              <w:rPr>
                <w:rFonts w:hint="eastAsia" w:ascii="等线" w:hAnsi="等线" w:cs="仿宋"/>
                <w:bCs/>
                <w:color w:val="000000"/>
                <w:kern w:val="0"/>
                <w:szCs w:val="21"/>
              </w:rPr>
              <w:tab/>
            </w:r>
            <w:r>
              <w:rPr>
                <w:rFonts w:hint="eastAsia" w:ascii="等线" w:hAnsi="等线" w:cs="仿宋"/>
                <w:bCs/>
                <w:color w:val="000000"/>
                <w:kern w:val="0"/>
                <w:szCs w:val="21"/>
              </w:rPr>
              <w:t xml:space="preserve">★视频输入HDMI≥2路（4K分辨率），3G-SDI≥1路， USB高清视频≥1路， IP网络流转码≥4路，RJ45以太网接口≥3个； </w:t>
            </w:r>
          </w:p>
          <w:p w14:paraId="741D39B0">
            <w:pPr>
              <w:widowControl/>
              <w:snapToGrid w:val="0"/>
              <w:jc w:val="left"/>
              <w:rPr>
                <w:rFonts w:ascii="等线" w:hAnsi="等线" w:cs="仿宋"/>
                <w:bCs/>
                <w:color w:val="000000"/>
                <w:kern w:val="0"/>
                <w:szCs w:val="21"/>
              </w:rPr>
            </w:pPr>
            <w:r>
              <w:rPr>
                <w:rFonts w:hint="eastAsia" w:ascii="等线" w:hAnsi="等线" w:cs="仿宋"/>
                <w:bCs/>
                <w:color w:val="000000"/>
                <w:kern w:val="0"/>
                <w:szCs w:val="21"/>
              </w:rPr>
              <w:t>4)</w:t>
            </w:r>
            <w:r>
              <w:rPr>
                <w:rFonts w:hint="eastAsia" w:ascii="等线" w:hAnsi="等线" w:cs="仿宋"/>
                <w:bCs/>
                <w:color w:val="000000"/>
                <w:kern w:val="0"/>
                <w:szCs w:val="21"/>
              </w:rPr>
              <w:tab/>
            </w:r>
            <w:r>
              <w:rPr>
                <w:rFonts w:hint="eastAsia" w:ascii="等线" w:hAnsi="等线" w:cs="仿宋"/>
                <w:bCs/>
                <w:color w:val="000000"/>
                <w:kern w:val="0"/>
                <w:szCs w:val="21"/>
              </w:rPr>
              <w:t>具备 CMA，CNAS 检验资质的权威机构出具的检测报告复印件;</w:t>
            </w:r>
          </w:p>
          <w:p w14:paraId="3EDF8944">
            <w:pPr>
              <w:widowControl/>
              <w:snapToGrid w:val="0"/>
              <w:jc w:val="left"/>
              <w:rPr>
                <w:rFonts w:ascii="等线" w:hAnsi="等线" w:cs="仿宋"/>
                <w:bCs/>
                <w:color w:val="000000"/>
                <w:kern w:val="0"/>
                <w:szCs w:val="21"/>
              </w:rPr>
            </w:pPr>
            <w:r>
              <w:rPr>
                <w:rFonts w:hint="eastAsia" w:ascii="等线" w:hAnsi="等线" w:cs="仿宋"/>
                <w:bCs/>
                <w:color w:val="000000"/>
                <w:kern w:val="0"/>
                <w:szCs w:val="21"/>
              </w:rPr>
              <w:t>4.</w:t>
            </w:r>
            <w:r>
              <w:rPr>
                <w:rFonts w:hint="eastAsia" w:ascii="等线" w:hAnsi="等线" w:cs="仿宋"/>
                <w:bCs/>
                <w:color w:val="000000"/>
                <w:kern w:val="0"/>
                <w:szCs w:val="21"/>
              </w:rPr>
              <w:tab/>
            </w:r>
            <w:r>
              <w:rPr>
                <w:rFonts w:hint="eastAsia" w:ascii="等线" w:hAnsi="等线" w:cs="仿宋"/>
                <w:bCs/>
                <w:color w:val="000000"/>
                <w:kern w:val="0"/>
                <w:szCs w:val="21"/>
              </w:rPr>
              <w:t>软件功能</w:t>
            </w:r>
          </w:p>
          <w:p w14:paraId="2AFEA664">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可手动新建手术信息；</w:t>
            </w:r>
          </w:p>
          <w:p w14:paraId="77FD773C">
            <w:pPr>
              <w:widowControl/>
              <w:snapToGrid w:val="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支持无人值守，自动创建病例;（须提供功能截图）；</w:t>
            </w:r>
          </w:p>
          <w:p w14:paraId="6ED21AFF">
            <w:pPr>
              <w:widowControl/>
              <w:snapToGrid w:val="0"/>
              <w:jc w:val="left"/>
              <w:rPr>
                <w:rFonts w:ascii="等线" w:hAnsi="等线" w:cs="仿宋"/>
                <w:bCs/>
                <w:color w:val="000000"/>
                <w:kern w:val="0"/>
                <w:szCs w:val="21"/>
              </w:rPr>
            </w:pPr>
            <w:r>
              <w:rPr>
                <w:rFonts w:hint="eastAsia" w:ascii="等线" w:hAnsi="等线" w:cs="仿宋"/>
                <w:bCs/>
                <w:color w:val="000000"/>
                <w:kern w:val="0"/>
                <w:szCs w:val="21"/>
              </w:rPr>
              <w:t>3)</w:t>
            </w:r>
            <w:r>
              <w:rPr>
                <w:rFonts w:hint="eastAsia" w:ascii="等线" w:hAnsi="等线" w:cs="仿宋"/>
                <w:bCs/>
                <w:color w:val="000000"/>
                <w:kern w:val="0"/>
                <w:szCs w:val="21"/>
              </w:rPr>
              <w:tab/>
            </w:r>
            <w:r>
              <w:rPr>
                <w:rFonts w:hint="eastAsia" w:ascii="等线" w:hAnsi="等线" w:cs="仿宋"/>
                <w:bCs/>
                <w:color w:val="000000"/>
                <w:kern w:val="0"/>
                <w:szCs w:val="21"/>
              </w:rPr>
              <w:t>具备实时录像、采图，录像回放采图，并关联归档到病人资料; （须提供功能截图）</w:t>
            </w:r>
          </w:p>
          <w:p w14:paraId="7A5FA453">
            <w:pPr>
              <w:widowControl/>
              <w:snapToGrid w:val="0"/>
              <w:jc w:val="left"/>
              <w:rPr>
                <w:rFonts w:ascii="等线" w:hAnsi="等线" w:cs="仿宋"/>
                <w:bCs/>
                <w:color w:val="000000"/>
                <w:kern w:val="0"/>
                <w:szCs w:val="21"/>
              </w:rPr>
            </w:pPr>
            <w:r>
              <w:rPr>
                <w:rFonts w:hint="eastAsia" w:ascii="等线" w:hAnsi="等线" w:cs="仿宋"/>
                <w:bCs/>
                <w:color w:val="000000"/>
                <w:kern w:val="0"/>
                <w:szCs w:val="21"/>
              </w:rPr>
              <w:t>4)</w:t>
            </w:r>
            <w:r>
              <w:rPr>
                <w:rFonts w:hint="eastAsia" w:ascii="等线" w:hAnsi="等线" w:cs="仿宋"/>
                <w:bCs/>
                <w:color w:val="000000"/>
                <w:kern w:val="0"/>
                <w:szCs w:val="21"/>
              </w:rPr>
              <w:tab/>
            </w:r>
            <w:r>
              <w:rPr>
                <w:rFonts w:hint="eastAsia" w:ascii="等线" w:hAnsi="等线" w:cs="仿宋"/>
                <w:bCs/>
                <w:color w:val="000000"/>
                <w:kern w:val="0"/>
                <w:szCs w:val="21"/>
              </w:rPr>
              <w:t>具备打印图文报告或纯文字报告;（须提供功能截图）</w:t>
            </w:r>
          </w:p>
          <w:p w14:paraId="13FC99D1">
            <w:pPr>
              <w:widowControl/>
              <w:snapToGrid w:val="0"/>
              <w:jc w:val="left"/>
              <w:rPr>
                <w:rFonts w:ascii="等线" w:hAnsi="等线" w:cs="仿宋"/>
                <w:bCs/>
                <w:color w:val="000000"/>
                <w:kern w:val="0"/>
                <w:szCs w:val="21"/>
              </w:rPr>
            </w:pPr>
            <w:r>
              <w:rPr>
                <w:rFonts w:hint="eastAsia" w:ascii="等线" w:hAnsi="等线" w:cs="仿宋"/>
                <w:bCs/>
                <w:color w:val="000000"/>
                <w:kern w:val="0"/>
                <w:szCs w:val="21"/>
              </w:rPr>
              <w:t>5)</w:t>
            </w:r>
            <w:r>
              <w:rPr>
                <w:rFonts w:hint="eastAsia" w:ascii="等线" w:hAnsi="等线" w:cs="仿宋"/>
                <w:bCs/>
                <w:color w:val="000000"/>
                <w:kern w:val="0"/>
                <w:szCs w:val="21"/>
              </w:rPr>
              <w:tab/>
            </w:r>
            <w:r>
              <w:rPr>
                <w:rFonts w:hint="eastAsia" w:ascii="等线" w:hAnsi="等线" w:cs="仿宋"/>
                <w:bCs/>
                <w:color w:val="000000"/>
                <w:kern w:val="0"/>
                <w:szCs w:val="21"/>
              </w:rPr>
              <w:t>具有图像的导入、导出功能;</w:t>
            </w:r>
          </w:p>
          <w:p w14:paraId="4F03721E">
            <w:pPr>
              <w:widowControl/>
              <w:snapToGrid w:val="0"/>
              <w:jc w:val="left"/>
              <w:rPr>
                <w:rFonts w:ascii="等线" w:hAnsi="等线" w:cs="仿宋"/>
                <w:bCs/>
                <w:color w:val="000000"/>
                <w:kern w:val="0"/>
                <w:szCs w:val="21"/>
              </w:rPr>
            </w:pPr>
            <w:r>
              <w:rPr>
                <w:rFonts w:hint="eastAsia" w:ascii="等线" w:hAnsi="等线" w:cs="仿宋"/>
                <w:bCs/>
                <w:color w:val="000000"/>
                <w:kern w:val="0"/>
                <w:szCs w:val="21"/>
              </w:rPr>
              <w:t>6)</w:t>
            </w:r>
            <w:r>
              <w:rPr>
                <w:rFonts w:hint="eastAsia" w:ascii="等线" w:hAnsi="等线" w:cs="仿宋"/>
                <w:bCs/>
                <w:color w:val="000000"/>
                <w:kern w:val="0"/>
                <w:szCs w:val="21"/>
              </w:rPr>
              <w:tab/>
            </w:r>
            <w:r>
              <w:rPr>
                <w:rFonts w:hint="eastAsia" w:ascii="等线" w:hAnsi="等线" w:cs="仿宋"/>
                <w:bCs/>
                <w:color w:val="000000"/>
                <w:kern w:val="0"/>
                <w:szCs w:val="21"/>
              </w:rPr>
              <w:t>具备同时显示不少于2路高清图像，可自由切换单画面/双画面/三分屏/四分屏等组合显示模式，画面布局支持自定义视频墙;</w:t>
            </w:r>
          </w:p>
          <w:p w14:paraId="76282F99">
            <w:pPr>
              <w:widowControl/>
              <w:snapToGrid w:val="0"/>
              <w:jc w:val="left"/>
              <w:rPr>
                <w:rFonts w:ascii="等线" w:hAnsi="等线" w:cs="仿宋"/>
                <w:bCs/>
                <w:color w:val="000000"/>
                <w:kern w:val="0"/>
                <w:szCs w:val="21"/>
              </w:rPr>
            </w:pPr>
            <w:r>
              <w:rPr>
                <w:rFonts w:hint="eastAsia" w:ascii="等线" w:hAnsi="等线" w:cs="仿宋"/>
                <w:bCs/>
                <w:color w:val="000000"/>
                <w:kern w:val="0"/>
                <w:szCs w:val="21"/>
              </w:rPr>
              <w:t>7)</w:t>
            </w:r>
            <w:r>
              <w:rPr>
                <w:rFonts w:hint="eastAsia" w:ascii="等线" w:hAnsi="等线" w:cs="仿宋"/>
                <w:bCs/>
                <w:color w:val="000000"/>
                <w:kern w:val="0"/>
                <w:szCs w:val="21"/>
              </w:rPr>
              <w:tab/>
            </w:r>
            <w:r>
              <w:rPr>
                <w:rFonts w:hint="eastAsia" w:ascii="等线" w:hAnsi="等线" w:cs="仿宋"/>
                <w:bCs/>
                <w:color w:val="000000"/>
                <w:kern w:val="0"/>
                <w:szCs w:val="21"/>
              </w:rPr>
              <w:t>具备根据视频源数量及重要程度系统智能化组合视频窗口布局;</w:t>
            </w:r>
          </w:p>
          <w:p w14:paraId="4A1F378F">
            <w:pPr>
              <w:widowControl/>
              <w:snapToGrid w:val="0"/>
              <w:jc w:val="left"/>
              <w:rPr>
                <w:rFonts w:ascii="等线" w:hAnsi="等线" w:cs="仿宋"/>
                <w:bCs/>
                <w:color w:val="000000"/>
                <w:kern w:val="0"/>
                <w:szCs w:val="21"/>
              </w:rPr>
            </w:pPr>
            <w:r>
              <w:rPr>
                <w:rFonts w:hint="eastAsia" w:ascii="等线" w:hAnsi="等线" w:cs="仿宋"/>
                <w:bCs/>
                <w:color w:val="000000"/>
                <w:kern w:val="0"/>
                <w:szCs w:val="21"/>
              </w:rPr>
              <w:t>8)</w:t>
            </w:r>
            <w:r>
              <w:rPr>
                <w:rFonts w:hint="eastAsia" w:ascii="等线" w:hAnsi="等线" w:cs="仿宋"/>
                <w:bCs/>
                <w:color w:val="000000"/>
                <w:kern w:val="0"/>
                <w:szCs w:val="21"/>
              </w:rPr>
              <w:tab/>
            </w:r>
            <w:r>
              <w:rPr>
                <w:rFonts w:hint="eastAsia" w:ascii="等线" w:hAnsi="等线" w:cs="仿宋"/>
                <w:bCs/>
                <w:color w:val="000000"/>
                <w:kern w:val="0"/>
                <w:szCs w:val="21"/>
              </w:rPr>
              <w:t>具备智能语音控制遥控摄像机推拉摇移，放大缩小；（须提供功能截图）</w:t>
            </w:r>
          </w:p>
          <w:p w14:paraId="76ED048B">
            <w:pPr>
              <w:widowControl/>
              <w:snapToGrid w:val="0"/>
              <w:jc w:val="left"/>
              <w:rPr>
                <w:rFonts w:ascii="等线" w:hAnsi="等线" w:cs="仿宋"/>
                <w:bCs/>
                <w:color w:val="000000"/>
                <w:kern w:val="0"/>
                <w:szCs w:val="21"/>
              </w:rPr>
            </w:pPr>
            <w:r>
              <w:rPr>
                <w:rFonts w:hint="eastAsia" w:ascii="等线" w:hAnsi="等线" w:cs="仿宋"/>
                <w:bCs/>
                <w:color w:val="000000"/>
                <w:kern w:val="0"/>
                <w:szCs w:val="21"/>
              </w:rPr>
              <w:t>9)</w:t>
            </w:r>
            <w:r>
              <w:rPr>
                <w:rFonts w:hint="eastAsia" w:ascii="等线" w:hAnsi="等线" w:cs="仿宋"/>
                <w:bCs/>
                <w:color w:val="000000"/>
                <w:kern w:val="0"/>
                <w:szCs w:val="21"/>
              </w:rPr>
              <w:tab/>
            </w:r>
            <w:r>
              <w:rPr>
                <w:rFonts w:hint="eastAsia" w:ascii="等线" w:hAnsi="等线" w:cs="仿宋"/>
                <w:bCs/>
                <w:color w:val="000000"/>
                <w:kern w:val="0"/>
                <w:szCs w:val="21"/>
              </w:rPr>
              <w:t>支持多方同时通话;</w:t>
            </w:r>
          </w:p>
          <w:p w14:paraId="64A2838A">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10)</w:t>
            </w:r>
            <w:r>
              <w:rPr>
                <w:rFonts w:hint="eastAsia" w:ascii="等线" w:hAnsi="等线" w:cs="仿宋"/>
                <w:bCs/>
                <w:color w:val="000000"/>
                <w:kern w:val="0"/>
                <w:szCs w:val="21"/>
              </w:rPr>
              <w:tab/>
            </w:r>
            <w:r>
              <w:rPr>
                <w:rFonts w:hint="eastAsia" w:ascii="等线" w:hAnsi="等线" w:cs="仿宋"/>
                <w:bCs/>
                <w:color w:val="000000"/>
                <w:kern w:val="0"/>
                <w:szCs w:val="21"/>
              </w:rPr>
              <w:t xml:space="preserve">手术室通话具备远端呼叫自动应答或手工应答模式; </w:t>
            </w:r>
          </w:p>
          <w:p w14:paraId="6C7604A6">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11)</w:t>
            </w:r>
            <w:r>
              <w:rPr>
                <w:rFonts w:hint="eastAsia" w:ascii="等线" w:hAnsi="等线" w:cs="仿宋"/>
                <w:bCs/>
                <w:color w:val="000000"/>
                <w:kern w:val="0"/>
                <w:szCs w:val="21"/>
              </w:rPr>
              <w:tab/>
            </w:r>
            <w:r>
              <w:rPr>
                <w:rFonts w:hint="eastAsia" w:ascii="等线" w:hAnsi="等线" w:cs="仿宋"/>
                <w:bCs/>
                <w:color w:val="000000"/>
                <w:kern w:val="0"/>
                <w:szCs w:val="21"/>
              </w:rPr>
              <w:t>具备在手术室实时预览示教室回传的视频画面；</w:t>
            </w:r>
          </w:p>
          <w:p w14:paraId="25C978C9">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12)</w:t>
            </w:r>
            <w:r>
              <w:rPr>
                <w:rFonts w:hint="eastAsia" w:ascii="等线" w:hAnsi="等线" w:cs="仿宋"/>
                <w:bCs/>
                <w:color w:val="000000"/>
                <w:kern w:val="0"/>
                <w:szCs w:val="21"/>
              </w:rPr>
              <w:tab/>
            </w:r>
            <w:r>
              <w:rPr>
                <w:rFonts w:hint="eastAsia" w:ascii="等线" w:hAnsi="等线" w:cs="仿宋"/>
                <w:bCs/>
                <w:color w:val="000000"/>
                <w:kern w:val="0"/>
                <w:szCs w:val="21"/>
              </w:rPr>
              <w:t>直播中可随时主动停止直播;</w:t>
            </w:r>
          </w:p>
          <w:p w14:paraId="2332603E">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13)</w:t>
            </w:r>
            <w:r>
              <w:rPr>
                <w:rFonts w:hint="eastAsia" w:ascii="等线" w:hAnsi="等线" w:cs="仿宋"/>
                <w:bCs/>
                <w:color w:val="000000"/>
                <w:kern w:val="0"/>
                <w:szCs w:val="21"/>
              </w:rPr>
              <w:tab/>
            </w:r>
            <w:r>
              <w:rPr>
                <w:rFonts w:hint="eastAsia" w:ascii="等线" w:hAnsi="等线" w:cs="仿宋"/>
                <w:bCs/>
                <w:color w:val="000000"/>
                <w:kern w:val="0"/>
                <w:szCs w:val="21"/>
              </w:rPr>
              <w:t>文字台标：术中可插入双行台标/单行台标，显示术者姓名和医院名称;</w:t>
            </w:r>
          </w:p>
          <w:p w14:paraId="3B1DCA16">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14)</w:t>
            </w:r>
            <w:r>
              <w:rPr>
                <w:rFonts w:hint="eastAsia" w:ascii="等线" w:hAnsi="等线" w:cs="仿宋"/>
                <w:bCs/>
                <w:color w:val="000000"/>
                <w:kern w:val="0"/>
                <w:szCs w:val="21"/>
              </w:rPr>
              <w:tab/>
            </w:r>
            <w:r>
              <w:rPr>
                <w:rFonts w:hint="eastAsia" w:ascii="等线" w:hAnsi="等线" w:cs="仿宋"/>
                <w:bCs/>
                <w:color w:val="000000"/>
                <w:kern w:val="0"/>
                <w:szCs w:val="21"/>
              </w:rPr>
              <w:t>隐私遮罩：直播中为保护患者及相关人员的隐私，进行电子隐私遮罩及马赛克处理; 支持多种形状的遮罩，如矩形、圆形等；</w:t>
            </w:r>
          </w:p>
          <w:p w14:paraId="13B7652D">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15)</w:t>
            </w:r>
            <w:r>
              <w:rPr>
                <w:rFonts w:hint="eastAsia" w:ascii="等线" w:hAnsi="等线" w:cs="仿宋"/>
                <w:bCs/>
                <w:color w:val="000000"/>
                <w:kern w:val="0"/>
                <w:szCs w:val="21"/>
              </w:rPr>
              <w:tab/>
            </w:r>
            <w:r>
              <w:rPr>
                <w:rFonts w:hint="eastAsia" w:ascii="等线" w:hAnsi="等线" w:cs="仿宋"/>
                <w:bCs/>
                <w:color w:val="000000"/>
                <w:kern w:val="0"/>
                <w:szCs w:val="21"/>
              </w:rPr>
              <w:t>电子白板：手术示教过程中用于实时标注、讲解与互动辅助的教学工具，具备直播中对同一观看的视频启用电子白板标注，病灶长度测量，画面冻结;</w:t>
            </w:r>
          </w:p>
          <w:p w14:paraId="6CE84444">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16)</w:t>
            </w:r>
            <w:r>
              <w:rPr>
                <w:rFonts w:hint="eastAsia" w:ascii="等线" w:hAnsi="等线" w:cs="仿宋"/>
                <w:bCs/>
                <w:color w:val="000000"/>
                <w:kern w:val="0"/>
                <w:szCs w:val="21"/>
              </w:rPr>
              <w:tab/>
            </w:r>
            <w:r>
              <w:rPr>
                <w:rFonts w:hint="eastAsia" w:ascii="等线" w:hAnsi="等线" w:cs="仿宋"/>
                <w:bCs/>
                <w:color w:val="000000"/>
                <w:kern w:val="0"/>
                <w:szCs w:val="21"/>
              </w:rPr>
              <w:t>具备日志详细记录同步服务器;</w:t>
            </w:r>
          </w:p>
        </w:tc>
        <w:tc>
          <w:tcPr>
            <w:tcW w:w="256" w:type="pct"/>
            <w:noWrap w:val="0"/>
            <w:vAlign w:val="center"/>
          </w:tcPr>
          <w:p w14:paraId="7116047E">
            <w:pPr>
              <w:rPr>
                <w:szCs w:val="21"/>
              </w:rPr>
            </w:pPr>
            <w:r>
              <w:rPr>
                <w:rFonts w:hint="eastAsia"/>
                <w:szCs w:val="21"/>
              </w:rPr>
              <w:t>套</w:t>
            </w:r>
          </w:p>
        </w:tc>
        <w:tc>
          <w:tcPr>
            <w:tcW w:w="288" w:type="pct"/>
            <w:noWrap w:val="0"/>
            <w:vAlign w:val="center"/>
          </w:tcPr>
          <w:p w14:paraId="1F05112F">
            <w:pPr>
              <w:rPr>
                <w:szCs w:val="21"/>
              </w:rPr>
            </w:pPr>
            <w:r>
              <w:rPr>
                <w:rFonts w:hint="eastAsia"/>
                <w:szCs w:val="21"/>
              </w:rPr>
              <w:t>1</w:t>
            </w:r>
          </w:p>
        </w:tc>
        <w:tc>
          <w:tcPr>
            <w:tcW w:w="720" w:type="pct"/>
            <w:noWrap w:val="0"/>
            <w:vAlign w:val="center"/>
          </w:tcPr>
          <w:p w14:paraId="33060B04">
            <w:pPr>
              <w:jc w:val="center"/>
              <w:rPr>
                <w:szCs w:val="21"/>
              </w:rPr>
            </w:pPr>
          </w:p>
        </w:tc>
        <w:tc>
          <w:tcPr>
            <w:tcW w:w="577" w:type="pct"/>
            <w:noWrap w:val="0"/>
            <w:vAlign w:val="center"/>
          </w:tcPr>
          <w:p w14:paraId="1066EA27">
            <w:pPr>
              <w:jc w:val="center"/>
              <w:rPr>
                <w:szCs w:val="21"/>
              </w:rPr>
            </w:pPr>
            <w:r>
              <w:rPr>
                <w:szCs w:val="21"/>
              </w:rPr>
              <w:t>否</w:t>
            </w:r>
          </w:p>
        </w:tc>
      </w:tr>
      <w:tr w14:paraId="1CA7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7F32DA80">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1</w:t>
            </w:r>
            <w:r>
              <w:rPr>
                <w:rFonts w:ascii="等线" w:hAnsi="等线" w:cs="仿宋"/>
                <w:bCs/>
                <w:color w:val="000000"/>
                <w:kern w:val="0"/>
                <w:szCs w:val="21"/>
              </w:rPr>
              <w:t>0</w:t>
            </w:r>
          </w:p>
        </w:tc>
        <w:tc>
          <w:tcPr>
            <w:tcW w:w="617" w:type="pct"/>
            <w:noWrap w:val="0"/>
            <w:vAlign w:val="center"/>
          </w:tcPr>
          <w:p w14:paraId="2C55273E">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会议室示教解码终端服务单元</w:t>
            </w:r>
          </w:p>
        </w:tc>
        <w:tc>
          <w:tcPr>
            <w:tcW w:w="2167" w:type="pct"/>
            <w:noWrap w:val="0"/>
            <w:vAlign w:val="center"/>
          </w:tcPr>
          <w:p w14:paraId="2280310A">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支持所有录播服务单元影像直播；</w:t>
            </w:r>
          </w:p>
          <w:p w14:paraId="25BDC56D">
            <w:pPr>
              <w:widowControl/>
              <w:snapToGrid w:val="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支持流媒体传输协议：RTMP/RTSP；</w:t>
            </w:r>
          </w:p>
          <w:p w14:paraId="0542B8C2">
            <w:pPr>
              <w:widowControl/>
              <w:snapToGrid w:val="0"/>
              <w:jc w:val="left"/>
              <w:rPr>
                <w:rFonts w:ascii="等线" w:hAnsi="等线" w:cs="仿宋"/>
                <w:bCs/>
                <w:color w:val="000000"/>
                <w:kern w:val="0"/>
                <w:szCs w:val="21"/>
              </w:rPr>
            </w:pPr>
            <w:r>
              <w:rPr>
                <w:rFonts w:hint="eastAsia" w:ascii="等线" w:hAnsi="等线" w:cs="仿宋"/>
                <w:bCs/>
                <w:color w:val="000000"/>
                <w:kern w:val="0"/>
                <w:szCs w:val="21"/>
              </w:rPr>
              <w:t>3)</w:t>
            </w:r>
            <w:r>
              <w:rPr>
                <w:rFonts w:hint="eastAsia" w:ascii="等线" w:hAnsi="等线" w:cs="仿宋"/>
                <w:bCs/>
                <w:color w:val="000000"/>
                <w:kern w:val="0"/>
                <w:szCs w:val="21"/>
              </w:rPr>
              <w:tab/>
            </w:r>
            <w:r>
              <w:rPr>
                <w:rFonts w:hint="eastAsia" w:ascii="等线" w:hAnsi="等线" w:cs="仿宋"/>
                <w:bCs/>
                <w:color w:val="000000"/>
                <w:kern w:val="0"/>
                <w:szCs w:val="21"/>
              </w:rPr>
              <w:t>支持视频编码标准： H.264,H.265；</w:t>
            </w:r>
          </w:p>
          <w:p w14:paraId="48783686">
            <w:pPr>
              <w:widowControl/>
              <w:snapToGrid w:val="0"/>
              <w:jc w:val="left"/>
              <w:rPr>
                <w:rFonts w:ascii="等线" w:hAnsi="等线" w:cs="仿宋"/>
                <w:bCs/>
                <w:color w:val="000000"/>
                <w:kern w:val="0"/>
                <w:szCs w:val="21"/>
              </w:rPr>
            </w:pPr>
            <w:r>
              <w:rPr>
                <w:rFonts w:hint="eastAsia" w:ascii="等线" w:hAnsi="等线" w:cs="仿宋"/>
                <w:bCs/>
                <w:color w:val="000000"/>
                <w:kern w:val="0"/>
                <w:szCs w:val="21"/>
              </w:rPr>
              <w:t>4)</w:t>
            </w:r>
            <w:r>
              <w:rPr>
                <w:rFonts w:hint="eastAsia" w:ascii="等线" w:hAnsi="等线" w:cs="仿宋"/>
                <w:bCs/>
                <w:color w:val="000000"/>
                <w:kern w:val="0"/>
                <w:szCs w:val="21"/>
              </w:rPr>
              <w:tab/>
            </w:r>
            <w:r>
              <w:rPr>
                <w:rFonts w:hint="eastAsia" w:ascii="等线" w:hAnsi="等线" w:cs="仿宋"/>
                <w:bCs/>
                <w:color w:val="000000"/>
                <w:kern w:val="0"/>
                <w:szCs w:val="21"/>
              </w:rPr>
              <w:t>支持图像编码分辨率：最高4K解码；</w:t>
            </w:r>
          </w:p>
          <w:p w14:paraId="2227E723">
            <w:pPr>
              <w:widowControl/>
              <w:snapToGrid w:val="0"/>
              <w:jc w:val="left"/>
              <w:rPr>
                <w:rFonts w:ascii="等线" w:hAnsi="等线" w:cs="仿宋"/>
                <w:bCs/>
                <w:color w:val="000000"/>
                <w:kern w:val="0"/>
                <w:szCs w:val="21"/>
              </w:rPr>
            </w:pPr>
            <w:r>
              <w:rPr>
                <w:rFonts w:hint="eastAsia" w:ascii="等线" w:hAnsi="等线" w:cs="仿宋"/>
                <w:bCs/>
                <w:color w:val="000000"/>
                <w:kern w:val="0"/>
                <w:szCs w:val="21"/>
              </w:rPr>
              <w:t>5)</w:t>
            </w:r>
            <w:r>
              <w:rPr>
                <w:rFonts w:hint="eastAsia" w:ascii="等线" w:hAnsi="等线" w:cs="仿宋"/>
                <w:bCs/>
                <w:color w:val="000000"/>
                <w:kern w:val="0"/>
                <w:szCs w:val="21"/>
              </w:rPr>
              <w:tab/>
            </w:r>
            <w:r>
              <w:rPr>
                <w:rFonts w:hint="eastAsia" w:ascii="等线" w:hAnsi="等线" w:cs="仿宋"/>
                <w:bCs/>
                <w:color w:val="000000"/>
                <w:kern w:val="0"/>
                <w:szCs w:val="21"/>
              </w:rPr>
              <w:t>支持每路视频高清、标清格式任意切换；</w:t>
            </w:r>
          </w:p>
          <w:p w14:paraId="0724761E">
            <w:pPr>
              <w:widowControl/>
              <w:snapToGrid w:val="0"/>
              <w:jc w:val="left"/>
              <w:rPr>
                <w:rFonts w:ascii="等线" w:hAnsi="等线" w:cs="仿宋"/>
                <w:bCs/>
                <w:color w:val="000000"/>
                <w:kern w:val="0"/>
                <w:szCs w:val="21"/>
              </w:rPr>
            </w:pPr>
            <w:r>
              <w:rPr>
                <w:rFonts w:hint="eastAsia" w:ascii="等线" w:hAnsi="等线" w:cs="仿宋"/>
                <w:bCs/>
                <w:color w:val="000000"/>
                <w:kern w:val="0"/>
                <w:szCs w:val="21"/>
              </w:rPr>
              <w:t>6)</w:t>
            </w:r>
            <w:r>
              <w:rPr>
                <w:rFonts w:hint="eastAsia" w:ascii="等线" w:hAnsi="等线" w:cs="仿宋"/>
                <w:bCs/>
                <w:color w:val="000000"/>
                <w:kern w:val="0"/>
                <w:szCs w:val="21"/>
              </w:rPr>
              <w:tab/>
            </w:r>
            <w:r>
              <w:rPr>
                <w:rFonts w:hint="eastAsia" w:ascii="等线" w:hAnsi="等线" w:cs="仿宋"/>
                <w:bCs/>
                <w:color w:val="000000"/>
                <w:kern w:val="0"/>
                <w:szCs w:val="21"/>
              </w:rPr>
              <w:t>支持单画面，多画面，画中画及位置大小任意改变，支持自定义视频墙；</w:t>
            </w:r>
          </w:p>
          <w:p w14:paraId="578A0E36">
            <w:pPr>
              <w:widowControl/>
              <w:snapToGrid w:val="0"/>
              <w:jc w:val="left"/>
              <w:rPr>
                <w:rFonts w:ascii="等线" w:hAnsi="等线" w:cs="仿宋"/>
                <w:bCs/>
                <w:color w:val="000000"/>
                <w:kern w:val="0"/>
                <w:szCs w:val="21"/>
              </w:rPr>
            </w:pPr>
            <w:r>
              <w:rPr>
                <w:rFonts w:hint="eastAsia" w:ascii="等线" w:hAnsi="等线" w:cs="仿宋"/>
                <w:bCs/>
                <w:color w:val="000000"/>
                <w:kern w:val="0"/>
                <w:szCs w:val="21"/>
              </w:rPr>
              <w:t>7)</w:t>
            </w:r>
            <w:r>
              <w:rPr>
                <w:rFonts w:hint="eastAsia" w:ascii="等线" w:hAnsi="等线" w:cs="仿宋"/>
                <w:bCs/>
                <w:color w:val="000000"/>
                <w:kern w:val="0"/>
                <w:szCs w:val="21"/>
              </w:rPr>
              <w:tab/>
            </w:r>
            <w:r>
              <w:rPr>
                <w:rFonts w:hint="eastAsia" w:ascii="等线" w:hAnsi="等线" w:cs="仿宋"/>
                <w:bCs/>
                <w:color w:val="000000"/>
                <w:kern w:val="0"/>
                <w:szCs w:val="21"/>
              </w:rPr>
              <w:t>隐私遮罩：直播中对敏感视频进行电子隐私遮罩及马赛克处理，可与其他端实时互动操做；</w:t>
            </w:r>
          </w:p>
          <w:p w14:paraId="39BFFB01">
            <w:pPr>
              <w:widowControl/>
              <w:snapToGrid w:val="0"/>
              <w:jc w:val="left"/>
              <w:rPr>
                <w:rFonts w:ascii="等线" w:hAnsi="等线" w:cs="仿宋"/>
                <w:bCs/>
                <w:color w:val="000000"/>
                <w:kern w:val="0"/>
                <w:szCs w:val="21"/>
              </w:rPr>
            </w:pPr>
            <w:r>
              <w:rPr>
                <w:rFonts w:hint="eastAsia" w:ascii="等线" w:hAnsi="等线" w:cs="仿宋"/>
                <w:bCs/>
                <w:color w:val="000000"/>
                <w:kern w:val="0"/>
                <w:szCs w:val="21"/>
              </w:rPr>
              <w:t>8)</w:t>
            </w:r>
            <w:r>
              <w:rPr>
                <w:rFonts w:hint="eastAsia" w:ascii="等线" w:hAnsi="等线" w:cs="仿宋"/>
                <w:bCs/>
                <w:color w:val="000000"/>
                <w:kern w:val="0"/>
                <w:szCs w:val="21"/>
              </w:rPr>
              <w:tab/>
            </w:r>
            <w:r>
              <w:rPr>
                <w:rFonts w:hint="eastAsia" w:ascii="等线" w:hAnsi="等线" w:cs="仿宋"/>
                <w:bCs/>
                <w:color w:val="000000"/>
                <w:kern w:val="0"/>
                <w:szCs w:val="21"/>
              </w:rPr>
              <w:t>电子白板：直播中对同一观看的视频启用电子白板标注，病灶长度面积测量，画面冻结，可与其他端实时互动操做；；</w:t>
            </w:r>
          </w:p>
        </w:tc>
        <w:tc>
          <w:tcPr>
            <w:tcW w:w="256" w:type="pct"/>
            <w:noWrap w:val="0"/>
            <w:vAlign w:val="center"/>
          </w:tcPr>
          <w:p w14:paraId="4FC489CF">
            <w:pPr>
              <w:rPr>
                <w:szCs w:val="21"/>
              </w:rPr>
            </w:pPr>
            <w:r>
              <w:rPr>
                <w:rFonts w:hint="eastAsia"/>
                <w:szCs w:val="21"/>
              </w:rPr>
              <w:t>套</w:t>
            </w:r>
          </w:p>
        </w:tc>
        <w:tc>
          <w:tcPr>
            <w:tcW w:w="288" w:type="pct"/>
            <w:noWrap w:val="0"/>
            <w:vAlign w:val="center"/>
          </w:tcPr>
          <w:p w14:paraId="79B99C1A">
            <w:pPr>
              <w:rPr>
                <w:szCs w:val="21"/>
              </w:rPr>
            </w:pPr>
            <w:r>
              <w:rPr>
                <w:rFonts w:hint="eastAsia"/>
                <w:szCs w:val="21"/>
              </w:rPr>
              <w:t>1</w:t>
            </w:r>
          </w:p>
        </w:tc>
        <w:tc>
          <w:tcPr>
            <w:tcW w:w="720" w:type="pct"/>
            <w:noWrap w:val="0"/>
            <w:vAlign w:val="center"/>
          </w:tcPr>
          <w:p w14:paraId="00F159BF">
            <w:pPr>
              <w:jc w:val="center"/>
              <w:rPr>
                <w:szCs w:val="21"/>
              </w:rPr>
            </w:pPr>
          </w:p>
        </w:tc>
        <w:tc>
          <w:tcPr>
            <w:tcW w:w="577" w:type="pct"/>
            <w:noWrap w:val="0"/>
            <w:vAlign w:val="center"/>
          </w:tcPr>
          <w:p w14:paraId="3048624D">
            <w:pPr>
              <w:jc w:val="center"/>
              <w:rPr>
                <w:szCs w:val="21"/>
              </w:rPr>
            </w:pPr>
            <w:r>
              <w:rPr>
                <w:szCs w:val="21"/>
              </w:rPr>
              <w:t>否</w:t>
            </w:r>
          </w:p>
        </w:tc>
      </w:tr>
      <w:tr w14:paraId="7198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157775F5">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1</w:t>
            </w:r>
            <w:r>
              <w:rPr>
                <w:rFonts w:ascii="等线" w:hAnsi="等线" w:cs="仿宋"/>
                <w:bCs/>
                <w:color w:val="000000"/>
                <w:kern w:val="0"/>
                <w:szCs w:val="21"/>
              </w:rPr>
              <w:t>1</w:t>
            </w:r>
          </w:p>
        </w:tc>
        <w:tc>
          <w:tcPr>
            <w:tcW w:w="617" w:type="pct"/>
            <w:noWrap w:val="0"/>
            <w:vAlign w:val="center"/>
          </w:tcPr>
          <w:p w14:paraId="32484445">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信息化集成</w:t>
            </w:r>
          </w:p>
        </w:tc>
        <w:tc>
          <w:tcPr>
            <w:tcW w:w="2167" w:type="pct"/>
            <w:noWrap w:val="0"/>
            <w:vAlign w:val="center"/>
          </w:tcPr>
          <w:p w14:paraId="2E83E97C">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电子病历5级接口对接及相关改造</w:t>
            </w:r>
          </w:p>
          <w:p w14:paraId="79463717">
            <w:pPr>
              <w:widowControl/>
              <w:snapToGrid w:val="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互联互通四甲接口对接及相关改造</w:t>
            </w:r>
          </w:p>
          <w:p w14:paraId="661863B5">
            <w:pPr>
              <w:widowControl/>
              <w:snapToGrid w:val="0"/>
              <w:jc w:val="left"/>
              <w:rPr>
                <w:rFonts w:ascii="等线" w:hAnsi="等线" w:cs="仿宋"/>
                <w:bCs/>
                <w:color w:val="000000"/>
                <w:kern w:val="0"/>
                <w:szCs w:val="21"/>
              </w:rPr>
            </w:pPr>
            <w:r>
              <w:rPr>
                <w:rFonts w:hint="eastAsia" w:ascii="等线" w:hAnsi="等线" w:cs="仿宋"/>
                <w:bCs/>
                <w:color w:val="000000"/>
                <w:kern w:val="0"/>
                <w:szCs w:val="21"/>
              </w:rPr>
              <w:t>3.</w:t>
            </w:r>
            <w:r>
              <w:rPr>
                <w:rFonts w:hint="eastAsia" w:ascii="等线" w:hAnsi="等线" w:cs="仿宋"/>
                <w:bCs/>
                <w:color w:val="000000"/>
                <w:kern w:val="0"/>
                <w:szCs w:val="21"/>
              </w:rPr>
              <w:tab/>
            </w:r>
            <w:r>
              <w:rPr>
                <w:rFonts w:hint="eastAsia" w:ascii="等线" w:hAnsi="等线" w:cs="仿宋"/>
                <w:bCs/>
                <w:color w:val="000000"/>
                <w:kern w:val="0"/>
                <w:szCs w:val="21"/>
              </w:rPr>
              <w:t>洗消追溯接口</w:t>
            </w:r>
          </w:p>
          <w:p w14:paraId="704E92A0">
            <w:pPr>
              <w:widowControl/>
              <w:snapToGrid w:val="0"/>
              <w:jc w:val="left"/>
              <w:rPr>
                <w:rFonts w:ascii="等线" w:hAnsi="等线" w:cs="仿宋"/>
                <w:bCs/>
                <w:color w:val="000000"/>
                <w:kern w:val="0"/>
                <w:szCs w:val="21"/>
              </w:rPr>
            </w:pPr>
            <w:r>
              <w:rPr>
                <w:rFonts w:hint="eastAsia" w:ascii="等线" w:hAnsi="等线" w:cs="仿宋"/>
                <w:bCs/>
                <w:color w:val="000000"/>
                <w:kern w:val="0"/>
                <w:szCs w:val="21"/>
              </w:rPr>
              <w:t>4.</w:t>
            </w:r>
            <w:r>
              <w:rPr>
                <w:rFonts w:hint="eastAsia" w:ascii="等线" w:hAnsi="等线" w:cs="仿宋"/>
                <w:bCs/>
                <w:color w:val="000000"/>
                <w:kern w:val="0"/>
                <w:szCs w:val="21"/>
              </w:rPr>
              <w:tab/>
            </w:r>
            <w:r>
              <w:rPr>
                <w:rFonts w:hint="eastAsia" w:ascii="等线" w:hAnsi="等线" w:cs="仿宋"/>
                <w:bCs/>
                <w:color w:val="000000"/>
                <w:kern w:val="0"/>
                <w:szCs w:val="21"/>
              </w:rPr>
              <w:t>云影像接口</w:t>
            </w:r>
          </w:p>
          <w:p w14:paraId="3FB4139F">
            <w:pPr>
              <w:widowControl/>
              <w:snapToGrid w:val="0"/>
              <w:jc w:val="left"/>
              <w:rPr>
                <w:rFonts w:ascii="等线" w:hAnsi="等线" w:cs="仿宋"/>
                <w:bCs/>
                <w:color w:val="000000"/>
                <w:kern w:val="0"/>
                <w:szCs w:val="21"/>
              </w:rPr>
            </w:pPr>
            <w:r>
              <w:rPr>
                <w:rFonts w:hint="eastAsia" w:ascii="等线" w:hAnsi="等线" w:cs="仿宋"/>
                <w:bCs/>
                <w:color w:val="000000"/>
                <w:kern w:val="0"/>
                <w:szCs w:val="21"/>
              </w:rPr>
              <w:t>5</w:t>
            </w:r>
            <w:r>
              <w:rPr>
                <w:rFonts w:ascii="等线" w:hAnsi="等线" w:cs="仿宋"/>
                <w:bCs/>
                <w:color w:val="000000"/>
                <w:kern w:val="0"/>
                <w:szCs w:val="21"/>
              </w:rPr>
              <w:t xml:space="preserve">.  </w:t>
            </w:r>
            <w:r>
              <w:rPr>
                <w:rFonts w:hint="eastAsia" w:ascii="等线" w:hAnsi="等线" w:cs="仿宋"/>
                <w:bCs/>
                <w:color w:val="000000"/>
                <w:kern w:val="0"/>
                <w:szCs w:val="21"/>
              </w:rPr>
              <w:t>历史数据迁移服务：从医院现存系统的报告图像数据迁移到新系统，实现新系统内调阅历史图像、报告。</w:t>
            </w:r>
          </w:p>
        </w:tc>
        <w:tc>
          <w:tcPr>
            <w:tcW w:w="256" w:type="pct"/>
            <w:noWrap w:val="0"/>
            <w:vAlign w:val="center"/>
          </w:tcPr>
          <w:p w14:paraId="7A0D8EAF">
            <w:pPr>
              <w:rPr>
                <w:szCs w:val="21"/>
              </w:rPr>
            </w:pPr>
            <w:r>
              <w:rPr>
                <w:rFonts w:hint="eastAsia"/>
                <w:szCs w:val="21"/>
              </w:rPr>
              <w:t>套</w:t>
            </w:r>
          </w:p>
        </w:tc>
        <w:tc>
          <w:tcPr>
            <w:tcW w:w="288" w:type="pct"/>
            <w:noWrap w:val="0"/>
            <w:vAlign w:val="center"/>
          </w:tcPr>
          <w:p w14:paraId="6DF886CC">
            <w:pPr>
              <w:rPr>
                <w:szCs w:val="21"/>
              </w:rPr>
            </w:pPr>
            <w:r>
              <w:rPr>
                <w:rFonts w:hint="eastAsia"/>
                <w:szCs w:val="21"/>
              </w:rPr>
              <w:t>1</w:t>
            </w:r>
          </w:p>
        </w:tc>
        <w:tc>
          <w:tcPr>
            <w:tcW w:w="720" w:type="pct"/>
            <w:noWrap w:val="0"/>
            <w:vAlign w:val="center"/>
          </w:tcPr>
          <w:p w14:paraId="172C257B">
            <w:pPr>
              <w:jc w:val="center"/>
              <w:rPr>
                <w:szCs w:val="21"/>
              </w:rPr>
            </w:pPr>
          </w:p>
        </w:tc>
        <w:tc>
          <w:tcPr>
            <w:tcW w:w="577" w:type="pct"/>
            <w:noWrap w:val="0"/>
            <w:vAlign w:val="center"/>
          </w:tcPr>
          <w:p w14:paraId="34BFF77B">
            <w:pPr>
              <w:jc w:val="center"/>
              <w:rPr>
                <w:szCs w:val="21"/>
              </w:rPr>
            </w:pPr>
            <w:r>
              <w:rPr>
                <w:szCs w:val="21"/>
              </w:rPr>
              <w:t>否</w:t>
            </w:r>
          </w:p>
        </w:tc>
      </w:tr>
      <w:tr w14:paraId="070C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296CABF1">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1</w:t>
            </w:r>
            <w:r>
              <w:rPr>
                <w:rFonts w:ascii="等线" w:hAnsi="等线" w:cs="仿宋"/>
                <w:bCs/>
                <w:color w:val="000000"/>
                <w:kern w:val="0"/>
                <w:szCs w:val="21"/>
              </w:rPr>
              <w:t>2</w:t>
            </w:r>
          </w:p>
        </w:tc>
        <w:tc>
          <w:tcPr>
            <w:tcW w:w="617" w:type="pct"/>
            <w:noWrap w:val="0"/>
            <w:vAlign w:val="center"/>
          </w:tcPr>
          <w:p w14:paraId="00EEA789">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预约登记/主任审核工作站电脑</w:t>
            </w:r>
          </w:p>
        </w:tc>
        <w:tc>
          <w:tcPr>
            <w:tcW w:w="2167" w:type="pct"/>
            <w:noWrap w:val="0"/>
            <w:vAlign w:val="center"/>
          </w:tcPr>
          <w:p w14:paraId="4B3AA3C8">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CPU：海光3350及以上</w:t>
            </w:r>
          </w:p>
          <w:p w14:paraId="6B2580FF">
            <w:pPr>
              <w:widowControl/>
              <w:snapToGrid w:val="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内存：16G及以上</w:t>
            </w:r>
          </w:p>
          <w:p w14:paraId="06240707">
            <w:pPr>
              <w:widowControl/>
              <w:snapToGrid w:val="0"/>
              <w:jc w:val="left"/>
              <w:rPr>
                <w:rFonts w:ascii="等线" w:hAnsi="等线" w:cs="仿宋"/>
                <w:bCs/>
                <w:color w:val="000000"/>
                <w:kern w:val="0"/>
                <w:szCs w:val="21"/>
              </w:rPr>
            </w:pPr>
            <w:r>
              <w:rPr>
                <w:rFonts w:hint="eastAsia" w:ascii="等线" w:hAnsi="等线" w:cs="仿宋"/>
                <w:bCs/>
                <w:color w:val="000000"/>
                <w:kern w:val="0"/>
                <w:szCs w:val="21"/>
              </w:rPr>
              <w:t>3)</w:t>
            </w:r>
            <w:r>
              <w:rPr>
                <w:rFonts w:hint="eastAsia" w:ascii="等线" w:hAnsi="等线" w:cs="仿宋"/>
                <w:bCs/>
                <w:color w:val="000000"/>
                <w:kern w:val="0"/>
                <w:szCs w:val="21"/>
              </w:rPr>
              <w:tab/>
            </w:r>
            <w:r>
              <w:rPr>
                <w:rFonts w:hint="eastAsia" w:ascii="等线" w:hAnsi="等线" w:cs="仿宋"/>
                <w:bCs/>
                <w:color w:val="000000"/>
                <w:kern w:val="0"/>
                <w:szCs w:val="21"/>
              </w:rPr>
              <w:t>硬盘：512</w:t>
            </w:r>
            <w:r>
              <w:rPr>
                <w:rFonts w:ascii="等线" w:hAnsi="等线" w:cs="仿宋"/>
                <w:bCs/>
                <w:color w:val="000000"/>
                <w:kern w:val="0"/>
                <w:szCs w:val="21"/>
              </w:rPr>
              <w:t>G</w:t>
            </w:r>
            <w:r>
              <w:rPr>
                <w:rFonts w:hint="eastAsia" w:ascii="等线" w:hAnsi="等线" w:cs="仿宋"/>
                <w:bCs/>
                <w:color w:val="000000"/>
                <w:kern w:val="0"/>
                <w:szCs w:val="21"/>
              </w:rPr>
              <w:t xml:space="preserve"> SSD</w:t>
            </w:r>
          </w:p>
          <w:p w14:paraId="0B28FBD0">
            <w:pPr>
              <w:widowControl/>
              <w:snapToGrid w:val="0"/>
              <w:jc w:val="left"/>
              <w:rPr>
                <w:rFonts w:ascii="等线" w:hAnsi="等线" w:cs="仿宋"/>
                <w:bCs/>
                <w:color w:val="000000"/>
                <w:kern w:val="0"/>
                <w:szCs w:val="21"/>
              </w:rPr>
            </w:pPr>
            <w:r>
              <w:rPr>
                <w:rFonts w:ascii="等线" w:hAnsi="等线" w:cs="仿宋"/>
                <w:bCs/>
                <w:color w:val="000000"/>
                <w:kern w:val="0"/>
                <w:szCs w:val="21"/>
              </w:rPr>
              <w:t>4</w:t>
            </w:r>
            <w:r>
              <w:rPr>
                <w:rFonts w:hint="eastAsia" w:ascii="等线" w:hAnsi="等线" w:cs="仿宋"/>
                <w:bCs/>
                <w:color w:val="000000"/>
                <w:kern w:val="0"/>
                <w:szCs w:val="21"/>
              </w:rPr>
              <w:t>)</w:t>
            </w:r>
            <w:r>
              <w:rPr>
                <w:rFonts w:hint="eastAsia" w:ascii="等线" w:hAnsi="等线" w:cs="仿宋"/>
                <w:bCs/>
                <w:color w:val="000000"/>
                <w:kern w:val="0"/>
                <w:szCs w:val="21"/>
              </w:rPr>
              <w:tab/>
            </w:r>
            <w:r>
              <w:rPr>
                <w:rFonts w:hint="eastAsia" w:ascii="等线" w:hAnsi="等线" w:cs="仿宋"/>
                <w:bCs/>
                <w:color w:val="000000"/>
                <w:kern w:val="0"/>
                <w:szCs w:val="21"/>
              </w:rPr>
              <w:t>显卡：2G独显及以上</w:t>
            </w:r>
          </w:p>
          <w:p w14:paraId="0093A5CD">
            <w:pPr>
              <w:widowControl/>
              <w:snapToGrid w:val="0"/>
              <w:jc w:val="left"/>
              <w:rPr>
                <w:rFonts w:ascii="等线" w:hAnsi="等线" w:cs="仿宋"/>
                <w:bCs/>
                <w:color w:val="000000"/>
                <w:kern w:val="0"/>
                <w:szCs w:val="21"/>
              </w:rPr>
            </w:pPr>
            <w:r>
              <w:rPr>
                <w:rFonts w:ascii="等线" w:hAnsi="等线" w:cs="仿宋"/>
                <w:bCs/>
                <w:color w:val="000000"/>
                <w:kern w:val="0"/>
                <w:szCs w:val="21"/>
              </w:rPr>
              <w:t>5</w:t>
            </w:r>
            <w:r>
              <w:rPr>
                <w:rFonts w:hint="eastAsia" w:ascii="等线" w:hAnsi="等线" w:cs="仿宋"/>
                <w:bCs/>
                <w:color w:val="000000"/>
                <w:kern w:val="0"/>
                <w:szCs w:val="21"/>
              </w:rPr>
              <w:t>)</w:t>
            </w:r>
            <w:r>
              <w:rPr>
                <w:rFonts w:hint="eastAsia" w:ascii="等线" w:hAnsi="等线" w:cs="仿宋"/>
                <w:bCs/>
                <w:color w:val="000000"/>
                <w:kern w:val="0"/>
                <w:szCs w:val="21"/>
              </w:rPr>
              <w:tab/>
            </w:r>
            <w:r>
              <w:rPr>
                <w:rFonts w:hint="eastAsia" w:ascii="等线" w:hAnsi="等线" w:cs="仿宋"/>
                <w:bCs/>
                <w:color w:val="000000"/>
                <w:kern w:val="0"/>
                <w:szCs w:val="21"/>
              </w:rPr>
              <w:t>显示器：2</w:t>
            </w:r>
            <w:r>
              <w:rPr>
                <w:rFonts w:ascii="等线" w:hAnsi="等线" w:cs="仿宋"/>
                <w:bCs/>
                <w:color w:val="000000"/>
                <w:kern w:val="0"/>
                <w:szCs w:val="21"/>
              </w:rPr>
              <w:t>4</w:t>
            </w:r>
            <w:r>
              <w:rPr>
                <w:rFonts w:hint="eastAsia" w:ascii="等线" w:hAnsi="等线" w:cs="仿宋"/>
                <w:bCs/>
                <w:color w:val="000000"/>
                <w:kern w:val="0"/>
                <w:szCs w:val="21"/>
              </w:rPr>
              <w:t>寸及以上</w:t>
            </w:r>
          </w:p>
        </w:tc>
        <w:tc>
          <w:tcPr>
            <w:tcW w:w="256" w:type="pct"/>
            <w:noWrap w:val="0"/>
            <w:vAlign w:val="center"/>
          </w:tcPr>
          <w:p w14:paraId="0D26FBAB">
            <w:pPr>
              <w:rPr>
                <w:rFonts w:hint="eastAsia"/>
                <w:szCs w:val="21"/>
              </w:rPr>
            </w:pPr>
            <w:r>
              <w:rPr>
                <w:rFonts w:hint="eastAsia"/>
                <w:szCs w:val="21"/>
              </w:rPr>
              <w:t>台</w:t>
            </w:r>
          </w:p>
        </w:tc>
        <w:tc>
          <w:tcPr>
            <w:tcW w:w="288" w:type="pct"/>
            <w:noWrap w:val="0"/>
            <w:vAlign w:val="center"/>
          </w:tcPr>
          <w:p w14:paraId="0FE0A229">
            <w:pPr>
              <w:rPr>
                <w:szCs w:val="21"/>
              </w:rPr>
            </w:pPr>
            <w:r>
              <w:rPr>
                <w:rFonts w:hint="eastAsia"/>
                <w:szCs w:val="21"/>
              </w:rPr>
              <w:t>2</w:t>
            </w:r>
          </w:p>
        </w:tc>
        <w:tc>
          <w:tcPr>
            <w:tcW w:w="720" w:type="pct"/>
            <w:noWrap w:val="0"/>
            <w:vAlign w:val="center"/>
          </w:tcPr>
          <w:p w14:paraId="1B17A201">
            <w:pPr>
              <w:jc w:val="center"/>
              <w:rPr>
                <w:szCs w:val="21"/>
              </w:rPr>
            </w:pPr>
          </w:p>
        </w:tc>
        <w:tc>
          <w:tcPr>
            <w:tcW w:w="577" w:type="pct"/>
            <w:noWrap w:val="0"/>
            <w:vAlign w:val="center"/>
          </w:tcPr>
          <w:p w14:paraId="620CAB3A">
            <w:pPr>
              <w:jc w:val="center"/>
              <w:rPr>
                <w:rFonts w:hint="eastAsia"/>
                <w:szCs w:val="21"/>
              </w:rPr>
            </w:pPr>
            <w:r>
              <w:rPr>
                <w:rFonts w:hint="eastAsia"/>
                <w:szCs w:val="21"/>
              </w:rPr>
              <w:t>是</w:t>
            </w:r>
          </w:p>
        </w:tc>
      </w:tr>
      <w:tr w14:paraId="0458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357841B0">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1</w:t>
            </w:r>
            <w:r>
              <w:rPr>
                <w:rFonts w:ascii="等线" w:hAnsi="等线" w:cs="仿宋"/>
                <w:bCs/>
                <w:color w:val="000000"/>
                <w:kern w:val="0"/>
                <w:szCs w:val="21"/>
              </w:rPr>
              <w:t>3</w:t>
            </w:r>
          </w:p>
        </w:tc>
        <w:tc>
          <w:tcPr>
            <w:tcW w:w="617" w:type="pct"/>
            <w:noWrap w:val="0"/>
            <w:vAlign w:val="center"/>
          </w:tcPr>
          <w:p w14:paraId="66E11EFE">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图文报告系统电脑</w:t>
            </w:r>
          </w:p>
        </w:tc>
        <w:tc>
          <w:tcPr>
            <w:tcW w:w="2167" w:type="pct"/>
            <w:noWrap w:val="0"/>
            <w:vAlign w:val="center"/>
          </w:tcPr>
          <w:p w14:paraId="5CE67253">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CPU：海光3350及以上</w:t>
            </w:r>
          </w:p>
          <w:p w14:paraId="72329D38">
            <w:pPr>
              <w:widowControl/>
              <w:snapToGrid w:val="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内存：16G及以上</w:t>
            </w:r>
          </w:p>
          <w:p w14:paraId="79BDDF17">
            <w:pPr>
              <w:widowControl/>
              <w:snapToGrid w:val="0"/>
              <w:jc w:val="left"/>
              <w:rPr>
                <w:rFonts w:ascii="等线" w:hAnsi="等线" w:cs="仿宋"/>
                <w:bCs/>
                <w:color w:val="000000"/>
                <w:kern w:val="0"/>
                <w:szCs w:val="21"/>
              </w:rPr>
            </w:pPr>
            <w:r>
              <w:rPr>
                <w:rFonts w:hint="eastAsia" w:ascii="等线" w:hAnsi="等线" w:cs="仿宋"/>
                <w:bCs/>
                <w:color w:val="000000"/>
                <w:kern w:val="0"/>
                <w:szCs w:val="21"/>
              </w:rPr>
              <w:t>3)</w:t>
            </w:r>
            <w:r>
              <w:rPr>
                <w:rFonts w:hint="eastAsia" w:ascii="等线" w:hAnsi="等线" w:cs="仿宋"/>
                <w:bCs/>
                <w:color w:val="000000"/>
                <w:kern w:val="0"/>
                <w:szCs w:val="21"/>
              </w:rPr>
              <w:tab/>
            </w:r>
            <w:r>
              <w:rPr>
                <w:rFonts w:hint="eastAsia" w:ascii="等线" w:hAnsi="等线" w:cs="仿宋"/>
                <w:bCs/>
                <w:color w:val="000000"/>
                <w:kern w:val="0"/>
                <w:szCs w:val="21"/>
              </w:rPr>
              <w:t>硬盘：</w:t>
            </w:r>
            <w:r>
              <w:rPr>
                <w:rFonts w:ascii="等线" w:hAnsi="等线" w:cs="仿宋"/>
                <w:bCs/>
                <w:color w:val="000000"/>
                <w:kern w:val="0"/>
                <w:szCs w:val="21"/>
              </w:rPr>
              <w:t>512G</w:t>
            </w:r>
            <w:r>
              <w:rPr>
                <w:rFonts w:hint="eastAsia" w:ascii="等线" w:hAnsi="等线" w:cs="仿宋"/>
                <w:bCs/>
                <w:color w:val="000000"/>
                <w:kern w:val="0"/>
                <w:szCs w:val="21"/>
              </w:rPr>
              <w:t xml:space="preserve"> SSD+1T HDD及以上</w:t>
            </w:r>
          </w:p>
          <w:p w14:paraId="04330E49">
            <w:pPr>
              <w:widowControl/>
              <w:snapToGrid w:val="0"/>
              <w:jc w:val="left"/>
              <w:rPr>
                <w:rFonts w:ascii="等线" w:hAnsi="等线" w:cs="仿宋"/>
                <w:bCs/>
                <w:color w:val="000000"/>
                <w:kern w:val="0"/>
                <w:szCs w:val="21"/>
              </w:rPr>
            </w:pPr>
            <w:r>
              <w:rPr>
                <w:rFonts w:ascii="等线" w:hAnsi="等线" w:cs="仿宋"/>
                <w:bCs/>
                <w:color w:val="000000"/>
                <w:kern w:val="0"/>
                <w:szCs w:val="21"/>
              </w:rPr>
              <w:t>4</w:t>
            </w:r>
            <w:r>
              <w:rPr>
                <w:rFonts w:hint="eastAsia" w:ascii="等线" w:hAnsi="等线" w:cs="仿宋"/>
                <w:bCs/>
                <w:color w:val="000000"/>
                <w:kern w:val="0"/>
                <w:szCs w:val="21"/>
              </w:rPr>
              <w:t>)</w:t>
            </w:r>
            <w:r>
              <w:rPr>
                <w:rFonts w:hint="eastAsia" w:ascii="等线" w:hAnsi="等线" w:cs="仿宋"/>
                <w:bCs/>
                <w:color w:val="000000"/>
                <w:kern w:val="0"/>
                <w:szCs w:val="21"/>
              </w:rPr>
              <w:tab/>
            </w:r>
            <w:r>
              <w:rPr>
                <w:rFonts w:hint="eastAsia" w:ascii="等线" w:hAnsi="等线" w:cs="仿宋"/>
                <w:bCs/>
                <w:color w:val="000000"/>
                <w:kern w:val="0"/>
                <w:szCs w:val="21"/>
              </w:rPr>
              <w:t>显卡：2G独显及以上</w:t>
            </w:r>
          </w:p>
          <w:p w14:paraId="5BD6E0AC">
            <w:pPr>
              <w:widowControl/>
              <w:snapToGrid w:val="0"/>
              <w:jc w:val="left"/>
              <w:rPr>
                <w:rFonts w:ascii="等线" w:hAnsi="等线" w:cs="仿宋"/>
                <w:bCs/>
                <w:color w:val="000000"/>
                <w:kern w:val="0"/>
                <w:szCs w:val="21"/>
              </w:rPr>
            </w:pPr>
            <w:r>
              <w:rPr>
                <w:rFonts w:ascii="等线" w:hAnsi="等线" w:cs="仿宋"/>
                <w:bCs/>
                <w:color w:val="000000"/>
                <w:kern w:val="0"/>
                <w:szCs w:val="21"/>
              </w:rPr>
              <w:t>5</w:t>
            </w:r>
            <w:r>
              <w:rPr>
                <w:rFonts w:hint="eastAsia" w:ascii="等线" w:hAnsi="等线" w:cs="仿宋"/>
                <w:bCs/>
                <w:color w:val="000000"/>
                <w:kern w:val="0"/>
                <w:szCs w:val="21"/>
              </w:rPr>
              <w:t>)</w:t>
            </w:r>
            <w:r>
              <w:rPr>
                <w:rFonts w:hint="eastAsia" w:ascii="等线" w:hAnsi="等线" w:cs="仿宋"/>
                <w:bCs/>
                <w:color w:val="000000"/>
                <w:kern w:val="0"/>
                <w:szCs w:val="21"/>
              </w:rPr>
              <w:tab/>
            </w:r>
            <w:r>
              <w:rPr>
                <w:rFonts w:hint="eastAsia" w:ascii="等线" w:hAnsi="等线" w:cs="仿宋"/>
                <w:bCs/>
                <w:color w:val="000000"/>
                <w:kern w:val="0"/>
                <w:szCs w:val="21"/>
              </w:rPr>
              <w:t>显示器：2</w:t>
            </w:r>
            <w:r>
              <w:rPr>
                <w:rFonts w:ascii="等线" w:hAnsi="等线" w:cs="仿宋"/>
                <w:bCs/>
                <w:color w:val="000000"/>
                <w:kern w:val="0"/>
                <w:szCs w:val="21"/>
              </w:rPr>
              <w:t>*</w:t>
            </w:r>
            <w:r>
              <w:rPr>
                <w:rFonts w:hint="eastAsia" w:ascii="等线" w:hAnsi="等线" w:cs="仿宋"/>
                <w:bCs/>
                <w:color w:val="000000"/>
                <w:kern w:val="0"/>
                <w:szCs w:val="21"/>
              </w:rPr>
              <w:t>2</w:t>
            </w:r>
            <w:r>
              <w:rPr>
                <w:rFonts w:ascii="等线" w:hAnsi="等线" w:cs="仿宋"/>
                <w:bCs/>
                <w:color w:val="000000"/>
                <w:kern w:val="0"/>
                <w:szCs w:val="21"/>
              </w:rPr>
              <w:t>4</w:t>
            </w:r>
            <w:r>
              <w:rPr>
                <w:rFonts w:hint="eastAsia" w:ascii="等线" w:hAnsi="等线" w:cs="仿宋"/>
                <w:bCs/>
                <w:color w:val="000000"/>
                <w:kern w:val="0"/>
                <w:szCs w:val="21"/>
              </w:rPr>
              <w:t>寸及以上</w:t>
            </w:r>
          </w:p>
        </w:tc>
        <w:tc>
          <w:tcPr>
            <w:tcW w:w="256" w:type="pct"/>
            <w:noWrap w:val="0"/>
            <w:vAlign w:val="center"/>
          </w:tcPr>
          <w:p w14:paraId="1263FA10">
            <w:pPr>
              <w:rPr>
                <w:szCs w:val="21"/>
              </w:rPr>
            </w:pPr>
            <w:r>
              <w:rPr>
                <w:rFonts w:hint="eastAsia"/>
                <w:szCs w:val="21"/>
              </w:rPr>
              <w:t>台</w:t>
            </w:r>
          </w:p>
        </w:tc>
        <w:tc>
          <w:tcPr>
            <w:tcW w:w="288" w:type="pct"/>
            <w:noWrap w:val="0"/>
            <w:vAlign w:val="center"/>
          </w:tcPr>
          <w:p w14:paraId="60950D0C">
            <w:pPr>
              <w:rPr>
                <w:szCs w:val="21"/>
              </w:rPr>
            </w:pPr>
            <w:r>
              <w:rPr>
                <w:rFonts w:hint="eastAsia"/>
                <w:szCs w:val="21"/>
              </w:rPr>
              <w:t>8</w:t>
            </w:r>
          </w:p>
        </w:tc>
        <w:tc>
          <w:tcPr>
            <w:tcW w:w="720" w:type="pct"/>
            <w:noWrap w:val="0"/>
            <w:vAlign w:val="center"/>
          </w:tcPr>
          <w:p w14:paraId="0A5EA7BD">
            <w:pPr>
              <w:jc w:val="center"/>
              <w:rPr>
                <w:szCs w:val="21"/>
              </w:rPr>
            </w:pPr>
          </w:p>
        </w:tc>
        <w:tc>
          <w:tcPr>
            <w:tcW w:w="577" w:type="pct"/>
            <w:noWrap w:val="0"/>
            <w:vAlign w:val="center"/>
          </w:tcPr>
          <w:p w14:paraId="70BE1110">
            <w:pPr>
              <w:jc w:val="center"/>
              <w:rPr>
                <w:szCs w:val="21"/>
              </w:rPr>
            </w:pPr>
            <w:r>
              <w:rPr>
                <w:rFonts w:hint="eastAsia"/>
                <w:szCs w:val="21"/>
              </w:rPr>
              <w:t>是</w:t>
            </w:r>
          </w:p>
        </w:tc>
      </w:tr>
      <w:tr w14:paraId="0FA3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375" w:type="pct"/>
            <w:noWrap w:val="0"/>
            <w:vAlign w:val="center"/>
          </w:tcPr>
          <w:p w14:paraId="5B4D0107">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1</w:t>
            </w:r>
            <w:r>
              <w:rPr>
                <w:rFonts w:ascii="等线" w:hAnsi="等线" w:cs="仿宋"/>
                <w:bCs/>
                <w:color w:val="000000"/>
                <w:kern w:val="0"/>
                <w:szCs w:val="21"/>
              </w:rPr>
              <w:t>4</w:t>
            </w:r>
          </w:p>
        </w:tc>
        <w:tc>
          <w:tcPr>
            <w:tcW w:w="617" w:type="pct"/>
            <w:noWrap w:val="0"/>
            <w:vAlign w:val="center"/>
          </w:tcPr>
          <w:p w14:paraId="672467EB">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叫号屏</w:t>
            </w:r>
          </w:p>
        </w:tc>
        <w:tc>
          <w:tcPr>
            <w:tcW w:w="2167" w:type="pct"/>
            <w:noWrap w:val="0"/>
            <w:vAlign w:val="center"/>
          </w:tcPr>
          <w:p w14:paraId="2DEC24DE">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超高清4K 65寸LED电视，带HDMI接口</w:t>
            </w:r>
          </w:p>
        </w:tc>
        <w:tc>
          <w:tcPr>
            <w:tcW w:w="256" w:type="pct"/>
            <w:noWrap w:val="0"/>
            <w:vAlign w:val="center"/>
          </w:tcPr>
          <w:p w14:paraId="4E50085E">
            <w:pPr>
              <w:rPr>
                <w:szCs w:val="21"/>
              </w:rPr>
            </w:pPr>
            <w:r>
              <w:rPr>
                <w:rFonts w:hint="eastAsia"/>
                <w:szCs w:val="21"/>
              </w:rPr>
              <w:t>台</w:t>
            </w:r>
          </w:p>
        </w:tc>
        <w:tc>
          <w:tcPr>
            <w:tcW w:w="288" w:type="pct"/>
            <w:noWrap w:val="0"/>
            <w:vAlign w:val="center"/>
          </w:tcPr>
          <w:p w14:paraId="127278CD">
            <w:pPr>
              <w:rPr>
                <w:szCs w:val="21"/>
              </w:rPr>
            </w:pPr>
            <w:r>
              <w:rPr>
                <w:rFonts w:hint="eastAsia"/>
                <w:szCs w:val="21"/>
              </w:rPr>
              <w:t>2</w:t>
            </w:r>
          </w:p>
        </w:tc>
        <w:tc>
          <w:tcPr>
            <w:tcW w:w="720" w:type="pct"/>
            <w:noWrap w:val="0"/>
            <w:vAlign w:val="center"/>
          </w:tcPr>
          <w:p w14:paraId="13BB788B">
            <w:pPr>
              <w:jc w:val="center"/>
              <w:rPr>
                <w:szCs w:val="21"/>
              </w:rPr>
            </w:pPr>
          </w:p>
        </w:tc>
        <w:tc>
          <w:tcPr>
            <w:tcW w:w="577" w:type="pct"/>
            <w:noWrap w:val="0"/>
            <w:vAlign w:val="center"/>
          </w:tcPr>
          <w:p w14:paraId="475CD9F7">
            <w:pPr>
              <w:jc w:val="center"/>
              <w:rPr>
                <w:szCs w:val="21"/>
              </w:rPr>
            </w:pPr>
            <w:r>
              <w:rPr>
                <w:szCs w:val="21"/>
              </w:rPr>
              <w:t>否</w:t>
            </w:r>
          </w:p>
        </w:tc>
      </w:tr>
      <w:tr w14:paraId="0AB1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375" w:type="pct"/>
            <w:noWrap w:val="0"/>
            <w:vAlign w:val="center"/>
          </w:tcPr>
          <w:p w14:paraId="024F0F8C">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1</w:t>
            </w:r>
            <w:r>
              <w:rPr>
                <w:rFonts w:ascii="等线" w:hAnsi="等线" w:cs="仿宋"/>
                <w:bCs/>
                <w:color w:val="000000"/>
                <w:kern w:val="0"/>
                <w:szCs w:val="21"/>
              </w:rPr>
              <w:t>5</w:t>
            </w:r>
          </w:p>
        </w:tc>
        <w:tc>
          <w:tcPr>
            <w:tcW w:w="617" w:type="pct"/>
            <w:noWrap w:val="0"/>
            <w:vAlign w:val="center"/>
          </w:tcPr>
          <w:p w14:paraId="2C4439E5">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诊间门口屏</w:t>
            </w:r>
          </w:p>
        </w:tc>
        <w:tc>
          <w:tcPr>
            <w:tcW w:w="2167" w:type="pct"/>
            <w:noWrap w:val="0"/>
            <w:vAlign w:val="center"/>
          </w:tcPr>
          <w:p w14:paraId="11CC44B9">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无线21.5英寸、非触摸屏一体机，支持widows系统</w:t>
            </w:r>
          </w:p>
        </w:tc>
        <w:tc>
          <w:tcPr>
            <w:tcW w:w="256" w:type="pct"/>
            <w:noWrap w:val="0"/>
            <w:vAlign w:val="center"/>
          </w:tcPr>
          <w:p w14:paraId="387AB25F">
            <w:pPr>
              <w:rPr>
                <w:szCs w:val="21"/>
              </w:rPr>
            </w:pPr>
            <w:r>
              <w:rPr>
                <w:rFonts w:hint="eastAsia"/>
                <w:szCs w:val="21"/>
              </w:rPr>
              <w:t>台</w:t>
            </w:r>
          </w:p>
        </w:tc>
        <w:tc>
          <w:tcPr>
            <w:tcW w:w="288" w:type="pct"/>
            <w:noWrap w:val="0"/>
            <w:vAlign w:val="center"/>
          </w:tcPr>
          <w:p w14:paraId="096C9CD7">
            <w:pPr>
              <w:rPr>
                <w:szCs w:val="21"/>
              </w:rPr>
            </w:pPr>
            <w:r>
              <w:rPr>
                <w:rFonts w:hint="eastAsia"/>
                <w:szCs w:val="21"/>
              </w:rPr>
              <w:t>7</w:t>
            </w:r>
          </w:p>
        </w:tc>
        <w:tc>
          <w:tcPr>
            <w:tcW w:w="720" w:type="pct"/>
            <w:noWrap w:val="0"/>
            <w:vAlign w:val="center"/>
          </w:tcPr>
          <w:p w14:paraId="7D3A6D22">
            <w:pPr>
              <w:jc w:val="center"/>
              <w:rPr>
                <w:szCs w:val="21"/>
              </w:rPr>
            </w:pPr>
          </w:p>
        </w:tc>
        <w:tc>
          <w:tcPr>
            <w:tcW w:w="577" w:type="pct"/>
            <w:noWrap w:val="0"/>
            <w:vAlign w:val="center"/>
          </w:tcPr>
          <w:p w14:paraId="2AE5EF63">
            <w:pPr>
              <w:jc w:val="center"/>
              <w:rPr>
                <w:szCs w:val="21"/>
              </w:rPr>
            </w:pPr>
            <w:r>
              <w:rPr>
                <w:szCs w:val="21"/>
              </w:rPr>
              <w:t>否</w:t>
            </w:r>
          </w:p>
        </w:tc>
      </w:tr>
      <w:tr w14:paraId="320A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3D26BE3C">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1</w:t>
            </w:r>
            <w:r>
              <w:rPr>
                <w:rFonts w:ascii="等线" w:hAnsi="等线" w:cs="仿宋"/>
                <w:bCs/>
                <w:color w:val="000000"/>
                <w:kern w:val="0"/>
                <w:szCs w:val="21"/>
              </w:rPr>
              <w:t>6</w:t>
            </w:r>
          </w:p>
        </w:tc>
        <w:tc>
          <w:tcPr>
            <w:tcW w:w="617" w:type="pct"/>
            <w:noWrap w:val="0"/>
            <w:vAlign w:val="center"/>
          </w:tcPr>
          <w:p w14:paraId="05C84A1E">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自助报到机</w:t>
            </w:r>
          </w:p>
        </w:tc>
        <w:tc>
          <w:tcPr>
            <w:tcW w:w="2167" w:type="pct"/>
            <w:noWrap w:val="0"/>
            <w:vAlign w:val="center"/>
          </w:tcPr>
          <w:p w14:paraId="5165CAB0">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音频主板：工业级控制主板</w:t>
            </w:r>
          </w:p>
          <w:p w14:paraId="3263DFB5">
            <w:pPr>
              <w:widowControl/>
              <w:snapToGrid w:val="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CPU：集成Intel  i5双核处理器 ，主频2.2GHz</w:t>
            </w:r>
          </w:p>
          <w:p w14:paraId="2DE5B7F9">
            <w:pPr>
              <w:widowControl/>
              <w:snapToGrid w:val="0"/>
              <w:jc w:val="left"/>
              <w:rPr>
                <w:rFonts w:ascii="等线" w:hAnsi="等线" w:cs="仿宋"/>
                <w:bCs/>
                <w:color w:val="000000"/>
                <w:kern w:val="0"/>
                <w:szCs w:val="21"/>
              </w:rPr>
            </w:pPr>
            <w:r>
              <w:rPr>
                <w:rFonts w:hint="eastAsia" w:ascii="等线" w:hAnsi="等线" w:cs="仿宋"/>
                <w:bCs/>
                <w:color w:val="000000"/>
                <w:kern w:val="0"/>
                <w:szCs w:val="21"/>
              </w:rPr>
              <w:t>3)</w:t>
            </w:r>
            <w:r>
              <w:rPr>
                <w:rFonts w:hint="eastAsia" w:ascii="等线" w:hAnsi="等线" w:cs="仿宋"/>
                <w:bCs/>
                <w:color w:val="000000"/>
                <w:kern w:val="0"/>
                <w:szCs w:val="21"/>
              </w:rPr>
              <w:tab/>
            </w:r>
            <w:r>
              <w:rPr>
                <w:rFonts w:hint="eastAsia" w:ascii="等线" w:hAnsi="等线" w:cs="仿宋"/>
                <w:bCs/>
                <w:color w:val="000000"/>
                <w:kern w:val="0"/>
                <w:szCs w:val="21"/>
              </w:rPr>
              <w:t xml:space="preserve">内存： 8GB </w:t>
            </w:r>
          </w:p>
          <w:p w14:paraId="3703E221">
            <w:pPr>
              <w:widowControl/>
              <w:snapToGrid w:val="0"/>
              <w:jc w:val="left"/>
              <w:rPr>
                <w:rFonts w:ascii="等线" w:hAnsi="等线" w:cs="仿宋"/>
                <w:bCs/>
                <w:color w:val="000000"/>
                <w:kern w:val="0"/>
                <w:szCs w:val="21"/>
              </w:rPr>
            </w:pPr>
            <w:r>
              <w:rPr>
                <w:rFonts w:hint="eastAsia" w:ascii="等线" w:hAnsi="等线" w:cs="仿宋"/>
                <w:bCs/>
                <w:color w:val="000000"/>
                <w:kern w:val="0"/>
                <w:szCs w:val="21"/>
              </w:rPr>
              <w:t>4)</w:t>
            </w:r>
            <w:r>
              <w:rPr>
                <w:rFonts w:hint="eastAsia" w:ascii="等线" w:hAnsi="等线" w:cs="仿宋"/>
                <w:bCs/>
                <w:color w:val="000000"/>
                <w:kern w:val="0"/>
                <w:szCs w:val="21"/>
              </w:rPr>
              <w:tab/>
            </w:r>
            <w:r>
              <w:rPr>
                <w:rFonts w:hint="eastAsia" w:ascii="等线" w:hAnsi="等线" w:cs="仿宋"/>
                <w:bCs/>
                <w:color w:val="000000"/>
                <w:kern w:val="0"/>
                <w:szCs w:val="21"/>
              </w:rPr>
              <w:t>硬盘：128G固态硬盘</w:t>
            </w:r>
          </w:p>
          <w:p w14:paraId="3EEFBEB3">
            <w:pPr>
              <w:widowControl/>
              <w:snapToGrid w:val="0"/>
              <w:jc w:val="left"/>
              <w:rPr>
                <w:rFonts w:ascii="等线" w:hAnsi="等线" w:cs="仿宋"/>
                <w:bCs/>
                <w:color w:val="000000"/>
                <w:kern w:val="0"/>
                <w:szCs w:val="21"/>
              </w:rPr>
            </w:pPr>
            <w:r>
              <w:rPr>
                <w:rFonts w:hint="eastAsia" w:ascii="等线" w:hAnsi="等线" w:cs="仿宋"/>
                <w:bCs/>
                <w:color w:val="000000"/>
                <w:kern w:val="0"/>
                <w:szCs w:val="21"/>
              </w:rPr>
              <w:t>5)</w:t>
            </w:r>
            <w:r>
              <w:rPr>
                <w:rFonts w:hint="eastAsia" w:ascii="等线" w:hAnsi="等线" w:cs="仿宋"/>
                <w:bCs/>
                <w:color w:val="000000"/>
                <w:kern w:val="0"/>
                <w:szCs w:val="21"/>
              </w:rPr>
              <w:tab/>
            </w:r>
            <w:r>
              <w:rPr>
                <w:rFonts w:hint="eastAsia" w:ascii="等线" w:hAnsi="等线" w:cs="仿宋"/>
                <w:bCs/>
                <w:color w:val="000000"/>
                <w:kern w:val="0"/>
                <w:szCs w:val="21"/>
              </w:rPr>
              <w:t>串口：≥2个、USB接口：≥8个, VGA显示接口，HDMI接口，集成声卡、网卡、显卡.</w:t>
            </w:r>
          </w:p>
          <w:p w14:paraId="06BEC7F2">
            <w:pPr>
              <w:widowControl/>
              <w:snapToGrid w:val="0"/>
              <w:jc w:val="left"/>
              <w:rPr>
                <w:rFonts w:ascii="等线" w:hAnsi="等线" w:cs="仿宋"/>
                <w:bCs/>
                <w:color w:val="000000"/>
                <w:kern w:val="0"/>
                <w:szCs w:val="21"/>
              </w:rPr>
            </w:pPr>
            <w:r>
              <w:rPr>
                <w:rFonts w:hint="eastAsia" w:ascii="等线" w:hAnsi="等线" w:cs="仿宋"/>
                <w:bCs/>
                <w:color w:val="000000"/>
                <w:kern w:val="0"/>
                <w:szCs w:val="21"/>
              </w:rPr>
              <w:t>6)</w:t>
            </w:r>
            <w:r>
              <w:rPr>
                <w:rFonts w:hint="eastAsia" w:ascii="等线" w:hAnsi="等线" w:cs="仿宋"/>
                <w:bCs/>
                <w:color w:val="000000"/>
                <w:kern w:val="0"/>
                <w:szCs w:val="21"/>
              </w:rPr>
              <w:tab/>
            </w:r>
            <w:r>
              <w:rPr>
                <w:rFonts w:hint="eastAsia" w:ascii="等线" w:hAnsi="等线" w:cs="仿宋"/>
                <w:bCs/>
                <w:color w:val="000000"/>
                <w:kern w:val="0"/>
                <w:szCs w:val="21"/>
              </w:rPr>
              <w:t>21.5寸液晶电容触摸显示器</w:t>
            </w:r>
          </w:p>
          <w:p w14:paraId="375A3AFD">
            <w:pPr>
              <w:widowControl/>
              <w:snapToGrid w:val="0"/>
              <w:jc w:val="left"/>
              <w:rPr>
                <w:rFonts w:ascii="等线" w:hAnsi="等线" w:cs="仿宋"/>
                <w:bCs/>
                <w:color w:val="000000"/>
                <w:kern w:val="0"/>
                <w:szCs w:val="21"/>
              </w:rPr>
            </w:pPr>
            <w:r>
              <w:rPr>
                <w:rFonts w:hint="eastAsia" w:ascii="等线" w:hAnsi="等线" w:cs="仿宋"/>
                <w:bCs/>
                <w:color w:val="000000"/>
                <w:kern w:val="0"/>
                <w:szCs w:val="21"/>
              </w:rPr>
              <w:t>7)</w:t>
            </w:r>
            <w:r>
              <w:rPr>
                <w:rFonts w:hint="eastAsia" w:ascii="等线" w:hAnsi="等线" w:cs="仿宋"/>
                <w:bCs/>
                <w:color w:val="000000"/>
                <w:kern w:val="0"/>
                <w:szCs w:val="21"/>
              </w:rPr>
              <w:tab/>
            </w:r>
            <w:r>
              <w:rPr>
                <w:rFonts w:hint="eastAsia" w:ascii="等线" w:hAnsi="等线" w:cs="仿宋"/>
                <w:bCs/>
                <w:color w:val="000000"/>
                <w:kern w:val="0"/>
                <w:szCs w:val="21"/>
              </w:rPr>
              <w:t>含二维码扫描仪、热敏打印机、身份证阅读器</w:t>
            </w:r>
          </w:p>
        </w:tc>
        <w:tc>
          <w:tcPr>
            <w:tcW w:w="256" w:type="pct"/>
            <w:noWrap w:val="0"/>
            <w:vAlign w:val="center"/>
          </w:tcPr>
          <w:p w14:paraId="15411536">
            <w:pPr>
              <w:rPr>
                <w:szCs w:val="21"/>
              </w:rPr>
            </w:pPr>
            <w:r>
              <w:rPr>
                <w:rFonts w:hint="eastAsia"/>
                <w:szCs w:val="21"/>
              </w:rPr>
              <w:t>台</w:t>
            </w:r>
          </w:p>
        </w:tc>
        <w:tc>
          <w:tcPr>
            <w:tcW w:w="288" w:type="pct"/>
            <w:noWrap w:val="0"/>
            <w:vAlign w:val="center"/>
          </w:tcPr>
          <w:p w14:paraId="0EB201FF">
            <w:pPr>
              <w:rPr>
                <w:szCs w:val="21"/>
              </w:rPr>
            </w:pPr>
            <w:r>
              <w:rPr>
                <w:rFonts w:hint="eastAsia"/>
                <w:szCs w:val="21"/>
              </w:rPr>
              <w:t>2</w:t>
            </w:r>
          </w:p>
        </w:tc>
        <w:tc>
          <w:tcPr>
            <w:tcW w:w="720" w:type="pct"/>
            <w:noWrap w:val="0"/>
            <w:vAlign w:val="center"/>
          </w:tcPr>
          <w:p w14:paraId="0FF6C292">
            <w:pPr>
              <w:jc w:val="center"/>
              <w:rPr>
                <w:szCs w:val="21"/>
              </w:rPr>
            </w:pPr>
          </w:p>
        </w:tc>
        <w:tc>
          <w:tcPr>
            <w:tcW w:w="577" w:type="pct"/>
            <w:noWrap w:val="0"/>
            <w:vAlign w:val="center"/>
          </w:tcPr>
          <w:p w14:paraId="28820BA9">
            <w:pPr>
              <w:jc w:val="center"/>
              <w:rPr>
                <w:szCs w:val="21"/>
              </w:rPr>
            </w:pPr>
            <w:r>
              <w:rPr>
                <w:szCs w:val="21"/>
              </w:rPr>
              <w:t>否</w:t>
            </w:r>
          </w:p>
        </w:tc>
      </w:tr>
      <w:tr w14:paraId="149C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3F7B5D47">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1</w:t>
            </w:r>
            <w:r>
              <w:rPr>
                <w:rFonts w:ascii="等线" w:hAnsi="等线" w:cs="仿宋"/>
                <w:bCs/>
                <w:color w:val="000000"/>
                <w:kern w:val="0"/>
                <w:szCs w:val="21"/>
              </w:rPr>
              <w:t>7</w:t>
            </w:r>
          </w:p>
        </w:tc>
        <w:tc>
          <w:tcPr>
            <w:tcW w:w="617" w:type="pct"/>
            <w:noWrap w:val="0"/>
            <w:vAlign w:val="center"/>
          </w:tcPr>
          <w:p w14:paraId="548F38B3">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自助报告机</w:t>
            </w:r>
          </w:p>
        </w:tc>
        <w:tc>
          <w:tcPr>
            <w:tcW w:w="2167" w:type="pct"/>
            <w:noWrap w:val="0"/>
            <w:vAlign w:val="center"/>
          </w:tcPr>
          <w:p w14:paraId="78FBE6C4">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主板：工业级控制主板</w:t>
            </w:r>
          </w:p>
          <w:p w14:paraId="3BCEEC8A">
            <w:pPr>
              <w:widowControl/>
              <w:snapToGrid w:val="0"/>
              <w:jc w:val="left"/>
              <w:rPr>
                <w:rFonts w:ascii="等线" w:hAnsi="等线" w:cs="仿宋"/>
                <w:bCs/>
                <w:color w:val="000000"/>
                <w:kern w:val="0"/>
                <w:szCs w:val="21"/>
              </w:rPr>
            </w:pPr>
            <w:r>
              <w:rPr>
                <w:rFonts w:hint="eastAsia" w:ascii="等线" w:hAnsi="等线" w:cs="仿宋"/>
                <w:bCs/>
                <w:color w:val="000000"/>
                <w:kern w:val="0"/>
                <w:szCs w:val="21"/>
              </w:rPr>
              <w:t>2)</w:t>
            </w:r>
            <w:r>
              <w:rPr>
                <w:rFonts w:hint="eastAsia" w:ascii="等线" w:hAnsi="等线" w:cs="仿宋"/>
                <w:bCs/>
                <w:color w:val="000000"/>
                <w:kern w:val="0"/>
                <w:szCs w:val="21"/>
              </w:rPr>
              <w:tab/>
            </w:r>
            <w:r>
              <w:rPr>
                <w:rFonts w:hint="eastAsia" w:ascii="等线" w:hAnsi="等线" w:cs="仿宋"/>
                <w:bCs/>
                <w:color w:val="000000"/>
                <w:kern w:val="0"/>
                <w:szCs w:val="21"/>
              </w:rPr>
              <w:t>CPU：Intel  i5四核处理器 ，主频3.0GHz</w:t>
            </w:r>
          </w:p>
          <w:p w14:paraId="36DAB443">
            <w:pPr>
              <w:widowControl/>
              <w:snapToGrid w:val="0"/>
              <w:jc w:val="left"/>
              <w:rPr>
                <w:rFonts w:ascii="等线" w:hAnsi="等线" w:cs="仿宋"/>
                <w:bCs/>
                <w:color w:val="000000"/>
                <w:kern w:val="0"/>
                <w:szCs w:val="21"/>
              </w:rPr>
            </w:pPr>
            <w:r>
              <w:rPr>
                <w:rFonts w:hint="eastAsia" w:ascii="等线" w:hAnsi="等线" w:cs="仿宋"/>
                <w:bCs/>
                <w:color w:val="000000"/>
                <w:kern w:val="0"/>
                <w:szCs w:val="21"/>
              </w:rPr>
              <w:t>3)</w:t>
            </w:r>
            <w:r>
              <w:rPr>
                <w:rFonts w:hint="eastAsia" w:ascii="等线" w:hAnsi="等线" w:cs="仿宋"/>
                <w:bCs/>
                <w:color w:val="000000"/>
                <w:kern w:val="0"/>
                <w:szCs w:val="21"/>
              </w:rPr>
              <w:tab/>
            </w:r>
            <w:r>
              <w:rPr>
                <w:rFonts w:hint="eastAsia" w:ascii="等线" w:hAnsi="等线" w:cs="仿宋"/>
                <w:bCs/>
                <w:color w:val="000000"/>
                <w:kern w:val="0"/>
                <w:szCs w:val="21"/>
              </w:rPr>
              <w:t xml:space="preserve">内存： 8GB </w:t>
            </w:r>
          </w:p>
          <w:p w14:paraId="1A8228E8">
            <w:pPr>
              <w:widowControl/>
              <w:snapToGrid w:val="0"/>
              <w:jc w:val="left"/>
              <w:rPr>
                <w:rFonts w:ascii="等线" w:hAnsi="等线" w:cs="仿宋"/>
                <w:bCs/>
                <w:color w:val="000000"/>
                <w:kern w:val="0"/>
                <w:szCs w:val="21"/>
              </w:rPr>
            </w:pPr>
            <w:r>
              <w:rPr>
                <w:rFonts w:hint="eastAsia" w:ascii="等线" w:hAnsi="等线" w:cs="仿宋"/>
                <w:bCs/>
                <w:color w:val="000000"/>
                <w:kern w:val="0"/>
                <w:szCs w:val="21"/>
              </w:rPr>
              <w:t>4)</w:t>
            </w:r>
            <w:r>
              <w:rPr>
                <w:rFonts w:hint="eastAsia" w:ascii="等线" w:hAnsi="等线" w:cs="仿宋"/>
                <w:bCs/>
                <w:color w:val="000000"/>
                <w:kern w:val="0"/>
                <w:szCs w:val="21"/>
              </w:rPr>
              <w:tab/>
            </w:r>
            <w:r>
              <w:rPr>
                <w:rFonts w:hint="eastAsia" w:ascii="等线" w:hAnsi="等线" w:cs="仿宋"/>
                <w:bCs/>
                <w:color w:val="000000"/>
                <w:kern w:val="0"/>
                <w:szCs w:val="21"/>
              </w:rPr>
              <w:t>硬盘：128G固态硬盘</w:t>
            </w:r>
          </w:p>
          <w:p w14:paraId="370488BC">
            <w:pPr>
              <w:widowControl/>
              <w:snapToGrid w:val="0"/>
              <w:jc w:val="left"/>
              <w:rPr>
                <w:rFonts w:ascii="等线" w:hAnsi="等线" w:cs="仿宋"/>
                <w:bCs/>
                <w:color w:val="000000"/>
                <w:kern w:val="0"/>
                <w:szCs w:val="21"/>
              </w:rPr>
            </w:pPr>
            <w:r>
              <w:rPr>
                <w:rFonts w:hint="eastAsia" w:ascii="等线" w:hAnsi="等线" w:cs="仿宋"/>
                <w:bCs/>
                <w:color w:val="000000"/>
                <w:kern w:val="0"/>
                <w:szCs w:val="21"/>
              </w:rPr>
              <w:t>5)</w:t>
            </w:r>
            <w:r>
              <w:rPr>
                <w:rFonts w:hint="eastAsia" w:ascii="等线" w:hAnsi="等线" w:cs="仿宋"/>
                <w:bCs/>
                <w:color w:val="000000"/>
                <w:kern w:val="0"/>
                <w:szCs w:val="21"/>
              </w:rPr>
              <w:tab/>
            </w:r>
            <w:r>
              <w:rPr>
                <w:rFonts w:hint="eastAsia" w:ascii="等线" w:hAnsi="等线" w:cs="仿宋"/>
                <w:bCs/>
                <w:color w:val="000000"/>
                <w:kern w:val="0"/>
                <w:szCs w:val="21"/>
              </w:rPr>
              <w:t>串口：≥4个、USB接口：≥8个, VGA显示接口，HDMI接口，集成声卡、网卡、显卡.</w:t>
            </w:r>
          </w:p>
          <w:p w14:paraId="09280D7F">
            <w:pPr>
              <w:widowControl/>
              <w:snapToGrid w:val="0"/>
              <w:jc w:val="left"/>
              <w:rPr>
                <w:rFonts w:ascii="等线" w:hAnsi="等线" w:cs="仿宋"/>
                <w:bCs/>
                <w:color w:val="000000"/>
                <w:kern w:val="0"/>
                <w:szCs w:val="21"/>
              </w:rPr>
            </w:pPr>
            <w:r>
              <w:rPr>
                <w:rFonts w:hint="eastAsia" w:ascii="等线" w:hAnsi="等线" w:cs="仿宋"/>
                <w:bCs/>
                <w:color w:val="000000"/>
                <w:kern w:val="0"/>
                <w:szCs w:val="21"/>
              </w:rPr>
              <w:t>6)</w:t>
            </w:r>
            <w:r>
              <w:rPr>
                <w:rFonts w:hint="eastAsia" w:ascii="等线" w:hAnsi="等线" w:cs="仿宋"/>
                <w:bCs/>
                <w:color w:val="000000"/>
                <w:kern w:val="0"/>
                <w:szCs w:val="21"/>
              </w:rPr>
              <w:tab/>
            </w:r>
            <w:r>
              <w:rPr>
                <w:rFonts w:hint="eastAsia" w:ascii="等线" w:hAnsi="等线" w:cs="仿宋"/>
                <w:bCs/>
                <w:color w:val="000000"/>
                <w:kern w:val="0"/>
                <w:szCs w:val="21"/>
              </w:rPr>
              <w:t>32寸液晶电容触摸显示器；</w:t>
            </w:r>
          </w:p>
          <w:p w14:paraId="42547ACB">
            <w:pPr>
              <w:widowControl/>
              <w:snapToGrid w:val="0"/>
              <w:jc w:val="left"/>
              <w:rPr>
                <w:rFonts w:ascii="等线" w:hAnsi="等线" w:cs="仿宋"/>
                <w:bCs/>
                <w:color w:val="000000"/>
                <w:kern w:val="0"/>
                <w:szCs w:val="21"/>
              </w:rPr>
            </w:pPr>
            <w:r>
              <w:rPr>
                <w:rFonts w:hint="eastAsia" w:ascii="等线" w:hAnsi="等线" w:cs="仿宋"/>
                <w:bCs/>
                <w:color w:val="000000"/>
                <w:kern w:val="0"/>
                <w:szCs w:val="21"/>
              </w:rPr>
              <w:t>7)</w:t>
            </w:r>
            <w:r>
              <w:rPr>
                <w:rFonts w:hint="eastAsia" w:ascii="等线" w:hAnsi="等线" w:cs="仿宋"/>
                <w:bCs/>
                <w:color w:val="000000"/>
                <w:kern w:val="0"/>
                <w:szCs w:val="21"/>
              </w:rPr>
              <w:tab/>
            </w:r>
            <w:r>
              <w:rPr>
                <w:rFonts w:hint="eastAsia" w:ascii="等线" w:hAnsi="等线" w:cs="仿宋"/>
                <w:bCs/>
                <w:color w:val="000000"/>
                <w:kern w:val="0"/>
                <w:szCs w:val="21"/>
              </w:rPr>
              <w:t>含二维码扫描仪、彩色激光打印机、身份证阅读器</w:t>
            </w:r>
          </w:p>
        </w:tc>
        <w:tc>
          <w:tcPr>
            <w:tcW w:w="256" w:type="pct"/>
            <w:noWrap w:val="0"/>
            <w:vAlign w:val="center"/>
          </w:tcPr>
          <w:p w14:paraId="65C8CA1A">
            <w:pPr>
              <w:rPr>
                <w:szCs w:val="21"/>
              </w:rPr>
            </w:pPr>
            <w:r>
              <w:rPr>
                <w:rFonts w:hint="eastAsia"/>
                <w:szCs w:val="21"/>
              </w:rPr>
              <w:t>台</w:t>
            </w:r>
          </w:p>
        </w:tc>
        <w:tc>
          <w:tcPr>
            <w:tcW w:w="288" w:type="pct"/>
            <w:noWrap w:val="0"/>
            <w:vAlign w:val="center"/>
          </w:tcPr>
          <w:p w14:paraId="45BE4E74">
            <w:pPr>
              <w:rPr>
                <w:szCs w:val="21"/>
              </w:rPr>
            </w:pPr>
            <w:r>
              <w:rPr>
                <w:rFonts w:hint="eastAsia"/>
                <w:szCs w:val="21"/>
              </w:rPr>
              <w:t>2</w:t>
            </w:r>
          </w:p>
        </w:tc>
        <w:tc>
          <w:tcPr>
            <w:tcW w:w="720" w:type="pct"/>
            <w:noWrap w:val="0"/>
            <w:vAlign w:val="center"/>
          </w:tcPr>
          <w:p w14:paraId="01498C7D">
            <w:pPr>
              <w:jc w:val="center"/>
              <w:rPr>
                <w:szCs w:val="21"/>
              </w:rPr>
            </w:pPr>
          </w:p>
        </w:tc>
        <w:tc>
          <w:tcPr>
            <w:tcW w:w="577" w:type="pct"/>
            <w:noWrap w:val="0"/>
            <w:vAlign w:val="center"/>
          </w:tcPr>
          <w:p w14:paraId="6122FA5E">
            <w:pPr>
              <w:jc w:val="center"/>
              <w:rPr>
                <w:szCs w:val="21"/>
              </w:rPr>
            </w:pPr>
            <w:r>
              <w:rPr>
                <w:szCs w:val="21"/>
              </w:rPr>
              <w:t>否</w:t>
            </w:r>
          </w:p>
        </w:tc>
      </w:tr>
      <w:tr w14:paraId="5D055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75" w:type="pct"/>
            <w:noWrap w:val="0"/>
            <w:vAlign w:val="center"/>
          </w:tcPr>
          <w:p w14:paraId="2184C6CA">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1</w:t>
            </w:r>
            <w:r>
              <w:rPr>
                <w:rFonts w:ascii="等线" w:hAnsi="等线" w:cs="仿宋"/>
                <w:bCs/>
                <w:color w:val="000000"/>
                <w:kern w:val="0"/>
                <w:szCs w:val="21"/>
              </w:rPr>
              <w:t>8</w:t>
            </w:r>
          </w:p>
        </w:tc>
        <w:tc>
          <w:tcPr>
            <w:tcW w:w="617" w:type="pct"/>
            <w:noWrap w:val="0"/>
            <w:vAlign w:val="center"/>
          </w:tcPr>
          <w:p w14:paraId="2FB6A3ED">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高拍仪</w:t>
            </w:r>
          </w:p>
        </w:tc>
        <w:tc>
          <w:tcPr>
            <w:tcW w:w="2167" w:type="pct"/>
            <w:noWrap w:val="0"/>
            <w:vAlign w:val="center"/>
          </w:tcPr>
          <w:p w14:paraId="20400AA7">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w:t>
            </w:r>
            <w:r>
              <w:rPr>
                <w:rFonts w:hint="eastAsia" w:ascii="等线" w:hAnsi="等线" w:cs="仿宋"/>
                <w:bCs/>
                <w:color w:val="000000"/>
                <w:kern w:val="0"/>
                <w:szCs w:val="21"/>
              </w:rPr>
              <w:tab/>
            </w:r>
            <w:r>
              <w:rPr>
                <w:rFonts w:hint="eastAsia" w:ascii="等线" w:hAnsi="等线" w:cs="仿宋"/>
                <w:bCs/>
                <w:color w:val="000000"/>
                <w:kern w:val="0"/>
                <w:szCs w:val="21"/>
              </w:rPr>
              <w:t>HDMI高清输入，1800万高清</w:t>
            </w:r>
          </w:p>
        </w:tc>
        <w:tc>
          <w:tcPr>
            <w:tcW w:w="256" w:type="pct"/>
            <w:noWrap w:val="0"/>
            <w:vAlign w:val="center"/>
          </w:tcPr>
          <w:p w14:paraId="123405A8">
            <w:pPr>
              <w:rPr>
                <w:szCs w:val="21"/>
              </w:rPr>
            </w:pPr>
            <w:r>
              <w:rPr>
                <w:rFonts w:hint="eastAsia"/>
                <w:szCs w:val="21"/>
              </w:rPr>
              <w:t>台</w:t>
            </w:r>
          </w:p>
        </w:tc>
        <w:tc>
          <w:tcPr>
            <w:tcW w:w="288" w:type="pct"/>
            <w:noWrap w:val="0"/>
            <w:vAlign w:val="center"/>
          </w:tcPr>
          <w:p w14:paraId="0BBBBCAB">
            <w:pPr>
              <w:rPr>
                <w:szCs w:val="21"/>
              </w:rPr>
            </w:pPr>
            <w:r>
              <w:rPr>
                <w:rFonts w:hint="eastAsia"/>
                <w:szCs w:val="21"/>
              </w:rPr>
              <w:t>2</w:t>
            </w:r>
          </w:p>
        </w:tc>
        <w:tc>
          <w:tcPr>
            <w:tcW w:w="720" w:type="pct"/>
            <w:noWrap w:val="0"/>
            <w:vAlign w:val="center"/>
          </w:tcPr>
          <w:p w14:paraId="05E1BAC6">
            <w:pPr>
              <w:jc w:val="center"/>
              <w:rPr>
                <w:szCs w:val="21"/>
              </w:rPr>
            </w:pPr>
          </w:p>
        </w:tc>
        <w:tc>
          <w:tcPr>
            <w:tcW w:w="577" w:type="pct"/>
            <w:noWrap w:val="0"/>
            <w:vAlign w:val="center"/>
          </w:tcPr>
          <w:p w14:paraId="4E7DA9A6">
            <w:pPr>
              <w:jc w:val="center"/>
              <w:rPr>
                <w:szCs w:val="21"/>
              </w:rPr>
            </w:pPr>
            <w:r>
              <w:rPr>
                <w:szCs w:val="21"/>
              </w:rPr>
              <w:t>否</w:t>
            </w:r>
          </w:p>
        </w:tc>
      </w:tr>
      <w:tr w14:paraId="5CB3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75" w:type="pct"/>
            <w:noWrap w:val="0"/>
            <w:vAlign w:val="center"/>
          </w:tcPr>
          <w:p w14:paraId="656D8CDF">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1</w:t>
            </w:r>
            <w:r>
              <w:rPr>
                <w:rFonts w:ascii="等线" w:hAnsi="等线" w:cs="仿宋"/>
                <w:bCs/>
                <w:color w:val="000000"/>
                <w:kern w:val="0"/>
                <w:szCs w:val="21"/>
              </w:rPr>
              <w:t>9</w:t>
            </w:r>
          </w:p>
        </w:tc>
        <w:tc>
          <w:tcPr>
            <w:tcW w:w="617" w:type="pct"/>
            <w:noWrap w:val="0"/>
            <w:vAlign w:val="center"/>
          </w:tcPr>
          <w:p w14:paraId="7A024130">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条码扫描枪</w:t>
            </w:r>
          </w:p>
        </w:tc>
        <w:tc>
          <w:tcPr>
            <w:tcW w:w="2167" w:type="pct"/>
            <w:noWrap w:val="0"/>
            <w:vAlign w:val="center"/>
          </w:tcPr>
          <w:p w14:paraId="1FE84B88">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1）USB输入，可识别一维、二维码</w:t>
            </w:r>
          </w:p>
        </w:tc>
        <w:tc>
          <w:tcPr>
            <w:tcW w:w="256" w:type="pct"/>
            <w:noWrap w:val="0"/>
            <w:vAlign w:val="center"/>
          </w:tcPr>
          <w:p w14:paraId="76794CC0">
            <w:pPr>
              <w:rPr>
                <w:szCs w:val="21"/>
              </w:rPr>
            </w:pPr>
            <w:r>
              <w:rPr>
                <w:rFonts w:hint="eastAsia"/>
                <w:szCs w:val="21"/>
              </w:rPr>
              <w:t>台</w:t>
            </w:r>
          </w:p>
        </w:tc>
        <w:tc>
          <w:tcPr>
            <w:tcW w:w="288" w:type="pct"/>
            <w:noWrap w:val="0"/>
            <w:vAlign w:val="center"/>
          </w:tcPr>
          <w:p w14:paraId="4CB51449">
            <w:pPr>
              <w:rPr>
                <w:szCs w:val="21"/>
              </w:rPr>
            </w:pPr>
            <w:r>
              <w:rPr>
                <w:rFonts w:hint="eastAsia"/>
                <w:szCs w:val="21"/>
              </w:rPr>
              <w:t>2</w:t>
            </w:r>
          </w:p>
        </w:tc>
        <w:tc>
          <w:tcPr>
            <w:tcW w:w="720" w:type="pct"/>
            <w:noWrap w:val="0"/>
            <w:vAlign w:val="center"/>
          </w:tcPr>
          <w:p w14:paraId="66B8A6E4">
            <w:pPr>
              <w:jc w:val="center"/>
              <w:rPr>
                <w:szCs w:val="21"/>
              </w:rPr>
            </w:pPr>
          </w:p>
        </w:tc>
        <w:tc>
          <w:tcPr>
            <w:tcW w:w="577" w:type="pct"/>
            <w:noWrap w:val="0"/>
            <w:vAlign w:val="center"/>
          </w:tcPr>
          <w:p w14:paraId="71A50950">
            <w:pPr>
              <w:jc w:val="center"/>
              <w:rPr>
                <w:szCs w:val="21"/>
              </w:rPr>
            </w:pPr>
            <w:r>
              <w:rPr>
                <w:szCs w:val="21"/>
              </w:rPr>
              <w:t>否</w:t>
            </w:r>
          </w:p>
        </w:tc>
      </w:tr>
      <w:tr w14:paraId="53F7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692EF73B">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2</w:t>
            </w:r>
            <w:r>
              <w:rPr>
                <w:rFonts w:ascii="等线" w:hAnsi="等线" w:cs="仿宋"/>
                <w:bCs/>
                <w:color w:val="000000"/>
                <w:kern w:val="0"/>
                <w:szCs w:val="21"/>
              </w:rPr>
              <w:t>0</w:t>
            </w:r>
          </w:p>
        </w:tc>
        <w:tc>
          <w:tcPr>
            <w:tcW w:w="617" w:type="pct"/>
            <w:noWrap w:val="0"/>
            <w:vAlign w:val="center"/>
          </w:tcPr>
          <w:p w14:paraId="2E0A73D8">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条码打印机</w:t>
            </w:r>
          </w:p>
        </w:tc>
        <w:tc>
          <w:tcPr>
            <w:tcW w:w="2167" w:type="pct"/>
            <w:noWrap w:val="0"/>
            <w:vAlign w:val="center"/>
          </w:tcPr>
          <w:p w14:paraId="1EE7E17A">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 热敏标签打印,最纸张宽度：80mm ，分辨率：203dpi,打印速度：220mm/s</w:t>
            </w:r>
          </w:p>
        </w:tc>
        <w:tc>
          <w:tcPr>
            <w:tcW w:w="256" w:type="pct"/>
            <w:noWrap w:val="0"/>
            <w:vAlign w:val="center"/>
          </w:tcPr>
          <w:p w14:paraId="68C5CD7B">
            <w:pPr>
              <w:rPr>
                <w:szCs w:val="21"/>
              </w:rPr>
            </w:pPr>
            <w:r>
              <w:rPr>
                <w:rFonts w:hint="eastAsia"/>
                <w:szCs w:val="21"/>
              </w:rPr>
              <w:t>台</w:t>
            </w:r>
          </w:p>
        </w:tc>
        <w:tc>
          <w:tcPr>
            <w:tcW w:w="288" w:type="pct"/>
            <w:noWrap w:val="0"/>
            <w:vAlign w:val="center"/>
          </w:tcPr>
          <w:p w14:paraId="27860373">
            <w:pPr>
              <w:rPr>
                <w:szCs w:val="21"/>
              </w:rPr>
            </w:pPr>
            <w:r>
              <w:rPr>
                <w:rFonts w:hint="eastAsia"/>
                <w:szCs w:val="21"/>
              </w:rPr>
              <w:t>2</w:t>
            </w:r>
          </w:p>
        </w:tc>
        <w:tc>
          <w:tcPr>
            <w:tcW w:w="720" w:type="pct"/>
            <w:noWrap w:val="0"/>
            <w:vAlign w:val="center"/>
          </w:tcPr>
          <w:p w14:paraId="4C767359">
            <w:pPr>
              <w:jc w:val="center"/>
              <w:rPr>
                <w:szCs w:val="21"/>
              </w:rPr>
            </w:pPr>
          </w:p>
        </w:tc>
        <w:tc>
          <w:tcPr>
            <w:tcW w:w="577" w:type="pct"/>
            <w:noWrap w:val="0"/>
            <w:vAlign w:val="center"/>
          </w:tcPr>
          <w:p w14:paraId="6C1E6D12">
            <w:pPr>
              <w:jc w:val="center"/>
              <w:rPr>
                <w:szCs w:val="21"/>
              </w:rPr>
            </w:pPr>
            <w:r>
              <w:rPr>
                <w:szCs w:val="21"/>
              </w:rPr>
              <w:t>否</w:t>
            </w:r>
          </w:p>
        </w:tc>
      </w:tr>
      <w:tr w14:paraId="7704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4DDAF22E">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2</w:t>
            </w:r>
            <w:r>
              <w:rPr>
                <w:rFonts w:ascii="等线" w:hAnsi="等线" w:cs="仿宋"/>
                <w:bCs/>
                <w:color w:val="000000"/>
                <w:kern w:val="0"/>
                <w:szCs w:val="21"/>
              </w:rPr>
              <w:t>1</w:t>
            </w:r>
          </w:p>
        </w:tc>
        <w:tc>
          <w:tcPr>
            <w:tcW w:w="617" w:type="pct"/>
            <w:noWrap w:val="0"/>
            <w:vAlign w:val="center"/>
          </w:tcPr>
          <w:p w14:paraId="096AA3F7">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彩色激光打印机</w:t>
            </w:r>
          </w:p>
        </w:tc>
        <w:tc>
          <w:tcPr>
            <w:tcW w:w="2167" w:type="pct"/>
            <w:noWrap w:val="0"/>
            <w:vAlign w:val="center"/>
          </w:tcPr>
          <w:p w14:paraId="0E48F4E4">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1）A4彩色激光打印机 支持有线无线网络</w:t>
            </w:r>
          </w:p>
        </w:tc>
        <w:tc>
          <w:tcPr>
            <w:tcW w:w="256" w:type="pct"/>
            <w:noWrap w:val="0"/>
            <w:vAlign w:val="center"/>
          </w:tcPr>
          <w:p w14:paraId="1173B0A3">
            <w:pPr>
              <w:rPr>
                <w:szCs w:val="21"/>
              </w:rPr>
            </w:pPr>
            <w:r>
              <w:rPr>
                <w:rFonts w:hint="eastAsia"/>
                <w:szCs w:val="21"/>
              </w:rPr>
              <w:t>台</w:t>
            </w:r>
          </w:p>
        </w:tc>
        <w:tc>
          <w:tcPr>
            <w:tcW w:w="288" w:type="pct"/>
            <w:noWrap w:val="0"/>
            <w:vAlign w:val="center"/>
          </w:tcPr>
          <w:p w14:paraId="6D366643">
            <w:pPr>
              <w:rPr>
                <w:szCs w:val="21"/>
              </w:rPr>
            </w:pPr>
            <w:r>
              <w:rPr>
                <w:rFonts w:hint="eastAsia"/>
                <w:szCs w:val="21"/>
              </w:rPr>
              <w:t>2</w:t>
            </w:r>
          </w:p>
        </w:tc>
        <w:tc>
          <w:tcPr>
            <w:tcW w:w="720" w:type="pct"/>
            <w:noWrap w:val="0"/>
            <w:vAlign w:val="center"/>
          </w:tcPr>
          <w:p w14:paraId="1E13B5A8">
            <w:pPr>
              <w:jc w:val="center"/>
              <w:rPr>
                <w:szCs w:val="21"/>
              </w:rPr>
            </w:pPr>
          </w:p>
        </w:tc>
        <w:tc>
          <w:tcPr>
            <w:tcW w:w="577" w:type="pct"/>
            <w:noWrap w:val="0"/>
            <w:vAlign w:val="center"/>
          </w:tcPr>
          <w:p w14:paraId="1B56439A">
            <w:pPr>
              <w:jc w:val="center"/>
              <w:rPr>
                <w:szCs w:val="21"/>
              </w:rPr>
            </w:pPr>
            <w:r>
              <w:rPr>
                <w:szCs w:val="21"/>
              </w:rPr>
              <w:t>否</w:t>
            </w:r>
          </w:p>
        </w:tc>
      </w:tr>
      <w:tr w14:paraId="33CAB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3D85A186">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2</w:t>
            </w:r>
            <w:r>
              <w:rPr>
                <w:rFonts w:ascii="等线" w:hAnsi="等线" w:cs="仿宋"/>
                <w:bCs/>
                <w:color w:val="000000"/>
                <w:kern w:val="0"/>
                <w:szCs w:val="21"/>
              </w:rPr>
              <w:t>2</w:t>
            </w:r>
          </w:p>
        </w:tc>
        <w:tc>
          <w:tcPr>
            <w:tcW w:w="617" w:type="pct"/>
            <w:noWrap w:val="0"/>
            <w:vAlign w:val="center"/>
          </w:tcPr>
          <w:p w14:paraId="4FE0A690">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会议室示教电视</w:t>
            </w:r>
          </w:p>
        </w:tc>
        <w:tc>
          <w:tcPr>
            <w:tcW w:w="2167" w:type="pct"/>
            <w:noWrap w:val="0"/>
            <w:vAlign w:val="center"/>
          </w:tcPr>
          <w:p w14:paraId="2A25C388">
            <w:pPr>
              <w:widowControl/>
              <w:snapToGrid w:val="0"/>
              <w:jc w:val="left"/>
              <w:rPr>
                <w:rFonts w:ascii="等线" w:hAnsi="等线" w:cs="仿宋"/>
                <w:bCs/>
                <w:color w:val="000000"/>
                <w:kern w:val="0"/>
                <w:szCs w:val="21"/>
              </w:rPr>
            </w:pPr>
            <w:r>
              <w:rPr>
                <w:rFonts w:hint="eastAsia" w:ascii="等线" w:hAnsi="等线" w:cs="仿宋"/>
                <w:bCs/>
                <w:color w:val="000000"/>
                <w:kern w:val="0"/>
                <w:szCs w:val="21"/>
              </w:rPr>
              <w:t>1)</w:t>
            </w:r>
            <w:r>
              <w:rPr>
                <w:rFonts w:ascii="等线" w:hAnsi="等线" w:cs="仿宋"/>
                <w:bCs/>
                <w:color w:val="000000"/>
                <w:kern w:val="0"/>
                <w:szCs w:val="21"/>
              </w:rPr>
              <w:t xml:space="preserve"> </w:t>
            </w:r>
            <w:r>
              <w:rPr>
                <w:rFonts w:hint="eastAsia" w:ascii="等线" w:hAnsi="等线" w:cs="仿宋"/>
                <w:bCs/>
                <w:color w:val="000000"/>
                <w:kern w:val="0"/>
                <w:szCs w:val="21"/>
              </w:rPr>
              <w:t>1</w:t>
            </w:r>
            <w:r>
              <w:rPr>
                <w:rFonts w:ascii="等线" w:hAnsi="等线" w:cs="仿宋"/>
                <w:bCs/>
                <w:color w:val="000000"/>
                <w:kern w:val="0"/>
                <w:szCs w:val="21"/>
              </w:rPr>
              <w:t>2</w:t>
            </w:r>
            <w:r>
              <w:rPr>
                <w:rFonts w:hint="eastAsia" w:ascii="等线" w:hAnsi="等线" w:cs="仿宋"/>
                <w:bCs/>
                <w:color w:val="000000"/>
                <w:kern w:val="0"/>
                <w:szCs w:val="21"/>
              </w:rPr>
              <w:t>0英寸及以上液晶拼接屏</w:t>
            </w:r>
          </w:p>
        </w:tc>
        <w:tc>
          <w:tcPr>
            <w:tcW w:w="256" w:type="pct"/>
            <w:noWrap w:val="0"/>
            <w:vAlign w:val="center"/>
          </w:tcPr>
          <w:p w14:paraId="5E0825B7">
            <w:pPr>
              <w:rPr>
                <w:szCs w:val="21"/>
              </w:rPr>
            </w:pPr>
            <w:r>
              <w:rPr>
                <w:rFonts w:hint="eastAsia"/>
                <w:szCs w:val="21"/>
              </w:rPr>
              <w:t>台</w:t>
            </w:r>
          </w:p>
        </w:tc>
        <w:tc>
          <w:tcPr>
            <w:tcW w:w="288" w:type="pct"/>
            <w:noWrap w:val="0"/>
            <w:vAlign w:val="center"/>
          </w:tcPr>
          <w:p w14:paraId="6C79AEBD">
            <w:pPr>
              <w:rPr>
                <w:szCs w:val="21"/>
              </w:rPr>
            </w:pPr>
            <w:r>
              <w:rPr>
                <w:rFonts w:hint="eastAsia"/>
                <w:szCs w:val="21"/>
              </w:rPr>
              <w:t>1</w:t>
            </w:r>
          </w:p>
        </w:tc>
        <w:tc>
          <w:tcPr>
            <w:tcW w:w="720" w:type="pct"/>
            <w:noWrap w:val="0"/>
            <w:vAlign w:val="center"/>
          </w:tcPr>
          <w:p w14:paraId="06343B69">
            <w:pPr>
              <w:jc w:val="center"/>
              <w:rPr>
                <w:szCs w:val="21"/>
              </w:rPr>
            </w:pPr>
          </w:p>
        </w:tc>
        <w:tc>
          <w:tcPr>
            <w:tcW w:w="577" w:type="pct"/>
            <w:noWrap w:val="0"/>
            <w:vAlign w:val="center"/>
          </w:tcPr>
          <w:p w14:paraId="21F24297">
            <w:pPr>
              <w:jc w:val="center"/>
              <w:rPr>
                <w:szCs w:val="21"/>
              </w:rPr>
            </w:pPr>
            <w:r>
              <w:rPr>
                <w:szCs w:val="21"/>
              </w:rPr>
              <w:t>否</w:t>
            </w:r>
          </w:p>
        </w:tc>
      </w:tr>
      <w:tr w14:paraId="0818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noWrap w:val="0"/>
            <w:vAlign w:val="center"/>
          </w:tcPr>
          <w:p w14:paraId="4113F5E4">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2</w:t>
            </w:r>
            <w:r>
              <w:rPr>
                <w:rFonts w:ascii="等线" w:hAnsi="等线" w:cs="仿宋"/>
                <w:bCs/>
                <w:color w:val="000000"/>
                <w:kern w:val="0"/>
                <w:szCs w:val="21"/>
              </w:rPr>
              <w:t>3</w:t>
            </w:r>
          </w:p>
        </w:tc>
        <w:tc>
          <w:tcPr>
            <w:tcW w:w="617" w:type="pct"/>
            <w:noWrap w:val="0"/>
            <w:vAlign w:val="center"/>
          </w:tcPr>
          <w:p w14:paraId="7D03D7BF">
            <w:pPr>
              <w:widowControl/>
              <w:snapToGrid w:val="0"/>
              <w:jc w:val="center"/>
              <w:rPr>
                <w:rFonts w:ascii="等线" w:hAnsi="等线" w:cs="仿宋"/>
                <w:bCs/>
                <w:color w:val="000000"/>
                <w:kern w:val="0"/>
                <w:szCs w:val="21"/>
              </w:rPr>
            </w:pPr>
            <w:r>
              <w:rPr>
                <w:rFonts w:hint="eastAsia" w:ascii="等线" w:hAnsi="等线" w:cs="仿宋"/>
                <w:bCs/>
                <w:color w:val="000000"/>
                <w:kern w:val="0"/>
                <w:szCs w:val="21"/>
              </w:rPr>
              <w:t>虚拟化资源扩容需求</w:t>
            </w:r>
          </w:p>
        </w:tc>
        <w:tc>
          <w:tcPr>
            <w:tcW w:w="2167" w:type="pct"/>
            <w:noWrap w:val="0"/>
            <w:vAlign w:val="center"/>
          </w:tcPr>
          <w:p w14:paraId="06B96AC4">
            <w:r>
              <w:rPr>
                <w:rFonts w:hint="eastAsia"/>
              </w:rPr>
              <w:t>★1.超融合平台节点配置：（单节点配置为：硬件平台包含（不低于2U，处理器：不低于16核cpu，主频2.9及以上）*2颗，内存：512G，配置12个硬盘盘位，配置系统盘：SATA SSD*2块，网络接口：4个千兆电口，4个万兆光口（含多模光模块），24T医疗数据盘，1920SSD缓存盘，冗余电源）。包含计算虚拟化、存储虚拟化、网络虚拟化、统一云管平台各</w:t>
            </w:r>
            <w:r>
              <w:t>2</w:t>
            </w:r>
            <w:r>
              <w:rPr>
                <w:rFonts w:hint="eastAsia"/>
              </w:rPr>
              <w:t>颗CPU授权；计算虚拟化提供虚拟机全生命周期管理、USB映射、备份、快照、最后一屏等功能；存储虚拟化提供统一存储服务，提供存储精简部署、存储卷级存储策略设置、存储数据可视化等功能；网络虚拟化提供拖拽式组网、虚拟路由器、虚拟交换机、连通性测试等功能。统一云管平台高级版提供跨地区、跨数据中心的多个集群的统一管理功能，提供多租户、主备容灾、资源中心、运维中心、可靠中心管理等功能。</w:t>
            </w:r>
          </w:p>
          <w:p w14:paraId="1A3224AD">
            <w:r>
              <w:rPr>
                <w:rFonts w:hint="eastAsia"/>
              </w:rPr>
              <w:t>2.包含计算虚拟化及网络虚拟化授权；计算虚拟化功能：提供虚拟机全生命周期管理、虚拟硬件热插拔、USB映射、虚拟机模板管理、在线迁移、克隆、导入导出等操作；具备HA高可用、资源动态资源调度、异常检测等高可用机制，具备虚拟机备份、快照、资源监控、最后一屏、虚拟机重要级别、虚拟机基准类型等功能。网络虚拟化功能：提供对虚拟网络设备的创建和管理、构建租户自定义内部网络、拖拽式组网、网络可视化、流量可视化、虚拟路由器、虚拟交换机、网络连通性测试、租户网络隔离、安全组等功能。1）定制医院云服务器可以安装独立的操作系统，支持Windows操作系统，包括Windows XP、Windows 7、Windows Server 2003、2008R2、2012R2、2016及以上版本服务器操作系统，支持Linux操作系统，包括CentOS、Ubuntu等多个发行版本，支持国产操作系统，包括红旗linux、中标麒麟、银河麒麟、统信UOS、中标普华、中科方德、一铭、万里红、新支点等。2）定制医院蓝屏检测技术，通过界面记录云服务器重新拉起过程，包括故障、蓝屏、HA等过程，可在云服务器详情日志页面里面查看详情。3）定制医院本地网络和VPC网络，支持通过鼠标拖拽网元及连线的方式构建可视化网络，实现网络环境的快速化构建；可以支持对整个平台虚拟设备的统一管理；可以支持在管理平台上连接、开启、关闭各类虚拟设备、拓扑可呈现网络流量信息，所见即所得。4）定制医院网络拓扑流量监控，能够在网络拓扑图中显示云服务器网卡的上/下行吞吐量、上/下行包速率、安全组信息等。5）定制医院网络微分段功能，不论使用本地网络，或VPC网络，均能使用网络微分段功能。微分段组可制定安全规则策略，实现基本的零信任网络。6）便捷运维方面按照本单位需求定制大屏运维显示平台展示医院数据中心资源使用及故障展示。定制从云服务器内部获取监控数据，针对主流Linux/Windows以及国产操作系统云服务器的内部负载实时监控，包括操作系统版本、CPU使用率、内存使用情况、网络流量、系统磁盘数量、磁盘分区、磁盘使用率、系统进程及系统连接数量，发生意外故障导致的虚拟机停机，定制将虚拟机故障追溯信息进行截图，为后续排错提供依据。定制蓝屏检测技术，通过界面记录重新拉起过程，包括故障、蓝屏、HA等过程，可在日志页面查看详情等需求。</w:t>
            </w:r>
          </w:p>
          <w:p w14:paraId="0B1D02EB">
            <w:r>
              <w:rPr>
                <w:rFonts w:hint="eastAsia"/>
              </w:rPr>
              <w:t>3.数据安全方面按照本单位需求定制医疗数据副本图形显示和操作的功能，可以监控医疗数据的当前状态，可以按需迁移数据所在的主机和磁盘，可以指定医疗数据块副本的读取优先级等需求。须与现有内网虚拟化集群做到无缝集成，且资源可以相互调用。须支持统一通过现有管理平台界面实现日常管理和运维。产品须充分满足本项目的采购需求，按照采购人的要求提供平台管控、业务保障、数据迁移等服务。</w:t>
            </w:r>
          </w:p>
          <w:p w14:paraId="611C3F8E">
            <w:r>
              <w:rPr>
                <w:rFonts w:hint="eastAsia"/>
              </w:rPr>
              <w:t>4.扩容现有超融合集群1套256G 内存系统并且实现与现有系统及硬件无缝衔接定制开发。本系统须与现有虚拟化平台应做到无缝集成，且资源可以相互调用。统一在现有管理平台界面实现日常管理和运维。</w:t>
            </w:r>
          </w:p>
          <w:p w14:paraId="7D3EA5A1">
            <w:r>
              <w:rPr>
                <w:rFonts w:hint="eastAsia"/>
              </w:rPr>
              <w:t>5.包含本项目原厂培训、原厂迁移、按照甲方需求改造数据中心结合业务系统及安全要求进行交钥匙工程改造。配套工程相关跳线、模块等辅料。不少于2名原厂认证工程师。针对本院现有物理服务器及虚拟系统操作系统及数据，通过使用天融信 工具进行在线迁移支持物理机/虚拟机，在线（开机状态下运行）不中断业务的情况下迁移至平台。迁移期间需保持网络连接畅通，以及超融合平台资源充足。（注：迁移前需要做好原始数据备份工作）。包含原厂超融合应急响应现场服务。</w:t>
            </w:r>
          </w:p>
          <w:p w14:paraId="645214F4">
            <w:pPr>
              <w:snapToGrid w:val="0"/>
              <w:spacing w:line="360" w:lineRule="auto"/>
            </w:pPr>
            <w:r>
              <w:t>6</w:t>
            </w:r>
            <w:r>
              <w:rPr>
                <w:rFonts w:hint="eastAsia"/>
              </w:rPr>
              <w:t>、须支持登录到任何一个节点的管理VM可以对整个集群进行管理，无需部署额外管理节点。存储虚拟化采用分布式架构，通过新增物理服务器实现存储容量和性能的横向扩展（Scale-Out），扩容过程不影响云服务器正常运行。</w:t>
            </w:r>
            <w:bookmarkStart w:id="0" w:name="OLE_LINK26"/>
            <w:bookmarkStart w:id="1" w:name="OLE_LINK27"/>
            <w:r>
              <w:rPr>
                <w:rFonts w:hint="eastAsia"/>
              </w:rPr>
              <w:t>（须提供具有CMA或CNAS标识的检测/检验/试验/测试报告，至少包含报告首页，对应功能测试页和报告尾页，加盖公章）</w:t>
            </w:r>
            <w:bookmarkEnd w:id="0"/>
            <w:bookmarkEnd w:id="1"/>
          </w:p>
          <w:p w14:paraId="4F94919F">
            <w:pPr>
              <w:snapToGrid w:val="0"/>
              <w:spacing w:line="360" w:lineRule="auto"/>
            </w:pPr>
            <w:r>
              <w:t>7</w:t>
            </w:r>
            <w:r>
              <w:rPr>
                <w:rFonts w:hint="eastAsia"/>
              </w:rPr>
              <w:t>、支持云服务器存储链路冗余设置，可以设置多条访问存储卷的链路，提升云服务器访问存储的可靠性和性能。（须提供具有CMA或CNAS标识的检测/检验/试验/测试报告，至少包含报告首页，对应功能测试页和报告尾页，加盖公章）</w:t>
            </w:r>
          </w:p>
          <w:p w14:paraId="7B0A8EFB">
            <w:r>
              <w:t>8</w:t>
            </w:r>
            <w:r>
              <w:rPr>
                <w:rFonts w:hint="eastAsia"/>
              </w:rPr>
              <w:t>、支持通过支持VNC、Spice以及VNC+Spice模式远程访问云服务器控制台；支持Spice方式设置独立访问密码。</w:t>
            </w:r>
            <w:bookmarkStart w:id="2" w:name="OLE_LINK15"/>
            <w:bookmarkStart w:id="3" w:name="OLE_LINK14"/>
            <w:r>
              <w:rPr>
                <w:rFonts w:hint="eastAsia"/>
              </w:rPr>
              <w:t>（须提供具有CMA或CNAS标识的检测/检验/试验/测试报告，至少包含报告首页，对应功能测试页和报告尾页，加盖公章）</w:t>
            </w:r>
            <w:bookmarkEnd w:id="2"/>
            <w:bookmarkEnd w:id="3"/>
          </w:p>
          <w:p w14:paraId="0C3B0277">
            <w:r>
              <w:t>9</w:t>
            </w:r>
            <w:r>
              <w:rPr>
                <w:rFonts w:hint="eastAsia"/>
              </w:rPr>
              <w:t>、支持主流Linux/Windows以及国产操作系统云服务器的内部负载实时监控，包括操作系统版本、CPU使用率、内存使用情况、网络流量、系统磁盘数量、磁盘分区、磁盘使用率、系统进程及系统连接数量。（须提供具有CMA或CNAS标识的检测/检验/试验/测试报告，至少包含报告首页，对应功能测试页和报告尾页，加盖公章）</w:t>
            </w:r>
          </w:p>
          <w:p w14:paraId="1F544ECF">
            <w:r>
              <w:t>10</w:t>
            </w:r>
            <w:r>
              <w:rPr>
                <w:rFonts w:hint="eastAsia"/>
              </w:rPr>
              <w:t>、支持蓝屏检测技术，通过界面记录重新拉起过程，包括故障、蓝屏、HA等过程，可在日志页面查看详情。可以支持云服务器最后一屏功能，在发生意外故障导致的云服务器停机时将最后一屏信息进行截图。（须提供具有CMA或CNAS标识的检测/检验/试验/测试报告，至少包含报告首页，对应功能测试页和报告尾页，加盖公章）</w:t>
            </w:r>
          </w:p>
          <w:p w14:paraId="19889C50">
            <w:r>
              <w:rPr>
                <w:rFonts w:hint="eastAsia"/>
              </w:rPr>
              <w:t>1</w:t>
            </w:r>
            <w:r>
              <w:t>1、</w:t>
            </w:r>
            <w:r>
              <w:rPr>
                <w:rFonts w:hint="eastAsia"/>
              </w:rPr>
              <w:t>须支持数据写入优化机制，支持数据读取优化机制，可以将内存、SSD作为读、写缓存使用，实现内存、SSD、HDD三级存储分层，可以支持内存缓存设置。（须提供具有CMA或CNAS标识的检测/检验/试验/测试报告，至少包含报告首页，对应功能测试页和报告尾页，加盖公章）</w:t>
            </w:r>
          </w:p>
          <w:p w14:paraId="1411C799">
            <w:r>
              <w:rPr>
                <w:rFonts w:hint="eastAsia"/>
              </w:rPr>
              <w:t>1</w:t>
            </w:r>
            <w:r>
              <w:t>2、</w:t>
            </w:r>
            <w:r>
              <w:rPr>
                <w:rFonts w:hint="eastAsia"/>
              </w:rPr>
              <w:t>支持快照数据在线可见，可随时查看和读取快照数据，如当VM内文件发生误操作、误删、中毒、系统配置文件更改时，可以通过该功能对比查看快照时刻VM内的文件，而无需执行VM快照回滚或者恢复，提升使用便捷性。（须提供具有CMA或CNAS标识的检测/检验/试验/测试报告，至少包含报告首页，对应功能测试页和报告尾页，加盖公章）</w:t>
            </w:r>
          </w:p>
          <w:p w14:paraId="51EA728F">
            <w:r>
              <w:rPr>
                <w:rFonts w:hint="eastAsia"/>
              </w:rPr>
              <w:t>1</w:t>
            </w:r>
            <w:r>
              <w:t>3、</w:t>
            </w:r>
            <w:r>
              <w:rPr>
                <w:rFonts w:hint="eastAsia"/>
              </w:rPr>
              <w:t>分布式存储可以支持基于存储卷级别的灵活副本设定，可以针对不同场景灵活配置不同级别的副本数，最小可以支持1副本，最高可以支持6个副本，可以支持动态在线增加和删除副本，不需停机即可操作。（须提供具有CMA或CNAS标识的检测/检验/试验/测试报告，至少包含报告首页，对应功能测试页和报告尾页，加盖公章）</w:t>
            </w:r>
          </w:p>
          <w:p w14:paraId="20B6652D">
            <w:r>
              <w:t>14</w:t>
            </w:r>
            <w:r>
              <w:rPr>
                <w:rFonts w:hint="eastAsia"/>
              </w:rPr>
              <w:t>、支持存储卷的数据块副本图形显示和操作，可以监控数据块的当前状态，可以按需调整数据块所在的主机和磁盘位置，可以指定数据块副本的读取优先级。（须提供具有CMA或CNAS标识的检测/检验/试验/测试报告，至少包含报告首页，对应功能测试页和报告尾页，加盖公章）</w:t>
            </w:r>
          </w:p>
          <w:p w14:paraId="4A424AE9">
            <w:r>
              <w:t>15</w:t>
            </w:r>
            <w:r>
              <w:rPr>
                <w:rFonts w:hint="eastAsia"/>
              </w:rPr>
              <w:t>、支持存储分卷，在SSD+HDD混闪硬盘配置下，可将SSD组成一个高性能存储池，云服务器可以运行在SSD闪盘模式；将SSD与HDD组成一个大容量存储池，云服务器可以运行在HDD模式。（须提供具有CMA或CNAS标识的检测/检验/试验/测试报告，至少包含报告首页，对应功能测试页和报告尾页，加盖公章）</w:t>
            </w:r>
          </w:p>
          <w:p w14:paraId="3E7FE77F">
            <w:r>
              <w:t>16</w:t>
            </w:r>
            <w:r>
              <w:rPr>
                <w:rFonts w:hint="eastAsia"/>
              </w:rPr>
              <w:t>、平台未来可扩展支持分布式防火墙系统内核级别集成，实现东西向流量安全防护，提供2-7层安全防护；支持ByPass功能，并能够以动态拓扑结构向用户展示云内虚机之间的通信关系，以箭头方向标识流量方向，以连线粗细表示流量大小，同时使用不同颜色标识标记虚机通信与访问控制策略的关系，并支持云内安全态势分析。（须提供具有CMA或CNAS标识的检测/检验/试验/测试报告，至少包含报告首页，对应功能测试页和报告尾页，加盖公章）</w:t>
            </w:r>
          </w:p>
          <w:p w14:paraId="4E177B05">
            <w:r>
              <w:t>17</w:t>
            </w:r>
            <w:r>
              <w:rPr>
                <w:rFonts w:hint="eastAsia"/>
              </w:rPr>
              <w:t>、平台须支持在无需额外增加或替换软件/硬件前提下，基于同一云管理平台对所有虚拟安全设备通过License激活的方式进行授权和授权回收，包括不限于下一代防火墙、WAF、数据库审计、网络审计、VPN、运维安全审计、负载均衡、基线核查、日志审计、数据防泄漏、漏洞扫描等。（须提供具有CMA或CNAS标识的检测/检验/试验/测试报告，至少包含报告首页，对应功能测试页和报告尾页，加盖公章）</w:t>
            </w:r>
          </w:p>
          <w:p w14:paraId="7A03E409">
            <w:r>
              <w:rPr>
                <w:rFonts w:hint="eastAsia"/>
              </w:rPr>
              <w:t>18、所投超融合平台制造商须具备中国信息安全测评中心颁发的安全工程类三级以上（含三级）证书，</w:t>
            </w:r>
          </w:p>
          <w:p w14:paraId="1E76D660">
            <w:r>
              <w:rPr>
                <w:rFonts w:hint="eastAsia"/>
              </w:rPr>
              <w:t>19、所投超融合平台制造商须须具备中国信息安全测评中心颁发的安全开发资质认证二级以上（含二级）证书，</w:t>
            </w:r>
          </w:p>
          <w:p w14:paraId="0A7EA200">
            <w:r>
              <w:rPr>
                <w:rFonts w:hint="eastAsia"/>
              </w:rPr>
              <w:t>20、所投超融合平台制造商须须具备能源管理体系认证证书ISO 50001体系认证</w:t>
            </w:r>
          </w:p>
          <w:p w14:paraId="25B272C6">
            <w:r>
              <w:rPr>
                <w:rFonts w:hint="eastAsia"/>
              </w:rPr>
              <w:t>21、所投超融合平台制造商须须具备中国信息安全测评中心颁发的CISP数据安全方向授权运营中心资质证书。</w:t>
            </w:r>
          </w:p>
          <w:p w14:paraId="6E0A7C71">
            <w:r>
              <w:rPr>
                <w:rFonts w:hint="eastAsia"/>
              </w:rPr>
              <w:t>22、所投超融合平台制造商须为保障制造商具备信息系统建设及服务能力，制造商应通过4级及以上信息系统建设及服务能力评估且在有效期内；</w:t>
            </w:r>
          </w:p>
          <w:p w14:paraId="022CCBC2">
            <w:pPr>
              <w:widowControl/>
              <w:snapToGrid w:val="0"/>
              <w:jc w:val="left"/>
              <w:rPr>
                <w:rFonts w:ascii="等线" w:hAnsi="等线" w:cs="仿宋"/>
                <w:bCs/>
                <w:color w:val="000000"/>
                <w:kern w:val="0"/>
                <w:szCs w:val="21"/>
              </w:rPr>
            </w:pPr>
          </w:p>
        </w:tc>
        <w:tc>
          <w:tcPr>
            <w:tcW w:w="256" w:type="pct"/>
            <w:noWrap w:val="0"/>
            <w:vAlign w:val="center"/>
          </w:tcPr>
          <w:p w14:paraId="2868004A">
            <w:pPr>
              <w:rPr>
                <w:szCs w:val="21"/>
              </w:rPr>
            </w:pPr>
            <w:r>
              <w:rPr>
                <w:rFonts w:hint="eastAsia"/>
                <w:szCs w:val="21"/>
              </w:rPr>
              <w:t>套</w:t>
            </w:r>
          </w:p>
        </w:tc>
        <w:tc>
          <w:tcPr>
            <w:tcW w:w="288" w:type="pct"/>
            <w:noWrap w:val="0"/>
            <w:vAlign w:val="center"/>
          </w:tcPr>
          <w:p w14:paraId="5FDFC717">
            <w:pPr>
              <w:rPr>
                <w:szCs w:val="21"/>
              </w:rPr>
            </w:pPr>
            <w:r>
              <w:rPr>
                <w:rFonts w:hint="eastAsia"/>
                <w:szCs w:val="21"/>
              </w:rPr>
              <w:t>1</w:t>
            </w:r>
          </w:p>
        </w:tc>
        <w:tc>
          <w:tcPr>
            <w:tcW w:w="720" w:type="pct"/>
            <w:noWrap w:val="0"/>
            <w:vAlign w:val="center"/>
          </w:tcPr>
          <w:p w14:paraId="0EE4CADF">
            <w:pPr>
              <w:jc w:val="center"/>
              <w:rPr>
                <w:szCs w:val="21"/>
              </w:rPr>
            </w:pPr>
          </w:p>
        </w:tc>
        <w:tc>
          <w:tcPr>
            <w:tcW w:w="577" w:type="pct"/>
            <w:noWrap w:val="0"/>
            <w:vAlign w:val="center"/>
          </w:tcPr>
          <w:p w14:paraId="08A62D2A">
            <w:pPr>
              <w:jc w:val="center"/>
              <w:rPr>
                <w:szCs w:val="21"/>
              </w:rPr>
            </w:pPr>
            <w:r>
              <w:rPr>
                <w:rFonts w:hint="eastAsia"/>
                <w:szCs w:val="21"/>
              </w:rPr>
              <w:t>否</w:t>
            </w:r>
          </w:p>
        </w:tc>
      </w:tr>
    </w:tbl>
    <w:p w14:paraId="383CE564">
      <w:pPr>
        <w:spacing w:line="360" w:lineRule="auto"/>
        <w:ind w:firstLine="480" w:firstLineChars="200"/>
        <w:outlineLvl w:val="0"/>
        <w:rPr>
          <w:rFonts w:hint="eastAsia"/>
          <w:sz w:val="24"/>
        </w:rPr>
      </w:pPr>
      <w:r>
        <w:rPr>
          <w:rFonts w:hint="eastAsia"/>
          <w:sz w:val="24"/>
        </w:rPr>
        <w:t>注：</w:t>
      </w:r>
    </w:p>
    <w:p w14:paraId="4A62F12E">
      <w:pPr>
        <w:spacing w:line="360" w:lineRule="auto"/>
        <w:ind w:firstLine="480" w:firstLineChars="200"/>
        <w:outlineLvl w:val="0"/>
        <w:rPr>
          <w:rFonts w:hint="eastAsia"/>
          <w:sz w:val="24"/>
        </w:rPr>
      </w:pPr>
      <w:r>
        <w:rPr>
          <w:rFonts w:hint="eastAsia"/>
          <w:sz w:val="24"/>
        </w:rPr>
        <w:t>应逐项明确每项标的是否属于集采目录内产品</w:t>
      </w:r>
    </w:p>
    <w:p w14:paraId="42FD5948">
      <w:pPr>
        <w:spacing w:line="360" w:lineRule="auto"/>
        <w:ind w:firstLine="480" w:firstLineChars="200"/>
        <w:outlineLvl w:val="0"/>
        <w:rPr>
          <w:rFonts w:hint="eastAsia"/>
          <w:sz w:val="24"/>
        </w:rPr>
      </w:pPr>
      <w:r>
        <w:rPr>
          <w:rFonts w:hint="eastAsia"/>
          <w:sz w:val="24"/>
        </w:rPr>
        <w:t>量化指标应标示出范围值，例如长度≥30cm，而不是长度30cm</w:t>
      </w:r>
    </w:p>
    <w:p w14:paraId="7CCCBC14">
      <w:pPr>
        <w:spacing w:line="360" w:lineRule="auto"/>
        <w:ind w:firstLine="480" w:firstLineChars="200"/>
        <w:outlineLvl w:val="0"/>
        <w:rPr>
          <w:rFonts w:hint="eastAsia"/>
          <w:sz w:val="24"/>
        </w:rPr>
      </w:pPr>
      <w:r>
        <w:rPr>
          <w:sz w:val="24"/>
        </w:rPr>
        <w:t>加注“</w:t>
      </w:r>
      <w:r>
        <w:rPr>
          <w:rFonts w:hint="eastAsia" w:ascii="宋体" w:hAnsi="宋体" w:cs="宋体"/>
          <w:sz w:val="24"/>
        </w:rPr>
        <w:t>★</w:t>
      </w:r>
      <w:r>
        <w:rPr>
          <w:sz w:val="24"/>
        </w:rPr>
        <w:t>”号条款为实质性条款，不得出现负偏离，发生负偏离即做无效标处理。</w:t>
      </w:r>
    </w:p>
    <w:p w14:paraId="3EDD434E">
      <w:pPr>
        <w:spacing w:line="360" w:lineRule="auto"/>
        <w:ind w:firstLine="480" w:firstLineChars="200"/>
        <w:outlineLvl w:val="0"/>
        <w:rPr>
          <w:rFonts w:hint="eastAsia"/>
          <w:sz w:val="24"/>
        </w:rPr>
      </w:pPr>
      <w:r>
        <w:rPr>
          <w:rFonts w:hint="eastAsia"/>
          <w:sz w:val="24"/>
        </w:rPr>
        <w:t>加注“▲”号的产品为核心产品（如项目需求书中未明确核心产品，则视为全部产品均为核心产品）。</w:t>
      </w:r>
    </w:p>
    <w:p w14:paraId="48FD1046">
      <w:pPr>
        <w:spacing w:line="360" w:lineRule="auto"/>
        <w:ind w:firstLine="482" w:firstLineChars="200"/>
        <w:rPr>
          <w:rFonts w:hint="eastAsia" w:ascii="宋体" w:hAnsi="宋体"/>
          <w:b/>
          <w:sz w:val="24"/>
        </w:rPr>
      </w:pPr>
      <w:r>
        <w:rPr>
          <w:rFonts w:hint="eastAsia" w:ascii="宋体" w:hAnsi="宋体"/>
          <w:b/>
          <w:sz w:val="24"/>
        </w:rPr>
        <w:t>五、商务要求</w:t>
      </w:r>
    </w:p>
    <w:p w14:paraId="239CE34A">
      <w:pPr>
        <w:spacing w:line="360" w:lineRule="auto"/>
        <w:ind w:firstLine="480" w:firstLineChars="200"/>
        <w:outlineLvl w:val="0"/>
        <w:rPr>
          <w:rFonts w:hint="eastAsia"/>
          <w:sz w:val="24"/>
        </w:rPr>
      </w:pPr>
      <w:r>
        <w:rPr>
          <w:rFonts w:hint="eastAsia"/>
          <w:sz w:val="24"/>
        </w:rPr>
        <w:t>1. 提供所投产品三年的免费上门保修。</w:t>
      </w:r>
    </w:p>
    <w:p w14:paraId="26153E7E">
      <w:pPr>
        <w:spacing w:line="360" w:lineRule="auto"/>
        <w:ind w:firstLine="480" w:firstLineChars="200"/>
        <w:outlineLvl w:val="0"/>
        <w:rPr>
          <w:rFonts w:hint="eastAsia"/>
          <w:sz w:val="24"/>
        </w:rPr>
      </w:pPr>
      <w:r>
        <w:rPr>
          <w:rFonts w:hint="eastAsia"/>
          <w:sz w:val="24"/>
        </w:rPr>
        <w:t>2. 货到：签订合同之日起</w:t>
      </w:r>
      <w:r>
        <w:rPr>
          <w:color w:val="FF0000"/>
          <w:sz w:val="24"/>
        </w:rPr>
        <w:t>30</w:t>
      </w:r>
      <w:r>
        <w:rPr>
          <w:rFonts w:hint="eastAsia"/>
          <w:color w:val="FF0000"/>
          <w:sz w:val="24"/>
        </w:rPr>
        <w:t>日</w:t>
      </w:r>
      <w:r>
        <w:rPr>
          <w:rFonts w:hint="eastAsia"/>
          <w:sz w:val="24"/>
        </w:rPr>
        <w:t>内（特殊情况以合同为准）。</w:t>
      </w:r>
    </w:p>
    <w:p w14:paraId="1087ECE4">
      <w:pPr>
        <w:spacing w:line="360" w:lineRule="auto"/>
        <w:ind w:firstLine="480" w:firstLineChars="200"/>
        <w:outlineLvl w:val="0"/>
        <w:rPr>
          <w:rFonts w:hint="eastAsia"/>
          <w:sz w:val="24"/>
        </w:rPr>
      </w:pPr>
      <w:r>
        <w:rPr>
          <w:rFonts w:hint="eastAsia"/>
          <w:sz w:val="24"/>
        </w:rPr>
        <w:t>安装（施工）完成：货到之日起</w:t>
      </w:r>
      <w:r>
        <w:rPr>
          <w:color w:val="FF0000"/>
          <w:sz w:val="24"/>
        </w:rPr>
        <w:t>60</w:t>
      </w:r>
      <w:r>
        <w:rPr>
          <w:rFonts w:hint="eastAsia"/>
          <w:color w:val="FF0000"/>
          <w:sz w:val="24"/>
        </w:rPr>
        <w:t>日</w:t>
      </w:r>
      <w:r>
        <w:rPr>
          <w:rFonts w:hint="eastAsia"/>
          <w:sz w:val="24"/>
        </w:rPr>
        <w:t>内（特殊情况以合同为准）。</w:t>
      </w:r>
    </w:p>
    <w:p w14:paraId="2368ECCD">
      <w:pPr>
        <w:spacing w:line="360" w:lineRule="auto"/>
        <w:ind w:firstLine="480" w:firstLineChars="200"/>
        <w:rPr>
          <w:sz w:val="24"/>
        </w:rPr>
      </w:pPr>
      <w:r>
        <w:rPr>
          <w:rFonts w:hint="eastAsia"/>
          <w:sz w:val="24"/>
        </w:rPr>
        <w:t>3.付款方式：合同签订后15个工作日内支付合同总额</w:t>
      </w:r>
      <w:r>
        <w:rPr>
          <w:sz w:val="24"/>
        </w:rPr>
        <w:t>5</w:t>
      </w:r>
      <w:r>
        <w:rPr>
          <w:rFonts w:hint="eastAsia"/>
          <w:sz w:val="24"/>
        </w:rPr>
        <w:t>0%的货款；系统上线经甲方验收合格后15个工作日内支付合同总额</w:t>
      </w:r>
      <w:r>
        <w:rPr>
          <w:sz w:val="24"/>
        </w:rPr>
        <w:t>45</w:t>
      </w:r>
      <w:r>
        <w:rPr>
          <w:rFonts w:hint="eastAsia"/>
          <w:sz w:val="24"/>
        </w:rPr>
        <w:t>%的货款；自验收合格之日起个1年后1</w:t>
      </w:r>
      <w:r>
        <w:rPr>
          <w:sz w:val="24"/>
        </w:rPr>
        <w:t>5</w:t>
      </w:r>
      <w:r>
        <w:rPr>
          <w:rFonts w:hint="eastAsia"/>
          <w:sz w:val="24"/>
        </w:rPr>
        <w:t>个工作日内支付其余</w:t>
      </w:r>
      <w:r>
        <w:rPr>
          <w:sz w:val="24"/>
        </w:rPr>
        <w:t>5</w:t>
      </w:r>
      <w:r>
        <w:rPr>
          <w:rFonts w:hint="eastAsia"/>
          <w:sz w:val="24"/>
        </w:rPr>
        <w:t>%的货款。</w:t>
      </w:r>
    </w:p>
    <w:p w14:paraId="620D2E92">
      <w:pPr>
        <w:spacing w:line="360" w:lineRule="auto"/>
        <w:ind w:firstLine="480" w:firstLineChars="200"/>
        <w:outlineLvl w:val="0"/>
        <w:rPr>
          <w:rFonts w:hint="eastAsia"/>
          <w:sz w:val="24"/>
        </w:rPr>
      </w:pPr>
    </w:p>
    <w:p w14:paraId="4EFEF382">
      <w:pPr>
        <w:autoSpaceDE w:val="0"/>
        <w:autoSpaceDN w:val="0"/>
        <w:spacing w:line="360" w:lineRule="auto"/>
        <w:ind w:firstLine="482" w:firstLineChars="200"/>
        <w:rPr>
          <w:b/>
          <w:sz w:val="24"/>
        </w:rPr>
      </w:pPr>
      <w:r>
        <w:rPr>
          <w:rFonts w:hint="eastAsia"/>
          <w:b/>
          <w:sz w:val="24"/>
        </w:rPr>
        <w:t>六、验收标准</w:t>
      </w:r>
    </w:p>
    <w:p w14:paraId="714AF058">
      <w:pPr>
        <w:spacing w:line="360" w:lineRule="auto"/>
        <w:ind w:firstLine="480" w:firstLineChars="200"/>
        <w:rPr>
          <w:sz w:val="24"/>
        </w:rPr>
      </w:pPr>
      <w:r>
        <w:rPr>
          <w:rFonts w:hint="eastAsia"/>
          <w:sz w:val="24"/>
        </w:rPr>
        <w:t>按照采购合同约定的履约情况进行确认，参与验收的投标人的意见作为验收书的参考资料一并存档。验收结束后，应当出具验收报告，列明各项标准的验收情况及项目总体评价，由验收双方共同签署。</w:t>
      </w:r>
    </w:p>
    <w:p w14:paraId="2E966325">
      <w:pPr>
        <w:autoSpaceDE w:val="0"/>
        <w:autoSpaceDN w:val="0"/>
        <w:spacing w:line="360" w:lineRule="auto"/>
        <w:ind w:firstLine="482" w:firstLineChars="200"/>
        <w:rPr>
          <w:b/>
          <w:sz w:val="24"/>
        </w:rPr>
      </w:pPr>
    </w:p>
    <w:p w14:paraId="27200239">
      <w:pPr>
        <w:spacing w:line="360" w:lineRule="auto"/>
        <w:ind w:firstLine="480" w:firstLineChars="200"/>
        <w:rPr>
          <w:color w:val="FF0000"/>
          <w:sz w:val="24"/>
        </w:rPr>
      </w:pPr>
      <w:r>
        <w:rPr>
          <w:rFonts w:hint="eastAsia"/>
          <w:color w:val="FF0000"/>
          <w:sz w:val="24"/>
        </w:rPr>
        <w:t>（采购人可根据项目情况填写）</w:t>
      </w:r>
    </w:p>
    <w:p w14:paraId="37FE1EA1">
      <w:pPr>
        <w:spacing w:line="360" w:lineRule="auto"/>
        <w:ind w:firstLine="482" w:firstLineChars="200"/>
        <w:outlineLvl w:val="0"/>
        <w:rPr>
          <w:b/>
          <w:sz w:val="24"/>
        </w:rPr>
      </w:pPr>
      <w:r>
        <w:rPr>
          <w:rFonts w:hint="eastAsia"/>
          <w:b/>
          <w:sz w:val="24"/>
        </w:rPr>
        <w:t>七、其他要求</w:t>
      </w:r>
    </w:p>
    <w:p w14:paraId="4D6C748F">
      <w:pPr>
        <w:spacing w:line="360" w:lineRule="auto"/>
        <w:rPr>
          <w:rFonts w:hint="eastAsia"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无</w:t>
      </w:r>
    </w:p>
    <w:p w14:paraId="48B0602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005E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2026-07-02T06:48:34Z</dcterms:created>
  <dc:creator>Administrator</dc:creator>
  <cp:lastModifiedBy>忠</cp:lastModifiedBy>
  <dcterms:modified xsi:type="dcterms:W3CDTF">2026-07-02T06:49:25Z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eyJoZGlkIjoiMTEyYTVhOGE2ZTJmMTA0YjhiZWIyNzUzNzFiMWQ4YjgiLCJ1c2VySWQiOiI5MzE5NDAyMzgifQ==</vt:lpwstr>
  </property>
  <property fmtid="{D5CDD505-2E9C-101B-9397-08002B2CF9AE}" pid="4" name="ICV">
    <vt:lpwstr>962CFE6F2A8F4F2CB2B68136AA2EF124_12</vt:lpwstr>
  </property>
</Properties>
</file>